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6F777" w14:textId="77777777" w:rsidR="0067053C" w:rsidRPr="001969DA" w:rsidRDefault="0067053C" w:rsidP="001969DA">
      <w:pPr>
        <w:spacing w:line="480" w:lineRule="auto"/>
        <w:jc w:val="center"/>
        <w:rPr>
          <w:rFonts w:cs="Times New Roman"/>
          <w:szCs w:val="24"/>
        </w:rPr>
      </w:pPr>
    </w:p>
    <w:p w14:paraId="4FA1DA2E" w14:textId="7180845F" w:rsidR="00097637" w:rsidRDefault="008E7A10" w:rsidP="001969DA">
      <w:pPr>
        <w:spacing w:line="480" w:lineRule="auto"/>
        <w:jc w:val="center"/>
        <w:rPr>
          <w:rFonts w:cs="Times New Roman"/>
          <w:szCs w:val="24"/>
        </w:rPr>
      </w:pPr>
      <w:bookmarkStart w:id="0" w:name="_Hlk162118049"/>
      <w:r>
        <w:rPr>
          <w:rFonts w:cs="Times New Roman"/>
          <w:szCs w:val="24"/>
        </w:rPr>
        <w:t>PROGRAM</w:t>
      </w:r>
      <w:r w:rsidR="00250FB2">
        <w:rPr>
          <w:rFonts w:cs="Times New Roman"/>
          <w:szCs w:val="24"/>
        </w:rPr>
        <w:t>:</w:t>
      </w:r>
      <w:r w:rsidR="00097637">
        <w:rPr>
          <w:rFonts w:cs="Times New Roman"/>
          <w:szCs w:val="24"/>
        </w:rPr>
        <w:t xml:space="preserve"> BA BUSINESS MANAGEMENT </w:t>
      </w:r>
    </w:p>
    <w:p w14:paraId="6E2FFC3D" w14:textId="77777777" w:rsidR="00966225" w:rsidRDefault="00097637" w:rsidP="001969DA">
      <w:pPr>
        <w:spacing w:line="480" w:lineRule="auto"/>
        <w:jc w:val="center"/>
        <w:rPr>
          <w:rFonts w:cs="Times New Roman"/>
          <w:szCs w:val="24"/>
        </w:rPr>
      </w:pPr>
      <w:r>
        <w:rPr>
          <w:rFonts w:cs="Times New Roman"/>
          <w:szCs w:val="24"/>
        </w:rPr>
        <w:t xml:space="preserve">MODULE: INTERNATIONAL FINANCIAL </w:t>
      </w:r>
      <w:r w:rsidR="00966225">
        <w:rPr>
          <w:rFonts w:cs="Times New Roman"/>
          <w:szCs w:val="24"/>
        </w:rPr>
        <w:t xml:space="preserve">MANAGEMENT </w:t>
      </w:r>
    </w:p>
    <w:p w14:paraId="054E9D2F" w14:textId="77777777" w:rsidR="00966225" w:rsidRDefault="00966225" w:rsidP="001969DA">
      <w:pPr>
        <w:spacing w:line="480" w:lineRule="auto"/>
        <w:jc w:val="center"/>
        <w:rPr>
          <w:rFonts w:cs="Times New Roman"/>
          <w:szCs w:val="24"/>
        </w:rPr>
      </w:pPr>
      <w:r>
        <w:rPr>
          <w:rFonts w:cs="Times New Roman"/>
          <w:szCs w:val="24"/>
        </w:rPr>
        <w:t>MODULE CODE:LCBB6002</w:t>
      </w:r>
    </w:p>
    <w:p w14:paraId="1283C2DE" w14:textId="77777777" w:rsidR="00B61E93" w:rsidRDefault="00B61E93" w:rsidP="001969DA">
      <w:pPr>
        <w:spacing w:line="480" w:lineRule="auto"/>
        <w:jc w:val="center"/>
        <w:rPr>
          <w:rFonts w:cs="Times New Roman"/>
          <w:szCs w:val="24"/>
        </w:rPr>
      </w:pPr>
      <w:r>
        <w:rPr>
          <w:rFonts w:cs="Times New Roman"/>
          <w:szCs w:val="24"/>
        </w:rPr>
        <w:t>LECTURE:ZAINAB ATTA</w:t>
      </w:r>
    </w:p>
    <w:p w14:paraId="14A4AEA5" w14:textId="77777777" w:rsidR="00D34F66" w:rsidRDefault="00D34F66" w:rsidP="001969DA">
      <w:pPr>
        <w:spacing w:line="480" w:lineRule="auto"/>
        <w:jc w:val="center"/>
        <w:rPr>
          <w:rFonts w:cs="Times New Roman"/>
          <w:szCs w:val="24"/>
        </w:rPr>
      </w:pPr>
      <w:r>
        <w:rPr>
          <w:rFonts w:cs="Times New Roman"/>
          <w:szCs w:val="24"/>
        </w:rPr>
        <w:t xml:space="preserve">STUDENT NAME:TSVETA LYUSHTOVA </w:t>
      </w:r>
    </w:p>
    <w:p w14:paraId="2E5D5794" w14:textId="5F39B993" w:rsidR="009567A7" w:rsidRPr="001969DA" w:rsidRDefault="00D34F66" w:rsidP="001969DA">
      <w:pPr>
        <w:spacing w:line="480" w:lineRule="auto"/>
        <w:jc w:val="center"/>
        <w:rPr>
          <w:rFonts w:cs="Times New Roman"/>
          <w:szCs w:val="24"/>
        </w:rPr>
      </w:pPr>
      <w:r>
        <w:rPr>
          <w:rFonts w:cs="Times New Roman"/>
          <w:szCs w:val="24"/>
        </w:rPr>
        <w:t>STUDENT NUMBER:2124712</w:t>
      </w:r>
      <w:r w:rsidR="009567A7" w:rsidRPr="001969DA">
        <w:rPr>
          <w:rFonts w:cs="Times New Roman"/>
          <w:szCs w:val="24"/>
        </w:rPr>
        <w:cr/>
      </w:r>
    </w:p>
    <w:bookmarkEnd w:id="0"/>
    <w:p w14:paraId="7EBA5C52" w14:textId="23608A5E" w:rsidR="009567A7" w:rsidRPr="001969DA" w:rsidRDefault="009567A7" w:rsidP="001A1195">
      <w:pPr>
        <w:spacing w:line="480" w:lineRule="auto"/>
        <w:rPr>
          <w:rFonts w:cs="Times New Roman"/>
          <w:szCs w:val="24"/>
        </w:rPr>
      </w:pPr>
    </w:p>
    <w:p w14:paraId="177B0556" w14:textId="086C48A1" w:rsidR="009567A7" w:rsidRPr="001969DA" w:rsidRDefault="009567A7" w:rsidP="001A1195">
      <w:pPr>
        <w:spacing w:line="480" w:lineRule="auto"/>
        <w:rPr>
          <w:rFonts w:cs="Times New Roman"/>
          <w:szCs w:val="24"/>
        </w:rPr>
      </w:pPr>
    </w:p>
    <w:p w14:paraId="6822A9F1" w14:textId="77777777" w:rsidR="009567A7" w:rsidRPr="001969DA" w:rsidRDefault="009567A7" w:rsidP="001969DA">
      <w:pPr>
        <w:spacing w:line="480" w:lineRule="auto"/>
        <w:jc w:val="center"/>
        <w:rPr>
          <w:rFonts w:cs="Times New Roman"/>
          <w:szCs w:val="24"/>
        </w:rPr>
      </w:pPr>
    </w:p>
    <w:p w14:paraId="3303C90F" w14:textId="77777777" w:rsidR="009567A7" w:rsidRPr="001969DA" w:rsidRDefault="009567A7" w:rsidP="001969DA">
      <w:pPr>
        <w:spacing w:line="480" w:lineRule="auto"/>
        <w:jc w:val="center"/>
        <w:rPr>
          <w:rFonts w:cs="Times New Roman"/>
          <w:szCs w:val="24"/>
        </w:rPr>
      </w:pPr>
    </w:p>
    <w:p w14:paraId="7D2C341D" w14:textId="77A6C606" w:rsidR="009567A7" w:rsidRDefault="009567A7" w:rsidP="001969DA">
      <w:pPr>
        <w:spacing w:line="480" w:lineRule="auto"/>
        <w:jc w:val="center"/>
        <w:rPr>
          <w:rFonts w:cs="Times New Roman"/>
          <w:szCs w:val="24"/>
        </w:rPr>
      </w:pPr>
    </w:p>
    <w:p w14:paraId="63EEA1CA" w14:textId="7FD9C4A3" w:rsidR="001969DA" w:rsidRDefault="001969DA">
      <w:pPr>
        <w:jc w:val="left"/>
        <w:rPr>
          <w:rFonts w:cs="Times New Roman"/>
          <w:szCs w:val="24"/>
        </w:rPr>
      </w:pPr>
      <w:r>
        <w:rPr>
          <w:rFonts w:cs="Times New Roman"/>
          <w:szCs w:val="24"/>
        </w:rPr>
        <w:br w:type="page"/>
      </w:r>
    </w:p>
    <w:p w14:paraId="26BA0851" w14:textId="77777777" w:rsidR="001969DA" w:rsidRDefault="001969DA">
      <w:pPr>
        <w:jc w:val="left"/>
        <w:rPr>
          <w:rFonts w:cs="Times New Roman"/>
          <w:szCs w:val="24"/>
        </w:rPr>
      </w:pPr>
    </w:p>
    <w:sdt>
      <w:sdtPr>
        <w:rPr>
          <w:rFonts w:ascii="Times New Roman" w:eastAsiaTheme="minorHAnsi" w:hAnsi="Times New Roman" w:cstheme="minorBidi"/>
          <w:color w:val="000000" w:themeColor="text1"/>
          <w:kern w:val="2"/>
          <w:sz w:val="24"/>
          <w:szCs w:val="22"/>
          <w:lang w:val="en-IN"/>
          <w14:ligatures w14:val="standardContextual"/>
        </w:rPr>
        <w:id w:val="-869445286"/>
        <w:docPartObj>
          <w:docPartGallery w:val="Table of Contents"/>
          <w:docPartUnique/>
        </w:docPartObj>
      </w:sdtPr>
      <w:sdtEndPr>
        <w:rPr>
          <w:b/>
          <w:bCs/>
          <w:noProof/>
        </w:rPr>
      </w:sdtEndPr>
      <w:sdtContent>
        <w:p w14:paraId="186A2FC8" w14:textId="52D23A67" w:rsidR="001969DA" w:rsidRPr="001969DA" w:rsidRDefault="001969DA" w:rsidP="001969DA">
          <w:pPr>
            <w:pStyle w:val="TOCHeading"/>
            <w:jc w:val="center"/>
            <w:rPr>
              <w:rFonts w:ascii="Times New Roman" w:hAnsi="Times New Roman" w:cs="Times New Roman"/>
              <w:b/>
              <w:bCs/>
              <w:color w:val="000000" w:themeColor="text1"/>
              <w:sz w:val="24"/>
              <w:szCs w:val="24"/>
            </w:rPr>
          </w:pPr>
          <w:r w:rsidRPr="001969DA">
            <w:rPr>
              <w:rFonts w:ascii="Times New Roman" w:hAnsi="Times New Roman" w:cs="Times New Roman"/>
              <w:b/>
              <w:bCs/>
              <w:color w:val="000000" w:themeColor="text1"/>
              <w:sz w:val="24"/>
              <w:szCs w:val="24"/>
            </w:rPr>
            <w:t>Table of Contents</w:t>
          </w:r>
        </w:p>
        <w:p w14:paraId="7A9E7021" w14:textId="7E890A94" w:rsidR="001969DA" w:rsidRDefault="001969DA" w:rsidP="001969DA">
          <w:pPr>
            <w:pStyle w:val="TOC1"/>
            <w:tabs>
              <w:tab w:val="right" w:leader="dot" w:pos="9016"/>
            </w:tabs>
            <w:spacing w:line="480" w:lineRule="auto"/>
            <w:rPr>
              <w:noProof/>
            </w:rPr>
          </w:pPr>
          <w:r>
            <w:fldChar w:fldCharType="begin"/>
          </w:r>
          <w:r>
            <w:instrText xml:space="preserve"> TOC \o "1-3" \h \z \u </w:instrText>
          </w:r>
          <w:r>
            <w:fldChar w:fldCharType="separate"/>
          </w:r>
          <w:hyperlink w:anchor="_Toc162118001" w:history="1">
            <w:r w:rsidRPr="003A3860">
              <w:rPr>
                <w:rStyle w:val="Hyperlink"/>
                <w:rFonts w:cs="Times New Roman"/>
                <w:noProof/>
              </w:rPr>
              <w:t>Introduction:</w:t>
            </w:r>
            <w:r>
              <w:rPr>
                <w:noProof/>
                <w:webHidden/>
              </w:rPr>
              <w:tab/>
            </w:r>
            <w:r>
              <w:rPr>
                <w:noProof/>
                <w:webHidden/>
              </w:rPr>
              <w:fldChar w:fldCharType="begin"/>
            </w:r>
            <w:r>
              <w:rPr>
                <w:noProof/>
                <w:webHidden/>
              </w:rPr>
              <w:instrText xml:space="preserve"> PAGEREF _Toc162118001 \h </w:instrText>
            </w:r>
            <w:r>
              <w:rPr>
                <w:noProof/>
                <w:webHidden/>
              </w:rPr>
            </w:r>
            <w:r>
              <w:rPr>
                <w:noProof/>
                <w:webHidden/>
              </w:rPr>
              <w:fldChar w:fldCharType="separate"/>
            </w:r>
            <w:r>
              <w:rPr>
                <w:noProof/>
                <w:webHidden/>
              </w:rPr>
              <w:t>3</w:t>
            </w:r>
            <w:r>
              <w:rPr>
                <w:noProof/>
                <w:webHidden/>
              </w:rPr>
              <w:fldChar w:fldCharType="end"/>
            </w:r>
          </w:hyperlink>
        </w:p>
        <w:p w14:paraId="2B409C46" w14:textId="707AAC4A" w:rsidR="001969DA" w:rsidRDefault="00000000" w:rsidP="001969DA">
          <w:pPr>
            <w:pStyle w:val="TOC1"/>
            <w:tabs>
              <w:tab w:val="right" w:leader="dot" w:pos="9016"/>
            </w:tabs>
            <w:spacing w:line="480" w:lineRule="auto"/>
            <w:rPr>
              <w:noProof/>
            </w:rPr>
          </w:pPr>
          <w:hyperlink w:anchor="_Toc162118002" w:history="1">
            <w:r w:rsidR="001969DA" w:rsidRPr="003A3860">
              <w:rPr>
                <w:rStyle w:val="Hyperlink"/>
                <w:rFonts w:cs="Times New Roman"/>
                <w:noProof/>
              </w:rPr>
              <w:t>Discussion:</w:t>
            </w:r>
            <w:r w:rsidR="001969DA">
              <w:rPr>
                <w:noProof/>
                <w:webHidden/>
              </w:rPr>
              <w:tab/>
            </w:r>
            <w:r w:rsidR="001969DA">
              <w:rPr>
                <w:noProof/>
                <w:webHidden/>
              </w:rPr>
              <w:fldChar w:fldCharType="begin"/>
            </w:r>
            <w:r w:rsidR="001969DA">
              <w:rPr>
                <w:noProof/>
                <w:webHidden/>
              </w:rPr>
              <w:instrText xml:space="preserve"> PAGEREF _Toc162118002 \h </w:instrText>
            </w:r>
            <w:r w:rsidR="001969DA">
              <w:rPr>
                <w:noProof/>
                <w:webHidden/>
              </w:rPr>
            </w:r>
            <w:r w:rsidR="001969DA">
              <w:rPr>
                <w:noProof/>
                <w:webHidden/>
              </w:rPr>
              <w:fldChar w:fldCharType="separate"/>
            </w:r>
            <w:r w:rsidR="001969DA">
              <w:rPr>
                <w:noProof/>
                <w:webHidden/>
              </w:rPr>
              <w:t>3</w:t>
            </w:r>
            <w:r w:rsidR="001969DA">
              <w:rPr>
                <w:noProof/>
                <w:webHidden/>
              </w:rPr>
              <w:fldChar w:fldCharType="end"/>
            </w:r>
          </w:hyperlink>
        </w:p>
        <w:p w14:paraId="68B7EDB0" w14:textId="2C06867B" w:rsidR="001969DA" w:rsidRDefault="00000000" w:rsidP="001969DA">
          <w:pPr>
            <w:pStyle w:val="TOC1"/>
            <w:tabs>
              <w:tab w:val="right" w:leader="dot" w:pos="9016"/>
            </w:tabs>
            <w:spacing w:line="480" w:lineRule="auto"/>
            <w:rPr>
              <w:noProof/>
            </w:rPr>
          </w:pPr>
          <w:hyperlink w:anchor="_Toc162118003" w:history="1">
            <w:r w:rsidR="001969DA" w:rsidRPr="003A3860">
              <w:rPr>
                <w:rStyle w:val="Hyperlink"/>
                <w:rFonts w:cs="Times New Roman"/>
                <w:noProof/>
              </w:rPr>
              <w:t>Reviewing the literature on the strategies adopted by the corporation in managing the exposure to foreign exchange risk:</w:t>
            </w:r>
            <w:r w:rsidR="001969DA">
              <w:rPr>
                <w:noProof/>
                <w:webHidden/>
              </w:rPr>
              <w:tab/>
            </w:r>
            <w:r w:rsidR="001969DA">
              <w:rPr>
                <w:noProof/>
                <w:webHidden/>
              </w:rPr>
              <w:fldChar w:fldCharType="begin"/>
            </w:r>
            <w:r w:rsidR="001969DA">
              <w:rPr>
                <w:noProof/>
                <w:webHidden/>
              </w:rPr>
              <w:instrText xml:space="preserve"> PAGEREF _Toc162118003 \h </w:instrText>
            </w:r>
            <w:r w:rsidR="001969DA">
              <w:rPr>
                <w:noProof/>
                <w:webHidden/>
              </w:rPr>
            </w:r>
            <w:r w:rsidR="001969DA">
              <w:rPr>
                <w:noProof/>
                <w:webHidden/>
              </w:rPr>
              <w:fldChar w:fldCharType="separate"/>
            </w:r>
            <w:r w:rsidR="001969DA">
              <w:rPr>
                <w:noProof/>
                <w:webHidden/>
              </w:rPr>
              <w:t>3</w:t>
            </w:r>
            <w:r w:rsidR="001969DA">
              <w:rPr>
                <w:noProof/>
                <w:webHidden/>
              </w:rPr>
              <w:fldChar w:fldCharType="end"/>
            </w:r>
          </w:hyperlink>
        </w:p>
        <w:p w14:paraId="732664FB" w14:textId="1DD29A66" w:rsidR="001969DA" w:rsidRDefault="00000000" w:rsidP="001969DA">
          <w:pPr>
            <w:pStyle w:val="TOC1"/>
            <w:tabs>
              <w:tab w:val="right" w:leader="dot" w:pos="9016"/>
            </w:tabs>
            <w:spacing w:line="480" w:lineRule="auto"/>
            <w:rPr>
              <w:noProof/>
            </w:rPr>
          </w:pPr>
          <w:hyperlink w:anchor="_Toc162118004" w:history="1">
            <w:r w:rsidR="001969DA" w:rsidRPr="003A3860">
              <w:rPr>
                <w:rStyle w:val="Hyperlink"/>
                <w:rFonts w:cs="Times New Roman"/>
                <w:noProof/>
              </w:rPr>
              <w:t>Evaluation of different strategies adopted by multinational corporation in managing their exposure to foreign exchange risk:</w:t>
            </w:r>
            <w:r w:rsidR="001969DA">
              <w:rPr>
                <w:noProof/>
                <w:webHidden/>
              </w:rPr>
              <w:tab/>
            </w:r>
            <w:r w:rsidR="001969DA">
              <w:rPr>
                <w:noProof/>
                <w:webHidden/>
              </w:rPr>
              <w:fldChar w:fldCharType="begin"/>
            </w:r>
            <w:r w:rsidR="001969DA">
              <w:rPr>
                <w:noProof/>
                <w:webHidden/>
              </w:rPr>
              <w:instrText xml:space="preserve"> PAGEREF _Toc162118004 \h </w:instrText>
            </w:r>
            <w:r w:rsidR="001969DA">
              <w:rPr>
                <w:noProof/>
                <w:webHidden/>
              </w:rPr>
            </w:r>
            <w:r w:rsidR="001969DA">
              <w:rPr>
                <w:noProof/>
                <w:webHidden/>
              </w:rPr>
              <w:fldChar w:fldCharType="separate"/>
            </w:r>
            <w:r w:rsidR="001969DA">
              <w:rPr>
                <w:noProof/>
                <w:webHidden/>
              </w:rPr>
              <w:t>6</w:t>
            </w:r>
            <w:r w:rsidR="001969DA">
              <w:rPr>
                <w:noProof/>
                <w:webHidden/>
              </w:rPr>
              <w:fldChar w:fldCharType="end"/>
            </w:r>
          </w:hyperlink>
        </w:p>
        <w:p w14:paraId="22FCEE8A" w14:textId="6B16240F" w:rsidR="001969DA" w:rsidRDefault="00000000" w:rsidP="001969DA">
          <w:pPr>
            <w:pStyle w:val="TOC1"/>
            <w:tabs>
              <w:tab w:val="right" w:leader="dot" w:pos="9016"/>
            </w:tabs>
            <w:spacing w:line="480" w:lineRule="auto"/>
            <w:rPr>
              <w:noProof/>
            </w:rPr>
          </w:pPr>
          <w:hyperlink w:anchor="_Toc162118005" w:history="1">
            <w:r w:rsidR="001969DA" w:rsidRPr="003A3860">
              <w:rPr>
                <w:rStyle w:val="Hyperlink"/>
                <w:rFonts w:cs="Times New Roman"/>
                <w:noProof/>
              </w:rPr>
              <w:t>Conclusion:</w:t>
            </w:r>
            <w:r w:rsidR="001969DA">
              <w:rPr>
                <w:noProof/>
                <w:webHidden/>
              </w:rPr>
              <w:tab/>
            </w:r>
            <w:r w:rsidR="001969DA">
              <w:rPr>
                <w:noProof/>
                <w:webHidden/>
              </w:rPr>
              <w:fldChar w:fldCharType="begin"/>
            </w:r>
            <w:r w:rsidR="001969DA">
              <w:rPr>
                <w:noProof/>
                <w:webHidden/>
              </w:rPr>
              <w:instrText xml:space="preserve"> PAGEREF _Toc162118005 \h </w:instrText>
            </w:r>
            <w:r w:rsidR="001969DA">
              <w:rPr>
                <w:noProof/>
                <w:webHidden/>
              </w:rPr>
            </w:r>
            <w:r w:rsidR="001969DA">
              <w:rPr>
                <w:noProof/>
                <w:webHidden/>
              </w:rPr>
              <w:fldChar w:fldCharType="separate"/>
            </w:r>
            <w:r w:rsidR="001969DA">
              <w:rPr>
                <w:noProof/>
                <w:webHidden/>
              </w:rPr>
              <w:t>8</w:t>
            </w:r>
            <w:r w:rsidR="001969DA">
              <w:rPr>
                <w:noProof/>
                <w:webHidden/>
              </w:rPr>
              <w:fldChar w:fldCharType="end"/>
            </w:r>
          </w:hyperlink>
        </w:p>
        <w:p w14:paraId="5C57F9A0" w14:textId="0015A8B7" w:rsidR="001969DA" w:rsidRDefault="00000000" w:rsidP="001969DA">
          <w:pPr>
            <w:pStyle w:val="TOC1"/>
            <w:tabs>
              <w:tab w:val="right" w:leader="dot" w:pos="9016"/>
            </w:tabs>
            <w:spacing w:line="480" w:lineRule="auto"/>
            <w:rPr>
              <w:noProof/>
            </w:rPr>
          </w:pPr>
          <w:hyperlink w:anchor="_Toc162118006" w:history="1">
            <w:r w:rsidR="001969DA" w:rsidRPr="003A3860">
              <w:rPr>
                <w:rStyle w:val="Hyperlink"/>
                <w:rFonts w:cs="Times New Roman"/>
                <w:noProof/>
              </w:rPr>
              <w:t>References list:</w:t>
            </w:r>
            <w:r w:rsidR="001969DA">
              <w:rPr>
                <w:noProof/>
                <w:webHidden/>
              </w:rPr>
              <w:tab/>
            </w:r>
            <w:r w:rsidR="001969DA">
              <w:rPr>
                <w:noProof/>
                <w:webHidden/>
              </w:rPr>
              <w:fldChar w:fldCharType="begin"/>
            </w:r>
            <w:r w:rsidR="001969DA">
              <w:rPr>
                <w:noProof/>
                <w:webHidden/>
              </w:rPr>
              <w:instrText xml:space="preserve"> PAGEREF _Toc162118006 \h </w:instrText>
            </w:r>
            <w:r w:rsidR="001969DA">
              <w:rPr>
                <w:noProof/>
                <w:webHidden/>
              </w:rPr>
            </w:r>
            <w:r w:rsidR="001969DA">
              <w:rPr>
                <w:noProof/>
                <w:webHidden/>
              </w:rPr>
              <w:fldChar w:fldCharType="separate"/>
            </w:r>
            <w:r w:rsidR="001969DA">
              <w:rPr>
                <w:noProof/>
                <w:webHidden/>
              </w:rPr>
              <w:t>9</w:t>
            </w:r>
            <w:r w:rsidR="001969DA">
              <w:rPr>
                <w:noProof/>
                <w:webHidden/>
              </w:rPr>
              <w:fldChar w:fldCharType="end"/>
            </w:r>
          </w:hyperlink>
        </w:p>
        <w:p w14:paraId="3CB7C43A" w14:textId="59F6240F" w:rsidR="001969DA" w:rsidRDefault="001969DA" w:rsidP="001969DA">
          <w:pPr>
            <w:spacing w:line="480" w:lineRule="auto"/>
          </w:pPr>
          <w:r>
            <w:rPr>
              <w:b/>
              <w:bCs/>
              <w:noProof/>
            </w:rPr>
            <w:fldChar w:fldCharType="end"/>
          </w:r>
        </w:p>
      </w:sdtContent>
    </w:sdt>
    <w:p w14:paraId="60599CD8" w14:textId="77777777" w:rsidR="001969DA" w:rsidRPr="001969DA" w:rsidRDefault="001969DA" w:rsidP="001969DA">
      <w:pPr>
        <w:spacing w:line="480" w:lineRule="auto"/>
        <w:jc w:val="center"/>
        <w:rPr>
          <w:rFonts w:cs="Times New Roman"/>
          <w:szCs w:val="24"/>
        </w:rPr>
      </w:pPr>
    </w:p>
    <w:p w14:paraId="3EC8D511" w14:textId="39A2CEA8" w:rsidR="009567A7" w:rsidRPr="001969DA" w:rsidRDefault="009567A7" w:rsidP="001969DA">
      <w:pPr>
        <w:spacing w:line="480" w:lineRule="auto"/>
        <w:rPr>
          <w:rFonts w:cs="Times New Roman"/>
          <w:szCs w:val="24"/>
        </w:rPr>
      </w:pPr>
      <w:r w:rsidRPr="001969DA">
        <w:rPr>
          <w:rFonts w:cs="Times New Roman"/>
          <w:szCs w:val="24"/>
        </w:rPr>
        <w:br w:type="page"/>
      </w:r>
    </w:p>
    <w:p w14:paraId="35DEE8EF" w14:textId="297D2155" w:rsidR="009567A7" w:rsidRPr="001969DA" w:rsidRDefault="00AB2DC3" w:rsidP="001969DA">
      <w:pPr>
        <w:pStyle w:val="Heading1"/>
        <w:spacing w:line="480" w:lineRule="auto"/>
        <w:rPr>
          <w:rFonts w:cs="Times New Roman"/>
          <w:szCs w:val="24"/>
        </w:rPr>
      </w:pPr>
      <w:bookmarkStart w:id="1" w:name="_Toc162118001"/>
      <w:r w:rsidRPr="001969DA">
        <w:rPr>
          <w:rFonts w:cs="Times New Roman"/>
          <w:szCs w:val="24"/>
        </w:rPr>
        <w:lastRenderedPageBreak/>
        <w:t>Introduction:</w:t>
      </w:r>
      <w:bookmarkEnd w:id="1"/>
    </w:p>
    <w:p w14:paraId="1D91FB6F" w14:textId="73AB0C01" w:rsidR="001A6617" w:rsidRPr="001969DA" w:rsidRDefault="001969DA" w:rsidP="001969DA">
      <w:pPr>
        <w:spacing w:line="480" w:lineRule="auto"/>
        <w:rPr>
          <w:rFonts w:cs="Times New Roman"/>
          <w:szCs w:val="24"/>
        </w:rPr>
      </w:pPr>
      <w:r>
        <w:rPr>
          <w:rFonts w:cs="Times New Roman"/>
          <w:szCs w:val="24"/>
        </w:rPr>
        <w:tab/>
      </w:r>
      <w:r w:rsidR="00F67BB3" w:rsidRPr="001969DA">
        <w:rPr>
          <w:rFonts w:cs="Times New Roman"/>
          <w:szCs w:val="24"/>
        </w:rPr>
        <w:t xml:space="preserve">The report is prepared to demonstrate critical evaluation of the different strategies adopted by the multinational corporations </w:t>
      </w:r>
      <w:r w:rsidR="00F81D6C" w:rsidRPr="001969DA">
        <w:rPr>
          <w:rFonts w:cs="Times New Roman"/>
          <w:szCs w:val="24"/>
        </w:rPr>
        <w:t xml:space="preserve">in managing their exposures to the </w:t>
      </w:r>
      <w:r w:rsidR="0022072D" w:rsidRPr="001969DA">
        <w:rPr>
          <w:rFonts w:cs="Times New Roman"/>
          <w:szCs w:val="24"/>
        </w:rPr>
        <w:t>foreign exchange risk.</w:t>
      </w:r>
      <w:r w:rsidR="00EF0197" w:rsidRPr="001969DA">
        <w:rPr>
          <w:rFonts w:cs="Times New Roman"/>
          <w:szCs w:val="24"/>
        </w:rPr>
        <w:t xml:space="preserve"> </w:t>
      </w:r>
      <w:r w:rsidR="00CD4EF9" w:rsidRPr="001969DA">
        <w:rPr>
          <w:rFonts w:cs="Times New Roman"/>
          <w:szCs w:val="24"/>
        </w:rPr>
        <w:t>F</w:t>
      </w:r>
      <w:r w:rsidR="00386045" w:rsidRPr="001969DA">
        <w:rPr>
          <w:rFonts w:cs="Times New Roman"/>
          <w:szCs w:val="24"/>
        </w:rPr>
        <w:t>or this purpose, extensive research is conducted</w:t>
      </w:r>
      <w:r w:rsidR="00CD4EF9" w:rsidRPr="001969DA">
        <w:rPr>
          <w:rFonts w:cs="Times New Roman"/>
          <w:szCs w:val="24"/>
        </w:rPr>
        <w:t xml:space="preserve"> by interrogating relevant literature review. </w:t>
      </w:r>
      <w:r w:rsidR="0015431D" w:rsidRPr="001969DA">
        <w:rPr>
          <w:rFonts w:cs="Times New Roman"/>
          <w:szCs w:val="24"/>
        </w:rPr>
        <w:t xml:space="preserve">The identified strategies are discussed </w:t>
      </w:r>
      <w:r w:rsidR="0024414F" w:rsidRPr="001969DA">
        <w:rPr>
          <w:rFonts w:cs="Times New Roman"/>
          <w:szCs w:val="24"/>
        </w:rPr>
        <w:t>by critically analysing the points</w:t>
      </w:r>
      <w:r w:rsidR="006C280F" w:rsidRPr="001969DA">
        <w:rPr>
          <w:rFonts w:cs="Times New Roman"/>
          <w:szCs w:val="24"/>
        </w:rPr>
        <w:t xml:space="preserve">, and supporting the claim </w:t>
      </w:r>
      <w:r w:rsidR="000210A7" w:rsidRPr="001969DA">
        <w:rPr>
          <w:rFonts w:cs="Times New Roman"/>
          <w:szCs w:val="24"/>
        </w:rPr>
        <w:t xml:space="preserve">by </w:t>
      </w:r>
      <w:r w:rsidR="00DD301A" w:rsidRPr="001969DA">
        <w:rPr>
          <w:rFonts w:cs="Times New Roman"/>
          <w:szCs w:val="24"/>
        </w:rPr>
        <w:t xml:space="preserve">gathering </w:t>
      </w:r>
      <w:r w:rsidR="000210A7" w:rsidRPr="001969DA">
        <w:rPr>
          <w:rFonts w:cs="Times New Roman"/>
          <w:szCs w:val="24"/>
        </w:rPr>
        <w:t>empirical evidence</w:t>
      </w:r>
      <w:r w:rsidR="00DD301A" w:rsidRPr="001969DA">
        <w:rPr>
          <w:rFonts w:cs="Times New Roman"/>
          <w:szCs w:val="24"/>
        </w:rPr>
        <w:t xml:space="preserve">. </w:t>
      </w:r>
      <w:r w:rsidR="0024414F" w:rsidRPr="001969DA">
        <w:rPr>
          <w:rFonts w:cs="Times New Roman"/>
          <w:szCs w:val="24"/>
        </w:rPr>
        <w:t xml:space="preserve"> </w:t>
      </w:r>
      <w:r w:rsidR="00CA20F2" w:rsidRPr="001969DA">
        <w:rPr>
          <w:rFonts w:cs="Times New Roman"/>
          <w:szCs w:val="24"/>
        </w:rPr>
        <w:t xml:space="preserve">Also, the insights into the foreign exchange risk </w:t>
      </w:r>
      <w:r w:rsidR="00E864DC" w:rsidRPr="001969DA">
        <w:rPr>
          <w:rFonts w:cs="Times New Roman"/>
          <w:szCs w:val="24"/>
        </w:rPr>
        <w:t>are</w:t>
      </w:r>
      <w:r w:rsidR="00CA20F2" w:rsidRPr="001969DA">
        <w:rPr>
          <w:rFonts w:cs="Times New Roman"/>
          <w:szCs w:val="24"/>
        </w:rPr>
        <w:t xml:space="preserve"> gained </w:t>
      </w:r>
      <w:r w:rsidR="00A6731F" w:rsidRPr="001969DA">
        <w:rPr>
          <w:rFonts w:cs="Times New Roman"/>
          <w:szCs w:val="24"/>
        </w:rPr>
        <w:t xml:space="preserve">by reviewing several journal papers and citing the real word examples of risk management. </w:t>
      </w:r>
    </w:p>
    <w:p w14:paraId="1B1B210A" w14:textId="77777777" w:rsidR="00462DF2" w:rsidRPr="001969DA" w:rsidRDefault="00AB2DC3" w:rsidP="001969DA">
      <w:pPr>
        <w:pStyle w:val="Heading1"/>
        <w:spacing w:line="480" w:lineRule="auto"/>
        <w:rPr>
          <w:rFonts w:cs="Times New Roman"/>
          <w:szCs w:val="24"/>
        </w:rPr>
      </w:pPr>
      <w:bookmarkStart w:id="2" w:name="_Toc162118002"/>
      <w:r w:rsidRPr="001969DA">
        <w:rPr>
          <w:rFonts w:cs="Times New Roman"/>
          <w:szCs w:val="24"/>
        </w:rPr>
        <w:t>Discussion:</w:t>
      </w:r>
      <w:bookmarkEnd w:id="2"/>
    </w:p>
    <w:p w14:paraId="0CA72A1B" w14:textId="0D092FBF" w:rsidR="00390245" w:rsidRPr="001969DA" w:rsidRDefault="0042505D" w:rsidP="001969DA">
      <w:pPr>
        <w:pStyle w:val="Heading1"/>
        <w:spacing w:line="480" w:lineRule="auto"/>
        <w:rPr>
          <w:rFonts w:cs="Times New Roman"/>
          <w:szCs w:val="24"/>
        </w:rPr>
      </w:pPr>
      <w:bookmarkStart w:id="3" w:name="_Toc162118003"/>
      <w:r w:rsidRPr="001969DA">
        <w:rPr>
          <w:rFonts w:cs="Times New Roman"/>
          <w:szCs w:val="24"/>
        </w:rPr>
        <w:t>Reviewing</w:t>
      </w:r>
      <w:r w:rsidR="00390245" w:rsidRPr="001969DA">
        <w:rPr>
          <w:rFonts w:cs="Times New Roman"/>
          <w:szCs w:val="24"/>
        </w:rPr>
        <w:t xml:space="preserve"> the literature on the stra</w:t>
      </w:r>
      <w:r w:rsidRPr="001969DA">
        <w:rPr>
          <w:rFonts w:cs="Times New Roman"/>
          <w:szCs w:val="24"/>
        </w:rPr>
        <w:t>tegies</w:t>
      </w:r>
      <w:r w:rsidR="00390245" w:rsidRPr="001969DA">
        <w:rPr>
          <w:rFonts w:cs="Times New Roman"/>
          <w:szCs w:val="24"/>
        </w:rPr>
        <w:t xml:space="preserve"> adopted by th</w:t>
      </w:r>
      <w:r w:rsidRPr="001969DA">
        <w:rPr>
          <w:rFonts w:cs="Times New Roman"/>
          <w:szCs w:val="24"/>
        </w:rPr>
        <w:t>e corporation in managing the exposure to foreign exchange risk:</w:t>
      </w:r>
      <w:bookmarkEnd w:id="3"/>
    </w:p>
    <w:p w14:paraId="24F7FB1D" w14:textId="5C5F0E49" w:rsidR="00A6731F" w:rsidRPr="001969DA" w:rsidRDefault="00D551F0" w:rsidP="001969DA">
      <w:pPr>
        <w:spacing w:line="480" w:lineRule="auto"/>
        <w:ind w:firstLine="720"/>
        <w:rPr>
          <w:rFonts w:cs="Times New Roman"/>
          <w:szCs w:val="24"/>
        </w:rPr>
      </w:pPr>
      <w:r w:rsidRPr="001969DA">
        <w:rPr>
          <w:rFonts w:cs="Times New Roman"/>
          <w:szCs w:val="24"/>
        </w:rPr>
        <w:t xml:space="preserve">Multinational corporation </w:t>
      </w:r>
      <w:r w:rsidR="00A367C8" w:rsidRPr="001969DA">
        <w:rPr>
          <w:rFonts w:cs="Times New Roman"/>
          <w:szCs w:val="24"/>
        </w:rPr>
        <w:t xml:space="preserve">(MNC) </w:t>
      </w:r>
      <w:r w:rsidRPr="001969DA">
        <w:rPr>
          <w:rFonts w:cs="Times New Roman"/>
          <w:szCs w:val="24"/>
        </w:rPr>
        <w:t xml:space="preserve">is the </w:t>
      </w:r>
      <w:r w:rsidR="00553DC9" w:rsidRPr="001969DA">
        <w:rPr>
          <w:rFonts w:cs="Times New Roman"/>
          <w:szCs w:val="24"/>
        </w:rPr>
        <w:t>cross-border</w:t>
      </w:r>
      <w:r w:rsidRPr="001969DA">
        <w:rPr>
          <w:rFonts w:cs="Times New Roman"/>
          <w:szCs w:val="24"/>
        </w:rPr>
        <w:t xml:space="preserve"> organization </w:t>
      </w:r>
      <w:r w:rsidR="00D05BD5" w:rsidRPr="001969DA">
        <w:rPr>
          <w:rFonts w:cs="Times New Roman"/>
          <w:szCs w:val="24"/>
        </w:rPr>
        <w:t xml:space="preserve">that establishes branches or subsidiaries in other countries through foreign direct investment. </w:t>
      </w:r>
      <w:r w:rsidR="00553DC9" w:rsidRPr="001969DA">
        <w:rPr>
          <w:rFonts w:cs="Times New Roman"/>
          <w:szCs w:val="24"/>
        </w:rPr>
        <w:t xml:space="preserve">Due to the foreign investment requirement, such corporations </w:t>
      </w:r>
      <w:r w:rsidR="00A367C8" w:rsidRPr="001969DA">
        <w:rPr>
          <w:rFonts w:cs="Times New Roman"/>
          <w:szCs w:val="24"/>
        </w:rPr>
        <w:t>must</w:t>
      </w:r>
      <w:r w:rsidR="000B7A18" w:rsidRPr="001969DA">
        <w:rPr>
          <w:rFonts w:cs="Times New Roman"/>
          <w:szCs w:val="24"/>
        </w:rPr>
        <w:t xml:space="preserve"> invest inevitably and they recover large amount of foreign exchange funds worldwide</w:t>
      </w:r>
      <w:r w:rsidR="0097153F" w:rsidRPr="001969DA">
        <w:rPr>
          <w:rFonts w:cs="Times New Roman"/>
          <w:szCs w:val="24"/>
        </w:rPr>
        <w:t xml:space="preserve">, pay and receive large amount of foreign exchange </w:t>
      </w:r>
      <w:r w:rsidR="00A367C8" w:rsidRPr="001969DA">
        <w:rPr>
          <w:rFonts w:cs="Times New Roman"/>
          <w:szCs w:val="24"/>
        </w:rPr>
        <w:t>and</w:t>
      </w:r>
      <w:r w:rsidR="00B04ADB" w:rsidRPr="001969DA">
        <w:rPr>
          <w:rFonts w:cs="Times New Roman"/>
          <w:szCs w:val="24"/>
        </w:rPr>
        <w:t xml:space="preserve"> have huge foreign exchange debt</w:t>
      </w:r>
      <w:r w:rsidR="00C430D0" w:rsidRPr="001969DA">
        <w:rPr>
          <w:rFonts w:cs="Times New Roman"/>
          <w:szCs w:val="24"/>
        </w:rPr>
        <w:t xml:space="preserve"> (Gaur </w:t>
      </w:r>
      <w:r w:rsidR="00C430D0" w:rsidRPr="001969DA">
        <w:rPr>
          <w:rFonts w:cs="Times New Roman"/>
          <w:i/>
          <w:iCs/>
          <w:szCs w:val="24"/>
        </w:rPr>
        <w:t>et al.</w:t>
      </w:r>
      <w:r w:rsidR="00604B9E">
        <w:rPr>
          <w:rFonts w:cs="Times New Roman"/>
          <w:i/>
          <w:iCs/>
          <w:szCs w:val="24"/>
        </w:rPr>
        <w:t>,</w:t>
      </w:r>
      <w:r w:rsidR="00C430D0" w:rsidRPr="001969DA">
        <w:rPr>
          <w:rFonts w:cs="Times New Roman"/>
          <w:i/>
          <w:iCs/>
          <w:szCs w:val="24"/>
        </w:rPr>
        <w:t xml:space="preserve"> </w:t>
      </w:r>
      <w:r w:rsidR="00C430D0" w:rsidRPr="001969DA">
        <w:rPr>
          <w:rFonts w:cs="Times New Roman"/>
          <w:szCs w:val="24"/>
        </w:rPr>
        <w:t>2019)</w:t>
      </w:r>
      <w:r w:rsidR="00B04ADB" w:rsidRPr="001969DA">
        <w:rPr>
          <w:rFonts w:cs="Times New Roman"/>
          <w:szCs w:val="24"/>
        </w:rPr>
        <w:t>.</w:t>
      </w:r>
      <w:r w:rsidR="00A367C8" w:rsidRPr="001969DA">
        <w:rPr>
          <w:rFonts w:cs="Times New Roman"/>
          <w:szCs w:val="24"/>
        </w:rPr>
        <w:t xml:space="preserve"> Hence, foreign exchange risks are crucial to the operation of the MNC. </w:t>
      </w:r>
      <w:r w:rsidR="00C841AB" w:rsidRPr="001969DA">
        <w:rPr>
          <w:rFonts w:cs="Times New Roman"/>
          <w:szCs w:val="24"/>
        </w:rPr>
        <w:t>In this aspect, it is required by the MNC to manage their</w:t>
      </w:r>
      <w:r w:rsidR="00145A0A" w:rsidRPr="001969DA">
        <w:rPr>
          <w:rFonts w:cs="Times New Roman"/>
          <w:szCs w:val="24"/>
        </w:rPr>
        <w:t xml:space="preserve"> risk</w:t>
      </w:r>
      <w:r w:rsidR="00C841AB" w:rsidRPr="001969DA">
        <w:rPr>
          <w:rFonts w:cs="Times New Roman"/>
          <w:szCs w:val="24"/>
        </w:rPr>
        <w:t xml:space="preserve"> exposure to the </w:t>
      </w:r>
      <w:r w:rsidR="009003F7" w:rsidRPr="001969DA">
        <w:rPr>
          <w:rFonts w:cs="Times New Roman"/>
          <w:szCs w:val="24"/>
        </w:rPr>
        <w:t>fluctuation</w:t>
      </w:r>
      <w:r w:rsidR="00C841AB" w:rsidRPr="001969DA">
        <w:rPr>
          <w:rFonts w:cs="Times New Roman"/>
          <w:szCs w:val="24"/>
        </w:rPr>
        <w:t xml:space="preserve"> of the </w:t>
      </w:r>
      <w:r w:rsidR="009003F7" w:rsidRPr="001969DA">
        <w:rPr>
          <w:rFonts w:cs="Times New Roman"/>
          <w:szCs w:val="24"/>
        </w:rPr>
        <w:t xml:space="preserve">foreign currencies. </w:t>
      </w:r>
    </w:p>
    <w:p w14:paraId="30756C07" w14:textId="55E6A365" w:rsidR="008B0E36" w:rsidRPr="001969DA" w:rsidRDefault="008B0E36" w:rsidP="001969DA">
      <w:pPr>
        <w:spacing w:line="480" w:lineRule="auto"/>
        <w:ind w:firstLine="720"/>
        <w:rPr>
          <w:rFonts w:cs="Times New Roman"/>
          <w:szCs w:val="24"/>
        </w:rPr>
      </w:pPr>
      <w:r w:rsidRPr="001969DA">
        <w:rPr>
          <w:rFonts w:cs="Times New Roman"/>
          <w:szCs w:val="24"/>
        </w:rPr>
        <w:t xml:space="preserve">Foreign exchange risk can be described as the risks </w:t>
      </w:r>
      <w:r w:rsidR="002B17B9" w:rsidRPr="001969DA">
        <w:rPr>
          <w:rFonts w:cs="Times New Roman"/>
          <w:szCs w:val="24"/>
        </w:rPr>
        <w:t>linked</w:t>
      </w:r>
      <w:r w:rsidRPr="001969DA">
        <w:rPr>
          <w:rFonts w:cs="Times New Roman"/>
          <w:szCs w:val="24"/>
        </w:rPr>
        <w:t xml:space="preserve"> </w:t>
      </w:r>
      <w:r w:rsidR="002B17B9" w:rsidRPr="001969DA">
        <w:rPr>
          <w:rFonts w:cs="Times New Roman"/>
          <w:szCs w:val="24"/>
        </w:rPr>
        <w:t>to</w:t>
      </w:r>
      <w:r w:rsidRPr="001969DA">
        <w:rPr>
          <w:rFonts w:cs="Times New Roman"/>
          <w:szCs w:val="24"/>
        </w:rPr>
        <w:t xml:space="preserve"> </w:t>
      </w:r>
      <w:r w:rsidR="002B17B9" w:rsidRPr="001969DA">
        <w:rPr>
          <w:rFonts w:cs="Times New Roman"/>
          <w:szCs w:val="24"/>
        </w:rPr>
        <w:t xml:space="preserve">any unexpected changes in the exchange rate of </w:t>
      </w:r>
      <w:r w:rsidR="002661A9" w:rsidRPr="001969DA">
        <w:rPr>
          <w:rFonts w:cs="Times New Roman"/>
          <w:szCs w:val="24"/>
        </w:rPr>
        <w:t>different currencies, and it turn impacts the liabilities and assets of the firm.</w:t>
      </w:r>
      <w:r w:rsidR="007F54B8" w:rsidRPr="001969DA">
        <w:rPr>
          <w:rFonts w:cs="Times New Roman"/>
          <w:szCs w:val="24"/>
        </w:rPr>
        <w:t xml:space="preserve"> The movement in the rate of exchange is uncertain and unpredictable</w:t>
      </w:r>
      <w:r w:rsidR="0078258A" w:rsidRPr="001969DA">
        <w:rPr>
          <w:rFonts w:cs="Times New Roman"/>
          <w:szCs w:val="24"/>
        </w:rPr>
        <w:t xml:space="preserve">. There are three types of exchange rate exposures faced by the MNCs which includes </w:t>
      </w:r>
      <w:r w:rsidR="00C92D6C" w:rsidRPr="001969DA">
        <w:rPr>
          <w:rFonts w:cs="Times New Roman"/>
          <w:szCs w:val="24"/>
        </w:rPr>
        <w:t xml:space="preserve">transaction exposure, translation exposure, and economic exposure. </w:t>
      </w:r>
      <w:r w:rsidR="00D01EE4" w:rsidRPr="001969DA">
        <w:rPr>
          <w:rFonts w:cs="Times New Roman"/>
          <w:szCs w:val="24"/>
        </w:rPr>
        <w:t xml:space="preserve">The organizational cash flow, </w:t>
      </w:r>
      <w:r w:rsidR="001772B4" w:rsidRPr="001969DA">
        <w:rPr>
          <w:rFonts w:cs="Times New Roman"/>
          <w:szCs w:val="24"/>
        </w:rPr>
        <w:t>profitability,</w:t>
      </w:r>
      <w:r w:rsidR="00D01EE4" w:rsidRPr="001969DA">
        <w:rPr>
          <w:rFonts w:cs="Times New Roman"/>
          <w:szCs w:val="24"/>
        </w:rPr>
        <w:t xml:space="preserve"> and </w:t>
      </w:r>
      <w:r w:rsidR="006218C8" w:rsidRPr="001969DA">
        <w:rPr>
          <w:rFonts w:cs="Times New Roman"/>
          <w:szCs w:val="24"/>
        </w:rPr>
        <w:t>the company’s ability to competitively priced its product is significantly affected by the foreign exchange risk</w:t>
      </w:r>
      <w:r w:rsidR="00A951D3" w:rsidRPr="001969DA">
        <w:rPr>
          <w:rFonts w:cs="Times New Roman"/>
          <w:szCs w:val="24"/>
        </w:rPr>
        <w:t xml:space="preserve"> (Hecht and </w:t>
      </w:r>
      <w:proofErr w:type="spellStart"/>
      <w:r w:rsidR="00A951D3" w:rsidRPr="001969DA">
        <w:rPr>
          <w:rFonts w:cs="Times New Roman"/>
          <w:szCs w:val="24"/>
        </w:rPr>
        <w:t>Lampenius</w:t>
      </w:r>
      <w:proofErr w:type="spellEnd"/>
      <w:r w:rsidR="00604B9E">
        <w:rPr>
          <w:rFonts w:cs="Times New Roman"/>
          <w:szCs w:val="24"/>
        </w:rPr>
        <w:t xml:space="preserve">, </w:t>
      </w:r>
      <w:r w:rsidR="00A951D3" w:rsidRPr="001969DA">
        <w:rPr>
          <w:rFonts w:cs="Times New Roman"/>
          <w:szCs w:val="24"/>
        </w:rPr>
        <w:t>2023)</w:t>
      </w:r>
      <w:r w:rsidR="006218C8" w:rsidRPr="001969DA">
        <w:rPr>
          <w:rFonts w:cs="Times New Roman"/>
          <w:szCs w:val="24"/>
        </w:rPr>
        <w:t xml:space="preserve">. </w:t>
      </w:r>
    </w:p>
    <w:p w14:paraId="19CD54DF" w14:textId="71E6A520" w:rsidR="009D78BF" w:rsidRPr="001969DA" w:rsidRDefault="009D78BF" w:rsidP="001969DA">
      <w:pPr>
        <w:spacing w:line="480" w:lineRule="auto"/>
        <w:ind w:firstLine="720"/>
        <w:rPr>
          <w:rFonts w:cs="Times New Roman"/>
          <w:szCs w:val="24"/>
        </w:rPr>
      </w:pPr>
      <w:r w:rsidRPr="001969DA">
        <w:rPr>
          <w:rFonts w:cs="Times New Roman"/>
          <w:szCs w:val="24"/>
        </w:rPr>
        <w:lastRenderedPageBreak/>
        <w:t xml:space="preserve">The exposure to foreign exchange risk is managed by the implementation of </w:t>
      </w:r>
      <w:r w:rsidR="00C60AF4" w:rsidRPr="001969DA">
        <w:rPr>
          <w:rFonts w:cs="Times New Roman"/>
          <w:szCs w:val="24"/>
        </w:rPr>
        <w:t xml:space="preserve">financial hedging and </w:t>
      </w:r>
      <w:r w:rsidRPr="001969DA">
        <w:rPr>
          <w:rFonts w:cs="Times New Roman"/>
          <w:szCs w:val="24"/>
        </w:rPr>
        <w:t>multiple sourc</w:t>
      </w:r>
      <w:r w:rsidR="00C60AF4" w:rsidRPr="001969DA">
        <w:rPr>
          <w:rFonts w:cs="Times New Roman"/>
          <w:szCs w:val="24"/>
        </w:rPr>
        <w:t xml:space="preserve">ing strategies. </w:t>
      </w:r>
      <w:r w:rsidR="002A648E" w:rsidRPr="001969DA">
        <w:rPr>
          <w:rFonts w:cs="Times New Roman"/>
          <w:szCs w:val="24"/>
        </w:rPr>
        <w:t xml:space="preserve">Substantial evidences </w:t>
      </w:r>
      <w:r w:rsidR="005A70A8" w:rsidRPr="001969DA">
        <w:rPr>
          <w:rFonts w:cs="Times New Roman"/>
          <w:szCs w:val="24"/>
        </w:rPr>
        <w:t>are</w:t>
      </w:r>
      <w:r w:rsidR="000271FD" w:rsidRPr="001969DA">
        <w:rPr>
          <w:rFonts w:cs="Times New Roman"/>
          <w:szCs w:val="24"/>
        </w:rPr>
        <w:t xml:space="preserve"> provided by the literature </w:t>
      </w:r>
      <w:r w:rsidR="005F1DF7" w:rsidRPr="001969DA">
        <w:rPr>
          <w:rFonts w:cs="Times New Roman"/>
          <w:szCs w:val="24"/>
        </w:rPr>
        <w:t xml:space="preserve">on the derivative instruments of foreign exchange </w:t>
      </w:r>
      <w:r w:rsidR="00BD3B80" w:rsidRPr="001969DA">
        <w:rPr>
          <w:rFonts w:cs="Times New Roman"/>
          <w:szCs w:val="24"/>
        </w:rPr>
        <w:t xml:space="preserve">for managing the risk exposure either related to </w:t>
      </w:r>
      <w:r w:rsidR="005E15E0" w:rsidRPr="001969DA">
        <w:rPr>
          <w:rFonts w:cs="Times New Roman"/>
          <w:szCs w:val="24"/>
        </w:rPr>
        <w:t xml:space="preserve">the structure of risk management program of foreign </w:t>
      </w:r>
      <w:r w:rsidR="00293FFE" w:rsidRPr="001969DA">
        <w:rPr>
          <w:rFonts w:cs="Times New Roman"/>
          <w:szCs w:val="24"/>
        </w:rPr>
        <w:t>exchange, and derivate hedging strategies</w:t>
      </w:r>
      <w:r w:rsidR="00C430D0" w:rsidRPr="001969DA">
        <w:rPr>
          <w:rFonts w:cs="Times New Roman"/>
          <w:szCs w:val="24"/>
        </w:rPr>
        <w:t xml:space="preserve"> (</w:t>
      </w:r>
      <w:proofErr w:type="spellStart"/>
      <w:r w:rsidR="00C430D0" w:rsidRPr="001969DA">
        <w:rPr>
          <w:rFonts w:cs="Times New Roman"/>
          <w:szCs w:val="24"/>
        </w:rPr>
        <w:t>Jebran</w:t>
      </w:r>
      <w:proofErr w:type="spellEnd"/>
      <w:r w:rsidR="00C430D0" w:rsidRPr="001969DA">
        <w:rPr>
          <w:rFonts w:cs="Times New Roman"/>
          <w:szCs w:val="24"/>
        </w:rPr>
        <w:t xml:space="preserve"> and Iqbal</w:t>
      </w:r>
      <w:r w:rsidR="00033EF5">
        <w:rPr>
          <w:rFonts w:cs="Times New Roman"/>
          <w:szCs w:val="24"/>
        </w:rPr>
        <w:t>,</w:t>
      </w:r>
      <w:r w:rsidR="00C430D0" w:rsidRPr="001969DA">
        <w:rPr>
          <w:rFonts w:cs="Times New Roman"/>
          <w:szCs w:val="24"/>
        </w:rPr>
        <w:t xml:space="preserve"> 2016)</w:t>
      </w:r>
      <w:r w:rsidR="00293FFE" w:rsidRPr="001969DA">
        <w:rPr>
          <w:rFonts w:cs="Times New Roman"/>
          <w:szCs w:val="24"/>
        </w:rPr>
        <w:t xml:space="preserve">. </w:t>
      </w:r>
      <w:r w:rsidR="009B08AD" w:rsidRPr="001969DA">
        <w:rPr>
          <w:rFonts w:cs="Times New Roman"/>
          <w:szCs w:val="24"/>
        </w:rPr>
        <w:t xml:space="preserve">Further, it is illustrated by a study that </w:t>
      </w:r>
      <w:r w:rsidR="005A70A8" w:rsidRPr="001969DA">
        <w:rPr>
          <w:rFonts w:cs="Times New Roman"/>
          <w:szCs w:val="24"/>
        </w:rPr>
        <w:t xml:space="preserve">risk reduction resulting from future movements in the market variables </w:t>
      </w:r>
      <w:r w:rsidR="007E429B" w:rsidRPr="001969DA">
        <w:rPr>
          <w:rFonts w:cs="Times New Roman"/>
          <w:szCs w:val="24"/>
        </w:rPr>
        <w:t xml:space="preserve">is the objective of risk management or hedging. </w:t>
      </w:r>
    </w:p>
    <w:p w14:paraId="717D73D1" w14:textId="35C55D21" w:rsidR="001772B4" w:rsidRPr="001969DA" w:rsidRDefault="00471C61" w:rsidP="001969DA">
      <w:pPr>
        <w:spacing w:line="480" w:lineRule="auto"/>
        <w:ind w:firstLine="720"/>
        <w:rPr>
          <w:rFonts w:cs="Times New Roman"/>
          <w:szCs w:val="24"/>
        </w:rPr>
      </w:pPr>
      <w:r w:rsidRPr="001969DA">
        <w:rPr>
          <w:rFonts w:cs="Times New Roman"/>
          <w:szCs w:val="24"/>
        </w:rPr>
        <w:t xml:space="preserve">Several ways of minimizing the </w:t>
      </w:r>
      <w:r w:rsidR="00A41D0C" w:rsidRPr="001969DA">
        <w:rPr>
          <w:rFonts w:cs="Times New Roman"/>
          <w:szCs w:val="24"/>
        </w:rPr>
        <w:t>transaction</w:t>
      </w:r>
      <w:r w:rsidRPr="001969DA">
        <w:rPr>
          <w:rFonts w:cs="Times New Roman"/>
          <w:szCs w:val="24"/>
        </w:rPr>
        <w:t xml:space="preserve"> risks related to the foreign exchange </w:t>
      </w:r>
      <w:r w:rsidR="00A41D0C" w:rsidRPr="001969DA">
        <w:rPr>
          <w:rFonts w:cs="Times New Roman"/>
          <w:szCs w:val="24"/>
        </w:rPr>
        <w:t xml:space="preserve">have been created </w:t>
      </w:r>
      <w:r w:rsidR="00906525" w:rsidRPr="001969DA">
        <w:rPr>
          <w:rFonts w:cs="Times New Roman"/>
          <w:szCs w:val="24"/>
        </w:rPr>
        <w:t xml:space="preserve">through the trade development and market. </w:t>
      </w:r>
      <w:r w:rsidR="00F22513" w:rsidRPr="001969DA">
        <w:rPr>
          <w:rFonts w:cs="Times New Roman"/>
          <w:szCs w:val="24"/>
        </w:rPr>
        <w:t xml:space="preserve">Internal hedging technique and instrument </w:t>
      </w:r>
      <w:r w:rsidR="003A5C7F" w:rsidRPr="001969DA">
        <w:rPr>
          <w:rFonts w:cs="Times New Roman"/>
          <w:szCs w:val="24"/>
        </w:rPr>
        <w:t xml:space="preserve">refers to the strategy that </w:t>
      </w:r>
      <w:r w:rsidR="00E7189C" w:rsidRPr="001969DA">
        <w:rPr>
          <w:rFonts w:cs="Times New Roman"/>
          <w:szCs w:val="24"/>
        </w:rPr>
        <w:t xml:space="preserve">is about exploiting the opportunities that cancel out </w:t>
      </w:r>
      <w:r w:rsidR="00B165D2" w:rsidRPr="001969DA">
        <w:rPr>
          <w:rFonts w:cs="Times New Roman"/>
          <w:szCs w:val="24"/>
        </w:rPr>
        <w:t xml:space="preserve">open account exposure to several currencies without </w:t>
      </w:r>
      <w:r w:rsidR="00597D76" w:rsidRPr="001969DA">
        <w:rPr>
          <w:rFonts w:cs="Times New Roman"/>
          <w:szCs w:val="24"/>
        </w:rPr>
        <w:t xml:space="preserve">the involvement of financial market or financial intermediaries. </w:t>
      </w:r>
      <w:r w:rsidR="00D75F7F" w:rsidRPr="001969DA">
        <w:rPr>
          <w:rFonts w:cs="Times New Roman"/>
          <w:szCs w:val="24"/>
        </w:rPr>
        <w:t>MNC mainly carries out the internal hedging strategy to hedge their exposure to the uncertain or adverse movement of the foreign currencies</w:t>
      </w:r>
      <w:r w:rsidR="00513A3D" w:rsidRPr="001969DA">
        <w:rPr>
          <w:rFonts w:cs="Times New Roman"/>
          <w:szCs w:val="24"/>
        </w:rPr>
        <w:t xml:space="preserve"> (Shapiro and </w:t>
      </w:r>
      <w:proofErr w:type="spellStart"/>
      <w:r w:rsidR="00513A3D" w:rsidRPr="001969DA">
        <w:rPr>
          <w:rFonts w:cs="Times New Roman"/>
          <w:szCs w:val="24"/>
        </w:rPr>
        <w:t>Hanouna</w:t>
      </w:r>
      <w:proofErr w:type="spellEnd"/>
      <w:r w:rsidR="00033EF5">
        <w:rPr>
          <w:rFonts w:cs="Times New Roman"/>
          <w:szCs w:val="24"/>
        </w:rPr>
        <w:t xml:space="preserve">, </w:t>
      </w:r>
      <w:r w:rsidR="00513A3D" w:rsidRPr="001969DA">
        <w:rPr>
          <w:rFonts w:cs="Times New Roman"/>
          <w:szCs w:val="24"/>
        </w:rPr>
        <w:t>2019)</w:t>
      </w:r>
      <w:r w:rsidR="00D75F7F" w:rsidRPr="001969DA">
        <w:rPr>
          <w:rFonts w:cs="Times New Roman"/>
          <w:szCs w:val="24"/>
        </w:rPr>
        <w:t xml:space="preserve">. </w:t>
      </w:r>
      <w:r w:rsidR="009A405D" w:rsidRPr="001969DA">
        <w:rPr>
          <w:rFonts w:cs="Times New Roman"/>
          <w:szCs w:val="24"/>
        </w:rPr>
        <w:t xml:space="preserve">It is found by a study that </w:t>
      </w:r>
      <w:r w:rsidR="00263ED1" w:rsidRPr="001969DA">
        <w:rPr>
          <w:rFonts w:cs="Times New Roman"/>
          <w:szCs w:val="24"/>
        </w:rPr>
        <w:t>the operations of internal hedging are centralized in the treasury department</w:t>
      </w:r>
      <w:r w:rsidR="00A133FD" w:rsidRPr="001969DA">
        <w:rPr>
          <w:rFonts w:cs="Times New Roman"/>
          <w:szCs w:val="24"/>
        </w:rPr>
        <w:t xml:space="preserve">, where any </w:t>
      </w:r>
      <w:r w:rsidR="00F208E3" w:rsidRPr="001969DA">
        <w:rPr>
          <w:rFonts w:cs="Times New Roman"/>
          <w:szCs w:val="24"/>
        </w:rPr>
        <w:t>hedging</w:t>
      </w:r>
      <w:r w:rsidR="00B565B3" w:rsidRPr="001969DA">
        <w:rPr>
          <w:rFonts w:cs="Times New Roman"/>
          <w:szCs w:val="24"/>
        </w:rPr>
        <w:t xml:space="preserve"> operations are </w:t>
      </w:r>
      <w:r w:rsidR="001228F0" w:rsidRPr="001969DA">
        <w:rPr>
          <w:rFonts w:cs="Times New Roman"/>
          <w:szCs w:val="24"/>
        </w:rPr>
        <w:t xml:space="preserve">negotiated by the individual subsidiaries. </w:t>
      </w:r>
      <w:r w:rsidR="00F208E3" w:rsidRPr="001969DA">
        <w:rPr>
          <w:rFonts w:cs="Times New Roman"/>
          <w:szCs w:val="24"/>
        </w:rPr>
        <w:t xml:space="preserve">Although there are several methods of internal hedging such as </w:t>
      </w:r>
      <w:r w:rsidR="00FB0903" w:rsidRPr="001969DA">
        <w:rPr>
          <w:rFonts w:cs="Times New Roman"/>
          <w:szCs w:val="24"/>
        </w:rPr>
        <w:t>matching, pricing policy, invoicing, leading and lagging.</w:t>
      </w:r>
    </w:p>
    <w:p w14:paraId="4675D90E" w14:textId="09B75007" w:rsidR="007D3D30" w:rsidRPr="001969DA" w:rsidRDefault="007D3D30" w:rsidP="001969DA">
      <w:pPr>
        <w:spacing w:line="480" w:lineRule="auto"/>
        <w:ind w:firstLine="720"/>
        <w:rPr>
          <w:rFonts w:cs="Times New Roman"/>
          <w:szCs w:val="24"/>
        </w:rPr>
      </w:pPr>
      <w:r w:rsidRPr="001969DA">
        <w:rPr>
          <w:rFonts w:cs="Times New Roman"/>
          <w:szCs w:val="24"/>
        </w:rPr>
        <w:t xml:space="preserve">The literature also cites external hedging strategies as the technique to minimize the exposure to the foreign exchange risk. </w:t>
      </w:r>
      <w:r w:rsidR="00B6782F" w:rsidRPr="001969DA">
        <w:rPr>
          <w:rFonts w:cs="Times New Roman"/>
          <w:szCs w:val="24"/>
        </w:rPr>
        <w:t xml:space="preserve">external hedging is defined as the procedure of </w:t>
      </w:r>
      <w:r w:rsidR="00EE3DA8" w:rsidRPr="001969DA">
        <w:rPr>
          <w:rFonts w:cs="Times New Roman"/>
          <w:szCs w:val="24"/>
        </w:rPr>
        <w:t xml:space="preserve">accessing the financial markets to minimize the transaction exposure </w:t>
      </w:r>
      <w:r w:rsidR="009B0BC6" w:rsidRPr="001969DA">
        <w:rPr>
          <w:rFonts w:cs="Times New Roman"/>
          <w:szCs w:val="24"/>
        </w:rPr>
        <w:t xml:space="preserve">without or with the </w:t>
      </w:r>
      <w:r w:rsidR="0042256B" w:rsidRPr="001969DA">
        <w:rPr>
          <w:rFonts w:cs="Times New Roman"/>
          <w:szCs w:val="24"/>
        </w:rPr>
        <w:t>contract</w:t>
      </w:r>
      <w:r w:rsidR="009B0BC6" w:rsidRPr="001969DA">
        <w:rPr>
          <w:rFonts w:cs="Times New Roman"/>
          <w:szCs w:val="24"/>
        </w:rPr>
        <w:t xml:space="preserve"> of financial inter</w:t>
      </w:r>
      <w:r w:rsidR="0042256B" w:rsidRPr="001969DA">
        <w:rPr>
          <w:rFonts w:cs="Times New Roman"/>
          <w:szCs w:val="24"/>
        </w:rPr>
        <w:t xml:space="preserve">mediary. The treasury of the company decides </w:t>
      </w:r>
      <w:r w:rsidR="001F7E8D" w:rsidRPr="001969DA">
        <w:rPr>
          <w:rFonts w:cs="Times New Roman"/>
          <w:szCs w:val="24"/>
        </w:rPr>
        <w:t xml:space="preserve">on using the financial instruments, when </w:t>
      </w:r>
      <w:r w:rsidR="00325DF7" w:rsidRPr="001969DA">
        <w:rPr>
          <w:rFonts w:cs="Times New Roman"/>
          <w:szCs w:val="24"/>
        </w:rPr>
        <w:t>offsetting</w:t>
      </w:r>
      <w:r w:rsidR="001F7E8D" w:rsidRPr="001969DA">
        <w:rPr>
          <w:rFonts w:cs="Times New Roman"/>
          <w:szCs w:val="24"/>
        </w:rPr>
        <w:t xml:space="preserve"> the transaction exposure internally</w:t>
      </w:r>
      <w:r w:rsidR="00325DF7" w:rsidRPr="001969DA">
        <w:rPr>
          <w:rFonts w:cs="Times New Roman"/>
          <w:szCs w:val="24"/>
        </w:rPr>
        <w:t xml:space="preserve"> cannot be done on the satisfactorily level</w:t>
      </w:r>
      <w:r w:rsidR="00803A09" w:rsidRPr="001969DA">
        <w:rPr>
          <w:rFonts w:cs="Times New Roman"/>
          <w:szCs w:val="24"/>
        </w:rPr>
        <w:t xml:space="preserve"> (Butler</w:t>
      </w:r>
      <w:r w:rsidR="00033EF5">
        <w:rPr>
          <w:rFonts w:cs="Times New Roman"/>
          <w:szCs w:val="24"/>
        </w:rPr>
        <w:t xml:space="preserve">, </w:t>
      </w:r>
      <w:r w:rsidR="00803A09" w:rsidRPr="001969DA">
        <w:rPr>
          <w:rFonts w:cs="Times New Roman"/>
          <w:szCs w:val="24"/>
        </w:rPr>
        <w:t>2016)</w:t>
      </w:r>
      <w:r w:rsidR="00325DF7" w:rsidRPr="001969DA">
        <w:rPr>
          <w:rFonts w:cs="Times New Roman"/>
          <w:szCs w:val="24"/>
        </w:rPr>
        <w:t xml:space="preserve">. </w:t>
      </w:r>
      <w:r w:rsidR="002B6ECE" w:rsidRPr="001969DA">
        <w:rPr>
          <w:rFonts w:cs="Times New Roman"/>
          <w:szCs w:val="24"/>
        </w:rPr>
        <w:t xml:space="preserve">Hence, MNCs favour the financial market </w:t>
      </w:r>
      <w:r w:rsidR="00206B10" w:rsidRPr="001969DA">
        <w:rPr>
          <w:rFonts w:cs="Times New Roman"/>
          <w:szCs w:val="24"/>
        </w:rPr>
        <w:t xml:space="preserve">for hedging or minimizing the transaction exposure. </w:t>
      </w:r>
      <w:r w:rsidR="00954CBF" w:rsidRPr="001969DA">
        <w:rPr>
          <w:rFonts w:cs="Times New Roman"/>
          <w:szCs w:val="24"/>
        </w:rPr>
        <w:t>The alternatives of external hedging can be categorized into</w:t>
      </w:r>
      <w:r w:rsidR="00F612FE" w:rsidRPr="001969DA">
        <w:rPr>
          <w:rFonts w:cs="Times New Roman"/>
          <w:szCs w:val="24"/>
        </w:rPr>
        <w:t xml:space="preserve"> numerous</w:t>
      </w:r>
      <w:r w:rsidR="00954CBF" w:rsidRPr="001969DA">
        <w:rPr>
          <w:rFonts w:cs="Times New Roman"/>
          <w:szCs w:val="24"/>
        </w:rPr>
        <w:t xml:space="preserve"> </w:t>
      </w:r>
      <w:r w:rsidR="00F612FE" w:rsidRPr="001969DA">
        <w:rPr>
          <w:rFonts w:cs="Times New Roman"/>
          <w:szCs w:val="24"/>
        </w:rPr>
        <w:t xml:space="preserve">ways that can be categorized as </w:t>
      </w:r>
      <w:r w:rsidR="00D728E9" w:rsidRPr="001969DA">
        <w:rPr>
          <w:rFonts w:cs="Times New Roman"/>
          <w:szCs w:val="24"/>
        </w:rPr>
        <w:t>non-derivatives</w:t>
      </w:r>
      <w:r w:rsidR="00F612FE" w:rsidRPr="001969DA">
        <w:rPr>
          <w:rFonts w:cs="Times New Roman"/>
          <w:szCs w:val="24"/>
        </w:rPr>
        <w:t xml:space="preserve"> and derivatives </w:t>
      </w:r>
      <w:r w:rsidR="00D728E9" w:rsidRPr="001969DA">
        <w:rPr>
          <w:rFonts w:cs="Times New Roman"/>
          <w:szCs w:val="24"/>
        </w:rPr>
        <w:t>hedging</w:t>
      </w:r>
      <w:r w:rsidR="00C430D0" w:rsidRPr="001969DA">
        <w:rPr>
          <w:rFonts w:cs="Times New Roman"/>
          <w:szCs w:val="24"/>
        </w:rPr>
        <w:t xml:space="preserve"> (</w:t>
      </w:r>
      <w:proofErr w:type="spellStart"/>
      <w:r w:rsidR="00C430D0" w:rsidRPr="001969DA">
        <w:rPr>
          <w:rFonts w:cs="Times New Roman"/>
          <w:szCs w:val="24"/>
        </w:rPr>
        <w:t>Belderbos</w:t>
      </w:r>
      <w:proofErr w:type="spellEnd"/>
      <w:r w:rsidR="00C430D0" w:rsidRPr="001969DA">
        <w:rPr>
          <w:rFonts w:cs="Times New Roman"/>
          <w:szCs w:val="24"/>
        </w:rPr>
        <w:t xml:space="preserve"> </w:t>
      </w:r>
      <w:r w:rsidR="00C430D0" w:rsidRPr="001969DA">
        <w:rPr>
          <w:rFonts w:cs="Times New Roman"/>
          <w:i/>
          <w:iCs/>
          <w:szCs w:val="24"/>
        </w:rPr>
        <w:t>et al</w:t>
      </w:r>
      <w:r w:rsidR="00033EF5">
        <w:rPr>
          <w:rFonts w:cs="Times New Roman"/>
          <w:i/>
          <w:iCs/>
          <w:szCs w:val="24"/>
        </w:rPr>
        <w:t xml:space="preserve">., </w:t>
      </w:r>
      <w:r w:rsidR="00C430D0" w:rsidRPr="001969DA">
        <w:rPr>
          <w:rFonts w:cs="Times New Roman"/>
          <w:szCs w:val="24"/>
        </w:rPr>
        <w:t xml:space="preserve"> 2014)</w:t>
      </w:r>
      <w:r w:rsidR="00D728E9" w:rsidRPr="001969DA">
        <w:rPr>
          <w:rFonts w:cs="Times New Roman"/>
          <w:szCs w:val="24"/>
        </w:rPr>
        <w:t xml:space="preserve">. </w:t>
      </w:r>
    </w:p>
    <w:p w14:paraId="0EB18854" w14:textId="40509B68" w:rsidR="00AD5043" w:rsidRPr="001969DA" w:rsidRDefault="00D728E9" w:rsidP="001969DA">
      <w:pPr>
        <w:spacing w:line="480" w:lineRule="auto"/>
        <w:ind w:firstLine="720"/>
        <w:rPr>
          <w:rFonts w:cs="Times New Roman"/>
          <w:szCs w:val="24"/>
        </w:rPr>
      </w:pPr>
      <w:r w:rsidRPr="001969DA">
        <w:rPr>
          <w:rFonts w:cs="Times New Roman"/>
          <w:szCs w:val="24"/>
        </w:rPr>
        <w:lastRenderedPageBreak/>
        <w:t>Derivatives market-</w:t>
      </w:r>
      <w:r w:rsidR="00BF0996" w:rsidRPr="001969DA">
        <w:rPr>
          <w:rFonts w:cs="Times New Roman"/>
          <w:szCs w:val="24"/>
        </w:rPr>
        <w:t xml:space="preserve">Derivatives are used by MNC </w:t>
      </w:r>
      <w:r w:rsidR="00B627A6" w:rsidRPr="001969DA">
        <w:rPr>
          <w:rFonts w:cs="Times New Roman"/>
          <w:szCs w:val="24"/>
        </w:rPr>
        <w:t xml:space="preserve">to reduce the foreign exchange risk by involving either in </w:t>
      </w:r>
      <w:r w:rsidR="00780A2E" w:rsidRPr="001969DA">
        <w:rPr>
          <w:rFonts w:cs="Times New Roman"/>
          <w:szCs w:val="24"/>
        </w:rPr>
        <w:t>operational hedging or currency hedging</w:t>
      </w:r>
      <w:r w:rsidR="00604211" w:rsidRPr="001969DA">
        <w:rPr>
          <w:rFonts w:cs="Times New Roman"/>
          <w:szCs w:val="24"/>
        </w:rPr>
        <w:t>.</w:t>
      </w:r>
      <w:r w:rsidR="00930FD9" w:rsidRPr="001969DA">
        <w:rPr>
          <w:rFonts w:cs="Times New Roman"/>
          <w:szCs w:val="24"/>
        </w:rPr>
        <w:t xml:space="preserve"> </w:t>
      </w:r>
      <w:r w:rsidR="00AD5043" w:rsidRPr="001969DA">
        <w:rPr>
          <w:rFonts w:cs="Times New Roman"/>
          <w:szCs w:val="24"/>
        </w:rPr>
        <w:t xml:space="preserve">It is found thar using the foreign currency derivatives impacts the firm’s value </w:t>
      </w:r>
      <w:r w:rsidR="00ED7C77" w:rsidRPr="001969DA">
        <w:rPr>
          <w:rFonts w:cs="Times New Roman"/>
          <w:szCs w:val="24"/>
        </w:rPr>
        <w:t>owing to the reduction</w:t>
      </w:r>
      <w:r w:rsidR="00246F03" w:rsidRPr="001969DA">
        <w:rPr>
          <w:rFonts w:cs="Times New Roman"/>
          <w:szCs w:val="24"/>
        </w:rPr>
        <w:t xml:space="preserve"> of expenses, </w:t>
      </w:r>
      <w:r w:rsidR="002026F0" w:rsidRPr="001969DA">
        <w:rPr>
          <w:rFonts w:cs="Times New Roman"/>
          <w:szCs w:val="24"/>
        </w:rPr>
        <w:t>revenue,</w:t>
      </w:r>
      <w:r w:rsidR="00246F03" w:rsidRPr="001969DA">
        <w:rPr>
          <w:rFonts w:cs="Times New Roman"/>
          <w:szCs w:val="24"/>
        </w:rPr>
        <w:t xml:space="preserve"> and cash flow fluctuations. </w:t>
      </w:r>
      <w:r w:rsidR="002026F0" w:rsidRPr="001969DA">
        <w:rPr>
          <w:rFonts w:cs="Times New Roman"/>
          <w:szCs w:val="24"/>
        </w:rPr>
        <w:t xml:space="preserve">It is found by the study the study that </w:t>
      </w:r>
      <w:r w:rsidR="009467EF" w:rsidRPr="001969DA">
        <w:rPr>
          <w:rFonts w:cs="Times New Roman"/>
          <w:szCs w:val="24"/>
        </w:rPr>
        <w:t>the use of foreign currency derivatives is likely to impact the firm value</w:t>
      </w:r>
      <w:r w:rsidR="00930FD9" w:rsidRPr="001969DA">
        <w:rPr>
          <w:rFonts w:cs="Times New Roman"/>
          <w:szCs w:val="24"/>
        </w:rPr>
        <w:t xml:space="preserve">, and hence derivatives contract </w:t>
      </w:r>
      <w:r w:rsidR="00091700" w:rsidRPr="001969DA">
        <w:rPr>
          <w:rFonts w:cs="Times New Roman"/>
          <w:szCs w:val="24"/>
        </w:rPr>
        <w:t>is</w:t>
      </w:r>
      <w:r w:rsidR="00930FD9" w:rsidRPr="001969DA">
        <w:rPr>
          <w:rFonts w:cs="Times New Roman"/>
          <w:szCs w:val="24"/>
        </w:rPr>
        <w:t xml:space="preserve"> used by MNCs to deal with the foreign currency risks. </w:t>
      </w:r>
      <w:r w:rsidR="00780A2E" w:rsidRPr="001969DA">
        <w:rPr>
          <w:rFonts w:cs="Times New Roman"/>
          <w:szCs w:val="24"/>
        </w:rPr>
        <w:t xml:space="preserve">  Other study found that the use of complicated derivatives does not bring any considerable benefits, and consequently, the firms resort to mor simpler instruments. The financial managers in certain situation finds it dispensable to authorize the use of some financial instruments to hedge the transactional exposed risk is limited. The limitation on the use of financial instruments is of the low level or limited given the diversity and nature of operating activities</w:t>
      </w:r>
      <w:r w:rsidR="00715AE6" w:rsidRPr="001969DA">
        <w:rPr>
          <w:rFonts w:cs="Times New Roman"/>
          <w:szCs w:val="24"/>
        </w:rPr>
        <w:t xml:space="preserve"> (Raghu</w:t>
      </w:r>
      <w:r w:rsidR="00540C35" w:rsidRPr="001969DA">
        <w:rPr>
          <w:rFonts w:cs="Times New Roman"/>
          <w:szCs w:val="24"/>
        </w:rPr>
        <w:t xml:space="preserve"> </w:t>
      </w:r>
      <w:r w:rsidR="00715AE6" w:rsidRPr="001969DA">
        <w:rPr>
          <w:rFonts w:cs="Times New Roman"/>
          <w:szCs w:val="24"/>
        </w:rPr>
        <w:t xml:space="preserve">and </w:t>
      </w:r>
      <w:proofErr w:type="spellStart"/>
      <w:r w:rsidR="00715AE6" w:rsidRPr="001969DA">
        <w:rPr>
          <w:rFonts w:cs="Times New Roman"/>
          <w:szCs w:val="24"/>
        </w:rPr>
        <w:t>Palaniappan</w:t>
      </w:r>
      <w:proofErr w:type="spellEnd"/>
      <w:r w:rsidR="00D8160E">
        <w:rPr>
          <w:rFonts w:cs="Times New Roman"/>
          <w:szCs w:val="24"/>
        </w:rPr>
        <w:t>,</w:t>
      </w:r>
      <w:r w:rsidR="00715AE6" w:rsidRPr="001969DA">
        <w:rPr>
          <w:rFonts w:cs="Times New Roman"/>
          <w:szCs w:val="24"/>
        </w:rPr>
        <w:t xml:space="preserve"> 201</w:t>
      </w:r>
      <w:r w:rsidR="00540C35" w:rsidRPr="001969DA">
        <w:rPr>
          <w:rFonts w:cs="Times New Roman"/>
          <w:szCs w:val="24"/>
        </w:rPr>
        <w:t>4</w:t>
      </w:r>
      <w:r w:rsidR="00715AE6" w:rsidRPr="001969DA">
        <w:rPr>
          <w:rFonts w:cs="Times New Roman"/>
          <w:szCs w:val="24"/>
        </w:rPr>
        <w:t>)</w:t>
      </w:r>
    </w:p>
    <w:p w14:paraId="4A7F0596" w14:textId="33282EB8" w:rsidR="00F76136" w:rsidRPr="001969DA" w:rsidRDefault="00D728E9" w:rsidP="001969DA">
      <w:pPr>
        <w:spacing w:line="480" w:lineRule="auto"/>
        <w:ind w:firstLine="720"/>
        <w:rPr>
          <w:rFonts w:cs="Times New Roman"/>
          <w:szCs w:val="24"/>
        </w:rPr>
      </w:pPr>
      <w:r w:rsidRPr="001969DA">
        <w:rPr>
          <w:rFonts w:cs="Times New Roman"/>
          <w:szCs w:val="24"/>
        </w:rPr>
        <w:t>Forward</w:t>
      </w:r>
      <w:r w:rsidR="00FE528B" w:rsidRPr="001969DA">
        <w:rPr>
          <w:rFonts w:cs="Times New Roman"/>
          <w:szCs w:val="24"/>
        </w:rPr>
        <w:t xml:space="preserve"> </w:t>
      </w:r>
      <w:r w:rsidR="00772969" w:rsidRPr="001969DA">
        <w:rPr>
          <w:rFonts w:cs="Times New Roman"/>
          <w:szCs w:val="24"/>
        </w:rPr>
        <w:t>contract is one of the complicated financial instruments</w:t>
      </w:r>
      <w:r w:rsidR="007922A5" w:rsidRPr="001969DA">
        <w:rPr>
          <w:rFonts w:cs="Times New Roman"/>
          <w:szCs w:val="24"/>
        </w:rPr>
        <w:t xml:space="preserve"> that facilitates transfer of risks</w:t>
      </w:r>
      <w:r w:rsidR="009777FA" w:rsidRPr="001969DA">
        <w:rPr>
          <w:rFonts w:cs="Times New Roman"/>
          <w:szCs w:val="24"/>
        </w:rPr>
        <w:t xml:space="preserve">. It is considered as the most reliable </w:t>
      </w:r>
      <w:r w:rsidR="00AB6B63" w:rsidRPr="001969DA">
        <w:rPr>
          <w:rFonts w:cs="Times New Roman"/>
          <w:szCs w:val="24"/>
        </w:rPr>
        <w:t>informational source for the decisions related to risk management.</w:t>
      </w:r>
      <w:r w:rsidR="00772969" w:rsidRPr="001969DA">
        <w:rPr>
          <w:rFonts w:cs="Times New Roman"/>
          <w:szCs w:val="24"/>
        </w:rPr>
        <w:t xml:space="preserve"> </w:t>
      </w:r>
      <w:r w:rsidR="0082474A" w:rsidRPr="001969DA">
        <w:rPr>
          <w:rFonts w:cs="Times New Roman"/>
          <w:szCs w:val="24"/>
        </w:rPr>
        <w:t xml:space="preserve">A literature </w:t>
      </w:r>
      <w:r w:rsidR="00D726F5" w:rsidRPr="001969DA">
        <w:rPr>
          <w:rFonts w:cs="Times New Roman"/>
          <w:szCs w:val="24"/>
        </w:rPr>
        <w:t>evaluated</w:t>
      </w:r>
      <w:r w:rsidR="0082474A" w:rsidRPr="001969DA">
        <w:rPr>
          <w:rFonts w:cs="Times New Roman"/>
          <w:szCs w:val="24"/>
        </w:rPr>
        <w:t xml:space="preserve"> the </w:t>
      </w:r>
      <w:r w:rsidR="00D726F5" w:rsidRPr="001969DA">
        <w:rPr>
          <w:rFonts w:cs="Times New Roman"/>
          <w:szCs w:val="24"/>
        </w:rPr>
        <w:t>availability</w:t>
      </w:r>
      <w:r w:rsidR="0082474A" w:rsidRPr="001969DA">
        <w:rPr>
          <w:rFonts w:cs="Times New Roman"/>
          <w:szCs w:val="24"/>
        </w:rPr>
        <w:t xml:space="preserve"> of </w:t>
      </w:r>
      <w:r w:rsidR="00D726F5" w:rsidRPr="001969DA">
        <w:rPr>
          <w:rFonts w:cs="Times New Roman"/>
          <w:szCs w:val="24"/>
        </w:rPr>
        <w:t>v</w:t>
      </w:r>
      <w:r w:rsidR="0082474A" w:rsidRPr="001969DA">
        <w:rPr>
          <w:rFonts w:cs="Times New Roman"/>
          <w:szCs w:val="24"/>
        </w:rPr>
        <w:t xml:space="preserve">arious </w:t>
      </w:r>
      <w:r w:rsidR="00D726F5" w:rsidRPr="001969DA">
        <w:rPr>
          <w:rFonts w:cs="Times New Roman"/>
          <w:szCs w:val="24"/>
        </w:rPr>
        <w:t>alternatives</w:t>
      </w:r>
      <w:r w:rsidR="0082474A" w:rsidRPr="001969DA">
        <w:rPr>
          <w:rFonts w:cs="Times New Roman"/>
          <w:szCs w:val="24"/>
        </w:rPr>
        <w:t xml:space="preserve"> to the </w:t>
      </w:r>
      <w:r w:rsidR="00D726F5" w:rsidRPr="001969DA">
        <w:rPr>
          <w:rFonts w:cs="Times New Roman"/>
          <w:szCs w:val="24"/>
        </w:rPr>
        <w:t>In</w:t>
      </w:r>
      <w:r w:rsidR="0082474A" w:rsidRPr="001969DA">
        <w:rPr>
          <w:rFonts w:cs="Times New Roman"/>
          <w:szCs w:val="24"/>
        </w:rPr>
        <w:t xml:space="preserve">dian corporates </w:t>
      </w:r>
      <w:r w:rsidR="003C1466" w:rsidRPr="001969DA">
        <w:rPr>
          <w:rFonts w:cs="Times New Roman"/>
          <w:szCs w:val="24"/>
        </w:rPr>
        <w:t xml:space="preserve">and found that most of the corporates makes use of options and forward to hedge </w:t>
      </w:r>
      <w:r w:rsidR="00D726F5" w:rsidRPr="001969DA">
        <w:rPr>
          <w:rFonts w:cs="Times New Roman"/>
          <w:szCs w:val="24"/>
        </w:rPr>
        <w:t xml:space="preserve">the exposure to the foreign currency. </w:t>
      </w:r>
      <w:r w:rsidR="0081719E" w:rsidRPr="001969DA">
        <w:rPr>
          <w:rFonts w:cs="Times New Roman"/>
          <w:szCs w:val="24"/>
        </w:rPr>
        <w:t xml:space="preserve">It is because </w:t>
      </w:r>
      <w:r w:rsidR="00795F4B" w:rsidRPr="001969DA">
        <w:rPr>
          <w:rFonts w:cs="Times New Roman"/>
          <w:szCs w:val="24"/>
        </w:rPr>
        <w:t xml:space="preserve">the costs are denominated in Indian currency, and there is absence of rupee future exchange </w:t>
      </w:r>
      <w:r w:rsidR="00787274" w:rsidRPr="001969DA">
        <w:rPr>
          <w:rFonts w:cs="Times New Roman"/>
          <w:szCs w:val="24"/>
        </w:rPr>
        <w:t xml:space="preserve">and verges on foreign debt. </w:t>
      </w:r>
      <w:r w:rsidR="00472E34" w:rsidRPr="001969DA">
        <w:rPr>
          <w:rFonts w:cs="Times New Roman"/>
          <w:szCs w:val="24"/>
        </w:rPr>
        <w:t>The empirical evidence suggest that Cipla</w:t>
      </w:r>
      <w:r w:rsidR="00BF05FB" w:rsidRPr="001969DA">
        <w:rPr>
          <w:rFonts w:cs="Times New Roman"/>
          <w:szCs w:val="24"/>
        </w:rPr>
        <w:t xml:space="preserve"> hedge the exposure to foreign currency by relying </w:t>
      </w:r>
      <w:r w:rsidR="00472E34" w:rsidRPr="001969DA">
        <w:rPr>
          <w:rFonts w:cs="Times New Roman"/>
          <w:szCs w:val="24"/>
        </w:rPr>
        <w:t xml:space="preserve">on </w:t>
      </w:r>
      <w:r w:rsidR="00BF05FB" w:rsidRPr="001969DA">
        <w:rPr>
          <w:rFonts w:cs="Times New Roman"/>
          <w:szCs w:val="24"/>
        </w:rPr>
        <w:t>forward contract</w:t>
      </w:r>
      <w:r w:rsidR="00FC63BA" w:rsidRPr="001969DA">
        <w:rPr>
          <w:rFonts w:cs="Times New Roman"/>
          <w:szCs w:val="24"/>
        </w:rPr>
        <w:t xml:space="preserve"> (</w:t>
      </w:r>
      <w:proofErr w:type="spellStart"/>
      <w:r w:rsidR="00FC63BA" w:rsidRPr="001969DA">
        <w:rPr>
          <w:rFonts w:cs="Times New Roman"/>
          <w:szCs w:val="24"/>
        </w:rPr>
        <w:t>Basanna</w:t>
      </w:r>
      <w:proofErr w:type="spellEnd"/>
      <w:r w:rsidR="00FC63BA" w:rsidRPr="001969DA">
        <w:rPr>
          <w:rFonts w:cs="Times New Roman"/>
          <w:szCs w:val="24"/>
        </w:rPr>
        <w:t xml:space="preserve"> and </w:t>
      </w:r>
      <w:proofErr w:type="spellStart"/>
      <w:r w:rsidR="00FC63BA" w:rsidRPr="001969DA">
        <w:rPr>
          <w:rFonts w:cs="Times New Roman"/>
          <w:szCs w:val="24"/>
        </w:rPr>
        <w:t>Vittala</w:t>
      </w:r>
      <w:proofErr w:type="spellEnd"/>
      <w:r w:rsidR="00D8160E">
        <w:rPr>
          <w:rFonts w:cs="Times New Roman"/>
          <w:szCs w:val="24"/>
        </w:rPr>
        <w:t xml:space="preserve">, </w:t>
      </w:r>
      <w:r w:rsidR="00FC63BA" w:rsidRPr="001969DA">
        <w:rPr>
          <w:rFonts w:cs="Times New Roman"/>
          <w:szCs w:val="24"/>
        </w:rPr>
        <w:t>2019)</w:t>
      </w:r>
      <w:r w:rsidR="00BF05FB" w:rsidRPr="001969DA">
        <w:rPr>
          <w:rFonts w:cs="Times New Roman"/>
          <w:szCs w:val="24"/>
        </w:rPr>
        <w:t xml:space="preserve">. </w:t>
      </w:r>
      <w:r w:rsidR="00D95213" w:rsidRPr="001969DA">
        <w:rPr>
          <w:rFonts w:cs="Times New Roman"/>
          <w:szCs w:val="24"/>
        </w:rPr>
        <w:t xml:space="preserve">The use of forward contract by </w:t>
      </w:r>
      <w:r w:rsidR="00530490" w:rsidRPr="001969DA">
        <w:rPr>
          <w:rFonts w:cs="Times New Roman"/>
          <w:szCs w:val="24"/>
        </w:rPr>
        <w:t>Cipla</w:t>
      </w:r>
      <w:r w:rsidR="004C76B8" w:rsidRPr="001969DA">
        <w:rPr>
          <w:rFonts w:cs="Times New Roman"/>
          <w:szCs w:val="24"/>
        </w:rPr>
        <w:t xml:space="preserve"> has resulted in the favourable growth of exchange gain and </w:t>
      </w:r>
      <w:r w:rsidR="004503C5" w:rsidRPr="001969DA">
        <w:rPr>
          <w:rFonts w:cs="Times New Roman"/>
          <w:szCs w:val="24"/>
        </w:rPr>
        <w:t xml:space="preserve">exchange exposure. Another company such as </w:t>
      </w:r>
      <w:proofErr w:type="spellStart"/>
      <w:r w:rsidR="004503C5" w:rsidRPr="001969DA">
        <w:rPr>
          <w:rFonts w:cs="Times New Roman"/>
          <w:szCs w:val="24"/>
        </w:rPr>
        <w:t>Cadila</w:t>
      </w:r>
      <w:proofErr w:type="spellEnd"/>
      <w:r w:rsidR="004503C5" w:rsidRPr="001969DA">
        <w:rPr>
          <w:rFonts w:cs="Times New Roman"/>
          <w:szCs w:val="24"/>
        </w:rPr>
        <w:t xml:space="preserve"> has international operations</w:t>
      </w:r>
      <w:r w:rsidR="008E684B" w:rsidRPr="001969DA">
        <w:rPr>
          <w:rFonts w:cs="Times New Roman"/>
          <w:szCs w:val="24"/>
        </w:rPr>
        <w:t xml:space="preserve"> hedged the exposure to the foreign currency </w:t>
      </w:r>
      <w:r w:rsidR="0017569A" w:rsidRPr="001969DA">
        <w:rPr>
          <w:rFonts w:cs="Times New Roman"/>
          <w:szCs w:val="24"/>
        </w:rPr>
        <w:t xml:space="preserve">using currency swaps and forward contracts. </w:t>
      </w:r>
      <w:r w:rsidR="004503C5" w:rsidRPr="001969DA">
        <w:rPr>
          <w:rFonts w:cs="Times New Roman"/>
          <w:szCs w:val="24"/>
        </w:rPr>
        <w:t xml:space="preserve"> </w:t>
      </w:r>
      <w:r w:rsidR="000066E3" w:rsidRPr="001969DA">
        <w:rPr>
          <w:rFonts w:cs="Times New Roman"/>
          <w:szCs w:val="24"/>
        </w:rPr>
        <w:t xml:space="preserve">A remarkable </w:t>
      </w:r>
      <w:r w:rsidR="00D44EE6" w:rsidRPr="001969DA">
        <w:rPr>
          <w:rFonts w:cs="Times New Roman"/>
          <w:szCs w:val="24"/>
        </w:rPr>
        <w:t>exchange flow growth was witnessed by the company</w:t>
      </w:r>
      <w:r w:rsidR="00302440" w:rsidRPr="001969DA">
        <w:rPr>
          <w:rFonts w:cs="Times New Roman"/>
          <w:szCs w:val="24"/>
        </w:rPr>
        <w:t>, and suffered exchange loss received from foreign exports owing to</w:t>
      </w:r>
      <w:r w:rsidR="00D97AB8" w:rsidRPr="001969DA">
        <w:rPr>
          <w:rFonts w:cs="Times New Roman"/>
          <w:szCs w:val="24"/>
        </w:rPr>
        <w:t xml:space="preserve"> foreign currencies depreciation. </w:t>
      </w:r>
      <w:r w:rsidR="007C5DE6" w:rsidRPr="001969DA">
        <w:rPr>
          <w:rFonts w:cs="Times New Roman"/>
          <w:szCs w:val="24"/>
        </w:rPr>
        <w:t xml:space="preserve">Another empirical evidence suggesting </w:t>
      </w:r>
      <w:r w:rsidR="00D778CC" w:rsidRPr="001969DA">
        <w:rPr>
          <w:rFonts w:cs="Times New Roman"/>
          <w:szCs w:val="24"/>
        </w:rPr>
        <w:t xml:space="preserve">the use of different financial instruments such as currency swap, options and </w:t>
      </w:r>
      <w:r w:rsidR="00F0739F" w:rsidRPr="001969DA">
        <w:rPr>
          <w:rFonts w:cs="Times New Roman"/>
          <w:szCs w:val="24"/>
        </w:rPr>
        <w:t xml:space="preserve">forward contract </w:t>
      </w:r>
      <w:r w:rsidR="00FE528B" w:rsidRPr="001969DA">
        <w:rPr>
          <w:rFonts w:cs="Times New Roman"/>
          <w:szCs w:val="24"/>
        </w:rPr>
        <w:t xml:space="preserve">is Dr </w:t>
      </w:r>
      <w:proofErr w:type="spellStart"/>
      <w:r w:rsidR="00FE528B" w:rsidRPr="001969DA">
        <w:rPr>
          <w:rFonts w:cs="Times New Roman"/>
          <w:szCs w:val="24"/>
        </w:rPr>
        <w:t>Reddys</w:t>
      </w:r>
      <w:proofErr w:type="spellEnd"/>
      <w:r w:rsidR="00FE528B" w:rsidRPr="001969DA">
        <w:rPr>
          <w:rFonts w:cs="Times New Roman"/>
          <w:szCs w:val="24"/>
        </w:rPr>
        <w:t xml:space="preserve"> Lab, that operates internationally</w:t>
      </w:r>
      <w:r w:rsidR="00FC63BA" w:rsidRPr="001969DA">
        <w:rPr>
          <w:rFonts w:cs="Times New Roman"/>
          <w:szCs w:val="24"/>
        </w:rPr>
        <w:t xml:space="preserve"> (</w:t>
      </w:r>
      <w:proofErr w:type="spellStart"/>
      <w:r w:rsidR="00FC63BA" w:rsidRPr="001969DA">
        <w:rPr>
          <w:rFonts w:cs="Times New Roman"/>
          <w:szCs w:val="24"/>
        </w:rPr>
        <w:t>Basanna</w:t>
      </w:r>
      <w:proofErr w:type="spellEnd"/>
      <w:r w:rsidR="00FC63BA" w:rsidRPr="001969DA">
        <w:rPr>
          <w:rFonts w:cs="Times New Roman"/>
          <w:szCs w:val="24"/>
        </w:rPr>
        <w:t xml:space="preserve"> and </w:t>
      </w:r>
      <w:proofErr w:type="spellStart"/>
      <w:r w:rsidR="00FC63BA" w:rsidRPr="001969DA">
        <w:rPr>
          <w:rFonts w:cs="Times New Roman"/>
          <w:szCs w:val="24"/>
        </w:rPr>
        <w:t>Vittala</w:t>
      </w:r>
      <w:proofErr w:type="spellEnd"/>
      <w:r w:rsidR="00D8160E">
        <w:rPr>
          <w:rFonts w:cs="Times New Roman"/>
          <w:szCs w:val="24"/>
        </w:rPr>
        <w:t xml:space="preserve">, </w:t>
      </w:r>
      <w:r w:rsidR="00FC63BA" w:rsidRPr="001969DA">
        <w:rPr>
          <w:rFonts w:cs="Times New Roman"/>
          <w:szCs w:val="24"/>
        </w:rPr>
        <w:t>2019)</w:t>
      </w:r>
      <w:r w:rsidR="00FE528B" w:rsidRPr="001969DA">
        <w:rPr>
          <w:rFonts w:cs="Times New Roman"/>
          <w:szCs w:val="24"/>
        </w:rPr>
        <w:t xml:space="preserve">. </w:t>
      </w:r>
      <w:r w:rsidR="00D948CF" w:rsidRPr="001969DA">
        <w:rPr>
          <w:rFonts w:cs="Times New Roman"/>
          <w:szCs w:val="24"/>
        </w:rPr>
        <w:t xml:space="preserve">The usual motivation for using the strategy of </w:t>
      </w:r>
      <w:r w:rsidR="00D948CF" w:rsidRPr="001969DA">
        <w:rPr>
          <w:rFonts w:cs="Times New Roman"/>
          <w:szCs w:val="24"/>
        </w:rPr>
        <w:lastRenderedPageBreak/>
        <w:t>c</w:t>
      </w:r>
      <w:r w:rsidR="00F76136" w:rsidRPr="001969DA">
        <w:rPr>
          <w:rFonts w:cs="Times New Roman"/>
          <w:szCs w:val="24"/>
        </w:rPr>
        <w:t>urrency swap</w:t>
      </w:r>
      <w:r w:rsidR="00540371" w:rsidRPr="001969DA">
        <w:rPr>
          <w:rFonts w:cs="Times New Roman"/>
          <w:szCs w:val="24"/>
        </w:rPr>
        <w:t xml:space="preserve"> is the desirable cash flow replacement from the undesirable one. </w:t>
      </w:r>
      <w:r w:rsidR="007739C5" w:rsidRPr="001969DA">
        <w:rPr>
          <w:rFonts w:cs="Times New Roman"/>
          <w:szCs w:val="24"/>
        </w:rPr>
        <w:t xml:space="preserve">Such hedging strategy is basically </w:t>
      </w:r>
      <w:r w:rsidR="00DD4B3B" w:rsidRPr="001969DA">
        <w:rPr>
          <w:rFonts w:cs="Times New Roman"/>
          <w:szCs w:val="24"/>
        </w:rPr>
        <w:t xml:space="preserve">designed to reduce the uncertainty and costs </w:t>
      </w:r>
      <w:r w:rsidR="00FC63BA" w:rsidRPr="001969DA">
        <w:rPr>
          <w:rFonts w:cs="Times New Roman"/>
          <w:szCs w:val="24"/>
        </w:rPr>
        <w:t>about</w:t>
      </w:r>
      <w:r w:rsidR="00DD4B3B" w:rsidRPr="001969DA">
        <w:rPr>
          <w:rFonts w:cs="Times New Roman"/>
          <w:szCs w:val="24"/>
        </w:rPr>
        <w:t xml:space="preserve"> payable and accounts receivable. </w:t>
      </w:r>
      <w:r w:rsidR="00F76136" w:rsidRPr="001969DA">
        <w:rPr>
          <w:rFonts w:cs="Times New Roman"/>
          <w:szCs w:val="24"/>
        </w:rPr>
        <w:t>Future</w:t>
      </w:r>
      <w:r w:rsidR="00B13D96" w:rsidRPr="001969DA">
        <w:rPr>
          <w:rFonts w:cs="Times New Roman"/>
          <w:szCs w:val="24"/>
        </w:rPr>
        <w:t xml:space="preserve"> contracts are like the forward contracts</w:t>
      </w:r>
      <w:r w:rsidR="00901238" w:rsidRPr="001969DA">
        <w:rPr>
          <w:rFonts w:cs="Times New Roman"/>
          <w:szCs w:val="24"/>
        </w:rPr>
        <w:t xml:space="preserve"> and is identified as the convenient way of hedging transactions</w:t>
      </w:r>
      <w:r w:rsidR="007214DE" w:rsidRPr="001969DA">
        <w:rPr>
          <w:rFonts w:cs="Times New Roman"/>
          <w:szCs w:val="24"/>
        </w:rPr>
        <w:t>, with lesser costs</w:t>
      </w:r>
      <w:r w:rsidR="00901238" w:rsidRPr="001969DA">
        <w:rPr>
          <w:rFonts w:cs="Times New Roman"/>
          <w:szCs w:val="24"/>
        </w:rPr>
        <w:t xml:space="preserve">. </w:t>
      </w:r>
      <w:r w:rsidR="007214DE" w:rsidRPr="001969DA">
        <w:rPr>
          <w:rFonts w:cs="Times New Roman"/>
          <w:szCs w:val="24"/>
        </w:rPr>
        <w:t xml:space="preserve">However, the costs incurred </w:t>
      </w:r>
      <w:r w:rsidR="00C631FF" w:rsidRPr="001969DA">
        <w:rPr>
          <w:rFonts w:cs="Times New Roman"/>
          <w:szCs w:val="24"/>
        </w:rPr>
        <w:t xml:space="preserve">does not exceed the benefits derived from using future contracts for hedging the risk exposure. </w:t>
      </w:r>
    </w:p>
    <w:p w14:paraId="36ADE12A" w14:textId="77777777" w:rsidR="00BA67B7" w:rsidRPr="001969DA" w:rsidRDefault="00BA67B7" w:rsidP="001969DA">
      <w:pPr>
        <w:pStyle w:val="Heading1"/>
        <w:spacing w:line="480" w:lineRule="auto"/>
        <w:rPr>
          <w:rFonts w:cs="Times New Roman"/>
          <w:szCs w:val="24"/>
        </w:rPr>
      </w:pPr>
      <w:bookmarkStart w:id="4" w:name="_Toc162118004"/>
      <w:r w:rsidRPr="001969DA">
        <w:rPr>
          <w:rFonts w:cs="Times New Roman"/>
          <w:szCs w:val="24"/>
        </w:rPr>
        <w:t>Evaluation of different strategies adopted by multinational corporation in managing their exposure to foreign exchange risk:</w:t>
      </w:r>
      <w:bookmarkEnd w:id="4"/>
    </w:p>
    <w:p w14:paraId="75C6F3B4" w14:textId="1BF39F7B" w:rsidR="007F3AD5" w:rsidRPr="001969DA" w:rsidRDefault="004840C8" w:rsidP="001969DA">
      <w:pPr>
        <w:spacing w:line="480" w:lineRule="auto"/>
        <w:ind w:firstLine="720"/>
        <w:rPr>
          <w:rFonts w:cs="Times New Roman"/>
          <w:szCs w:val="24"/>
        </w:rPr>
      </w:pPr>
      <w:r w:rsidRPr="001969DA">
        <w:rPr>
          <w:rFonts w:cs="Times New Roman"/>
          <w:szCs w:val="24"/>
        </w:rPr>
        <w:t>The application of different strategies of hedging used by the MNC can also be explained using the case scenario of real-world example. For this, the chosen MNC is Next Plc, which operates in different countries</w:t>
      </w:r>
      <w:r w:rsidR="00BB307D" w:rsidRPr="001969DA">
        <w:rPr>
          <w:rFonts w:cs="Times New Roman"/>
          <w:szCs w:val="24"/>
        </w:rPr>
        <w:t xml:space="preserve">, and is exposed to foreign exchange risks, and any adverse movement in the rate of exchange </w:t>
      </w:r>
      <w:r w:rsidR="00B26D3C" w:rsidRPr="001969DA">
        <w:rPr>
          <w:rFonts w:cs="Times New Roman"/>
          <w:szCs w:val="24"/>
        </w:rPr>
        <w:t>might adversely impact the profit.</w:t>
      </w:r>
      <w:r w:rsidR="007F3AD5" w:rsidRPr="001969DA">
        <w:rPr>
          <w:rFonts w:cs="Times New Roman"/>
          <w:szCs w:val="24"/>
        </w:rPr>
        <w:t xml:space="preserve"> The principal exposure of the foreign currency of the group results from </w:t>
      </w:r>
      <w:r w:rsidR="001969DA">
        <w:rPr>
          <w:rFonts w:cs="Times New Roman"/>
          <w:szCs w:val="24"/>
        </w:rPr>
        <w:t xml:space="preserve">unexpected movement in the foreign currency in which the business transacts. </w:t>
      </w:r>
    </w:p>
    <w:p w14:paraId="2A4A3F51" w14:textId="25350D75" w:rsidR="004E4CE5" w:rsidRPr="001969DA" w:rsidRDefault="00B26D3C" w:rsidP="001969DA">
      <w:pPr>
        <w:spacing w:line="480" w:lineRule="auto"/>
        <w:ind w:firstLine="720"/>
        <w:rPr>
          <w:rFonts w:cs="Times New Roman"/>
          <w:szCs w:val="24"/>
        </w:rPr>
      </w:pPr>
      <w:r w:rsidRPr="001969DA">
        <w:rPr>
          <w:rFonts w:cs="Times New Roman"/>
          <w:szCs w:val="24"/>
        </w:rPr>
        <w:t xml:space="preserve"> </w:t>
      </w:r>
      <w:r w:rsidR="007A7C75" w:rsidRPr="001969DA">
        <w:rPr>
          <w:rFonts w:cs="Times New Roman"/>
          <w:szCs w:val="24"/>
        </w:rPr>
        <w:t xml:space="preserve">It is found that the exposure to the uncertain movement in the foreign currency is managed by Next plc by </w:t>
      </w:r>
      <w:r w:rsidR="00F878AC" w:rsidRPr="001969DA">
        <w:rPr>
          <w:rFonts w:cs="Times New Roman"/>
          <w:szCs w:val="24"/>
        </w:rPr>
        <w:t>entering</w:t>
      </w:r>
      <w:r w:rsidR="007A7C75" w:rsidRPr="001969DA">
        <w:rPr>
          <w:rFonts w:cs="Times New Roman"/>
          <w:szCs w:val="24"/>
        </w:rPr>
        <w:t xml:space="preserve"> </w:t>
      </w:r>
      <w:r w:rsidR="009F36C5" w:rsidRPr="001969DA">
        <w:rPr>
          <w:rFonts w:cs="Times New Roman"/>
          <w:szCs w:val="24"/>
        </w:rPr>
        <w:t>foreign exchange contract that comprise of options and forward contract</w:t>
      </w:r>
      <w:r w:rsidR="00AE72F7" w:rsidRPr="001969DA">
        <w:rPr>
          <w:rFonts w:cs="Times New Roman"/>
          <w:szCs w:val="24"/>
        </w:rPr>
        <w:t xml:space="preserve">, and majority of which are used to hedge the risks </w:t>
      </w:r>
      <w:r w:rsidR="00382872" w:rsidRPr="001969DA">
        <w:rPr>
          <w:rFonts w:cs="Times New Roman"/>
          <w:szCs w:val="24"/>
        </w:rPr>
        <w:t xml:space="preserve">resulting from the merchandise of the group. </w:t>
      </w:r>
      <w:r w:rsidR="00F878AC" w:rsidRPr="001969DA">
        <w:rPr>
          <w:rFonts w:cs="Times New Roman"/>
          <w:szCs w:val="24"/>
        </w:rPr>
        <w:t>The financial instruments are denominated usually in Euros and US dollars</w:t>
      </w:r>
      <w:r w:rsidR="00464142" w:rsidRPr="001969DA">
        <w:rPr>
          <w:rFonts w:cs="Times New Roman"/>
          <w:szCs w:val="24"/>
        </w:rPr>
        <w:t xml:space="preserve">. </w:t>
      </w:r>
      <w:r w:rsidR="004968F6" w:rsidRPr="001969DA">
        <w:rPr>
          <w:rFonts w:cs="Times New Roman"/>
          <w:szCs w:val="24"/>
        </w:rPr>
        <w:t>For the hedging relationship, a hedge ratio of 1:1 is established by the group</w:t>
      </w:r>
      <w:r w:rsidR="00293BFC" w:rsidRPr="001969DA">
        <w:rPr>
          <w:rFonts w:cs="Times New Roman"/>
          <w:szCs w:val="24"/>
        </w:rPr>
        <w:t xml:space="preserve">, as the underlying </w:t>
      </w:r>
      <w:r w:rsidR="008227CF" w:rsidRPr="001969DA">
        <w:rPr>
          <w:rFonts w:cs="Times New Roman"/>
          <w:szCs w:val="24"/>
        </w:rPr>
        <w:t>foreign exchange contract risks</w:t>
      </w:r>
      <w:r w:rsidR="007D4355" w:rsidRPr="001969DA">
        <w:rPr>
          <w:rFonts w:cs="Times New Roman"/>
          <w:szCs w:val="24"/>
        </w:rPr>
        <w:t xml:space="preserve">, which are </w:t>
      </w:r>
      <w:r w:rsidR="008E1FF2" w:rsidRPr="001969DA">
        <w:rPr>
          <w:rFonts w:cs="Times New Roman"/>
          <w:szCs w:val="24"/>
        </w:rPr>
        <w:t>identical</w:t>
      </w:r>
      <w:r w:rsidR="007D4355" w:rsidRPr="001969DA">
        <w:rPr>
          <w:rFonts w:cs="Times New Roman"/>
          <w:szCs w:val="24"/>
        </w:rPr>
        <w:t xml:space="preserve"> to the </w:t>
      </w:r>
      <w:r w:rsidR="008E1FF2" w:rsidRPr="001969DA">
        <w:rPr>
          <w:rFonts w:cs="Times New Roman"/>
          <w:szCs w:val="24"/>
        </w:rPr>
        <w:t>component</w:t>
      </w:r>
      <w:r w:rsidR="007D4355" w:rsidRPr="001969DA">
        <w:rPr>
          <w:rFonts w:cs="Times New Roman"/>
          <w:szCs w:val="24"/>
        </w:rPr>
        <w:t xml:space="preserve"> of </w:t>
      </w:r>
      <w:r w:rsidR="008E1FF2" w:rsidRPr="001969DA">
        <w:rPr>
          <w:rFonts w:cs="Times New Roman"/>
          <w:szCs w:val="24"/>
        </w:rPr>
        <w:t>hed</w:t>
      </w:r>
      <w:r w:rsidR="007D4355" w:rsidRPr="001969DA">
        <w:rPr>
          <w:rFonts w:cs="Times New Roman"/>
          <w:szCs w:val="24"/>
        </w:rPr>
        <w:t>ged risk</w:t>
      </w:r>
      <w:r w:rsidR="00844919" w:rsidRPr="001969DA">
        <w:rPr>
          <w:rFonts w:cs="Times New Roman"/>
          <w:szCs w:val="24"/>
        </w:rPr>
        <w:t xml:space="preserve"> (Nextplc.co.uk</w:t>
      </w:r>
      <w:r w:rsidR="00CC2AAF">
        <w:rPr>
          <w:rFonts w:cs="Times New Roman"/>
          <w:szCs w:val="24"/>
        </w:rPr>
        <w:t xml:space="preserve">, </w:t>
      </w:r>
      <w:r w:rsidR="00844919" w:rsidRPr="001969DA">
        <w:rPr>
          <w:rFonts w:cs="Times New Roman"/>
          <w:szCs w:val="24"/>
        </w:rPr>
        <w:t>2023)</w:t>
      </w:r>
      <w:r w:rsidR="007D4355" w:rsidRPr="001969DA">
        <w:rPr>
          <w:rFonts w:cs="Times New Roman"/>
          <w:szCs w:val="24"/>
        </w:rPr>
        <w:t xml:space="preserve">. </w:t>
      </w:r>
      <w:r w:rsidR="00C72B62" w:rsidRPr="001969DA">
        <w:rPr>
          <w:rFonts w:cs="Times New Roman"/>
          <w:szCs w:val="24"/>
        </w:rPr>
        <w:t xml:space="preserve">The effectiveness of hedge method is tested by </w:t>
      </w:r>
      <w:r w:rsidR="00A24D86" w:rsidRPr="001969DA">
        <w:rPr>
          <w:rFonts w:cs="Times New Roman"/>
          <w:szCs w:val="24"/>
        </w:rPr>
        <w:t xml:space="preserve">using the hypothetical method of derivatives. </w:t>
      </w:r>
    </w:p>
    <w:p w14:paraId="4368AC52" w14:textId="5D971AC2" w:rsidR="00266A2F" w:rsidRPr="001969DA" w:rsidRDefault="00266A2F" w:rsidP="001969DA">
      <w:pPr>
        <w:spacing w:line="480" w:lineRule="auto"/>
        <w:jc w:val="center"/>
        <w:rPr>
          <w:rFonts w:cs="Times New Roman"/>
          <w:b/>
          <w:bCs/>
          <w:szCs w:val="24"/>
        </w:rPr>
      </w:pPr>
      <w:r w:rsidRPr="001969DA">
        <w:rPr>
          <w:rFonts w:cs="Times New Roman"/>
          <w:b/>
          <w:bCs/>
          <w:noProof/>
          <w:szCs w:val="24"/>
        </w:rPr>
        <w:drawing>
          <wp:inline distT="0" distB="0" distL="0" distR="0" wp14:anchorId="08EA7F23" wp14:editId="156E6199">
            <wp:extent cx="5731510" cy="760095"/>
            <wp:effectExtent l="0" t="0" r="2540" b="1905"/>
            <wp:docPr id="791810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10152" name=""/>
                    <pic:cNvPicPr/>
                  </pic:nvPicPr>
                  <pic:blipFill>
                    <a:blip r:embed="rId7"/>
                    <a:stretch>
                      <a:fillRect/>
                    </a:stretch>
                  </pic:blipFill>
                  <pic:spPr>
                    <a:xfrm>
                      <a:off x="0" y="0"/>
                      <a:ext cx="5731510" cy="760095"/>
                    </a:xfrm>
                    <a:prstGeom prst="rect">
                      <a:avLst/>
                    </a:prstGeom>
                  </pic:spPr>
                </pic:pic>
              </a:graphicData>
            </a:graphic>
          </wp:inline>
        </w:drawing>
      </w:r>
    </w:p>
    <w:p w14:paraId="757AA596" w14:textId="707EA68B" w:rsidR="00266A2F" w:rsidRPr="001969DA" w:rsidRDefault="00684A43" w:rsidP="001969DA">
      <w:pPr>
        <w:spacing w:line="480" w:lineRule="auto"/>
        <w:jc w:val="center"/>
        <w:rPr>
          <w:rFonts w:cs="Times New Roman"/>
          <w:b/>
          <w:bCs/>
          <w:szCs w:val="24"/>
        </w:rPr>
      </w:pPr>
      <w:r w:rsidRPr="001969DA">
        <w:rPr>
          <w:rFonts w:cs="Times New Roman"/>
          <w:b/>
          <w:bCs/>
          <w:szCs w:val="24"/>
        </w:rPr>
        <w:t>Foreign exchange derivatives fair value:</w:t>
      </w:r>
    </w:p>
    <w:p w14:paraId="2772921A" w14:textId="0F584F5D" w:rsidR="00684A43" w:rsidRPr="001969DA" w:rsidRDefault="00844919" w:rsidP="001969DA">
      <w:pPr>
        <w:spacing w:line="480" w:lineRule="auto"/>
        <w:jc w:val="center"/>
        <w:rPr>
          <w:rFonts w:cs="Times New Roman"/>
          <w:b/>
          <w:bCs/>
          <w:szCs w:val="24"/>
        </w:rPr>
      </w:pPr>
      <w:r w:rsidRPr="001969DA">
        <w:rPr>
          <w:rFonts w:cs="Times New Roman"/>
          <w:b/>
          <w:bCs/>
          <w:szCs w:val="24"/>
        </w:rPr>
        <w:lastRenderedPageBreak/>
        <w:t>(</w:t>
      </w:r>
      <w:r w:rsidR="006E5F84" w:rsidRPr="001969DA">
        <w:rPr>
          <w:rFonts w:cs="Times New Roman"/>
          <w:b/>
          <w:bCs/>
          <w:szCs w:val="24"/>
        </w:rPr>
        <w:t>S</w:t>
      </w:r>
      <w:r w:rsidR="00684A43" w:rsidRPr="001969DA">
        <w:rPr>
          <w:rFonts w:cs="Times New Roman"/>
          <w:b/>
          <w:bCs/>
          <w:szCs w:val="24"/>
        </w:rPr>
        <w:t>ou</w:t>
      </w:r>
      <w:r w:rsidR="006E5F84" w:rsidRPr="001969DA">
        <w:rPr>
          <w:rFonts w:cs="Times New Roman"/>
          <w:b/>
          <w:bCs/>
          <w:szCs w:val="24"/>
        </w:rPr>
        <w:t>rce:</w:t>
      </w:r>
      <w:r w:rsidRPr="001969DA">
        <w:rPr>
          <w:rFonts w:cs="Times New Roman"/>
          <w:b/>
          <w:bCs/>
          <w:szCs w:val="24"/>
        </w:rPr>
        <w:t xml:space="preserve"> Nextplc.co.uk 2023)</w:t>
      </w:r>
    </w:p>
    <w:p w14:paraId="05AE5F9E" w14:textId="44EB8A2A" w:rsidR="00CE1588" w:rsidRPr="001969DA" w:rsidRDefault="00CE1588" w:rsidP="001969DA">
      <w:pPr>
        <w:spacing w:line="480" w:lineRule="auto"/>
        <w:jc w:val="center"/>
        <w:rPr>
          <w:rFonts w:cs="Times New Roman"/>
          <w:b/>
          <w:bCs/>
          <w:szCs w:val="24"/>
        </w:rPr>
      </w:pPr>
      <w:r w:rsidRPr="001969DA">
        <w:rPr>
          <w:rFonts w:cs="Times New Roman"/>
          <w:b/>
          <w:bCs/>
          <w:noProof/>
          <w:szCs w:val="24"/>
        </w:rPr>
        <w:drawing>
          <wp:inline distT="0" distB="0" distL="0" distR="0" wp14:anchorId="1B20362A" wp14:editId="2FEB47B7">
            <wp:extent cx="5731510" cy="1367155"/>
            <wp:effectExtent l="0" t="0" r="2540" b="4445"/>
            <wp:docPr id="176575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55162" name=""/>
                    <pic:cNvPicPr/>
                  </pic:nvPicPr>
                  <pic:blipFill>
                    <a:blip r:embed="rId8"/>
                    <a:stretch>
                      <a:fillRect/>
                    </a:stretch>
                  </pic:blipFill>
                  <pic:spPr>
                    <a:xfrm>
                      <a:off x="0" y="0"/>
                      <a:ext cx="5731510" cy="1367155"/>
                    </a:xfrm>
                    <a:prstGeom prst="rect">
                      <a:avLst/>
                    </a:prstGeom>
                  </pic:spPr>
                </pic:pic>
              </a:graphicData>
            </a:graphic>
          </wp:inline>
        </w:drawing>
      </w:r>
    </w:p>
    <w:p w14:paraId="30D9BB4A" w14:textId="6CF033C1" w:rsidR="004E6780" w:rsidRPr="001969DA" w:rsidRDefault="004E6780" w:rsidP="001969DA">
      <w:pPr>
        <w:spacing w:line="480" w:lineRule="auto"/>
        <w:jc w:val="center"/>
        <w:rPr>
          <w:rFonts w:cs="Times New Roman"/>
          <w:b/>
          <w:bCs/>
          <w:szCs w:val="24"/>
        </w:rPr>
      </w:pPr>
      <w:r w:rsidRPr="001969DA">
        <w:rPr>
          <w:rFonts w:cs="Times New Roman"/>
          <w:b/>
          <w:bCs/>
          <w:szCs w:val="24"/>
        </w:rPr>
        <w:t>In increase in equity or profit:</w:t>
      </w:r>
    </w:p>
    <w:p w14:paraId="6F52A58E" w14:textId="1E0A50A7" w:rsidR="008E6411" w:rsidRPr="001969DA" w:rsidRDefault="00844919" w:rsidP="001969DA">
      <w:pPr>
        <w:spacing w:line="480" w:lineRule="auto"/>
        <w:jc w:val="center"/>
        <w:rPr>
          <w:rFonts w:cs="Times New Roman"/>
          <w:b/>
          <w:bCs/>
          <w:szCs w:val="24"/>
        </w:rPr>
      </w:pPr>
      <w:r w:rsidRPr="001969DA">
        <w:rPr>
          <w:rFonts w:cs="Times New Roman"/>
          <w:b/>
          <w:bCs/>
          <w:szCs w:val="24"/>
        </w:rPr>
        <w:t>(</w:t>
      </w:r>
      <w:r w:rsidR="008E6411" w:rsidRPr="001969DA">
        <w:rPr>
          <w:rFonts w:cs="Times New Roman"/>
          <w:b/>
          <w:bCs/>
          <w:szCs w:val="24"/>
        </w:rPr>
        <w:t>Source:</w:t>
      </w:r>
      <w:r w:rsidRPr="001969DA">
        <w:rPr>
          <w:rFonts w:cs="Times New Roman"/>
          <w:b/>
          <w:bCs/>
          <w:szCs w:val="24"/>
        </w:rPr>
        <w:t xml:space="preserve"> </w:t>
      </w:r>
      <w:bookmarkStart w:id="5" w:name="_Hlk162117308"/>
      <w:r w:rsidRPr="001969DA">
        <w:rPr>
          <w:rFonts w:cs="Times New Roman"/>
          <w:b/>
          <w:bCs/>
          <w:szCs w:val="24"/>
        </w:rPr>
        <w:t>Nextplc.co.uk 2023)</w:t>
      </w:r>
      <w:bookmarkEnd w:id="5"/>
    </w:p>
    <w:p w14:paraId="1C61E9F1" w14:textId="77777777" w:rsidR="008E6411" w:rsidRPr="001969DA" w:rsidRDefault="008E6411" w:rsidP="001969DA">
      <w:pPr>
        <w:spacing w:line="480" w:lineRule="auto"/>
        <w:jc w:val="center"/>
        <w:rPr>
          <w:rFonts w:cs="Times New Roman"/>
          <w:b/>
          <w:bCs/>
          <w:szCs w:val="24"/>
        </w:rPr>
      </w:pPr>
    </w:p>
    <w:p w14:paraId="357FE3C8" w14:textId="7F520037" w:rsidR="004E67F4" w:rsidRPr="001969DA" w:rsidRDefault="001969DA" w:rsidP="001969DA">
      <w:pPr>
        <w:spacing w:line="480" w:lineRule="auto"/>
        <w:rPr>
          <w:rFonts w:cs="Times New Roman"/>
          <w:szCs w:val="24"/>
        </w:rPr>
      </w:pPr>
      <w:r>
        <w:rPr>
          <w:rFonts w:cs="Times New Roman"/>
          <w:szCs w:val="24"/>
        </w:rPr>
        <w:tab/>
      </w:r>
      <w:r w:rsidR="004E67F4" w:rsidRPr="001969DA">
        <w:rPr>
          <w:rFonts w:cs="Times New Roman"/>
          <w:szCs w:val="24"/>
        </w:rPr>
        <w:t>The income statement of Next plc is impacted by the movement in the foreign exchange, for the derivatives that are not designated hedges. Depending on the nature and proportion of foreign exchange derivatives, the weakening and strengthening of pound sterling might fail to produce symmetrical results. The principal exposure of group to foreign currency are to the Euro and US Dollar. The hypothetical sensitivity of the group is illustrated in the table below which demonstrates a closing equity and reported profit to a 10% decrease or increase in the Euro/Sterling exchange rate and US Dollar/Sterling</w:t>
      </w:r>
      <w:r w:rsidR="00844919" w:rsidRPr="001969DA">
        <w:rPr>
          <w:rFonts w:cs="Times New Roman"/>
          <w:szCs w:val="24"/>
        </w:rPr>
        <w:t xml:space="preserve"> (Nextplc.co.uk</w:t>
      </w:r>
      <w:r w:rsidR="00CC2AAF">
        <w:rPr>
          <w:rFonts w:cs="Times New Roman"/>
          <w:szCs w:val="24"/>
        </w:rPr>
        <w:t>,</w:t>
      </w:r>
      <w:r w:rsidR="00844919" w:rsidRPr="001969DA">
        <w:rPr>
          <w:rFonts w:cs="Times New Roman"/>
          <w:szCs w:val="24"/>
        </w:rPr>
        <w:t xml:space="preserve"> 2023)</w:t>
      </w:r>
      <w:r w:rsidR="004E67F4" w:rsidRPr="001969DA">
        <w:rPr>
          <w:rFonts w:cs="Times New Roman"/>
          <w:szCs w:val="24"/>
        </w:rPr>
        <w:t xml:space="preserve">. </w:t>
      </w:r>
    </w:p>
    <w:p w14:paraId="3CBDE1A7" w14:textId="530523FC" w:rsidR="00C87D0C" w:rsidRPr="001969DA" w:rsidRDefault="00A25775" w:rsidP="001969DA">
      <w:pPr>
        <w:spacing w:line="480" w:lineRule="auto"/>
        <w:ind w:firstLine="720"/>
        <w:rPr>
          <w:rFonts w:cs="Times New Roman"/>
          <w:szCs w:val="24"/>
        </w:rPr>
      </w:pPr>
      <w:r w:rsidRPr="001969DA">
        <w:rPr>
          <w:rFonts w:cs="Times New Roman"/>
          <w:szCs w:val="24"/>
        </w:rPr>
        <w:t>From the above discussion, it is understood that Next Plc</w:t>
      </w:r>
      <w:r w:rsidR="006E0FCC" w:rsidRPr="001969DA">
        <w:rPr>
          <w:rFonts w:cs="Times New Roman"/>
          <w:szCs w:val="24"/>
        </w:rPr>
        <w:t xml:space="preserve"> </w:t>
      </w:r>
      <w:r w:rsidR="00727609" w:rsidRPr="001969DA">
        <w:rPr>
          <w:rFonts w:cs="Times New Roman"/>
          <w:szCs w:val="24"/>
        </w:rPr>
        <w:t>hedges the exposure to the foreign exchange risks relates to currency such as Euro and US Dollar</w:t>
      </w:r>
      <w:r w:rsidR="006934ED" w:rsidRPr="001969DA">
        <w:rPr>
          <w:rFonts w:cs="Times New Roman"/>
          <w:szCs w:val="24"/>
        </w:rPr>
        <w:t xml:space="preserve"> using alterna</w:t>
      </w:r>
      <w:r w:rsidR="001F285E" w:rsidRPr="001969DA">
        <w:rPr>
          <w:rFonts w:cs="Times New Roman"/>
          <w:szCs w:val="24"/>
        </w:rPr>
        <w:t>tive hedging strategies such as forward and options</w:t>
      </w:r>
      <w:r w:rsidR="00727609" w:rsidRPr="001969DA">
        <w:rPr>
          <w:rFonts w:cs="Times New Roman"/>
          <w:szCs w:val="24"/>
        </w:rPr>
        <w:t xml:space="preserve">. </w:t>
      </w:r>
      <w:r w:rsidR="008740A0" w:rsidRPr="001969DA">
        <w:rPr>
          <w:rFonts w:cs="Times New Roman"/>
          <w:szCs w:val="24"/>
        </w:rPr>
        <w:t xml:space="preserve">It is also evident that the </w:t>
      </w:r>
      <w:r w:rsidR="00DF3FFF" w:rsidRPr="001969DA">
        <w:rPr>
          <w:rFonts w:cs="Times New Roman"/>
          <w:szCs w:val="24"/>
        </w:rPr>
        <w:t xml:space="preserve">company gained on equity and profit using different strategies to manage the foreign currency exposure. </w:t>
      </w:r>
    </w:p>
    <w:p w14:paraId="1663AA12" w14:textId="56C13F21" w:rsidR="00AB2DC3" w:rsidRPr="001969DA" w:rsidRDefault="00AB2DC3" w:rsidP="001969DA">
      <w:pPr>
        <w:pStyle w:val="Heading1"/>
        <w:spacing w:line="480" w:lineRule="auto"/>
        <w:rPr>
          <w:rFonts w:cs="Times New Roman"/>
          <w:szCs w:val="24"/>
        </w:rPr>
      </w:pPr>
      <w:bookmarkStart w:id="6" w:name="_Toc162118005"/>
      <w:r w:rsidRPr="001969DA">
        <w:rPr>
          <w:rFonts w:cs="Times New Roman"/>
          <w:szCs w:val="24"/>
        </w:rPr>
        <w:t>Conclusion:</w:t>
      </w:r>
      <w:bookmarkEnd w:id="6"/>
    </w:p>
    <w:p w14:paraId="3583D3F1" w14:textId="07424F12" w:rsidR="00DF3FFF" w:rsidRPr="001969DA" w:rsidRDefault="001969DA" w:rsidP="001969DA">
      <w:pPr>
        <w:spacing w:line="480" w:lineRule="auto"/>
        <w:rPr>
          <w:rFonts w:cs="Times New Roman"/>
          <w:szCs w:val="24"/>
        </w:rPr>
      </w:pPr>
      <w:r>
        <w:rPr>
          <w:rFonts w:cs="Times New Roman"/>
          <w:szCs w:val="24"/>
        </w:rPr>
        <w:tab/>
      </w:r>
      <w:r w:rsidR="00DF3FFF" w:rsidRPr="001969DA">
        <w:rPr>
          <w:rFonts w:cs="Times New Roman"/>
          <w:szCs w:val="24"/>
        </w:rPr>
        <w:t xml:space="preserve">The paper </w:t>
      </w:r>
      <w:r w:rsidR="00AF7E82" w:rsidRPr="001969DA">
        <w:rPr>
          <w:rFonts w:cs="Times New Roman"/>
          <w:szCs w:val="24"/>
        </w:rPr>
        <w:t>examines</w:t>
      </w:r>
      <w:r w:rsidR="00DF3FFF" w:rsidRPr="001969DA">
        <w:rPr>
          <w:rFonts w:cs="Times New Roman"/>
          <w:szCs w:val="24"/>
        </w:rPr>
        <w:t xml:space="preserve"> and evaluate the </w:t>
      </w:r>
      <w:r w:rsidR="00E43AE5" w:rsidRPr="001969DA">
        <w:rPr>
          <w:rFonts w:cs="Times New Roman"/>
          <w:szCs w:val="24"/>
        </w:rPr>
        <w:t xml:space="preserve">review of literature on the application of different strategies to manage the foreign exchange exposure by the MNC. It is suggested </w:t>
      </w:r>
      <w:r w:rsidR="00AF7E82" w:rsidRPr="001969DA">
        <w:rPr>
          <w:rFonts w:cs="Times New Roman"/>
          <w:szCs w:val="24"/>
        </w:rPr>
        <w:t xml:space="preserve">by the findings of review of literature </w:t>
      </w:r>
      <w:r w:rsidR="00FF1C3E" w:rsidRPr="001969DA">
        <w:rPr>
          <w:rFonts w:cs="Times New Roman"/>
          <w:szCs w:val="24"/>
        </w:rPr>
        <w:t xml:space="preserve">that MNC uses a combination of alternative strategies to manage the </w:t>
      </w:r>
      <w:r w:rsidR="00FF1C3E" w:rsidRPr="001969DA">
        <w:rPr>
          <w:rFonts w:cs="Times New Roman"/>
          <w:szCs w:val="24"/>
        </w:rPr>
        <w:lastRenderedPageBreak/>
        <w:t xml:space="preserve">foreign currency exposure. The main </w:t>
      </w:r>
      <w:r w:rsidR="00A348C7" w:rsidRPr="001969DA">
        <w:rPr>
          <w:rFonts w:cs="Times New Roman"/>
          <w:szCs w:val="24"/>
        </w:rPr>
        <w:t xml:space="preserve">financial instruments used by the MNC to hedge the foreign exchange risk includes derivative contract, currency swap, and forward and future contract. </w:t>
      </w:r>
      <w:r w:rsidR="002C06F8" w:rsidRPr="001969DA">
        <w:rPr>
          <w:rFonts w:cs="Times New Roman"/>
          <w:szCs w:val="24"/>
        </w:rPr>
        <w:t xml:space="preserve">It is also empirically evident that </w:t>
      </w:r>
      <w:r w:rsidR="00412AC5" w:rsidRPr="001969DA">
        <w:rPr>
          <w:rFonts w:cs="Times New Roman"/>
          <w:szCs w:val="24"/>
        </w:rPr>
        <w:t xml:space="preserve">MNCs whose relies on different hedging strategies </w:t>
      </w:r>
      <w:r w:rsidR="00BF1254" w:rsidRPr="001969DA">
        <w:rPr>
          <w:rFonts w:cs="Times New Roman"/>
          <w:szCs w:val="24"/>
        </w:rPr>
        <w:t xml:space="preserve">for managing its exposure to uncertain currency movements. From the overall discussion, the </w:t>
      </w:r>
      <w:r w:rsidR="008239F4" w:rsidRPr="001969DA">
        <w:rPr>
          <w:rFonts w:cs="Times New Roman"/>
          <w:szCs w:val="24"/>
        </w:rPr>
        <w:t>conclusion remark can be made regarding the usage of the strategies to deal with currency movement risk</w:t>
      </w:r>
      <w:r w:rsidR="00F55758" w:rsidRPr="001969DA">
        <w:rPr>
          <w:rFonts w:cs="Times New Roman"/>
          <w:szCs w:val="24"/>
        </w:rPr>
        <w:t xml:space="preserve"> that </w:t>
      </w:r>
      <w:r w:rsidR="00BD07A9" w:rsidRPr="001969DA">
        <w:rPr>
          <w:rFonts w:cs="Times New Roman"/>
          <w:szCs w:val="24"/>
        </w:rPr>
        <w:t xml:space="preserve">MNC </w:t>
      </w:r>
      <w:r w:rsidR="001F32EB" w:rsidRPr="001969DA">
        <w:rPr>
          <w:rFonts w:cs="Times New Roman"/>
          <w:szCs w:val="24"/>
        </w:rPr>
        <w:t>minimizes</w:t>
      </w:r>
      <w:r w:rsidR="00BD07A9" w:rsidRPr="001969DA">
        <w:rPr>
          <w:rFonts w:cs="Times New Roman"/>
          <w:szCs w:val="24"/>
        </w:rPr>
        <w:t xml:space="preserve"> their risk exposure </w:t>
      </w:r>
      <w:r w:rsidR="001F32EB" w:rsidRPr="001969DA">
        <w:rPr>
          <w:rFonts w:cs="Times New Roman"/>
          <w:szCs w:val="24"/>
        </w:rPr>
        <w:t>by hedging the adverse impact of the currency movement.</w:t>
      </w:r>
    </w:p>
    <w:p w14:paraId="19752F55" w14:textId="3FA59BEE" w:rsidR="001F32EB" w:rsidRPr="001969DA" w:rsidRDefault="001F32EB" w:rsidP="001969DA">
      <w:pPr>
        <w:spacing w:line="480" w:lineRule="auto"/>
        <w:rPr>
          <w:rFonts w:cs="Times New Roman"/>
          <w:szCs w:val="24"/>
        </w:rPr>
      </w:pPr>
      <w:r w:rsidRPr="001969DA">
        <w:rPr>
          <w:rFonts w:cs="Times New Roman"/>
          <w:szCs w:val="24"/>
        </w:rPr>
        <w:br w:type="page"/>
      </w:r>
    </w:p>
    <w:p w14:paraId="32B8E986" w14:textId="69EC5EE9" w:rsidR="001969DA" w:rsidRPr="001969DA" w:rsidRDefault="001F32EB" w:rsidP="001969DA">
      <w:pPr>
        <w:pStyle w:val="Heading1"/>
        <w:spacing w:line="480" w:lineRule="auto"/>
        <w:rPr>
          <w:rFonts w:cs="Times New Roman"/>
          <w:szCs w:val="24"/>
        </w:rPr>
      </w:pPr>
      <w:bookmarkStart w:id="7" w:name="_Toc162118006"/>
      <w:r w:rsidRPr="001969DA">
        <w:rPr>
          <w:rFonts w:cs="Times New Roman"/>
          <w:szCs w:val="24"/>
        </w:rPr>
        <w:lastRenderedPageBreak/>
        <w:t>References list:</w:t>
      </w:r>
      <w:bookmarkEnd w:id="7"/>
    </w:p>
    <w:p w14:paraId="7AE3771E" w14:textId="77777777" w:rsidR="001969DA" w:rsidRPr="001969DA" w:rsidRDefault="001969DA" w:rsidP="001969DA">
      <w:pPr>
        <w:spacing w:line="480" w:lineRule="auto"/>
        <w:rPr>
          <w:rFonts w:cs="Times New Roman"/>
          <w:color w:val="222222"/>
          <w:szCs w:val="24"/>
          <w:shd w:val="clear" w:color="auto" w:fill="FFFFFF"/>
        </w:rPr>
      </w:pPr>
      <w:bookmarkStart w:id="8" w:name="_Hlk162101134"/>
      <w:r w:rsidRPr="001969DA">
        <w:rPr>
          <w:rFonts w:cs="Times New Roman"/>
          <w:color w:val="222222"/>
          <w:szCs w:val="24"/>
          <w:shd w:val="clear" w:color="auto" w:fill="FFFFFF"/>
        </w:rPr>
        <w:t xml:space="preserve">Basanna, P. and </w:t>
      </w:r>
      <w:proofErr w:type="spellStart"/>
      <w:r w:rsidRPr="001969DA">
        <w:rPr>
          <w:rFonts w:cs="Times New Roman"/>
          <w:color w:val="222222"/>
          <w:szCs w:val="24"/>
          <w:shd w:val="clear" w:color="auto" w:fill="FFFFFF"/>
        </w:rPr>
        <w:t>Vittala</w:t>
      </w:r>
      <w:proofErr w:type="spellEnd"/>
      <w:r w:rsidRPr="001969DA">
        <w:rPr>
          <w:rFonts w:cs="Times New Roman"/>
          <w:color w:val="222222"/>
          <w:szCs w:val="24"/>
          <w:shd w:val="clear" w:color="auto" w:fill="FFFFFF"/>
        </w:rPr>
        <w:t>, K.P., 2019</w:t>
      </w:r>
      <w:bookmarkEnd w:id="8"/>
      <w:r w:rsidRPr="001969DA">
        <w:rPr>
          <w:rFonts w:cs="Times New Roman"/>
          <w:color w:val="222222"/>
          <w:szCs w:val="24"/>
          <w:shd w:val="clear" w:color="auto" w:fill="FFFFFF"/>
        </w:rPr>
        <w:t>. An Analysis of Foreign Exchange Risk Management: Techniques Employed in Indian Pharma Industry. </w:t>
      </w:r>
      <w:r w:rsidRPr="001969DA">
        <w:rPr>
          <w:rFonts w:cs="Times New Roman"/>
          <w:i/>
          <w:iCs/>
          <w:color w:val="222222"/>
          <w:szCs w:val="24"/>
          <w:shd w:val="clear" w:color="auto" w:fill="FFFFFF"/>
        </w:rPr>
        <w:t>Jindal Journal of Business Research</w:t>
      </w:r>
      <w:r w:rsidRPr="001969DA">
        <w:rPr>
          <w:rFonts w:cs="Times New Roman"/>
          <w:color w:val="222222"/>
          <w:szCs w:val="24"/>
          <w:shd w:val="clear" w:color="auto" w:fill="FFFFFF"/>
        </w:rPr>
        <w:t>, </w:t>
      </w:r>
      <w:r w:rsidRPr="001969DA">
        <w:rPr>
          <w:rFonts w:cs="Times New Roman"/>
          <w:i/>
          <w:iCs/>
          <w:color w:val="222222"/>
          <w:szCs w:val="24"/>
          <w:shd w:val="clear" w:color="auto" w:fill="FFFFFF"/>
        </w:rPr>
        <w:t>8</w:t>
      </w:r>
      <w:r w:rsidRPr="001969DA">
        <w:rPr>
          <w:rFonts w:cs="Times New Roman"/>
          <w:color w:val="222222"/>
          <w:szCs w:val="24"/>
          <w:shd w:val="clear" w:color="auto" w:fill="FFFFFF"/>
        </w:rPr>
        <w:t>(1), pp.92-107.</w:t>
      </w:r>
    </w:p>
    <w:p w14:paraId="035DB802" w14:textId="77777777" w:rsidR="001969DA" w:rsidRPr="001969DA" w:rsidRDefault="001969DA" w:rsidP="001969DA">
      <w:pPr>
        <w:spacing w:line="480" w:lineRule="auto"/>
        <w:rPr>
          <w:rFonts w:cs="Times New Roman"/>
          <w:szCs w:val="24"/>
        </w:rPr>
      </w:pPr>
      <w:proofErr w:type="spellStart"/>
      <w:r w:rsidRPr="001969DA">
        <w:rPr>
          <w:rFonts w:cs="Times New Roman"/>
          <w:color w:val="222222"/>
          <w:szCs w:val="24"/>
          <w:shd w:val="clear" w:color="auto" w:fill="FFFFFF"/>
        </w:rPr>
        <w:t>Belderbos</w:t>
      </w:r>
      <w:proofErr w:type="spellEnd"/>
      <w:r w:rsidRPr="001969DA">
        <w:rPr>
          <w:rFonts w:cs="Times New Roman"/>
          <w:color w:val="222222"/>
          <w:szCs w:val="24"/>
          <w:shd w:val="clear" w:color="auto" w:fill="FFFFFF"/>
        </w:rPr>
        <w:t xml:space="preserve">, R., Tong, T.W. and Wu, S., 2014. </w:t>
      </w:r>
      <w:proofErr w:type="spellStart"/>
      <w:r w:rsidRPr="001969DA">
        <w:rPr>
          <w:rFonts w:cs="Times New Roman"/>
          <w:color w:val="222222"/>
          <w:szCs w:val="24"/>
          <w:shd w:val="clear" w:color="auto" w:fill="FFFFFF"/>
        </w:rPr>
        <w:t>Multinationality</w:t>
      </w:r>
      <w:proofErr w:type="spellEnd"/>
      <w:r w:rsidRPr="001969DA">
        <w:rPr>
          <w:rFonts w:cs="Times New Roman"/>
          <w:color w:val="222222"/>
          <w:szCs w:val="24"/>
          <w:shd w:val="clear" w:color="auto" w:fill="FFFFFF"/>
        </w:rPr>
        <w:t xml:space="preserve"> and downside risk: The roles of option portfolio and organization. </w:t>
      </w:r>
      <w:r w:rsidRPr="001969DA">
        <w:rPr>
          <w:rFonts w:cs="Times New Roman"/>
          <w:i/>
          <w:iCs/>
          <w:color w:val="222222"/>
          <w:szCs w:val="24"/>
          <w:shd w:val="clear" w:color="auto" w:fill="FFFFFF"/>
        </w:rPr>
        <w:t>Strategic Management Journal</w:t>
      </w:r>
      <w:r w:rsidRPr="001969DA">
        <w:rPr>
          <w:rFonts w:cs="Times New Roman"/>
          <w:color w:val="222222"/>
          <w:szCs w:val="24"/>
          <w:shd w:val="clear" w:color="auto" w:fill="FFFFFF"/>
        </w:rPr>
        <w:t>, </w:t>
      </w:r>
      <w:r w:rsidRPr="001969DA">
        <w:rPr>
          <w:rFonts w:cs="Times New Roman"/>
          <w:i/>
          <w:iCs/>
          <w:color w:val="222222"/>
          <w:szCs w:val="24"/>
          <w:shd w:val="clear" w:color="auto" w:fill="FFFFFF"/>
        </w:rPr>
        <w:t>35</w:t>
      </w:r>
      <w:r w:rsidRPr="001969DA">
        <w:rPr>
          <w:rFonts w:cs="Times New Roman"/>
          <w:color w:val="222222"/>
          <w:szCs w:val="24"/>
          <w:shd w:val="clear" w:color="auto" w:fill="FFFFFF"/>
        </w:rPr>
        <w:t>(1), pp.88-106.</w:t>
      </w:r>
    </w:p>
    <w:p w14:paraId="3D68CCD0" w14:textId="77777777" w:rsidR="001969DA" w:rsidRPr="001969DA" w:rsidRDefault="001969DA" w:rsidP="001969DA">
      <w:pPr>
        <w:spacing w:line="480" w:lineRule="auto"/>
        <w:rPr>
          <w:rFonts w:cs="Times New Roman"/>
          <w:color w:val="222222"/>
          <w:szCs w:val="24"/>
          <w:shd w:val="clear" w:color="auto" w:fill="FFFFFF"/>
        </w:rPr>
      </w:pPr>
      <w:bookmarkStart w:id="9" w:name="_Hlk162097027"/>
      <w:r w:rsidRPr="001969DA">
        <w:rPr>
          <w:rFonts w:cs="Times New Roman"/>
          <w:color w:val="222222"/>
          <w:szCs w:val="24"/>
          <w:shd w:val="clear" w:color="auto" w:fill="FFFFFF"/>
        </w:rPr>
        <w:t>Butler, K.C., 2016. </w:t>
      </w:r>
      <w:bookmarkEnd w:id="9"/>
      <w:r w:rsidRPr="001969DA">
        <w:rPr>
          <w:rFonts w:cs="Times New Roman"/>
          <w:i/>
          <w:iCs/>
          <w:color w:val="222222"/>
          <w:szCs w:val="24"/>
          <w:shd w:val="clear" w:color="auto" w:fill="FFFFFF"/>
        </w:rPr>
        <w:t>Multinational finance: Evaluating the opportunities, costs, and risks of multinational operations</w:t>
      </w:r>
      <w:r w:rsidRPr="001969DA">
        <w:rPr>
          <w:rFonts w:cs="Times New Roman"/>
          <w:color w:val="222222"/>
          <w:szCs w:val="24"/>
          <w:shd w:val="clear" w:color="auto" w:fill="FFFFFF"/>
        </w:rPr>
        <w:t>. John Wiley &amp; Sons.</w:t>
      </w:r>
    </w:p>
    <w:p w14:paraId="78862838" w14:textId="77777777" w:rsidR="001969DA" w:rsidRPr="001969DA" w:rsidRDefault="001969DA" w:rsidP="001969DA">
      <w:pPr>
        <w:spacing w:line="480" w:lineRule="auto"/>
        <w:rPr>
          <w:rFonts w:cs="Times New Roman"/>
          <w:color w:val="222222"/>
          <w:szCs w:val="24"/>
          <w:shd w:val="clear" w:color="auto" w:fill="FFFFFF"/>
        </w:rPr>
      </w:pPr>
      <w:r w:rsidRPr="001969DA">
        <w:rPr>
          <w:rFonts w:cs="Times New Roman"/>
          <w:color w:val="222222"/>
          <w:szCs w:val="24"/>
          <w:shd w:val="clear" w:color="auto" w:fill="FFFFFF"/>
        </w:rPr>
        <w:t>Gaur, A.S., Ma, H. and Ge, B., 2019. MNC strategy, knowledge transfer context, and knowledge flow in MNEs. </w:t>
      </w:r>
      <w:r w:rsidRPr="001969DA">
        <w:rPr>
          <w:rFonts w:cs="Times New Roman"/>
          <w:i/>
          <w:iCs/>
          <w:color w:val="222222"/>
          <w:szCs w:val="24"/>
          <w:shd w:val="clear" w:color="auto" w:fill="FFFFFF"/>
        </w:rPr>
        <w:t>Journal of Knowledge Management</w:t>
      </w:r>
      <w:r w:rsidRPr="001969DA">
        <w:rPr>
          <w:rFonts w:cs="Times New Roman"/>
          <w:color w:val="222222"/>
          <w:szCs w:val="24"/>
          <w:shd w:val="clear" w:color="auto" w:fill="FFFFFF"/>
        </w:rPr>
        <w:t>, </w:t>
      </w:r>
      <w:r w:rsidRPr="001969DA">
        <w:rPr>
          <w:rFonts w:cs="Times New Roman"/>
          <w:i/>
          <w:iCs/>
          <w:color w:val="222222"/>
          <w:szCs w:val="24"/>
          <w:shd w:val="clear" w:color="auto" w:fill="FFFFFF"/>
        </w:rPr>
        <w:t>23</w:t>
      </w:r>
      <w:r w:rsidRPr="001969DA">
        <w:rPr>
          <w:rFonts w:cs="Times New Roman"/>
          <w:color w:val="222222"/>
          <w:szCs w:val="24"/>
          <w:shd w:val="clear" w:color="auto" w:fill="FFFFFF"/>
        </w:rPr>
        <w:t>(9), pp.1885-1900.</w:t>
      </w:r>
    </w:p>
    <w:p w14:paraId="4DC1D252" w14:textId="77777777" w:rsidR="001969DA" w:rsidRPr="001969DA" w:rsidRDefault="001969DA" w:rsidP="001969DA">
      <w:pPr>
        <w:spacing w:line="480" w:lineRule="auto"/>
        <w:rPr>
          <w:rFonts w:cs="Times New Roman"/>
          <w:color w:val="222222"/>
          <w:szCs w:val="24"/>
          <w:shd w:val="clear" w:color="auto" w:fill="FFFFFF"/>
        </w:rPr>
      </w:pPr>
      <w:bookmarkStart w:id="10" w:name="_Hlk162095426"/>
      <w:r w:rsidRPr="001969DA">
        <w:rPr>
          <w:rFonts w:cs="Times New Roman"/>
          <w:color w:val="222222"/>
          <w:szCs w:val="24"/>
          <w:shd w:val="clear" w:color="auto" w:fill="FFFFFF"/>
        </w:rPr>
        <w:t xml:space="preserve">Hecht, A. and </w:t>
      </w:r>
      <w:proofErr w:type="spellStart"/>
      <w:r w:rsidRPr="001969DA">
        <w:rPr>
          <w:rFonts w:cs="Times New Roman"/>
          <w:color w:val="222222"/>
          <w:szCs w:val="24"/>
          <w:shd w:val="clear" w:color="auto" w:fill="FFFFFF"/>
        </w:rPr>
        <w:t>Lampenius</w:t>
      </w:r>
      <w:proofErr w:type="spellEnd"/>
      <w:r w:rsidRPr="001969DA">
        <w:rPr>
          <w:rFonts w:cs="Times New Roman"/>
          <w:color w:val="222222"/>
          <w:szCs w:val="24"/>
          <w:shd w:val="clear" w:color="auto" w:fill="FFFFFF"/>
        </w:rPr>
        <w:t>, N., 2023</w:t>
      </w:r>
      <w:bookmarkEnd w:id="10"/>
      <w:r w:rsidRPr="001969DA">
        <w:rPr>
          <w:rFonts w:cs="Times New Roman"/>
          <w:color w:val="222222"/>
          <w:szCs w:val="24"/>
          <w:shd w:val="clear" w:color="auto" w:fill="FFFFFF"/>
        </w:rPr>
        <w:t>. How do firms manage their foreign exchange exposure?. </w:t>
      </w:r>
      <w:r w:rsidRPr="001969DA">
        <w:rPr>
          <w:rFonts w:cs="Times New Roman"/>
          <w:i/>
          <w:iCs/>
          <w:color w:val="222222"/>
          <w:szCs w:val="24"/>
          <w:shd w:val="clear" w:color="auto" w:fill="FFFFFF"/>
        </w:rPr>
        <w:t>Journal of Risk and Financial Management</w:t>
      </w:r>
      <w:r w:rsidRPr="001969DA">
        <w:rPr>
          <w:rFonts w:cs="Times New Roman"/>
          <w:color w:val="222222"/>
          <w:szCs w:val="24"/>
          <w:shd w:val="clear" w:color="auto" w:fill="FFFFFF"/>
        </w:rPr>
        <w:t>, </w:t>
      </w:r>
      <w:r w:rsidRPr="001969DA">
        <w:rPr>
          <w:rFonts w:cs="Times New Roman"/>
          <w:i/>
          <w:iCs/>
          <w:color w:val="222222"/>
          <w:szCs w:val="24"/>
          <w:shd w:val="clear" w:color="auto" w:fill="FFFFFF"/>
        </w:rPr>
        <w:t>16</w:t>
      </w:r>
      <w:r w:rsidRPr="001969DA">
        <w:rPr>
          <w:rFonts w:cs="Times New Roman"/>
          <w:color w:val="222222"/>
          <w:szCs w:val="24"/>
          <w:shd w:val="clear" w:color="auto" w:fill="FFFFFF"/>
        </w:rPr>
        <w:t>(8), p.359.</w:t>
      </w:r>
    </w:p>
    <w:p w14:paraId="1FAE75DF" w14:textId="77777777" w:rsidR="001969DA" w:rsidRPr="001969DA" w:rsidRDefault="001969DA" w:rsidP="001969DA">
      <w:pPr>
        <w:spacing w:line="480" w:lineRule="auto"/>
        <w:rPr>
          <w:rFonts w:cs="Times New Roman"/>
          <w:color w:val="222222"/>
          <w:szCs w:val="24"/>
          <w:shd w:val="clear" w:color="auto" w:fill="FFFFFF"/>
        </w:rPr>
      </w:pPr>
      <w:bookmarkStart w:id="11" w:name="_Hlk162117647"/>
      <w:r w:rsidRPr="001969DA">
        <w:rPr>
          <w:rFonts w:cs="Times New Roman"/>
          <w:color w:val="222222"/>
          <w:szCs w:val="24"/>
          <w:shd w:val="clear" w:color="auto" w:fill="FFFFFF"/>
        </w:rPr>
        <w:t>Jebran, K. and Iqbal, A., 2016</w:t>
      </w:r>
      <w:bookmarkEnd w:id="11"/>
      <w:r w:rsidRPr="001969DA">
        <w:rPr>
          <w:rFonts w:cs="Times New Roman"/>
          <w:color w:val="222222"/>
          <w:szCs w:val="24"/>
          <w:shd w:val="clear" w:color="auto" w:fill="FFFFFF"/>
        </w:rPr>
        <w:t>. Dynamics of volatility spillover between stock market and foreign exchange market: evidence from Asian Countries. </w:t>
      </w:r>
      <w:r w:rsidRPr="001969DA">
        <w:rPr>
          <w:rFonts w:cs="Times New Roman"/>
          <w:i/>
          <w:iCs/>
          <w:color w:val="222222"/>
          <w:szCs w:val="24"/>
          <w:shd w:val="clear" w:color="auto" w:fill="FFFFFF"/>
        </w:rPr>
        <w:t>Financial Innovation</w:t>
      </w:r>
      <w:r w:rsidRPr="001969DA">
        <w:rPr>
          <w:rFonts w:cs="Times New Roman"/>
          <w:color w:val="222222"/>
          <w:szCs w:val="24"/>
          <w:shd w:val="clear" w:color="auto" w:fill="FFFFFF"/>
        </w:rPr>
        <w:t>, </w:t>
      </w:r>
      <w:r w:rsidRPr="001969DA">
        <w:rPr>
          <w:rFonts w:cs="Times New Roman"/>
          <w:i/>
          <w:iCs/>
          <w:color w:val="222222"/>
          <w:szCs w:val="24"/>
          <w:shd w:val="clear" w:color="auto" w:fill="FFFFFF"/>
        </w:rPr>
        <w:t>2</w:t>
      </w:r>
      <w:r w:rsidRPr="001969DA">
        <w:rPr>
          <w:rFonts w:cs="Times New Roman"/>
          <w:color w:val="222222"/>
          <w:szCs w:val="24"/>
          <w:shd w:val="clear" w:color="auto" w:fill="FFFFFF"/>
        </w:rPr>
        <w:t>, pp.1-20.</w:t>
      </w:r>
    </w:p>
    <w:p w14:paraId="02ECBCF0" w14:textId="77777777" w:rsidR="001969DA" w:rsidRPr="001969DA" w:rsidRDefault="001969DA" w:rsidP="001969DA">
      <w:pPr>
        <w:spacing w:line="480" w:lineRule="auto"/>
        <w:rPr>
          <w:rFonts w:cs="Times New Roman"/>
          <w:szCs w:val="24"/>
        </w:rPr>
      </w:pPr>
      <w:bookmarkStart w:id="12" w:name="_Hlk162117281"/>
      <w:r w:rsidRPr="001969DA">
        <w:rPr>
          <w:rFonts w:cs="Times New Roman"/>
          <w:szCs w:val="24"/>
        </w:rPr>
        <w:t>Nextplc.co.uk., 2023</w:t>
      </w:r>
      <w:bookmarkEnd w:id="12"/>
      <w:r w:rsidRPr="001969DA">
        <w:rPr>
          <w:rFonts w:cs="Times New Roman"/>
          <w:szCs w:val="24"/>
        </w:rPr>
        <w:t>. Annual report and accounts January 2023. Available at: https://www.nextplc.co.uk/~/media/Files/N/Next-PLC-V2/documents/2023/annual-reports-and-account-jan-2023.pdf (Accessed: 23 March 2024).</w:t>
      </w:r>
    </w:p>
    <w:p w14:paraId="4F18FD42" w14:textId="77777777" w:rsidR="001969DA" w:rsidRPr="001969DA" w:rsidRDefault="001969DA" w:rsidP="001969DA">
      <w:pPr>
        <w:spacing w:line="480" w:lineRule="auto"/>
        <w:rPr>
          <w:rFonts w:cs="Times New Roman"/>
          <w:color w:val="222222"/>
          <w:szCs w:val="24"/>
          <w:shd w:val="clear" w:color="auto" w:fill="FFFFFF"/>
        </w:rPr>
      </w:pPr>
      <w:bookmarkStart w:id="13" w:name="_Hlk162099427"/>
      <w:r w:rsidRPr="001969DA">
        <w:rPr>
          <w:rFonts w:cs="Times New Roman"/>
          <w:color w:val="222222"/>
          <w:szCs w:val="24"/>
          <w:shd w:val="clear" w:color="auto" w:fill="FFFFFF"/>
        </w:rPr>
        <w:t xml:space="preserve">Raghu, R.R. and Palaniappan Shanmugam, V., 2014. </w:t>
      </w:r>
      <w:bookmarkEnd w:id="13"/>
      <w:r w:rsidRPr="001969DA">
        <w:rPr>
          <w:rFonts w:cs="Times New Roman"/>
          <w:color w:val="222222"/>
          <w:szCs w:val="24"/>
          <w:shd w:val="clear" w:color="auto" w:fill="FFFFFF"/>
        </w:rPr>
        <w:t>The Determinants of Currency Hedging in Indian IT Firms. </w:t>
      </w:r>
      <w:r w:rsidRPr="001969DA">
        <w:rPr>
          <w:rFonts w:cs="Times New Roman"/>
          <w:i/>
          <w:iCs/>
          <w:color w:val="222222"/>
          <w:szCs w:val="24"/>
          <w:shd w:val="clear" w:color="auto" w:fill="FFFFFF"/>
        </w:rPr>
        <w:t>Journal of Business &amp; Financial Affairs (OMICS publication groups)</w:t>
      </w:r>
      <w:r w:rsidRPr="001969DA">
        <w:rPr>
          <w:rFonts w:cs="Times New Roman"/>
          <w:color w:val="222222"/>
          <w:szCs w:val="24"/>
          <w:shd w:val="clear" w:color="auto" w:fill="FFFFFF"/>
        </w:rPr>
        <w:t>.</w:t>
      </w:r>
    </w:p>
    <w:p w14:paraId="0CB89E0E" w14:textId="77777777" w:rsidR="001969DA" w:rsidRPr="001969DA" w:rsidRDefault="001969DA" w:rsidP="001969DA">
      <w:pPr>
        <w:spacing w:line="480" w:lineRule="auto"/>
        <w:rPr>
          <w:rFonts w:cs="Times New Roman"/>
          <w:color w:val="222222"/>
          <w:szCs w:val="24"/>
          <w:shd w:val="clear" w:color="auto" w:fill="FFFFFF"/>
        </w:rPr>
      </w:pPr>
      <w:bookmarkStart w:id="14" w:name="_Hlk162117603"/>
      <w:r w:rsidRPr="001969DA">
        <w:rPr>
          <w:rFonts w:cs="Times New Roman"/>
          <w:color w:val="222222"/>
          <w:szCs w:val="24"/>
          <w:shd w:val="clear" w:color="auto" w:fill="FFFFFF"/>
        </w:rPr>
        <w:t xml:space="preserve">Shapiro, A.C. and </w:t>
      </w:r>
      <w:proofErr w:type="spellStart"/>
      <w:r w:rsidRPr="001969DA">
        <w:rPr>
          <w:rFonts w:cs="Times New Roman"/>
          <w:color w:val="222222"/>
          <w:szCs w:val="24"/>
          <w:shd w:val="clear" w:color="auto" w:fill="FFFFFF"/>
        </w:rPr>
        <w:t>Hanouna</w:t>
      </w:r>
      <w:proofErr w:type="spellEnd"/>
      <w:r w:rsidRPr="001969DA">
        <w:rPr>
          <w:rFonts w:cs="Times New Roman"/>
          <w:color w:val="222222"/>
          <w:szCs w:val="24"/>
          <w:shd w:val="clear" w:color="auto" w:fill="FFFFFF"/>
        </w:rPr>
        <w:t>, P., 2019. </w:t>
      </w:r>
      <w:bookmarkEnd w:id="14"/>
      <w:r w:rsidRPr="001969DA">
        <w:rPr>
          <w:rFonts w:cs="Times New Roman"/>
          <w:i/>
          <w:iCs/>
          <w:color w:val="222222"/>
          <w:szCs w:val="24"/>
          <w:shd w:val="clear" w:color="auto" w:fill="FFFFFF"/>
        </w:rPr>
        <w:t>Multinational financial management</w:t>
      </w:r>
      <w:r w:rsidRPr="001969DA">
        <w:rPr>
          <w:rFonts w:cs="Times New Roman"/>
          <w:color w:val="222222"/>
          <w:szCs w:val="24"/>
          <w:shd w:val="clear" w:color="auto" w:fill="FFFFFF"/>
        </w:rPr>
        <w:t>. John Wiley &amp; Sons.</w:t>
      </w:r>
    </w:p>
    <w:p w14:paraId="219437BC" w14:textId="77777777" w:rsidR="001969DA" w:rsidRPr="001969DA" w:rsidRDefault="001969DA" w:rsidP="001969DA">
      <w:pPr>
        <w:spacing w:line="480" w:lineRule="auto"/>
        <w:rPr>
          <w:rFonts w:cs="Times New Roman"/>
          <w:color w:val="222222"/>
          <w:szCs w:val="24"/>
          <w:shd w:val="clear" w:color="auto" w:fill="FFFFFF"/>
        </w:rPr>
      </w:pPr>
      <w:r w:rsidRPr="001969DA">
        <w:rPr>
          <w:rFonts w:cs="Times New Roman"/>
          <w:color w:val="222222"/>
          <w:szCs w:val="24"/>
          <w:shd w:val="clear" w:color="auto" w:fill="FFFFFF"/>
        </w:rPr>
        <w:t>Yuxin, W.A.N.G., 2020, November. Foreign Exchange Risk Management of Multinational Companies. In </w:t>
      </w:r>
      <w:r w:rsidRPr="001969DA">
        <w:rPr>
          <w:rFonts w:cs="Times New Roman"/>
          <w:i/>
          <w:iCs/>
          <w:color w:val="222222"/>
          <w:szCs w:val="24"/>
          <w:shd w:val="clear" w:color="auto" w:fill="FFFFFF"/>
        </w:rPr>
        <w:t>2020 5th International Conference on Modern Management and Education Technology (MMET 2020)</w:t>
      </w:r>
      <w:r w:rsidRPr="001969DA">
        <w:rPr>
          <w:rFonts w:cs="Times New Roman"/>
          <w:color w:val="222222"/>
          <w:szCs w:val="24"/>
          <w:shd w:val="clear" w:color="auto" w:fill="FFFFFF"/>
        </w:rPr>
        <w:t> (pp. 141-143). Atlantis Press.</w:t>
      </w:r>
    </w:p>
    <w:sectPr w:rsidR="001969DA" w:rsidRPr="001969D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01DE0" w14:textId="77777777" w:rsidR="00A91A72" w:rsidRDefault="00A91A72" w:rsidP="001969DA">
      <w:pPr>
        <w:spacing w:after="0" w:line="240" w:lineRule="auto"/>
      </w:pPr>
      <w:r>
        <w:separator/>
      </w:r>
    </w:p>
  </w:endnote>
  <w:endnote w:type="continuationSeparator" w:id="0">
    <w:p w14:paraId="54D007C8" w14:textId="77777777" w:rsidR="00A91A72" w:rsidRDefault="00A91A72" w:rsidP="0019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8775A" w14:textId="77777777" w:rsidR="00A91A72" w:rsidRDefault="00A91A72" w:rsidP="001969DA">
      <w:pPr>
        <w:spacing w:after="0" w:line="240" w:lineRule="auto"/>
      </w:pPr>
      <w:r>
        <w:separator/>
      </w:r>
    </w:p>
  </w:footnote>
  <w:footnote w:type="continuationSeparator" w:id="0">
    <w:p w14:paraId="320BA1EB" w14:textId="77777777" w:rsidR="00A91A72" w:rsidRDefault="00A91A72" w:rsidP="001969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0232C" w14:textId="4B72F202" w:rsidR="001969DA" w:rsidRPr="001969DA" w:rsidRDefault="001969DA">
    <w:pPr>
      <w:pStyle w:val="Header"/>
      <w:rPr>
        <w:b/>
        <w:bCs/>
      </w:rPr>
    </w:pPr>
    <w:r w:rsidRPr="001969DA">
      <w:rPr>
        <w:b/>
        <w:bCs/>
      </w:rPr>
      <w:t>COMPONENT 1 COURSEWORK: WRITTEN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590"/>
    <w:rsid w:val="000066E3"/>
    <w:rsid w:val="000210A7"/>
    <w:rsid w:val="000271FD"/>
    <w:rsid w:val="00033EF5"/>
    <w:rsid w:val="00091700"/>
    <w:rsid w:val="00097637"/>
    <w:rsid w:val="000B7A18"/>
    <w:rsid w:val="000D7488"/>
    <w:rsid w:val="000E601E"/>
    <w:rsid w:val="001228F0"/>
    <w:rsid w:val="00145A0A"/>
    <w:rsid w:val="0015431D"/>
    <w:rsid w:val="0017569A"/>
    <w:rsid w:val="001772B4"/>
    <w:rsid w:val="001969DA"/>
    <w:rsid w:val="001A1195"/>
    <w:rsid w:val="001A6617"/>
    <w:rsid w:val="001F285E"/>
    <w:rsid w:val="001F32EB"/>
    <w:rsid w:val="001F7E8D"/>
    <w:rsid w:val="002026F0"/>
    <w:rsid w:val="00206B10"/>
    <w:rsid w:val="0022072D"/>
    <w:rsid w:val="0024414F"/>
    <w:rsid w:val="00246F03"/>
    <w:rsid w:val="00250FB2"/>
    <w:rsid w:val="00263ED1"/>
    <w:rsid w:val="00265952"/>
    <w:rsid w:val="002661A9"/>
    <w:rsid w:val="00266A2F"/>
    <w:rsid w:val="00285353"/>
    <w:rsid w:val="00287BA0"/>
    <w:rsid w:val="00293BFC"/>
    <w:rsid w:val="00293FFE"/>
    <w:rsid w:val="002A648E"/>
    <w:rsid w:val="002B177F"/>
    <w:rsid w:val="002B17B9"/>
    <w:rsid w:val="002B6ECE"/>
    <w:rsid w:val="002C06F8"/>
    <w:rsid w:val="002F6590"/>
    <w:rsid w:val="00302440"/>
    <w:rsid w:val="00302B94"/>
    <w:rsid w:val="00304279"/>
    <w:rsid w:val="0030646D"/>
    <w:rsid w:val="00325DF7"/>
    <w:rsid w:val="00382872"/>
    <w:rsid w:val="00386045"/>
    <w:rsid w:val="00390245"/>
    <w:rsid w:val="003A5C7F"/>
    <w:rsid w:val="003C1466"/>
    <w:rsid w:val="00412AC5"/>
    <w:rsid w:val="0042256B"/>
    <w:rsid w:val="0042505D"/>
    <w:rsid w:val="00433447"/>
    <w:rsid w:val="004503C5"/>
    <w:rsid w:val="00462DF2"/>
    <w:rsid w:val="00464142"/>
    <w:rsid w:val="00471C61"/>
    <w:rsid w:val="00472E34"/>
    <w:rsid w:val="004840C8"/>
    <w:rsid w:val="00490320"/>
    <w:rsid w:val="004968F6"/>
    <w:rsid w:val="004C76B8"/>
    <w:rsid w:val="004E4CE5"/>
    <w:rsid w:val="004E6780"/>
    <w:rsid w:val="004E67F4"/>
    <w:rsid w:val="00513A3D"/>
    <w:rsid w:val="00514C47"/>
    <w:rsid w:val="00530490"/>
    <w:rsid w:val="00540371"/>
    <w:rsid w:val="00540C35"/>
    <w:rsid w:val="00553DC9"/>
    <w:rsid w:val="00597D76"/>
    <w:rsid w:val="005A70A8"/>
    <w:rsid w:val="005E15E0"/>
    <w:rsid w:val="005F1DF7"/>
    <w:rsid w:val="00604211"/>
    <w:rsid w:val="00604B9E"/>
    <w:rsid w:val="006218C8"/>
    <w:rsid w:val="00652120"/>
    <w:rsid w:val="0067053C"/>
    <w:rsid w:val="00684A43"/>
    <w:rsid w:val="006934ED"/>
    <w:rsid w:val="006C280F"/>
    <w:rsid w:val="006E0FCC"/>
    <w:rsid w:val="006E5469"/>
    <w:rsid w:val="006E5F84"/>
    <w:rsid w:val="00715AE6"/>
    <w:rsid w:val="007214DE"/>
    <w:rsid w:val="00727609"/>
    <w:rsid w:val="00766D6C"/>
    <w:rsid w:val="00772969"/>
    <w:rsid w:val="007739C5"/>
    <w:rsid w:val="00780A2E"/>
    <w:rsid w:val="0078258A"/>
    <w:rsid w:val="00787274"/>
    <w:rsid w:val="007922A5"/>
    <w:rsid w:val="00795F4B"/>
    <w:rsid w:val="007A7C75"/>
    <w:rsid w:val="007C5DE6"/>
    <w:rsid w:val="007D3D30"/>
    <w:rsid w:val="007D4355"/>
    <w:rsid w:val="007E429B"/>
    <w:rsid w:val="007F3AD5"/>
    <w:rsid w:val="007F54B8"/>
    <w:rsid w:val="00803A09"/>
    <w:rsid w:val="00805837"/>
    <w:rsid w:val="0081719E"/>
    <w:rsid w:val="008227CF"/>
    <w:rsid w:val="008239F4"/>
    <w:rsid w:val="0082474A"/>
    <w:rsid w:val="00844919"/>
    <w:rsid w:val="008740A0"/>
    <w:rsid w:val="008774C7"/>
    <w:rsid w:val="008B0E36"/>
    <w:rsid w:val="008E1289"/>
    <w:rsid w:val="008E1FF2"/>
    <w:rsid w:val="008E6411"/>
    <w:rsid w:val="008E684B"/>
    <w:rsid w:val="008E7A10"/>
    <w:rsid w:val="009003F7"/>
    <w:rsid w:val="00901238"/>
    <w:rsid w:val="00906525"/>
    <w:rsid w:val="00930FD9"/>
    <w:rsid w:val="009467EF"/>
    <w:rsid w:val="00954CBF"/>
    <w:rsid w:val="009567A7"/>
    <w:rsid w:val="00966225"/>
    <w:rsid w:val="0097153F"/>
    <w:rsid w:val="009731EB"/>
    <w:rsid w:val="009777FA"/>
    <w:rsid w:val="00994D58"/>
    <w:rsid w:val="009A405D"/>
    <w:rsid w:val="009B08AD"/>
    <w:rsid w:val="009B0BC6"/>
    <w:rsid w:val="009D78BF"/>
    <w:rsid w:val="009F36C5"/>
    <w:rsid w:val="00A133FD"/>
    <w:rsid w:val="00A24D86"/>
    <w:rsid w:val="00A25775"/>
    <w:rsid w:val="00A25BA6"/>
    <w:rsid w:val="00A348C7"/>
    <w:rsid w:val="00A367C8"/>
    <w:rsid w:val="00A41D0C"/>
    <w:rsid w:val="00A6731F"/>
    <w:rsid w:val="00A913AA"/>
    <w:rsid w:val="00A91A72"/>
    <w:rsid w:val="00A951D3"/>
    <w:rsid w:val="00AB2DC3"/>
    <w:rsid w:val="00AB6B63"/>
    <w:rsid w:val="00AD5043"/>
    <w:rsid w:val="00AE72F7"/>
    <w:rsid w:val="00AF7E82"/>
    <w:rsid w:val="00B04ADB"/>
    <w:rsid w:val="00B13D96"/>
    <w:rsid w:val="00B165D2"/>
    <w:rsid w:val="00B26D3C"/>
    <w:rsid w:val="00B565B3"/>
    <w:rsid w:val="00B61E93"/>
    <w:rsid w:val="00B627A6"/>
    <w:rsid w:val="00B6782F"/>
    <w:rsid w:val="00BA67B7"/>
    <w:rsid w:val="00BB307D"/>
    <w:rsid w:val="00BD07A9"/>
    <w:rsid w:val="00BD3B80"/>
    <w:rsid w:val="00BE3519"/>
    <w:rsid w:val="00BF05FB"/>
    <w:rsid w:val="00BF0996"/>
    <w:rsid w:val="00BF1254"/>
    <w:rsid w:val="00C33B10"/>
    <w:rsid w:val="00C430D0"/>
    <w:rsid w:val="00C60AF4"/>
    <w:rsid w:val="00C631FF"/>
    <w:rsid w:val="00C72B62"/>
    <w:rsid w:val="00C841AB"/>
    <w:rsid w:val="00C87D0C"/>
    <w:rsid w:val="00C92D6C"/>
    <w:rsid w:val="00C94002"/>
    <w:rsid w:val="00CA20F2"/>
    <w:rsid w:val="00CA5905"/>
    <w:rsid w:val="00CC2AAF"/>
    <w:rsid w:val="00CD4EF9"/>
    <w:rsid w:val="00CE1588"/>
    <w:rsid w:val="00D01EE4"/>
    <w:rsid w:val="00D05BD5"/>
    <w:rsid w:val="00D12906"/>
    <w:rsid w:val="00D34F66"/>
    <w:rsid w:val="00D360A7"/>
    <w:rsid w:val="00D44EE6"/>
    <w:rsid w:val="00D54987"/>
    <w:rsid w:val="00D551F0"/>
    <w:rsid w:val="00D726F5"/>
    <w:rsid w:val="00D728E9"/>
    <w:rsid w:val="00D72B29"/>
    <w:rsid w:val="00D75F7F"/>
    <w:rsid w:val="00D778CC"/>
    <w:rsid w:val="00D8160E"/>
    <w:rsid w:val="00D948CF"/>
    <w:rsid w:val="00D95213"/>
    <w:rsid w:val="00D97AB8"/>
    <w:rsid w:val="00DB34C6"/>
    <w:rsid w:val="00DD301A"/>
    <w:rsid w:val="00DD4B3B"/>
    <w:rsid w:val="00DE3FB6"/>
    <w:rsid w:val="00DF3FFF"/>
    <w:rsid w:val="00E27096"/>
    <w:rsid w:val="00E36CDD"/>
    <w:rsid w:val="00E43AE5"/>
    <w:rsid w:val="00E7189C"/>
    <w:rsid w:val="00E864DC"/>
    <w:rsid w:val="00E90944"/>
    <w:rsid w:val="00ED7C77"/>
    <w:rsid w:val="00EE3DA8"/>
    <w:rsid w:val="00EF0197"/>
    <w:rsid w:val="00F0739F"/>
    <w:rsid w:val="00F208E3"/>
    <w:rsid w:val="00F22513"/>
    <w:rsid w:val="00F34AF6"/>
    <w:rsid w:val="00F55758"/>
    <w:rsid w:val="00F612FE"/>
    <w:rsid w:val="00F67BB3"/>
    <w:rsid w:val="00F76136"/>
    <w:rsid w:val="00F81D6C"/>
    <w:rsid w:val="00F86E18"/>
    <w:rsid w:val="00F878AC"/>
    <w:rsid w:val="00FB0903"/>
    <w:rsid w:val="00FC63BA"/>
    <w:rsid w:val="00FE528B"/>
    <w:rsid w:val="00FF1C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54855E"/>
  <w15:chartTrackingRefBased/>
  <w15:docId w15:val="{B40600A8-2B6D-4D20-B8D6-F6607AD9A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9DA"/>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A67B7"/>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7B7"/>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1969DA"/>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969DA"/>
    <w:pPr>
      <w:spacing w:after="100"/>
    </w:pPr>
  </w:style>
  <w:style w:type="character" w:styleId="Hyperlink">
    <w:name w:val="Hyperlink"/>
    <w:basedOn w:val="DefaultParagraphFont"/>
    <w:uiPriority w:val="99"/>
    <w:unhideWhenUsed/>
    <w:rsid w:val="001969DA"/>
    <w:rPr>
      <w:color w:val="0563C1" w:themeColor="hyperlink"/>
      <w:u w:val="single"/>
    </w:rPr>
  </w:style>
  <w:style w:type="paragraph" w:styleId="Header">
    <w:name w:val="header"/>
    <w:basedOn w:val="Normal"/>
    <w:link w:val="HeaderChar"/>
    <w:uiPriority w:val="99"/>
    <w:unhideWhenUsed/>
    <w:rsid w:val="0019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9DA"/>
    <w:rPr>
      <w:rFonts w:ascii="Times New Roman" w:hAnsi="Times New Roman"/>
      <w:color w:val="000000" w:themeColor="text1"/>
      <w:sz w:val="24"/>
    </w:rPr>
  </w:style>
  <w:style w:type="paragraph" w:styleId="Footer">
    <w:name w:val="footer"/>
    <w:basedOn w:val="Normal"/>
    <w:link w:val="FooterChar"/>
    <w:uiPriority w:val="99"/>
    <w:unhideWhenUsed/>
    <w:rsid w:val="0019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9DA"/>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AD467-0A6E-4C08-B111-ABEF303E76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1908</Words>
  <Characters>10880</Characters>
  <Application>Microsoft Office Word</Application>
  <DocSecurity>0</DocSecurity>
  <Lines>90</Lines>
  <Paragraphs>25</Paragraphs>
  <ScaleCrop>false</ScaleCrop>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cveti333.1987@gmail.com</cp:lastModifiedBy>
  <cp:revision>14</cp:revision>
  <dcterms:created xsi:type="dcterms:W3CDTF">2024-03-28T12:27:00Z</dcterms:created>
  <dcterms:modified xsi:type="dcterms:W3CDTF">2024-03-28T12:36:00Z</dcterms:modified>
</cp:coreProperties>
</file>