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976C0" w14:textId="77777777" w:rsidR="003B7B84" w:rsidRPr="00B81122" w:rsidRDefault="003B7B84" w:rsidP="003B7B84">
      <w:pPr>
        <w:spacing w:after="200"/>
        <w:jc w:val="center"/>
      </w:pPr>
      <w:r w:rsidRPr="00B81122">
        <w:rPr>
          <w:noProof/>
        </w:rPr>
        <w:drawing>
          <wp:inline distT="0" distB="0" distL="0" distR="0" wp14:anchorId="5AA8F37F" wp14:editId="1E9228C1">
            <wp:extent cx="1240403" cy="689307"/>
            <wp:effectExtent l="0" t="0" r="0" b="0"/>
            <wp:docPr id="3" name="Picture 3" descr="C:\Users\USER\Downloads\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university-of-wales-trinity-saint-david-logo-vector.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1792" cy="695636"/>
                    </a:xfrm>
                    <a:prstGeom prst="rect">
                      <a:avLst/>
                    </a:prstGeom>
                    <a:noFill/>
                    <a:ln>
                      <a:noFill/>
                    </a:ln>
                  </pic:spPr>
                </pic:pic>
              </a:graphicData>
            </a:graphic>
          </wp:inline>
        </w:drawing>
      </w:r>
    </w:p>
    <w:p w14:paraId="457D5F78" w14:textId="77777777" w:rsidR="003B7B84" w:rsidRPr="00B81122" w:rsidRDefault="003B7B84" w:rsidP="003B7B84">
      <w:pPr>
        <w:spacing w:after="80"/>
        <w:jc w:val="center"/>
        <w:rPr>
          <w:b/>
          <w:bCs/>
        </w:rPr>
      </w:pPr>
    </w:p>
    <w:p w14:paraId="75C44F83" w14:textId="77777777" w:rsidR="003B7B84" w:rsidRPr="00B81122" w:rsidRDefault="003B7B84" w:rsidP="003B7B84">
      <w:pPr>
        <w:spacing w:after="160"/>
        <w:jc w:val="center"/>
      </w:pPr>
    </w:p>
    <w:p w14:paraId="072B5B64" w14:textId="77777777" w:rsidR="003B7B84" w:rsidRPr="00B81122" w:rsidRDefault="003B7B84" w:rsidP="003B7B84">
      <w:pPr>
        <w:spacing w:after="120" w:line="276" w:lineRule="auto"/>
        <w:jc w:val="center"/>
        <w:rPr>
          <w:sz w:val="28"/>
        </w:rPr>
      </w:pPr>
      <w:r w:rsidRPr="00B81122">
        <w:rPr>
          <w:color w:val="555555"/>
          <w:sz w:val="28"/>
        </w:rPr>
        <w:t>Name</w:t>
      </w:r>
    </w:p>
    <w:p w14:paraId="255DB61D" w14:textId="77777777" w:rsidR="003B7B84" w:rsidRPr="00B81122" w:rsidRDefault="003B7B84" w:rsidP="003B7B84">
      <w:pPr>
        <w:spacing w:after="280" w:line="276" w:lineRule="auto"/>
        <w:jc w:val="center"/>
        <w:rPr>
          <w:b/>
          <w:sz w:val="32"/>
          <w:szCs w:val="28"/>
        </w:rPr>
      </w:pPr>
      <w:r w:rsidRPr="00B81122">
        <w:rPr>
          <w:b/>
          <w:sz w:val="32"/>
          <w:szCs w:val="28"/>
        </w:rPr>
        <w:t>Elizabeth Olukemi Obafemi</w:t>
      </w:r>
    </w:p>
    <w:p w14:paraId="17204583" w14:textId="77777777" w:rsidR="003B7B84" w:rsidRPr="00B81122" w:rsidRDefault="003B7B84" w:rsidP="003B7B84">
      <w:pPr>
        <w:spacing w:after="280" w:line="276" w:lineRule="auto"/>
        <w:jc w:val="center"/>
        <w:rPr>
          <w:sz w:val="28"/>
        </w:rPr>
      </w:pPr>
    </w:p>
    <w:p w14:paraId="4C17774C" w14:textId="77777777" w:rsidR="003B7B84" w:rsidRPr="00B81122" w:rsidRDefault="003B7B84" w:rsidP="003B7B84">
      <w:pPr>
        <w:spacing w:after="120" w:line="276" w:lineRule="auto"/>
        <w:jc w:val="center"/>
        <w:rPr>
          <w:sz w:val="28"/>
        </w:rPr>
      </w:pPr>
      <w:r w:rsidRPr="00B81122">
        <w:rPr>
          <w:color w:val="555555"/>
          <w:sz w:val="28"/>
        </w:rPr>
        <w:t>Student ID</w:t>
      </w:r>
    </w:p>
    <w:p w14:paraId="3B488E1A" w14:textId="77777777" w:rsidR="003B7B84" w:rsidRPr="00B81122" w:rsidRDefault="003B7B84" w:rsidP="003B7B84">
      <w:pPr>
        <w:spacing w:after="280" w:line="276" w:lineRule="auto"/>
        <w:jc w:val="center"/>
        <w:rPr>
          <w:b/>
          <w:sz w:val="32"/>
          <w:szCs w:val="28"/>
        </w:rPr>
      </w:pPr>
      <w:r w:rsidRPr="00B81122">
        <w:rPr>
          <w:b/>
          <w:sz w:val="32"/>
          <w:szCs w:val="28"/>
        </w:rPr>
        <w:t>2517115</w:t>
      </w:r>
    </w:p>
    <w:p w14:paraId="69806012" w14:textId="77777777" w:rsidR="003B7B84" w:rsidRPr="00B81122" w:rsidRDefault="003B7B84" w:rsidP="003B7B84">
      <w:pPr>
        <w:spacing w:after="280" w:line="276" w:lineRule="auto"/>
        <w:jc w:val="center"/>
        <w:rPr>
          <w:sz w:val="28"/>
        </w:rPr>
      </w:pPr>
    </w:p>
    <w:p w14:paraId="7CF29091" w14:textId="77777777" w:rsidR="003B7B84" w:rsidRPr="00B81122" w:rsidRDefault="003B7B84" w:rsidP="003B7B84">
      <w:pPr>
        <w:spacing w:after="120" w:line="276" w:lineRule="auto"/>
        <w:jc w:val="center"/>
        <w:rPr>
          <w:sz w:val="28"/>
        </w:rPr>
      </w:pPr>
      <w:r w:rsidRPr="00B81122">
        <w:rPr>
          <w:color w:val="555555"/>
          <w:sz w:val="28"/>
        </w:rPr>
        <w:t>Module</w:t>
      </w:r>
    </w:p>
    <w:p w14:paraId="00A0F873" w14:textId="77777777" w:rsidR="003B7B84" w:rsidRPr="00B81122" w:rsidRDefault="003B7B84" w:rsidP="003B7B84">
      <w:pPr>
        <w:spacing w:after="280" w:line="276" w:lineRule="auto"/>
        <w:jc w:val="center"/>
        <w:rPr>
          <w:b/>
          <w:sz w:val="32"/>
          <w:szCs w:val="28"/>
        </w:rPr>
      </w:pPr>
      <w:r w:rsidRPr="00B81122">
        <w:rPr>
          <w:b/>
          <w:sz w:val="32"/>
          <w:szCs w:val="28"/>
        </w:rPr>
        <w:t>Psychology in Health and Social Care (LCHS4010)</w:t>
      </w:r>
    </w:p>
    <w:p w14:paraId="3A680B4D" w14:textId="77777777" w:rsidR="003B7B84" w:rsidRPr="00B81122" w:rsidRDefault="003B7B84" w:rsidP="003B7B84">
      <w:pPr>
        <w:spacing w:after="280" w:line="276" w:lineRule="auto"/>
        <w:jc w:val="center"/>
        <w:rPr>
          <w:sz w:val="28"/>
        </w:rPr>
      </w:pPr>
    </w:p>
    <w:p w14:paraId="4486534E" w14:textId="77777777" w:rsidR="003B7B84" w:rsidRPr="00B81122" w:rsidRDefault="003B7B84" w:rsidP="003B7B84">
      <w:pPr>
        <w:spacing w:after="120" w:line="276" w:lineRule="auto"/>
        <w:jc w:val="center"/>
        <w:rPr>
          <w:sz w:val="28"/>
        </w:rPr>
      </w:pPr>
      <w:r w:rsidRPr="00B81122">
        <w:rPr>
          <w:color w:val="555555"/>
          <w:sz w:val="28"/>
        </w:rPr>
        <w:t>Lecturer</w:t>
      </w:r>
    </w:p>
    <w:p w14:paraId="70369D77" w14:textId="01FFD45E" w:rsidR="003B7B84" w:rsidRPr="00B81122" w:rsidRDefault="008A0E0D" w:rsidP="003B7B84">
      <w:pPr>
        <w:spacing w:after="480" w:line="276" w:lineRule="auto"/>
        <w:jc w:val="center"/>
        <w:rPr>
          <w:b/>
          <w:sz w:val="32"/>
          <w:szCs w:val="28"/>
        </w:rPr>
      </w:pPr>
      <w:r w:rsidRPr="00B81122">
        <w:rPr>
          <w:b/>
          <w:sz w:val="32"/>
          <w:szCs w:val="28"/>
        </w:rPr>
        <w:t xml:space="preserve">Peace </w:t>
      </w:r>
      <w:r w:rsidR="00B81122">
        <w:rPr>
          <w:b/>
          <w:sz w:val="32"/>
          <w:szCs w:val="28"/>
        </w:rPr>
        <w:t>Ukachukwu</w:t>
      </w:r>
    </w:p>
    <w:p w14:paraId="7A43DF07" w14:textId="77777777" w:rsidR="003B7B84" w:rsidRPr="00B81122" w:rsidRDefault="003B7B84" w:rsidP="003B7B84">
      <w:pPr>
        <w:spacing w:after="480" w:line="276" w:lineRule="auto"/>
        <w:jc w:val="center"/>
        <w:rPr>
          <w:sz w:val="28"/>
        </w:rPr>
      </w:pPr>
    </w:p>
    <w:p w14:paraId="18D0190A" w14:textId="77777777" w:rsidR="003B7B84" w:rsidRPr="00B81122" w:rsidRDefault="003B7B84" w:rsidP="003B7B84">
      <w:pPr>
        <w:spacing w:after="120" w:line="276" w:lineRule="auto"/>
        <w:jc w:val="center"/>
        <w:rPr>
          <w:sz w:val="28"/>
        </w:rPr>
      </w:pPr>
      <w:r w:rsidRPr="00B81122">
        <w:rPr>
          <w:color w:val="555555"/>
          <w:sz w:val="28"/>
        </w:rPr>
        <w:t>Date of Submission</w:t>
      </w:r>
    </w:p>
    <w:p w14:paraId="025D541A" w14:textId="2F223D91" w:rsidR="003B7B84" w:rsidRPr="00B81122" w:rsidRDefault="008A0E0D" w:rsidP="003B7B84">
      <w:pPr>
        <w:spacing w:after="480" w:line="276" w:lineRule="auto"/>
        <w:jc w:val="center"/>
        <w:rPr>
          <w:sz w:val="28"/>
        </w:rPr>
      </w:pPr>
      <w:r w:rsidRPr="00B81122">
        <w:rPr>
          <w:b/>
          <w:sz w:val="32"/>
          <w:szCs w:val="28"/>
        </w:rPr>
        <w:t>August</w:t>
      </w:r>
      <w:r w:rsidR="003B7B84" w:rsidRPr="00B81122">
        <w:rPr>
          <w:b/>
          <w:sz w:val="32"/>
          <w:szCs w:val="28"/>
        </w:rPr>
        <w:t xml:space="preserve"> 2026</w:t>
      </w:r>
    </w:p>
    <w:p w14:paraId="51701727" w14:textId="77777777" w:rsidR="00EF0D6E" w:rsidRPr="00B81122" w:rsidRDefault="006656F7">
      <w:pPr>
        <w:pageBreakBefore/>
        <w:spacing w:after="400"/>
        <w:jc w:val="center"/>
      </w:pPr>
      <w:r w:rsidRPr="00B81122">
        <w:rPr>
          <w:b/>
          <w:bCs/>
          <w:sz w:val="28"/>
          <w:szCs w:val="28"/>
        </w:rPr>
        <w:lastRenderedPageBreak/>
        <w:t>The Impact of Social Media on Mental Health in Adolescence</w:t>
      </w:r>
    </w:p>
    <w:p w14:paraId="5435055E" w14:textId="77777777" w:rsidR="00EF0D6E" w:rsidRPr="00B81122" w:rsidRDefault="006656F7">
      <w:pPr>
        <w:spacing w:after="240"/>
        <w:jc w:val="both"/>
      </w:pPr>
      <w:r w:rsidRPr="00B81122">
        <w:t xml:space="preserve">Adolescence is a developmental stage marked by rapid biological maturation, evolving cognition, and an intensifying need to form a stable sense of self and secure relationships with others. Over the past decade, this stage has become inseparable from social media, with </w:t>
      </w:r>
      <w:proofErr w:type="gramStart"/>
      <w:r w:rsidRPr="00B81122">
        <w:t>the overwhelming majority of</w:t>
      </w:r>
      <w:proofErr w:type="gramEnd"/>
      <w:r w:rsidRPr="00B81122">
        <w:t xml:space="preserve"> young people now holding at least one social media account and engaging with these platforms daily (Agyapong-Opoku, Agyapong-Opoku and Greenshaw, 2025). Research into the psychological consequences of this exposure has produced a genuinely mixed picture: some studies report only weak or inconsistent associations between social media use and mental health outcomes, while others describe more troubling links with depression, anxiety, poor sleep and body dissatisfaction (Valkenburg, Meier and </w:t>
      </w:r>
      <w:proofErr w:type="spellStart"/>
      <w:r w:rsidRPr="00B81122">
        <w:t>Beyens</w:t>
      </w:r>
      <w:proofErr w:type="spellEnd"/>
      <w:r w:rsidRPr="00B81122">
        <w:t>, 2022; Khalaf et al., 2023). Adolescence itself is defined by profound change: cognitively, young people are developing more abstract and self-reflective thinking; emotionally, they are more reactive to social reward and rejection than either children or adults; and behaviourally, they are oriented increasingly towards peers rather than parents as sources of guidance and validation. Rather than treating social media as uniformly harmful or benign, this essay argues that its effects on adolescent wellbeing are best understood through the lens of developmental theory, since the platforms interact directly with the psychological tasks that define this life-stage. Specifically, this essay draws on Erikson's theory of psychosocial development and Bowlby's attachment theory to explain how and why adolescent mental health may be affected by exposure to social media, before critically evaluating the applicability of Erikson's theory to this contemporary context.</w:t>
      </w:r>
    </w:p>
    <w:p w14:paraId="40CD2BFC" w14:textId="3C146385" w:rsidR="00B81122" w:rsidRPr="00067259" w:rsidRDefault="00B81122" w:rsidP="007161EA">
      <w:pPr>
        <w:pStyle w:val="Heading2"/>
        <w:rPr>
          <w:color w:val="auto"/>
        </w:rPr>
      </w:pPr>
      <w:r w:rsidRPr="00067259">
        <w:rPr>
          <w:color w:val="auto"/>
        </w:rPr>
        <w:t>The Discourse</w:t>
      </w:r>
    </w:p>
    <w:p w14:paraId="420081A5" w14:textId="5FD34860" w:rsidR="007161EA" w:rsidRPr="007C7504" w:rsidRDefault="006656F7">
      <w:pPr>
        <w:spacing w:after="240"/>
        <w:jc w:val="both"/>
      </w:pPr>
      <w:r w:rsidRPr="00B81122">
        <w:t xml:space="preserve">Empirical research consistently identifies several recurring issues associated with adolescent social media use. First, passive consumption, particularly scrolling through curated images of peers and influencers, has been linked to </w:t>
      </w:r>
      <w:r w:rsidR="00B81122" w:rsidRPr="00B81122">
        <w:t>unfavourable</w:t>
      </w:r>
      <w:r w:rsidRPr="00B81122">
        <w:t xml:space="preserve"> social comparison and lowered self-esteem, especially among girls (Khalaf et al., 2023). Second, disrupted sleep is a frequently cited mechanism, as late-night use delays sleep onset and reduces sleep quality, which in turn predicts poorer emotional regulation and academic functioning (Khalaf et al., 2023). Third, cyberbullying and online conflict extend the reach of peer aggression beyond the school gates and into the home, removing what was once a place of respite (Agyapong-Opoku, Agyapong-Opoku and Greenshaw, 2025). At the same time, reviewers caution against overstating these harms: umbrella reviews synthesising dozens of meta-analyses and systematic reviews describe the overall association between social media use and mental health as small and highly dependent on how platforms are used, by whom, and in what social context </w:t>
      </w:r>
      <w:r w:rsidRPr="00B81122">
        <w:lastRenderedPageBreak/>
        <w:t xml:space="preserve">(Valkenburg, Meier and </w:t>
      </w:r>
      <w:proofErr w:type="spellStart"/>
      <w:r w:rsidRPr="00B81122">
        <w:t>Beyens</w:t>
      </w:r>
      <w:proofErr w:type="spellEnd"/>
      <w:r w:rsidRPr="00B81122">
        <w:t>, 2022). Active, connection-oriented use, for example, can bolster perceived social support, whereas passive or compulsive use tends to correlate with poorer outcomes. This inconsistency in the evidence base is precisely why developmental theory is useful: it does not predict a single uniform effect but instead explains why the same platforms might support one adolescent's development while undermining another's</w:t>
      </w:r>
      <w:r w:rsidR="007161EA">
        <w:t>.</w:t>
      </w:r>
    </w:p>
    <w:p w14:paraId="39B8D5A8" w14:textId="478C67C9" w:rsidR="003C023B" w:rsidRPr="007C7504" w:rsidRDefault="003C023B" w:rsidP="003C023B">
      <w:pPr>
        <w:pStyle w:val="Heading2"/>
        <w:rPr>
          <w:b/>
          <w:bCs/>
        </w:rPr>
      </w:pPr>
      <w:r w:rsidRPr="007C7504">
        <w:rPr>
          <w:b/>
          <w:bCs/>
          <w:color w:val="auto"/>
        </w:rPr>
        <w:t>Applying</w:t>
      </w:r>
      <w:r w:rsidR="00A55284" w:rsidRPr="007C7504">
        <w:rPr>
          <w:b/>
          <w:bCs/>
        </w:rPr>
        <w:t xml:space="preserve"> </w:t>
      </w:r>
      <w:r w:rsidR="00A55284" w:rsidRPr="007C7504">
        <w:rPr>
          <w:b/>
          <w:bCs/>
          <w:color w:val="000000" w:themeColor="text1"/>
        </w:rPr>
        <w:t xml:space="preserve">Erickson’s Psychosocial Theory </w:t>
      </w:r>
      <w:r w:rsidRPr="007C7504">
        <w:rPr>
          <w:b/>
          <w:bCs/>
          <w:color w:val="000000" w:themeColor="text1"/>
        </w:rPr>
        <w:t>to the</w:t>
      </w:r>
      <w:r w:rsidR="00A55284" w:rsidRPr="007C7504">
        <w:rPr>
          <w:b/>
          <w:bCs/>
          <w:color w:val="000000" w:themeColor="text1"/>
        </w:rPr>
        <w:t xml:space="preserve"> Impact of Social Media on </w:t>
      </w:r>
      <w:r w:rsidR="007161EA" w:rsidRPr="007C7504">
        <w:rPr>
          <w:b/>
          <w:bCs/>
          <w:color w:val="000000" w:themeColor="text1"/>
        </w:rPr>
        <w:t>Adolescence</w:t>
      </w:r>
      <w:r w:rsidR="00A55284" w:rsidRPr="007C7504">
        <w:rPr>
          <w:b/>
          <w:bCs/>
          <w:color w:val="000000" w:themeColor="text1"/>
        </w:rPr>
        <w:t xml:space="preserve"> Mental</w:t>
      </w:r>
      <w:r w:rsidR="007161EA" w:rsidRPr="007C7504">
        <w:rPr>
          <w:b/>
          <w:bCs/>
          <w:color w:val="000000" w:themeColor="text1"/>
        </w:rPr>
        <w:t xml:space="preserve"> Health</w:t>
      </w:r>
      <w:r w:rsidR="007161EA" w:rsidRPr="007C7504">
        <w:rPr>
          <w:b/>
          <w:bCs/>
        </w:rPr>
        <w:t>.</w:t>
      </w:r>
    </w:p>
    <w:p w14:paraId="5416CF66" w14:textId="444F0148" w:rsidR="00B81122" w:rsidRPr="003C023B" w:rsidRDefault="006656F7" w:rsidP="00B81122">
      <w:pPr>
        <w:spacing w:after="240"/>
        <w:jc w:val="both"/>
      </w:pPr>
      <w:r w:rsidRPr="00B81122">
        <w:t xml:space="preserve">Erikson's theory of psychosocial development frames adolescence as the stage of identity versus role confusion, in which the central task is to integrate one's emerging sense of self, values and social roles into a coherent identity, achieved through exploration and eventual commitment (Erikson, 1968, cited in Pérez-Torres, 2024). Social media platforms function as an unusually visible arena for this exploratory work. Adolescents use profiles, posts and stories to experiment with self-presentation, to compare themselves against peers and idealised role models, and to receive continuous feedback from an online audience of friends and strangers alike (Pérez-Torres, 2024). When this process goes well, feedback can affirm a developing identity, allowing adolescents to try out different self-concepts and consolidate the ones that feel authentic, supporting Erikson's notion of identity achievement. However, the same mechanisms can also destabilise identity formation. Constant social comparison against filtered, idealised images invites adolescents to measure their unfinished, still-forming identities against </w:t>
      </w:r>
      <w:r w:rsidR="00B81122" w:rsidRPr="00B81122">
        <w:t>others</w:t>
      </w:r>
      <w:r w:rsidRPr="00B81122">
        <w:t xml:space="preserve"> polished self-presentations, which can produce confusion, inadequacy and a fragmented rather than integrated sense of self (Pérez-Torres, 2024). Where feedback is scarce, inconsistent or hostile, as in cyberbullying, adolescents may struggle to resolve the identity crisis in a healthy way, drifting instead towards identity diffusion or an unstable, externally dependent self-concept. Erikson's framework therefore helps explain why the mental health effects of social media are so variable: the platforms amplify whichever direction the identity-formation process is already heading</w:t>
      </w:r>
    </w:p>
    <w:p w14:paraId="12F9824D" w14:textId="70766CD9" w:rsidR="003C023B" w:rsidRPr="007C7504" w:rsidRDefault="003C023B" w:rsidP="003C023B">
      <w:pPr>
        <w:pStyle w:val="Heading2"/>
        <w:rPr>
          <w:b/>
          <w:bCs/>
          <w:color w:val="auto"/>
        </w:rPr>
      </w:pPr>
      <w:r w:rsidRPr="007C7504">
        <w:rPr>
          <w:b/>
          <w:bCs/>
          <w:color w:val="auto"/>
        </w:rPr>
        <w:t xml:space="preserve">Bowlby’s </w:t>
      </w:r>
      <w:r w:rsidR="009D2833" w:rsidRPr="007C7504">
        <w:rPr>
          <w:b/>
          <w:bCs/>
          <w:color w:val="auto"/>
        </w:rPr>
        <w:t>Theory and Adoles</w:t>
      </w:r>
      <w:r w:rsidR="00655AAD" w:rsidRPr="007C7504">
        <w:rPr>
          <w:b/>
          <w:bCs/>
          <w:color w:val="auto"/>
        </w:rPr>
        <w:t>cence Mental Health in the Context of Social Media</w:t>
      </w:r>
    </w:p>
    <w:p w14:paraId="2C0F1464" w14:textId="2301B13F" w:rsidR="00EF0D6E" w:rsidRPr="00B81122" w:rsidRDefault="006656F7">
      <w:pPr>
        <w:spacing w:after="240"/>
        <w:jc w:val="both"/>
      </w:pPr>
      <w:r w:rsidRPr="00B81122">
        <w:t xml:space="preserve">Bowlby's attachment theory offers a complementary, and more relational, explanation. Bowlby proposed that early bonds with caregivers produce an internal working model, a set of expectations about whether others are trustworthy and whether the self is worthy of love and care, which subsequently guides relationships throughout life (Delgado et al., 2022). During adolescence, this attachment system is not discarded but is gradually extended from parents to friends and romantic partners, who increasingly serve as sources of proximity, comfort and a secure base (Delgado et al., 2022). Social media has become a central arena in which this </w:t>
      </w:r>
      <w:r w:rsidRPr="00B81122">
        <w:lastRenderedPageBreak/>
        <w:t>transfer of attachment plays out, since it is now a primary channel through which adolescents maintain closeness with peers, seek reassurance and negotiate belonging. For securely attached adolescents, who generally trust that others are responsive and that they themselves are worthy of connection, social media can function as a straightforward extension of existing supportive relationships, reinforcing wellbeing (Delgado et al., 2022). For adolescents with insecure or anxious attachment patterns, however, the same platforms can become a site of compulsive reassurance-seeking, where the ambiguity of likes, delayed replies or being excluded from group interactions is interpreted through a lens of pre-existing relational insecurity, intensifying anxiety and lowering self-worth. Cyberbullying and peer exclusion online may be especially damaging for these adolescents, as it confirms fears about unreliable or hurtful attachment figures rather than offering a genuinely secure base. Attachment theory thus complements Erikson's identity-focused account by highlighting that it is not only what adolescents present about themselves online, but how safely and consistently their relational needs are met there, that shapes psychological outcomes.</w:t>
      </w:r>
    </w:p>
    <w:p w14:paraId="58B4660E" w14:textId="77777777" w:rsidR="00B81122" w:rsidRPr="00B81122" w:rsidRDefault="00B81122">
      <w:pPr>
        <w:spacing w:after="240"/>
        <w:jc w:val="both"/>
        <w:rPr>
          <w:b/>
          <w:bCs/>
        </w:rPr>
      </w:pPr>
      <w:r w:rsidRPr="00B81122">
        <w:rPr>
          <w:b/>
          <w:bCs/>
        </w:rPr>
        <w:t>Comparative Analysis of Erikson and Bowlby Theories</w:t>
      </w:r>
    </w:p>
    <w:p w14:paraId="598E1A04" w14:textId="3942F4C1" w:rsidR="00EF0D6E" w:rsidRPr="00B81122" w:rsidRDefault="006656F7">
      <w:pPr>
        <w:spacing w:after="240"/>
        <w:jc w:val="both"/>
      </w:pPr>
      <w:r w:rsidRPr="00B81122">
        <w:t>Considered together, these two theories also illustrate the interplay of biological and environmental influences, or nature and nurture, that characterises adolescent development. Puberty brings heightened sensitivity to social reward and peer evaluation, a biologically rooted shift that makes adolescents particularly responsive to likes, comments and comparison, which helps explain why social media has such an outsized emotional pull at this age. Environmental factors, including family attachment history, peer relationships, and the design of social media platforms themselves, such as algorithmic content curation that favours idealised or emotionally arousing material, then shape whether this heightened sensitivity translates into resilience or distress (Agyapong-Opoku, Agyapong-Opoku and Greenshaw, 2025). Neither theory alone captures the whole picture; identity formation and attachment security interact, since adolescents with a secure relational base are typically better equipped to weather the social comparisons inherent in identity exploration online</w:t>
      </w:r>
      <w:r w:rsidR="00B81122" w:rsidRPr="00B81122">
        <w:t>.</w:t>
      </w:r>
    </w:p>
    <w:p w14:paraId="3B88F58D" w14:textId="77777777" w:rsidR="00EF0D6E" w:rsidRPr="00B81122" w:rsidRDefault="006656F7">
      <w:pPr>
        <w:spacing w:after="240"/>
        <w:jc w:val="both"/>
      </w:pPr>
      <w:r w:rsidRPr="00B81122">
        <w:t xml:space="preserve">Evaluating Erikson's theory specifically, its usefulness in this context lies in its focus on identity as an active, exploratory process, which maps naturally onto the self-presentation and social comparison behaviours so visible on social media, and it offers practitioners a recognisable vocabulary for understanding why adolescents are so preoccupied with how they appear to others online. However, the theory has notable limitations when applied to a digital context. It was formulated decades before social media existed and assumes a largely universal, linear progression through stages, which sits uneasily with evidence that identity development is more cyclical, culturally variable and shaped by intersecting factors such as gender, sexuality </w:t>
      </w:r>
      <w:r w:rsidRPr="00B81122">
        <w:lastRenderedPageBreak/>
        <w:t>and ethnicity that Erikson's original model did not account for. Moreover, Erikson's theory describes identity outcomes but says little about the specific mechanisms, such as algorithmic amplification of comparison content, by which digital platforms accelerate or distort the identity process, meaning it needs to be supplemented by more contemporary, media-specific research to fully explain observed harms. A further limitation is that the theory was developed from a largely Western, individualistic conception of selfhood, which may not adequately capture identity processes in more collectivist cultural contexts, where online identity exploration may be more closely bound to family and community expectations than to individual self-actualisation. Despite these limitations, Erikson's framework retains value precisely because it is broad enough to accommodate new contexts of exploration, including digital ones, without losing its central insight that identity is actively constructed through social feedback, which remains directly observable in adolescents' online behaviour today.</w:t>
      </w:r>
    </w:p>
    <w:p w14:paraId="04543629" w14:textId="77777777" w:rsidR="00B81122" w:rsidRPr="00B81122" w:rsidRDefault="00B81122">
      <w:pPr>
        <w:spacing w:after="240"/>
        <w:jc w:val="both"/>
        <w:rPr>
          <w:b/>
          <w:bCs/>
        </w:rPr>
      </w:pPr>
      <w:r w:rsidRPr="00B81122">
        <w:rPr>
          <w:b/>
          <w:bCs/>
        </w:rPr>
        <w:t>Conclusion</w:t>
      </w:r>
    </w:p>
    <w:p w14:paraId="104103DC" w14:textId="2CD862D4" w:rsidR="00EF0D6E" w:rsidRPr="00B81122" w:rsidRDefault="006656F7">
      <w:pPr>
        <w:spacing w:after="240"/>
        <w:jc w:val="both"/>
      </w:pPr>
      <w:r w:rsidRPr="00B81122">
        <w:t xml:space="preserve">In conclusion, social media's impact on adolescent mental health cannot be reduced to a simple verdict of harm or benefit; the research evidence itself is mixed because the effects depend on how, why and by whom the platforms are used. Erikson's theory of psychosocial development explains this variability by showing how social media can either support or destabilise the exploration and consolidation of identity, while Bowlby's attachment theory explains it by showing how pre-existing relational security shapes whether online interactions are experienced as reassuring or threatening. Together, these theories suggest that adolescent mental health is shaped less by social media use </w:t>
      </w:r>
      <w:proofErr w:type="gramStart"/>
      <w:r w:rsidRPr="00B81122">
        <w:t>in itself than</w:t>
      </w:r>
      <w:proofErr w:type="gramEnd"/>
      <w:r w:rsidRPr="00B81122">
        <w:t xml:space="preserve"> by the developmental and relational context an adolescent brings to it, a conclusion with direct relevance for parents, educators and health and social care practitioners seeking to support young people navigating digital life.</w:t>
      </w:r>
    </w:p>
    <w:p w14:paraId="293DB609" w14:textId="77777777" w:rsidR="00EF0D6E" w:rsidRPr="00B81122" w:rsidRDefault="006656F7">
      <w:pPr>
        <w:pageBreakBefore/>
        <w:spacing w:after="240"/>
      </w:pPr>
      <w:r w:rsidRPr="00B81122">
        <w:rPr>
          <w:b/>
          <w:bCs/>
          <w:sz w:val="28"/>
          <w:szCs w:val="28"/>
        </w:rPr>
        <w:lastRenderedPageBreak/>
        <w:t>References</w:t>
      </w:r>
    </w:p>
    <w:p w14:paraId="3F7D4A11" w14:textId="77777777" w:rsidR="00EF0D6E" w:rsidRPr="00B81122" w:rsidRDefault="006656F7">
      <w:pPr>
        <w:spacing w:after="200"/>
        <w:ind w:left="720" w:hanging="720"/>
      </w:pPr>
      <w:r w:rsidRPr="00B81122">
        <w:t xml:space="preserve">Agyapong-Opoku, N., Agyapong-Opoku, F. and Greenshaw, A.J. (2025) 'Effects of social media use on youth and adolescent mental health: a scoping review of reviews', </w:t>
      </w:r>
      <w:proofErr w:type="spellStart"/>
      <w:r w:rsidRPr="00B81122">
        <w:t>Behavioral</w:t>
      </w:r>
      <w:proofErr w:type="spellEnd"/>
      <w:r w:rsidRPr="00B81122">
        <w:t xml:space="preserve"> Sciences, 15(5), p. 574. Available at: https://doi.org/10.3390/bs15050574 (Accessed: 27 July 2026).</w:t>
      </w:r>
    </w:p>
    <w:p w14:paraId="448F3D00" w14:textId="77777777" w:rsidR="00EF0D6E" w:rsidRPr="00B81122" w:rsidRDefault="006656F7">
      <w:pPr>
        <w:spacing w:after="200"/>
        <w:ind w:left="720" w:hanging="720"/>
      </w:pPr>
      <w:r w:rsidRPr="00B81122">
        <w:t>Delgado, E., Serna, C., Martínez, I. and Cruise, E. (2022) 'Parental attachment and peer relationships in adolescence: a systematic review', International Journal of Environmental Research and Public Health, 19(3), p. 1064. Available at: https://doi.org/10.3390/ijerph19031064 (Accessed: 27 July 2026).</w:t>
      </w:r>
    </w:p>
    <w:p w14:paraId="46240623" w14:textId="77777777" w:rsidR="00EF0D6E" w:rsidRPr="00B81122" w:rsidRDefault="006656F7">
      <w:pPr>
        <w:spacing w:after="200"/>
        <w:ind w:left="720" w:hanging="720"/>
      </w:pPr>
      <w:r w:rsidRPr="00B81122">
        <w:t xml:space="preserve">Khalaf, A.M., </w:t>
      </w:r>
      <w:proofErr w:type="spellStart"/>
      <w:r w:rsidRPr="00B81122">
        <w:t>Alubied</w:t>
      </w:r>
      <w:proofErr w:type="spellEnd"/>
      <w:r w:rsidRPr="00B81122">
        <w:t xml:space="preserve">, A.A., Khalaf, A.M. and </w:t>
      </w:r>
      <w:proofErr w:type="spellStart"/>
      <w:r w:rsidRPr="00B81122">
        <w:t>Rifaey</w:t>
      </w:r>
      <w:proofErr w:type="spellEnd"/>
      <w:r w:rsidRPr="00B81122">
        <w:t xml:space="preserve">, A.A. (2023) 'The impact of social media on the mental health of adolescents and young adults: a systematic review', </w:t>
      </w:r>
      <w:proofErr w:type="spellStart"/>
      <w:r w:rsidRPr="00B81122">
        <w:t>Cureus</w:t>
      </w:r>
      <w:proofErr w:type="spellEnd"/>
      <w:r w:rsidRPr="00B81122">
        <w:t>, 15(8), e42990. Available at: https://doi.org/10.7759/cureus.42990 (Accessed: 27 July 2026).</w:t>
      </w:r>
    </w:p>
    <w:p w14:paraId="6F0C3E16" w14:textId="77777777" w:rsidR="00EF0D6E" w:rsidRPr="00B81122" w:rsidRDefault="006656F7">
      <w:pPr>
        <w:spacing w:after="200"/>
        <w:ind w:left="720" w:hanging="720"/>
      </w:pPr>
      <w:r w:rsidRPr="00B81122">
        <w:t>Pérez-Torres, V. (2024) 'Social media: a digital social mirror for identity development during adolescence', Current Psychology, 43(26), pp. 22170–22180. Available at: https://doi.org/10.1007/s12144-024-05980-z (Accessed: 27 July 2026).</w:t>
      </w:r>
    </w:p>
    <w:p w14:paraId="43B6B5DF" w14:textId="77777777" w:rsidR="00EF0D6E" w:rsidRPr="00B81122" w:rsidRDefault="006656F7">
      <w:pPr>
        <w:spacing w:after="200"/>
        <w:ind w:left="720" w:hanging="720"/>
      </w:pPr>
      <w:r w:rsidRPr="00B81122">
        <w:t>Tølbøll, K.B. (2026) 'Review: social media use and adolescent mental health – an umbrella review and power analysis', Child and Adolescent Mental Health. Available at: https://doi.org/10.1111/camh.70071 (Accessed: 27 July 2026).</w:t>
      </w:r>
    </w:p>
    <w:p w14:paraId="536C0ACC" w14:textId="77777777" w:rsidR="00EF0D6E" w:rsidRDefault="006656F7">
      <w:pPr>
        <w:spacing w:after="200"/>
        <w:ind w:left="720" w:hanging="720"/>
      </w:pPr>
      <w:r w:rsidRPr="00B81122">
        <w:t xml:space="preserve">Valkenburg, P.M., Meier, A. and </w:t>
      </w:r>
      <w:proofErr w:type="spellStart"/>
      <w:r w:rsidRPr="00B81122">
        <w:t>Beyens</w:t>
      </w:r>
      <w:proofErr w:type="spellEnd"/>
      <w:r w:rsidRPr="00B81122">
        <w:t>, I. (2022) 'Social media use and its impact on adolescent mental health: an umbrella review of the evidence', Current Opinion in Psychology, 44, pp. 58–68. Available at: https://doi.org/10.1016/j.copsyc.2021.08.017 (Accessed: 27 July 2026).</w:t>
      </w:r>
    </w:p>
    <w:sectPr w:rsidR="00EF0D6E">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7095F" w14:textId="77777777" w:rsidR="00467D46" w:rsidRPr="00B81122" w:rsidRDefault="00467D46">
      <w:pPr>
        <w:spacing w:line="240" w:lineRule="auto"/>
      </w:pPr>
      <w:r w:rsidRPr="00B81122">
        <w:separator/>
      </w:r>
    </w:p>
  </w:endnote>
  <w:endnote w:type="continuationSeparator" w:id="0">
    <w:p w14:paraId="1AD19671" w14:textId="77777777" w:rsidR="00467D46" w:rsidRPr="00B81122" w:rsidRDefault="00467D46">
      <w:pPr>
        <w:spacing w:line="240" w:lineRule="auto"/>
      </w:pPr>
      <w:r w:rsidRPr="00B8112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D1619" w14:textId="77777777" w:rsidR="00EF0D6E" w:rsidRPr="00B81122" w:rsidRDefault="006656F7">
    <w:pPr>
      <w:jc w:val="center"/>
    </w:pPr>
    <w:r w:rsidRPr="00B81122">
      <w:fldChar w:fldCharType="begin"/>
    </w:r>
    <w:r w:rsidRPr="00B81122">
      <w:instrText>PAGE</w:instrText>
    </w:r>
    <w:r w:rsidRPr="00B81122">
      <w:fldChar w:fldCharType="separate"/>
    </w:r>
    <w:r w:rsidR="00776F98" w:rsidRPr="00B81122">
      <w:t>1</w:t>
    </w:r>
    <w:r w:rsidRPr="00B81122">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22C1B" w14:textId="77777777" w:rsidR="00467D46" w:rsidRPr="00B81122" w:rsidRDefault="00467D46">
      <w:pPr>
        <w:spacing w:line="240" w:lineRule="auto"/>
      </w:pPr>
      <w:r w:rsidRPr="00B81122">
        <w:separator/>
      </w:r>
    </w:p>
  </w:footnote>
  <w:footnote w:type="continuationSeparator" w:id="0">
    <w:p w14:paraId="6BC1F5B3" w14:textId="77777777" w:rsidR="00467D46" w:rsidRPr="00B81122" w:rsidRDefault="00467D46">
      <w:pPr>
        <w:spacing w:line="240" w:lineRule="auto"/>
      </w:pPr>
      <w:r w:rsidRPr="00B8112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AA5B8E"/>
    <w:multiLevelType w:val="hybridMultilevel"/>
    <w:tmpl w:val="6598CF82"/>
    <w:lvl w:ilvl="0" w:tplc="472A84D8">
      <w:start w:val="1"/>
      <w:numFmt w:val="bullet"/>
      <w:lvlText w:val="●"/>
      <w:lvlJc w:val="left"/>
      <w:pPr>
        <w:ind w:left="720" w:hanging="360"/>
      </w:pPr>
    </w:lvl>
    <w:lvl w:ilvl="1" w:tplc="EA6847EC">
      <w:start w:val="1"/>
      <w:numFmt w:val="bullet"/>
      <w:lvlText w:val="○"/>
      <w:lvlJc w:val="left"/>
      <w:pPr>
        <w:ind w:left="1440" w:hanging="360"/>
      </w:pPr>
    </w:lvl>
    <w:lvl w:ilvl="2" w:tplc="8384D950">
      <w:start w:val="1"/>
      <w:numFmt w:val="bullet"/>
      <w:lvlText w:val="■"/>
      <w:lvlJc w:val="left"/>
      <w:pPr>
        <w:ind w:left="2160" w:hanging="360"/>
      </w:pPr>
    </w:lvl>
    <w:lvl w:ilvl="3" w:tplc="7D7C6074">
      <w:start w:val="1"/>
      <w:numFmt w:val="bullet"/>
      <w:lvlText w:val="●"/>
      <w:lvlJc w:val="left"/>
      <w:pPr>
        <w:ind w:left="2880" w:hanging="360"/>
      </w:pPr>
    </w:lvl>
    <w:lvl w:ilvl="4" w:tplc="CC3A44B2">
      <w:start w:val="1"/>
      <w:numFmt w:val="bullet"/>
      <w:lvlText w:val="○"/>
      <w:lvlJc w:val="left"/>
      <w:pPr>
        <w:ind w:left="3600" w:hanging="360"/>
      </w:pPr>
    </w:lvl>
    <w:lvl w:ilvl="5" w:tplc="C20AB36C">
      <w:start w:val="1"/>
      <w:numFmt w:val="bullet"/>
      <w:lvlText w:val="■"/>
      <w:lvlJc w:val="left"/>
      <w:pPr>
        <w:ind w:left="4320" w:hanging="360"/>
      </w:pPr>
    </w:lvl>
    <w:lvl w:ilvl="6" w:tplc="B8146FB4">
      <w:start w:val="1"/>
      <w:numFmt w:val="bullet"/>
      <w:lvlText w:val="●"/>
      <w:lvlJc w:val="left"/>
      <w:pPr>
        <w:ind w:left="5040" w:hanging="360"/>
      </w:pPr>
    </w:lvl>
    <w:lvl w:ilvl="7" w:tplc="E2768CF4">
      <w:start w:val="1"/>
      <w:numFmt w:val="bullet"/>
      <w:lvlText w:val="●"/>
      <w:lvlJc w:val="left"/>
      <w:pPr>
        <w:ind w:left="5760" w:hanging="360"/>
      </w:pPr>
    </w:lvl>
    <w:lvl w:ilvl="8" w:tplc="0F7AFF16">
      <w:start w:val="1"/>
      <w:numFmt w:val="bullet"/>
      <w:lvlText w:val="●"/>
      <w:lvlJc w:val="left"/>
      <w:pPr>
        <w:ind w:left="6480" w:hanging="360"/>
      </w:pPr>
    </w:lvl>
  </w:abstractNum>
  <w:num w:numId="1" w16cid:durableId="156475424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D6E"/>
    <w:rsid w:val="00067259"/>
    <w:rsid w:val="000E32B7"/>
    <w:rsid w:val="00260794"/>
    <w:rsid w:val="003B7B84"/>
    <w:rsid w:val="003C023B"/>
    <w:rsid w:val="00467D46"/>
    <w:rsid w:val="004B0509"/>
    <w:rsid w:val="004C009C"/>
    <w:rsid w:val="00655AAD"/>
    <w:rsid w:val="006656F7"/>
    <w:rsid w:val="007161EA"/>
    <w:rsid w:val="00776F98"/>
    <w:rsid w:val="007C7504"/>
    <w:rsid w:val="007F310C"/>
    <w:rsid w:val="008A0E0D"/>
    <w:rsid w:val="009D2833"/>
    <w:rsid w:val="00A55284"/>
    <w:rsid w:val="00B81122"/>
    <w:rsid w:val="00BB68CF"/>
    <w:rsid w:val="00BD0BA7"/>
    <w:rsid w:val="00EF0D6E"/>
    <w:rsid w:val="00F62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F94B2"/>
  <w15:docId w15:val="{68D0B24A-6CA8-406F-B686-26A46B1E9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3B7B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7B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2812</TotalTime>
  <Pages>6</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Elizabeth Obafemi</cp:lastModifiedBy>
  <cp:revision>8</cp:revision>
  <dcterms:created xsi:type="dcterms:W3CDTF">2026-08-01T08:32:00Z</dcterms:created>
  <dcterms:modified xsi:type="dcterms:W3CDTF">2026-08-08T11:10:00Z</dcterms:modified>
</cp:coreProperties>
</file>