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D8548E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C2CBA">
              <w:rPr>
                <w:rFonts w:ascii="Times New Roman" w:hAnsi="Times New Roman" w:cs="Times New Roman"/>
                <w:b/>
                <w:color w:val="auto"/>
                <w:sz w:val="48"/>
              </w:rPr>
              <w:t xml:space="preserve">Rebecca Dalling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165C6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C2CBA">
              <w:rPr>
                <w:rFonts w:ascii="Times New Roman" w:hAnsi="Times New Roman" w:cs="Times New Roman"/>
                <w:b/>
                <w:color w:val="auto"/>
                <w:sz w:val="48"/>
              </w:rPr>
              <w:t xml:space="preserve"> </w:t>
            </w:r>
            <w:r w:rsidR="00003BF2">
              <w:rPr>
                <w:rFonts w:ascii="Times New Roman" w:hAnsi="Times New Roman" w:cs="Times New Roman"/>
                <w:b/>
                <w:color w:val="auto"/>
                <w:sz w:val="48"/>
              </w:rPr>
              <w:t>rldalling@icloud.com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EFCE56B" w14:textId="77777777" w:rsidR="002C2CB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66741956" w:rsidR="00F927A1" w:rsidRPr="005D3F07" w:rsidRDefault="002C2CB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1803118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E074C4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C2CBA">
              <w:rPr>
                <w:rFonts w:ascii="Times New Roman" w:hAnsi="Times New Roman" w:cs="Times New Roman"/>
                <w:b/>
                <w:color w:val="auto"/>
                <w:sz w:val="48"/>
              </w:rPr>
              <w:t xml:space="preserve"> 26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AB15A0">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AB15A0">
            <w:pPr>
              <w:spacing w:line="276" w:lineRule="auto"/>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AB15A0">
            <w:pPr>
              <w:spacing w:line="360" w:lineRule="auto"/>
              <w:jc w:val="both"/>
              <w:rPr>
                <w:sz w:val="24"/>
                <w:szCs w:val="24"/>
              </w:rPr>
            </w:pPr>
          </w:p>
          <w:p w14:paraId="480A579F" w14:textId="77777777" w:rsidR="00532A92" w:rsidRPr="006108C9" w:rsidRDefault="00532A92" w:rsidP="00AB15A0">
            <w:pPr>
              <w:spacing w:line="360" w:lineRule="auto"/>
              <w:jc w:val="both"/>
              <w:rPr>
                <w:sz w:val="24"/>
                <w:szCs w:val="24"/>
              </w:rPr>
            </w:pPr>
          </w:p>
          <w:p w14:paraId="4FD037E4" w14:textId="77777777" w:rsidR="00532A92" w:rsidRDefault="00532A92" w:rsidP="00AB15A0">
            <w:pPr>
              <w:spacing w:line="360" w:lineRule="auto"/>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318E819" w14:textId="77777777" w:rsidR="00FC0334" w:rsidRDefault="00FC0334" w:rsidP="00AB15A0">
            <w:pPr>
              <w:spacing w:line="360" w:lineRule="auto"/>
              <w:jc w:val="both"/>
              <w:rPr>
                <w:sz w:val="24"/>
                <w:szCs w:val="24"/>
              </w:rPr>
            </w:pPr>
          </w:p>
          <w:p w14:paraId="6387022B" w14:textId="77777777" w:rsidR="00532A92" w:rsidRDefault="00532A92" w:rsidP="00AB15A0">
            <w:pPr>
              <w:spacing w:line="360" w:lineRule="auto"/>
              <w:jc w:val="both"/>
              <w:rPr>
                <w:sz w:val="24"/>
                <w:szCs w:val="24"/>
              </w:rPr>
            </w:pPr>
          </w:p>
          <w:p w14:paraId="6EB7B9DA" w14:textId="77777777" w:rsidR="00D03A05" w:rsidRDefault="00221349" w:rsidP="00AB15A0">
            <w:pPr>
              <w:spacing w:line="360" w:lineRule="auto"/>
              <w:jc w:val="both"/>
              <w:rPr>
                <w:sz w:val="24"/>
                <w:szCs w:val="24"/>
              </w:rPr>
            </w:pPr>
            <w:r>
              <w:rPr>
                <w:sz w:val="24"/>
                <w:szCs w:val="24"/>
              </w:rPr>
              <w:t xml:space="preserve">There are several legislations with the United Kingdom that underpin safeguarding of children. Some of these are relevant to all the </w:t>
            </w:r>
            <w:r w:rsidR="00517363">
              <w:rPr>
                <w:sz w:val="24"/>
                <w:szCs w:val="24"/>
              </w:rPr>
              <w:t>United Kingdom</w:t>
            </w:r>
            <w:r>
              <w:rPr>
                <w:sz w:val="24"/>
                <w:szCs w:val="24"/>
              </w:rPr>
              <w:t xml:space="preserve">, however others are specific </w:t>
            </w:r>
            <w:r w:rsidR="00532A92">
              <w:rPr>
                <w:sz w:val="24"/>
                <w:szCs w:val="24"/>
              </w:rPr>
              <w:t>in</w:t>
            </w:r>
            <w:r>
              <w:rPr>
                <w:sz w:val="24"/>
                <w:szCs w:val="24"/>
              </w:rPr>
              <w:t xml:space="preserve"> Wales.</w:t>
            </w:r>
          </w:p>
          <w:p w14:paraId="543B406A" w14:textId="019C3851" w:rsidR="00FB4178" w:rsidRDefault="00C17671" w:rsidP="00AB15A0">
            <w:pPr>
              <w:spacing w:line="360" w:lineRule="auto"/>
              <w:jc w:val="both"/>
              <w:rPr>
                <w:sz w:val="24"/>
                <w:szCs w:val="24"/>
              </w:rPr>
            </w:pPr>
            <w:r>
              <w:rPr>
                <w:sz w:val="24"/>
                <w:szCs w:val="24"/>
              </w:rPr>
              <w:t xml:space="preserve">A ‘child at risk’ is defined </w:t>
            </w:r>
            <w:r w:rsidR="00981122">
              <w:rPr>
                <w:sz w:val="24"/>
                <w:szCs w:val="24"/>
              </w:rPr>
              <w:t xml:space="preserve">in </w:t>
            </w:r>
            <w:r w:rsidR="00E51936">
              <w:rPr>
                <w:sz w:val="24"/>
                <w:szCs w:val="24"/>
              </w:rPr>
              <w:t xml:space="preserve">Part 7 of </w:t>
            </w:r>
            <w:r w:rsidR="00981122">
              <w:rPr>
                <w:sz w:val="24"/>
                <w:szCs w:val="24"/>
              </w:rPr>
              <w:t>T</w:t>
            </w:r>
            <w:r w:rsidR="00981122" w:rsidRPr="004A3AC1">
              <w:rPr>
                <w:sz w:val="24"/>
                <w:szCs w:val="24"/>
              </w:rPr>
              <w:t xml:space="preserve">he Social Services and Well-being (Wales) Act </w:t>
            </w:r>
            <w:r w:rsidR="00981122">
              <w:rPr>
                <w:sz w:val="24"/>
                <w:szCs w:val="24"/>
              </w:rPr>
              <w:t>[SSWB</w:t>
            </w:r>
            <w:r w:rsidR="00E51936">
              <w:rPr>
                <w:sz w:val="24"/>
                <w:szCs w:val="24"/>
              </w:rPr>
              <w:t>[W]</w:t>
            </w:r>
            <w:r w:rsidR="00981122">
              <w:rPr>
                <w:sz w:val="24"/>
                <w:szCs w:val="24"/>
              </w:rPr>
              <w:t xml:space="preserve">A] </w:t>
            </w:r>
            <w:r w:rsidR="00E51936">
              <w:rPr>
                <w:sz w:val="24"/>
                <w:szCs w:val="24"/>
              </w:rPr>
              <w:t xml:space="preserve">(2014) </w:t>
            </w:r>
            <w:r w:rsidR="00981122">
              <w:rPr>
                <w:sz w:val="24"/>
                <w:szCs w:val="24"/>
              </w:rPr>
              <w:t xml:space="preserve">section 130 (4) </w:t>
            </w:r>
            <w:r>
              <w:rPr>
                <w:sz w:val="24"/>
                <w:szCs w:val="24"/>
              </w:rPr>
              <w:t>as</w:t>
            </w:r>
            <w:r w:rsidR="00981122">
              <w:rPr>
                <w:sz w:val="24"/>
                <w:szCs w:val="24"/>
              </w:rPr>
              <w:t xml:space="preserve"> “a child who ‘is experiencing or is at risk of abuse, neglect or other kinds of harm”. Under the Wales Safeguard procedure</w:t>
            </w:r>
            <w:r w:rsidR="00E51936">
              <w:rPr>
                <w:sz w:val="24"/>
                <w:szCs w:val="24"/>
              </w:rPr>
              <w:t>s</w:t>
            </w:r>
            <w:r w:rsidR="00981122">
              <w:rPr>
                <w:sz w:val="24"/>
                <w:szCs w:val="24"/>
              </w:rPr>
              <w:t xml:space="preserve"> (2019</w:t>
            </w:r>
            <w:r w:rsidR="00382745">
              <w:rPr>
                <w:sz w:val="24"/>
                <w:szCs w:val="24"/>
              </w:rPr>
              <w:t>) it</w:t>
            </w:r>
            <w:r w:rsidR="00981122">
              <w:rPr>
                <w:sz w:val="24"/>
                <w:szCs w:val="24"/>
              </w:rPr>
              <w:t xml:space="preserve"> is everyone’s </w:t>
            </w:r>
            <w:r w:rsidR="002813D9">
              <w:rPr>
                <w:sz w:val="24"/>
                <w:szCs w:val="24"/>
              </w:rPr>
              <w:t xml:space="preserve">responsibility to report if they have suspicion, concerns or knowledge of a child that is suffering or at risk of harm or </w:t>
            </w:r>
            <w:r w:rsidR="002813D9" w:rsidRPr="00FB4178">
              <w:rPr>
                <w:sz w:val="24"/>
                <w:szCs w:val="24"/>
              </w:rPr>
              <w:t>abuse.</w:t>
            </w:r>
            <w:r w:rsidR="00FB4178" w:rsidRPr="00FB4178">
              <w:rPr>
                <w:sz w:val="24"/>
                <w:szCs w:val="24"/>
              </w:rPr>
              <w:t xml:space="preserve"> The Children’s Act 1989 is the encompassing legislation for safeguarding children</w:t>
            </w:r>
          </w:p>
          <w:p w14:paraId="59860AD6" w14:textId="77777777" w:rsidR="00D03A05" w:rsidRDefault="00D03A05" w:rsidP="00AB15A0">
            <w:pPr>
              <w:spacing w:line="360" w:lineRule="auto"/>
              <w:jc w:val="both"/>
              <w:rPr>
                <w:sz w:val="24"/>
                <w:szCs w:val="24"/>
              </w:rPr>
            </w:pPr>
          </w:p>
          <w:p w14:paraId="065AA064" w14:textId="5B274795" w:rsidR="00D03A05" w:rsidRDefault="00382745" w:rsidP="00AB15A0">
            <w:pPr>
              <w:spacing w:line="360" w:lineRule="auto"/>
              <w:jc w:val="both"/>
              <w:rPr>
                <w:sz w:val="24"/>
                <w:szCs w:val="24"/>
              </w:rPr>
            </w:pPr>
            <w:r>
              <w:rPr>
                <w:sz w:val="24"/>
                <w:szCs w:val="24"/>
              </w:rPr>
              <w:t>Within Wales there are specific time scales a Practitoner must adhere to once a referral has been placed where there has been concerns raised regarding a child’s safety. Once the referral has been submitted, the local authority should determine a response within 24 hours. The Practitoner then has 45 days to complete the assessment.</w:t>
            </w:r>
          </w:p>
          <w:p w14:paraId="00F3CE69" w14:textId="586BCD33" w:rsidR="00532A92" w:rsidRDefault="00532A92" w:rsidP="00AB15A0">
            <w:pPr>
              <w:spacing w:line="360" w:lineRule="auto"/>
              <w:jc w:val="both"/>
              <w:rPr>
                <w:sz w:val="24"/>
                <w:szCs w:val="24"/>
              </w:rPr>
            </w:pPr>
          </w:p>
          <w:p w14:paraId="0AC53D7F" w14:textId="39736E72" w:rsidR="00517363" w:rsidRDefault="00E51936" w:rsidP="00AB15A0">
            <w:pPr>
              <w:spacing w:line="360" w:lineRule="auto"/>
              <w:jc w:val="both"/>
              <w:rPr>
                <w:sz w:val="24"/>
                <w:szCs w:val="24"/>
              </w:rPr>
            </w:pPr>
            <w:r>
              <w:rPr>
                <w:sz w:val="24"/>
                <w:szCs w:val="24"/>
              </w:rPr>
              <w:lastRenderedPageBreak/>
              <w:t>SSWB[W]A</w:t>
            </w:r>
            <w:r w:rsidR="00981122">
              <w:rPr>
                <w:sz w:val="24"/>
                <w:szCs w:val="24"/>
              </w:rPr>
              <w:t xml:space="preserve"> </w:t>
            </w:r>
            <w:r>
              <w:rPr>
                <w:sz w:val="24"/>
                <w:szCs w:val="24"/>
              </w:rPr>
              <w:t>(</w:t>
            </w:r>
            <w:r w:rsidR="00532A92" w:rsidRPr="00A1047B">
              <w:rPr>
                <w:sz w:val="24"/>
                <w:szCs w:val="24"/>
              </w:rPr>
              <w:t>2014)</w:t>
            </w:r>
            <w:r w:rsidR="00652B47">
              <w:rPr>
                <w:sz w:val="24"/>
                <w:szCs w:val="24"/>
              </w:rPr>
              <w:t xml:space="preserve"> underpins and </w:t>
            </w:r>
            <w:r w:rsidR="00A17725">
              <w:rPr>
                <w:sz w:val="24"/>
                <w:szCs w:val="24"/>
              </w:rPr>
              <w:t xml:space="preserve">within </w:t>
            </w:r>
            <w:r w:rsidR="00652B47">
              <w:rPr>
                <w:sz w:val="24"/>
                <w:szCs w:val="24"/>
              </w:rPr>
              <w:t xml:space="preserve">Part 7 section 130 it identifies </w:t>
            </w:r>
            <w:r w:rsidR="00F154A6">
              <w:rPr>
                <w:sz w:val="24"/>
                <w:szCs w:val="24"/>
              </w:rPr>
              <w:t>that i</w:t>
            </w:r>
            <w:r w:rsidR="00A17725">
              <w:rPr>
                <w:sz w:val="24"/>
                <w:szCs w:val="24"/>
              </w:rPr>
              <w:t>f there is “</w:t>
            </w:r>
            <w:r w:rsidR="00A17725" w:rsidRPr="00A17725">
              <w:rPr>
                <w:sz w:val="24"/>
                <w:szCs w:val="24"/>
              </w:rPr>
              <w:t>reasonable cause to suspect that a child is a child at risk and appears to be within the authority's area</w:t>
            </w:r>
            <w:r w:rsidR="00A17725">
              <w:rPr>
                <w:sz w:val="24"/>
                <w:szCs w:val="24"/>
              </w:rPr>
              <w:t xml:space="preserve">” then people have a duty to report. ‘Partner agencies’ that may share information during safeguarding concerns are members of the public, the police, health, social care and education. This demonstrates that they are working under section 28 of the Children’ Act (2004).  </w:t>
            </w:r>
          </w:p>
          <w:p w14:paraId="56C71668" w14:textId="77777777" w:rsidR="005B2A65" w:rsidRDefault="005B2A65" w:rsidP="00AB15A0">
            <w:pPr>
              <w:spacing w:line="360" w:lineRule="auto"/>
              <w:jc w:val="both"/>
              <w:rPr>
                <w:sz w:val="24"/>
                <w:szCs w:val="24"/>
              </w:rPr>
            </w:pPr>
          </w:p>
          <w:p w14:paraId="37A61A39" w14:textId="67622518" w:rsidR="005B2A65" w:rsidRDefault="005B2A65" w:rsidP="00AB15A0">
            <w:pPr>
              <w:spacing w:line="360" w:lineRule="auto"/>
              <w:jc w:val="both"/>
              <w:rPr>
                <w:sz w:val="24"/>
                <w:szCs w:val="24"/>
              </w:rPr>
            </w:pPr>
            <w:r>
              <w:rPr>
                <w:sz w:val="24"/>
                <w:szCs w:val="24"/>
              </w:rPr>
              <w:t xml:space="preserve">The </w:t>
            </w:r>
            <w:r w:rsidR="009418C1">
              <w:rPr>
                <w:sz w:val="24"/>
                <w:szCs w:val="24"/>
              </w:rPr>
              <w:t>Children’s</w:t>
            </w:r>
            <w:r>
              <w:rPr>
                <w:sz w:val="24"/>
                <w:szCs w:val="24"/>
              </w:rPr>
              <w:t xml:space="preserve"> Act (1989) is the main encompassing legislation in Wales regarding Safeguarding.</w:t>
            </w:r>
            <w:r w:rsidR="009418C1">
              <w:rPr>
                <w:sz w:val="24"/>
                <w:szCs w:val="24"/>
              </w:rPr>
              <w:t xml:space="preserve"> Under section 47 </w:t>
            </w:r>
            <w:r w:rsidR="00E51936">
              <w:rPr>
                <w:sz w:val="24"/>
                <w:szCs w:val="24"/>
              </w:rPr>
              <w:t xml:space="preserve">of the Children Act 1989 </w:t>
            </w:r>
            <w:r w:rsidR="00243FDE">
              <w:rPr>
                <w:sz w:val="24"/>
                <w:szCs w:val="24"/>
              </w:rPr>
              <w:t>an investigation into the family’s life is compulsory if there is risk or concerns of child protection issues</w:t>
            </w:r>
            <w:r w:rsidR="009418C1">
              <w:rPr>
                <w:sz w:val="24"/>
                <w:szCs w:val="24"/>
              </w:rPr>
              <w:t xml:space="preserve">. On the other hand, there have been sections of the Children’s Act (1989) have been relocated in the </w:t>
            </w:r>
            <w:r w:rsidR="00E51936">
              <w:rPr>
                <w:sz w:val="24"/>
                <w:szCs w:val="24"/>
              </w:rPr>
              <w:t>SSWB[W]A</w:t>
            </w:r>
            <w:r w:rsidR="009418C1">
              <w:rPr>
                <w:sz w:val="24"/>
                <w:szCs w:val="24"/>
              </w:rPr>
              <w:t xml:space="preserve">. Parts 6,4 and 3 of the </w:t>
            </w:r>
            <w:r w:rsidR="00E51936">
              <w:rPr>
                <w:sz w:val="24"/>
                <w:szCs w:val="24"/>
              </w:rPr>
              <w:t>SSWB[W]A</w:t>
            </w:r>
            <w:r w:rsidR="009418C1">
              <w:rPr>
                <w:sz w:val="24"/>
                <w:szCs w:val="24"/>
              </w:rPr>
              <w:t xml:space="preserve"> (2014) now provide practitioners with guidance during protecting and safeguarding children in Wales.  </w:t>
            </w:r>
            <w:r w:rsidR="00243FDE">
              <w:rPr>
                <w:sz w:val="24"/>
                <w:szCs w:val="24"/>
              </w:rPr>
              <w:t>Under section 21 of the</w:t>
            </w:r>
            <w:r w:rsidR="00E51936">
              <w:rPr>
                <w:sz w:val="24"/>
                <w:szCs w:val="24"/>
              </w:rPr>
              <w:t xml:space="preserve"> SSWB[W]A</w:t>
            </w:r>
            <w:r w:rsidR="00243FDE">
              <w:rPr>
                <w:sz w:val="24"/>
                <w:szCs w:val="24"/>
              </w:rPr>
              <w:t xml:space="preserve"> this allows practitioners to undertake proportionate assessments to be carried out of a child who maybe in need of care and support. </w:t>
            </w:r>
          </w:p>
          <w:p w14:paraId="1C44C5EF" w14:textId="77777777" w:rsidR="00125C8E" w:rsidRDefault="00125C8E" w:rsidP="00AB15A0">
            <w:pPr>
              <w:spacing w:line="360" w:lineRule="auto"/>
              <w:jc w:val="both"/>
              <w:rPr>
                <w:sz w:val="24"/>
                <w:szCs w:val="24"/>
              </w:rPr>
            </w:pPr>
          </w:p>
          <w:p w14:paraId="1A252E1E" w14:textId="730D48F9" w:rsidR="00686408" w:rsidRDefault="00686408" w:rsidP="00AB15A0">
            <w:pPr>
              <w:spacing w:line="360" w:lineRule="auto"/>
              <w:jc w:val="both"/>
              <w:rPr>
                <w:sz w:val="24"/>
                <w:szCs w:val="24"/>
              </w:rPr>
            </w:pPr>
            <w:r>
              <w:rPr>
                <w:sz w:val="24"/>
                <w:szCs w:val="24"/>
              </w:rPr>
              <w:t xml:space="preserve">The Wales Safeguarding Procedure (2019) works at standardising practice across Wales and ensuring there is less differences between the individual Local Safeguarding Boards. </w:t>
            </w:r>
            <w:r w:rsidR="00071256">
              <w:rPr>
                <w:sz w:val="24"/>
                <w:szCs w:val="24"/>
              </w:rPr>
              <w:t>The Natonal Independent Safeguarding Board Wales was created under SSWBA (2014</w:t>
            </w:r>
            <w:r w:rsidR="00F87AB4">
              <w:rPr>
                <w:sz w:val="24"/>
                <w:szCs w:val="24"/>
              </w:rPr>
              <w:t>),</w:t>
            </w:r>
            <w:r w:rsidR="00071256">
              <w:rPr>
                <w:sz w:val="24"/>
                <w:szCs w:val="24"/>
              </w:rPr>
              <w:t xml:space="preserve"> and their main objectives are to support safeguarding boards within local authorities to ensure effective support and advice and ensure adequate and effective reports to safeguard children within Wales. </w:t>
            </w:r>
            <w:r w:rsidR="007C1D9B" w:rsidRPr="007C1D9B">
              <w:rPr>
                <w:sz w:val="24"/>
                <w:szCs w:val="24"/>
              </w:rPr>
              <w:t xml:space="preserve">Child and Youth Safeguarding: Unifying the Region </w:t>
            </w:r>
            <w:r w:rsidR="007C1D9B">
              <w:rPr>
                <w:sz w:val="24"/>
                <w:szCs w:val="24"/>
              </w:rPr>
              <w:t>(CYSYR)</w:t>
            </w:r>
            <w:r w:rsidR="007C1D9B" w:rsidRPr="007C1D9B">
              <w:rPr>
                <w:sz w:val="24"/>
                <w:szCs w:val="24"/>
              </w:rPr>
              <w:t xml:space="preserve"> is also the Welsh word for reassurance</w:t>
            </w:r>
            <w:r w:rsidR="007C1D9B">
              <w:rPr>
                <w:sz w:val="24"/>
                <w:szCs w:val="24"/>
              </w:rPr>
              <w:t xml:space="preserve"> is the regional safeguarding board for mid and west Wales. Their aim is to work in a multi-agency approach to ensure effectiveness of safeguard and promote wellbeing of children, young people and adults. </w:t>
            </w:r>
          </w:p>
          <w:p w14:paraId="511B8875" w14:textId="40E97CBA" w:rsidR="00320B7F" w:rsidRDefault="00320B7F" w:rsidP="00AB15A0">
            <w:pPr>
              <w:spacing w:line="360" w:lineRule="auto"/>
              <w:jc w:val="both"/>
              <w:rPr>
                <w:sz w:val="24"/>
                <w:szCs w:val="24"/>
              </w:rPr>
            </w:pPr>
          </w:p>
          <w:p w14:paraId="4A95F4DB" w14:textId="5CAEEB45" w:rsidR="00FC0334" w:rsidRDefault="00631E7F" w:rsidP="00AB15A0">
            <w:pPr>
              <w:spacing w:line="360" w:lineRule="auto"/>
              <w:jc w:val="both"/>
              <w:rPr>
                <w:sz w:val="24"/>
                <w:szCs w:val="24"/>
              </w:rPr>
            </w:pPr>
            <w:r>
              <w:rPr>
                <w:sz w:val="24"/>
                <w:szCs w:val="24"/>
              </w:rPr>
              <w:t xml:space="preserve">Another </w:t>
            </w:r>
            <w:r w:rsidR="00974552">
              <w:rPr>
                <w:sz w:val="24"/>
                <w:szCs w:val="24"/>
              </w:rPr>
              <w:t>statutory framework</w:t>
            </w:r>
            <w:r>
              <w:rPr>
                <w:sz w:val="24"/>
                <w:szCs w:val="24"/>
              </w:rPr>
              <w:t xml:space="preserve"> is Working together to safeguard </w:t>
            </w:r>
            <w:r w:rsidR="0021415A">
              <w:rPr>
                <w:sz w:val="24"/>
                <w:szCs w:val="24"/>
              </w:rPr>
              <w:t>People</w:t>
            </w:r>
            <w:r>
              <w:rPr>
                <w:sz w:val="24"/>
                <w:szCs w:val="24"/>
              </w:rPr>
              <w:t xml:space="preserve"> (Welsh Government, 202</w:t>
            </w:r>
            <w:r w:rsidR="0021415A">
              <w:rPr>
                <w:sz w:val="24"/>
                <w:szCs w:val="24"/>
              </w:rPr>
              <w:t>2</w:t>
            </w:r>
            <w:r w:rsidR="006E051C">
              <w:rPr>
                <w:sz w:val="24"/>
                <w:szCs w:val="24"/>
              </w:rPr>
              <w:t xml:space="preserve">). </w:t>
            </w:r>
            <w:r w:rsidR="0021415A">
              <w:rPr>
                <w:sz w:val="24"/>
                <w:szCs w:val="24"/>
              </w:rPr>
              <w:t>This</w:t>
            </w:r>
            <w:r w:rsidR="00B95F13">
              <w:rPr>
                <w:sz w:val="24"/>
                <w:szCs w:val="24"/>
              </w:rPr>
              <w:t xml:space="preserve"> </w:t>
            </w:r>
            <w:r w:rsidR="00415CE4">
              <w:rPr>
                <w:sz w:val="24"/>
                <w:szCs w:val="24"/>
              </w:rPr>
              <w:t>framework</w:t>
            </w:r>
            <w:r w:rsidR="00B95F13">
              <w:rPr>
                <w:sz w:val="24"/>
                <w:szCs w:val="24"/>
              </w:rPr>
              <w:t xml:space="preserve"> discusses the importance of multi-agency- collaboration to ensure protection of the child in accordance with the Convention on the Rights of the Child. </w:t>
            </w:r>
          </w:p>
          <w:p w14:paraId="60D8C669" w14:textId="021E3A4A" w:rsidR="00FC0334" w:rsidRDefault="00B95F13" w:rsidP="00AB15A0">
            <w:pPr>
              <w:spacing w:line="360" w:lineRule="auto"/>
              <w:jc w:val="both"/>
              <w:rPr>
                <w:sz w:val="24"/>
                <w:szCs w:val="24"/>
              </w:rPr>
            </w:pPr>
            <w:r>
              <w:rPr>
                <w:sz w:val="24"/>
                <w:szCs w:val="24"/>
              </w:rPr>
              <w:t xml:space="preserve">Word Count: </w:t>
            </w:r>
            <w:r w:rsidR="00415CE4">
              <w:rPr>
                <w:sz w:val="24"/>
                <w:szCs w:val="24"/>
              </w:rPr>
              <w:t>4</w:t>
            </w:r>
            <w:r w:rsidR="00C61A3E">
              <w:rPr>
                <w:sz w:val="24"/>
                <w:szCs w:val="24"/>
              </w:rPr>
              <w:t>9</w:t>
            </w:r>
            <w:r w:rsidR="00AB15A0">
              <w:rPr>
                <w:sz w:val="24"/>
                <w:szCs w:val="24"/>
              </w:rPr>
              <w:t>7</w:t>
            </w:r>
          </w:p>
          <w:p w14:paraId="03BD6D93" w14:textId="56AD433A" w:rsidR="007A628F" w:rsidRPr="008B28E7" w:rsidRDefault="007A628F" w:rsidP="00AB15A0">
            <w:pPr>
              <w:spacing w:line="360" w:lineRule="auto"/>
              <w:jc w:val="both"/>
              <w:rPr>
                <w:b/>
                <w:sz w:val="24"/>
                <w:szCs w:val="24"/>
              </w:rPr>
            </w:pPr>
          </w:p>
        </w:tc>
      </w:tr>
    </w:tbl>
    <w:p w14:paraId="37E9CF73" w14:textId="77777777" w:rsidR="00AA666E" w:rsidRPr="008B28E7" w:rsidRDefault="00AA666E" w:rsidP="00AB15A0">
      <w:pPr>
        <w:spacing w:line="360" w:lineRule="auto"/>
        <w:jc w:val="both"/>
        <w:rPr>
          <w:sz w:val="24"/>
          <w:szCs w:val="24"/>
        </w:rPr>
      </w:pPr>
    </w:p>
    <w:p w14:paraId="1FC83FC7" w14:textId="77777777" w:rsidR="00AA666E" w:rsidRPr="008B28E7" w:rsidRDefault="00AA666E" w:rsidP="00AB15A0">
      <w:pPr>
        <w:spacing w:line="360" w:lineRule="auto"/>
        <w:jc w:val="both"/>
        <w:rPr>
          <w:sz w:val="24"/>
          <w:szCs w:val="24"/>
        </w:rPr>
      </w:pPr>
    </w:p>
    <w:p w14:paraId="60437654" w14:textId="77777777" w:rsidR="00AA666E" w:rsidRDefault="00AA666E" w:rsidP="00AB15A0">
      <w:pPr>
        <w:spacing w:line="360"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AB15A0">
            <w:pPr>
              <w:spacing w:line="36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AB15A0">
            <w:pPr>
              <w:spacing w:line="360"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EE40EC7" w14:textId="77777777" w:rsidR="005B0A78" w:rsidRDefault="005B0A78" w:rsidP="00AB15A0">
            <w:pPr>
              <w:spacing w:line="360" w:lineRule="auto"/>
              <w:jc w:val="both"/>
              <w:rPr>
                <w:sz w:val="24"/>
                <w:szCs w:val="24"/>
              </w:rPr>
            </w:pPr>
          </w:p>
          <w:p w14:paraId="069F4BB8" w14:textId="77777777" w:rsidR="005B0A78" w:rsidRDefault="005B0A78" w:rsidP="00AB15A0">
            <w:pPr>
              <w:spacing w:line="360"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7DD0F43" w14:textId="77777777" w:rsidR="005B0A78" w:rsidRDefault="005B0A78" w:rsidP="00AB15A0">
            <w:pPr>
              <w:spacing w:line="360" w:lineRule="auto"/>
              <w:jc w:val="both"/>
              <w:rPr>
                <w:sz w:val="24"/>
                <w:szCs w:val="24"/>
              </w:rPr>
            </w:pPr>
          </w:p>
          <w:p w14:paraId="4CABE426" w14:textId="77777777" w:rsidR="00FC0334" w:rsidRDefault="00FC0334" w:rsidP="00AB15A0">
            <w:pPr>
              <w:spacing w:line="360" w:lineRule="auto"/>
              <w:jc w:val="both"/>
              <w:rPr>
                <w:sz w:val="24"/>
                <w:szCs w:val="24"/>
              </w:rPr>
            </w:pPr>
          </w:p>
          <w:p w14:paraId="7590661D" w14:textId="1DAE6C2E" w:rsidR="005B3EF1" w:rsidRDefault="00C90723" w:rsidP="00AB15A0">
            <w:pPr>
              <w:spacing w:line="360" w:lineRule="auto"/>
              <w:jc w:val="both"/>
              <w:rPr>
                <w:sz w:val="24"/>
                <w:szCs w:val="24"/>
              </w:rPr>
            </w:pPr>
            <w:r>
              <w:rPr>
                <w:sz w:val="24"/>
                <w:szCs w:val="24"/>
              </w:rPr>
              <w:t>Within this essay I will reflect on and discuss the differences between safeguarding i</w:t>
            </w:r>
            <w:r w:rsidR="00407655">
              <w:rPr>
                <w:sz w:val="24"/>
                <w:szCs w:val="24"/>
              </w:rPr>
              <w:t xml:space="preserve">n adults and children in practice. </w:t>
            </w:r>
            <w:r w:rsidR="00AE3F4D">
              <w:rPr>
                <w:sz w:val="24"/>
                <w:szCs w:val="24"/>
              </w:rPr>
              <w:t xml:space="preserve">When considering the differences between safeguarding in adults’ and children, I will consider this within the Welsh context of social work. </w:t>
            </w:r>
            <w:r w:rsidR="00FB6B11">
              <w:rPr>
                <w:sz w:val="24"/>
                <w:szCs w:val="24"/>
              </w:rPr>
              <w:t>Within Wales both a</w:t>
            </w:r>
            <w:r w:rsidR="00A24D41">
              <w:rPr>
                <w:sz w:val="24"/>
                <w:szCs w:val="24"/>
              </w:rPr>
              <w:t>dults’</w:t>
            </w:r>
            <w:r w:rsidR="00FB6B11">
              <w:rPr>
                <w:sz w:val="24"/>
                <w:szCs w:val="24"/>
              </w:rPr>
              <w:t xml:space="preserve"> and children’s safeguarding </w:t>
            </w:r>
            <w:r w:rsidR="0039684B">
              <w:rPr>
                <w:sz w:val="24"/>
                <w:szCs w:val="24"/>
              </w:rPr>
              <w:t>are</w:t>
            </w:r>
            <w:r w:rsidR="00FB6B11">
              <w:rPr>
                <w:sz w:val="24"/>
                <w:szCs w:val="24"/>
              </w:rPr>
              <w:t xml:space="preserve"> under the Social Services and Wellbeing</w:t>
            </w:r>
            <w:r w:rsidR="00415CE4">
              <w:rPr>
                <w:sz w:val="24"/>
                <w:szCs w:val="24"/>
              </w:rPr>
              <w:t xml:space="preserve"> </w:t>
            </w:r>
            <w:r w:rsidR="00FB6B11">
              <w:rPr>
                <w:sz w:val="24"/>
                <w:szCs w:val="24"/>
              </w:rPr>
              <w:t>(Wales)</w:t>
            </w:r>
            <w:r w:rsidR="00415CE4">
              <w:rPr>
                <w:sz w:val="24"/>
                <w:szCs w:val="24"/>
              </w:rPr>
              <w:t xml:space="preserve"> Act (SSWB[W]A)</w:t>
            </w:r>
            <w:r w:rsidR="00FB6B11">
              <w:rPr>
                <w:sz w:val="24"/>
                <w:szCs w:val="24"/>
              </w:rPr>
              <w:t xml:space="preserve"> (</w:t>
            </w:r>
            <w:r w:rsidR="005B3BE8">
              <w:rPr>
                <w:sz w:val="24"/>
                <w:szCs w:val="24"/>
              </w:rPr>
              <w:t xml:space="preserve">2014). </w:t>
            </w:r>
            <w:r w:rsidR="00610BED">
              <w:rPr>
                <w:sz w:val="24"/>
                <w:szCs w:val="24"/>
              </w:rPr>
              <w:t xml:space="preserve">The main differences between safeguarding adults and children </w:t>
            </w:r>
            <w:r w:rsidR="00F87AB4">
              <w:rPr>
                <w:sz w:val="24"/>
                <w:szCs w:val="24"/>
              </w:rPr>
              <w:t>are</w:t>
            </w:r>
            <w:r w:rsidR="00610BED">
              <w:rPr>
                <w:sz w:val="24"/>
                <w:szCs w:val="24"/>
              </w:rPr>
              <w:t xml:space="preserve"> capacity and consent. </w:t>
            </w:r>
          </w:p>
          <w:p w14:paraId="25B81564" w14:textId="77777777" w:rsidR="00065A76" w:rsidRDefault="00065A76" w:rsidP="00AB15A0">
            <w:pPr>
              <w:spacing w:line="360" w:lineRule="auto"/>
              <w:jc w:val="both"/>
              <w:rPr>
                <w:sz w:val="24"/>
                <w:szCs w:val="24"/>
              </w:rPr>
            </w:pPr>
          </w:p>
          <w:p w14:paraId="0C4D4927" w14:textId="77777777" w:rsidR="008E015B" w:rsidRDefault="00065A76" w:rsidP="00AB15A0">
            <w:pPr>
              <w:spacing w:line="360" w:lineRule="auto"/>
              <w:jc w:val="both"/>
              <w:rPr>
                <w:sz w:val="24"/>
                <w:szCs w:val="24"/>
              </w:rPr>
            </w:pPr>
            <w:r>
              <w:rPr>
                <w:sz w:val="24"/>
                <w:szCs w:val="24"/>
              </w:rPr>
              <w:t>The first difference between safeguarding adults and children’s services is c</w:t>
            </w:r>
            <w:r w:rsidR="008E015B">
              <w:rPr>
                <w:sz w:val="24"/>
                <w:szCs w:val="24"/>
              </w:rPr>
              <w:t>apacity Mental Capacity is when an individual is able to make specific decisions for themselves</w:t>
            </w:r>
            <w:r>
              <w:rPr>
                <w:sz w:val="24"/>
                <w:szCs w:val="24"/>
              </w:rPr>
              <w:t>. The Mental Capacity Act (2005) considers that an individual over the age of 16 is presumed to have mental capacity, unless identified otherwise. This allows them to also make unwise decisions relating to risk</w:t>
            </w:r>
            <w:r w:rsidR="008E015B">
              <w:rPr>
                <w:sz w:val="24"/>
                <w:szCs w:val="24"/>
              </w:rPr>
              <w:t>s</w:t>
            </w:r>
            <w:r>
              <w:rPr>
                <w:sz w:val="24"/>
                <w:szCs w:val="24"/>
              </w:rPr>
              <w:t>.</w:t>
            </w:r>
            <w:r w:rsidR="00E95CA5">
              <w:rPr>
                <w:sz w:val="24"/>
                <w:szCs w:val="24"/>
              </w:rPr>
              <w:t xml:space="preserve"> </w:t>
            </w:r>
          </w:p>
          <w:p w14:paraId="617EAB72" w14:textId="77777777" w:rsidR="008E015B" w:rsidRDefault="008E015B" w:rsidP="00AB15A0">
            <w:pPr>
              <w:spacing w:line="360" w:lineRule="auto"/>
              <w:jc w:val="both"/>
              <w:rPr>
                <w:sz w:val="24"/>
                <w:szCs w:val="24"/>
              </w:rPr>
            </w:pPr>
          </w:p>
          <w:p w14:paraId="278A94E0" w14:textId="206B61C4" w:rsidR="008E015B" w:rsidRDefault="008E015B" w:rsidP="00AB15A0">
            <w:pPr>
              <w:spacing w:line="360" w:lineRule="auto"/>
              <w:jc w:val="both"/>
              <w:rPr>
                <w:sz w:val="24"/>
                <w:szCs w:val="24"/>
              </w:rPr>
            </w:pPr>
            <w:r>
              <w:rPr>
                <w:sz w:val="24"/>
                <w:szCs w:val="24"/>
              </w:rPr>
              <w:t xml:space="preserve">When working with children under the age of 16 there is no presumption of mental capacity other than Gillick Competency. Gillick v West Norfolk and Wisbech Health Authority (1986) was the initial case law that started the process of allowing children under the age of 16 to be assessed to understand if they are aware of what is being proposed. Gillick competency can also be overridden by the Children Act 1989 if safeguarding concerns arise. </w:t>
            </w:r>
          </w:p>
          <w:p w14:paraId="04EAC534" w14:textId="77777777" w:rsidR="008E015B" w:rsidRDefault="008E015B" w:rsidP="00AB15A0">
            <w:pPr>
              <w:spacing w:line="360" w:lineRule="auto"/>
              <w:jc w:val="both"/>
              <w:rPr>
                <w:sz w:val="24"/>
                <w:szCs w:val="24"/>
              </w:rPr>
            </w:pPr>
          </w:p>
          <w:p w14:paraId="46005E2A" w14:textId="5FD18BBD" w:rsidR="00065A76" w:rsidRDefault="00A24D41" w:rsidP="00AB15A0">
            <w:pPr>
              <w:spacing w:line="360" w:lineRule="auto"/>
              <w:jc w:val="both"/>
              <w:rPr>
                <w:sz w:val="24"/>
                <w:szCs w:val="24"/>
              </w:rPr>
            </w:pPr>
            <w:r>
              <w:rPr>
                <w:sz w:val="24"/>
                <w:szCs w:val="24"/>
              </w:rPr>
              <w:t>However,</w:t>
            </w:r>
            <w:r w:rsidR="00E95CA5">
              <w:rPr>
                <w:sz w:val="24"/>
                <w:szCs w:val="24"/>
              </w:rPr>
              <w:t xml:space="preserve"> within the Children’s Act (1989) individual’s aged 16-17 years of age are still seen as children.</w:t>
            </w:r>
            <w:r w:rsidR="00065A76">
              <w:rPr>
                <w:sz w:val="24"/>
                <w:szCs w:val="24"/>
              </w:rPr>
              <w:t xml:space="preserve"> </w:t>
            </w:r>
            <w:r w:rsidR="00400EA7">
              <w:rPr>
                <w:sz w:val="24"/>
                <w:szCs w:val="24"/>
              </w:rPr>
              <w:t xml:space="preserve">If they are seen as needing safeguarding then consent would be overridden in accordance with the Children Act 1989, over the Mental Capacity Act 2005 which defines a </w:t>
            </w:r>
            <w:r w:rsidR="00EC506E">
              <w:rPr>
                <w:sz w:val="24"/>
                <w:szCs w:val="24"/>
              </w:rPr>
              <w:lastRenderedPageBreak/>
              <w:t>16-year-old</w:t>
            </w:r>
            <w:r w:rsidR="00400EA7">
              <w:rPr>
                <w:sz w:val="24"/>
                <w:szCs w:val="24"/>
              </w:rPr>
              <w:t xml:space="preserve"> an adult. </w:t>
            </w:r>
            <w:r w:rsidR="00065A76">
              <w:rPr>
                <w:sz w:val="24"/>
                <w:szCs w:val="24"/>
              </w:rPr>
              <w:t>Although consent i</w:t>
            </w:r>
            <w:r w:rsidR="00400EA7">
              <w:rPr>
                <w:sz w:val="24"/>
                <w:szCs w:val="24"/>
              </w:rPr>
              <w:t>s</w:t>
            </w:r>
            <w:r w:rsidR="00065A76">
              <w:rPr>
                <w:sz w:val="24"/>
                <w:szCs w:val="24"/>
              </w:rPr>
              <w:t xml:space="preserve"> not required within undertaking an assessment of an adult at risk, it can make it very difficult if a person with mental capacity declines these options. </w:t>
            </w:r>
            <w:r w:rsidR="005B3EF1">
              <w:rPr>
                <w:sz w:val="24"/>
                <w:szCs w:val="24"/>
              </w:rPr>
              <w:t xml:space="preserve">However, there are provisions within the Wales Safeguarding Procedure’s 2019 where consent can be overridden for such, risk to life, coercive control. </w:t>
            </w:r>
          </w:p>
          <w:p w14:paraId="45B89C76" w14:textId="77777777" w:rsidR="00DA6948" w:rsidRDefault="00DA6948" w:rsidP="00AB15A0">
            <w:pPr>
              <w:spacing w:line="360" w:lineRule="auto"/>
              <w:jc w:val="both"/>
              <w:rPr>
                <w:sz w:val="24"/>
                <w:szCs w:val="24"/>
              </w:rPr>
            </w:pPr>
          </w:p>
          <w:p w14:paraId="5C89AE8D" w14:textId="1ABC3DEC" w:rsidR="00FB6B11" w:rsidRDefault="00FB6B11" w:rsidP="00AB15A0">
            <w:pPr>
              <w:spacing w:line="360" w:lineRule="auto"/>
              <w:jc w:val="both"/>
              <w:rPr>
                <w:sz w:val="24"/>
                <w:szCs w:val="24"/>
              </w:rPr>
            </w:pPr>
            <w:r>
              <w:rPr>
                <w:sz w:val="24"/>
                <w:szCs w:val="24"/>
              </w:rPr>
              <w:t xml:space="preserve">When a child is under investigation for risk of neglect, their consent is not needed to investigate these concerns. </w:t>
            </w:r>
            <w:r w:rsidR="00A24D41">
              <w:rPr>
                <w:sz w:val="24"/>
                <w:szCs w:val="24"/>
              </w:rPr>
              <w:t>Moreover,</w:t>
            </w:r>
            <w:r>
              <w:rPr>
                <w:sz w:val="24"/>
                <w:szCs w:val="24"/>
              </w:rPr>
              <w:t xml:space="preserve"> it is important to still</w:t>
            </w:r>
            <w:r w:rsidR="008E015B">
              <w:rPr>
                <w:sz w:val="24"/>
                <w:szCs w:val="24"/>
              </w:rPr>
              <w:t xml:space="preserve"> </w:t>
            </w:r>
            <w:r>
              <w:rPr>
                <w:sz w:val="24"/>
                <w:szCs w:val="24"/>
              </w:rPr>
              <w:t xml:space="preserve">listen to the child’s wishes and feelings to promote positive outcomes for the child. </w:t>
            </w:r>
          </w:p>
          <w:p w14:paraId="7005A457" w14:textId="77777777" w:rsidR="00EA08BF" w:rsidRDefault="00EA08BF" w:rsidP="00AB15A0">
            <w:pPr>
              <w:spacing w:line="360" w:lineRule="auto"/>
              <w:jc w:val="both"/>
              <w:rPr>
                <w:sz w:val="24"/>
                <w:szCs w:val="24"/>
              </w:rPr>
            </w:pPr>
          </w:p>
          <w:p w14:paraId="4229EEA9" w14:textId="3D848D5C" w:rsidR="006D7415" w:rsidRDefault="00EA08BF" w:rsidP="00AB15A0">
            <w:pPr>
              <w:spacing w:line="360" w:lineRule="auto"/>
              <w:jc w:val="both"/>
              <w:rPr>
                <w:sz w:val="24"/>
                <w:szCs w:val="24"/>
              </w:rPr>
            </w:pPr>
            <w:r>
              <w:rPr>
                <w:sz w:val="24"/>
                <w:szCs w:val="24"/>
              </w:rPr>
              <w:t xml:space="preserve">Within Children </w:t>
            </w:r>
            <w:r w:rsidR="00790384">
              <w:rPr>
                <w:sz w:val="24"/>
                <w:szCs w:val="24"/>
              </w:rPr>
              <w:t>safeguarding</w:t>
            </w:r>
            <w:r>
              <w:rPr>
                <w:sz w:val="24"/>
                <w:szCs w:val="24"/>
              </w:rPr>
              <w:t xml:space="preserve"> there are specific time scales that a practitioner needs to work within</w:t>
            </w:r>
            <w:r w:rsidR="00790384">
              <w:rPr>
                <w:sz w:val="24"/>
                <w:szCs w:val="24"/>
              </w:rPr>
              <w:t xml:space="preserve">. An assessment must be completed within </w:t>
            </w:r>
            <w:r w:rsidR="005C4B65">
              <w:rPr>
                <w:sz w:val="24"/>
                <w:szCs w:val="24"/>
              </w:rPr>
              <w:t>four</w:t>
            </w:r>
            <w:r w:rsidR="00790384">
              <w:rPr>
                <w:sz w:val="24"/>
                <w:szCs w:val="24"/>
              </w:rPr>
              <w:t xml:space="preserve"> days of the referral being made. Whereas in adults safeguarding there are no specific time frames within Wales.</w:t>
            </w:r>
          </w:p>
          <w:p w14:paraId="19950561" w14:textId="77777777" w:rsidR="006D7415" w:rsidRDefault="006D7415" w:rsidP="00AB15A0">
            <w:pPr>
              <w:spacing w:line="360" w:lineRule="auto"/>
              <w:jc w:val="both"/>
              <w:rPr>
                <w:sz w:val="24"/>
                <w:szCs w:val="24"/>
              </w:rPr>
            </w:pPr>
          </w:p>
          <w:p w14:paraId="451BA388" w14:textId="20E6D915" w:rsidR="00221349" w:rsidRDefault="008E015B" w:rsidP="00AB15A0">
            <w:pPr>
              <w:spacing w:line="360" w:lineRule="auto"/>
              <w:jc w:val="both"/>
              <w:rPr>
                <w:sz w:val="24"/>
                <w:szCs w:val="24"/>
              </w:rPr>
            </w:pPr>
            <w:r>
              <w:rPr>
                <w:sz w:val="24"/>
                <w:szCs w:val="24"/>
              </w:rPr>
              <w:t xml:space="preserve">Word Count: </w:t>
            </w:r>
            <w:r w:rsidR="00C90723">
              <w:rPr>
                <w:sz w:val="24"/>
                <w:szCs w:val="24"/>
              </w:rPr>
              <w:t>3</w:t>
            </w:r>
            <w:r w:rsidR="00407655">
              <w:rPr>
                <w:sz w:val="24"/>
                <w:szCs w:val="24"/>
              </w:rPr>
              <w:t>82</w:t>
            </w:r>
            <w:r w:rsidR="00C90723">
              <w:rPr>
                <w:sz w:val="24"/>
                <w:szCs w:val="24"/>
              </w:rPr>
              <w:t xml:space="preserve"> </w:t>
            </w:r>
          </w:p>
          <w:p w14:paraId="08760B3D" w14:textId="77777777" w:rsidR="00FC0334" w:rsidRPr="006108C9" w:rsidRDefault="00FC0334" w:rsidP="00AB15A0">
            <w:pPr>
              <w:spacing w:line="360" w:lineRule="auto"/>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653CD" w14:textId="77777777" w:rsidR="00CC4F65" w:rsidRDefault="00CC4F65">
      <w:r>
        <w:separator/>
      </w:r>
    </w:p>
  </w:endnote>
  <w:endnote w:type="continuationSeparator" w:id="0">
    <w:p w14:paraId="5027B1C7" w14:textId="77777777" w:rsidR="00CC4F65" w:rsidRDefault="00CC4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40AE6" w14:textId="77777777" w:rsidR="00CC4F65" w:rsidRDefault="00CC4F65">
      <w:r>
        <w:separator/>
      </w:r>
    </w:p>
  </w:footnote>
  <w:footnote w:type="continuationSeparator" w:id="0">
    <w:p w14:paraId="32217030" w14:textId="77777777" w:rsidR="00CC4F65" w:rsidRDefault="00CC4F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3C7A10"/>
    <w:multiLevelType w:val="multilevel"/>
    <w:tmpl w:val="19EA7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AD80D45"/>
    <w:multiLevelType w:val="multilevel"/>
    <w:tmpl w:val="76F05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244149059">
    <w:abstractNumId w:val="42"/>
  </w:num>
  <w:num w:numId="55" w16cid:durableId="806778053">
    <w:abstractNumId w:val="5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BF2"/>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5A76"/>
    <w:rsid w:val="00071256"/>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272"/>
    <w:rsid w:val="00125C8E"/>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15A"/>
    <w:rsid w:val="00214BAD"/>
    <w:rsid w:val="00216563"/>
    <w:rsid w:val="0021792F"/>
    <w:rsid w:val="00220D06"/>
    <w:rsid w:val="00221349"/>
    <w:rsid w:val="00221B21"/>
    <w:rsid w:val="002246A0"/>
    <w:rsid w:val="00230439"/>
    <w:rsid w:val="00232A09"/>
    <w:rsid w:val="00235176"/>
    <w:rsid w:val="00236061"/>
    <w:rsid w:val="0024100E"/>
    <w:rsid w:val="00241C1B"/>
    <w:rsid w:val="0024288B"/>
    <w:rsid w:val="00243DB0"/>
    <w:rsid w:val="00243FDE"/>
    <w:rsid w:val="00247265"/>
    <w:rsid w:val="00260663"/>
    <w:rsid w:val="002657E9"/>
    <w:rsid w:val="0026665E"/>
    <w:rsid w:val="0027147E"/>
    <w:rsid w:val="002761F4"/>
    <w:rsid w:val="002775E1"/>
    <w:rsid w:val="00277979"/>
    <w:rsid w:val="002813D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CB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B29"/>
    <w:rsid w:val="002F4F6E"/>
    <w:rsid w:val="003015C3"/>
    <w:rsid w:val="003048C1"/>
    <w:rsid w:val="003106DB"/>
    <w:rsid w:val="0031350A"/>
    <w:rsid w:val="00316815"/>
    <w:rsid w:val="003168CA"/>
    <w:rsid w:val="00320B7F"/>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745"/>
    <w:rsid w:val="00385414"/>
    <w:rsid w:val="00390074"/>
    <w:rsid w:val="00392F73"/>
    <w:rsid w:val="00393600"/>
    <w:rsid w:val="0039684B"/>
    <w:rsid w:val="0039762B"/>
    <w:rsid w:val="003A0C37"/>
    <w:rsid w:val="003A1B6B"/>
    <w:rsid w:val="003A46C0"/>
    <w:rsid w:val="003A600E"/>
    <w:rsid w:val="003A6513"/>
    <w:rsid w:val="003A745A"/>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0EA7"/>
    <w:rsid w:val="00401FDA"/>
    <w:rsid w:val="004046F0"/>
    <w:rsid w:val="0040668F"/>
    <w:rsid w:val="00407655"/>
    <w:rsid w:val="00411EF7"/>
    <w:rsid w:val="00412677"/>
    <w:rsid w:val="00415CE4"/>
    <w:rsid w:val="00424026"/>
    <w:rsid w:val="00425160"/>
    <w:rsid w:val="00430DE3"/>
    <w:rsid w:val="00432D92"/>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9CE"/>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363"/>
    <w:rsid w:val="00521123"/>
    <w:rsid w:val="00521221"/>
    <w:rsid w:val="0052250B"/>
    <w:rsid w:val="005305C6"/>
    <w:rsid w:val="00532A92"/>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0A78"/>
    <w:rsid w:val="005B271A"/>
    <w:rsid w:val="005B2A65"/>
    <w:rsid w:val="005B3A2D"/>
    <w:rsid w:val="005B3BE8"/>
    <w:rsid w:val="005B3EF1"/>
    <w:rsid w:val="005C1567"/>
    <w:rsid w:val="005C28D3"/>
    <w:rsid w:val="005C4B65"/>
    <w:rsid w:val="005C6CE5"/>
    <w:rsid w:val="005D2405"/>
    <w:rsid w:val="005D3F07"/>
    <w:rsid w:val="005D4A1E"/>
    <w:rsid w:val="005D4F72"/>
    <w:rsid w:val="005E13EA"/>
    <w:rsid w:val="005E17F1"/>
    <w:rsid w:val="005F64AA"/>
    <w:rsid w:val="005F7851"/>
    <w:rsid w:val="00606E27"/>
    <w:rsid w:val="006108C9"/>
    <w:rsid w:val="00610BED"/>
    <w:rsid w:val="00614DF7"/>
    <w:rsid w:val="006179BB"/>
    <w:rsid w:val="0062158D"/>
    <w:rsid w:val="006223FD"/>
    <w:rsid w:val="00631E7F"/>
    <w:rsid w:val="006326D1"/>
    <w:rsid w:val="00632E0A"/>
    <w:rsid w:val="00633165"/>
    <w:rsid w:val="006447DE"/>
    <w:rsid w:val="00644889"/>
    <w:rsid w:val="0065276E"/>
    <w:rsid w:val="00652B47"/>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408"/>
    <w:rsid w:val="00687016"/>
    <w:rsid w:val="006872A0"/>
    <w:rsid w:val="0069625A"/>
    <w:rsid w:val="00696A88"/>
    <w:rsid w:val="00696F65"/>
    <w:rsid w:val="00697572"/>
    <w:rsid w:val="006B4496"/>
    <w:rsid w:val="006B5E67"/>
    <w:rsid w:val="006B6612"/>
    <w:rsid w:val="006C2EB5"/>
    <w:rsid w:val="006C6E54"/>
    <w:rsid w:val="006D18A3"/>
    <w:rsid w:val="006D5970"/>
    <w:rsid w:val="006D7415"/>
    <w:rsid w:val="006E051C"/>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0C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24C"/>
    <w:rsid w:val="00772924"/>
    <w:rsid w:val="0078112D"/>
    <w:rsid w:val="007872F2"/>
    <w:rsid w:val="007873F9"/>
    <w:rsid w:val="00790384"/>
    <w:rsid w:val="007908E0"/>
    <w:rsid w:val="00793EB3"/>
    <w:rsid w:val="00794205"/>
    <w:rsid w:val="0079422A"/>
    <w:rsid w:val="007A1F6A"/>
    <w:rsid w:val="007A628F"/>
    <w:rsid w:val="007B0DE3"/>
    <w:rsid w:val="007B1BFD"/>
    <w:rsid w:val="007B7191"/>
    <w:rsid w:val="007C1D94"/>
    <w:rsid w:val="007C1D9B"/>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3BF"/>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15B"/>
    <w:rsid w:val="008E3195"/>
    <w:rsid w:val="008E5A35"/>
    <w:rsid w:val="008F127E"/>
    <w:rsid w:val="008F32D9"/>
    <w:rsid w:val="00902A65"/>
    <w:rsid w:val="00903932"/>
    <w:rsid w:val="009079BD"/>
    <w:rsid w:val="00912BD9"/>
    <w:rsid w:val="00916FB2"/>
    <w:rsid w:val="00920E5B"/>
    <w:rsid w:val="00926436"/>
    <w:rsid w:val="00926C53"/>
    <w:rsid w:val="0093018C"/>
    <w:rsid w:val="009418C1"/>
    <w:rsid w:val="0094495F"/>
    <w:rsid w:val="009544C0"/>
    <w:rsid w:val="00954FA4"/>
    <w:rsid w:val="00956AE9"/>
    <w:rsid w:val="00964CC6"/>
    <w:rsid w:val="00967BFA"/>
    <w:rsid w:val="00974552"/>
    <w:rsid w:val="0098112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725"/>
    <w:rsid w:val="00A22441"/>
    <w:rsid w:val="00A23F3B"/>
    <w:rsid w:val="00A24406"/>
    <w:rsid w:val="00A24D41"/>
    <w:rsid w:val="00A25F64"/>
    <w:rsid w:val="00A275F6"/>
    <w:rsid w:val="00A303B9"/>
    <w:rsid w:val="00A3194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EEB"/>
    <w:rsid w:val="00AA252C"/>
    <w:rsid w:val="00AA666E"/>
    <w:rsid w:val="00AA7960"/>
    <w:rsid w:val="00AB15A0"/>
    <w:rsid w:val="00AB5518"/>
    <w:rsid w:val="00AB5C9B"/>
    <w:rsid w:val="00AC3A0E"/>
    <w:rsid w:val="00AC4A04"/>
    <w:rsid w:val="00AC5679"/>
    <w:rsid w:val="00AD336F"/>
    <w:rsid w:val="00AE134C"/>
    <w:rsid w:val="00AE1868"/>
    <w:rsid w:val="00AE2564"/>
    <w:rsid w:val="00AE301F"/>
    <w:rsid w:val="00AE3302"/>
    <w:rsid w:val="00AE3F4D"/>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27AD2"/>
    <w:rsid w:val="00B31C91"/>
    <w:rsid w:val="00B3533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4DE9"/>
    <w:rsid w:val="00B9256C"/>
    <w:rsid w:val="00B92BEF"/>
    <w:rsid w:val="00B94443"/>
    <w:rsid w:val="00B95F1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16F"/>
    <w:rsid w:val="00C161FD"/>
    <w:rsid w:val="00C17671"/>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A3E"/>
    <w:rsid w:val="00C63CAB"/>
    <w:rsid w:val="00C63D00"/>
    <w:rsid w:val="00C6441B"/>
    <w:rsid w:val="00C65921"/>
    <w:rsid w:val="00C7108B"/>
    <w:rsid w:val="00C75883"/>
    <w:rsid w:val="00C77FA5"/>
    <w:rsid w:val="00C8089F"/>
    <w:rsid w:val="00C835FE"/>
    <w:rsid w:val="00C836CC"/>
    <w:rsid w:val="00C852D6"/>
    <w:rsid w:val="00C87A74"/>
    <w:rsid w:val="00C90723"/>
    <w:rsid w:val="00C92C71"/>
    <w:rsid w:val="00C93F8F"/>
    <w:rsid w:val="00CA0894"/>
    <w:rsid w:val="00CA3593"/>
    <w:rsid w:val="00CA5726"/>
    <w:rsid w:val="00CA7E6A"/>
    <w:rsid w:val="00CB258E"/>
    <w:rsid w:val="00CB3C8F"/>
    <w:rsid w:val="00CC02F1"/>
    <w:rsid w:val="00CC1122"/>
    <w:rsid w:val="00CC11A6"/>
    <w:rsid w:val="00CC135E"/>
    <w:rsid w:val="00CC4F65"/>
    <w:rsid w:val="00CC7226"/>
    <w:rsid w:val="00CD0735"/>
    <w:rsid w:val="00CD45E3"/>
    <w:rsid w:val="00CD4771"/>
    <w:rsid w:val="00CD5089"/>
    <w:rsid w:val="00CD5D3F"/>
    <w:rsid w:val="00CD7E1F"/>
    <w:rsid w:val="00CE4BC4"/>
    <w:rsid w:val="00CE7DA2"/>
    <w:rsid w:val="00CF2F8A"/>
    <w:rsid w:val="00CF3DB3"/>
    <w:rsid w:val="00D0274B"/>
    <w:rsid w:val="00D03A05"/>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6948"/>
    <w:rsid w:val="00DB2767"/>
    <w:rsid w:val="00DC1B10"/>
    <w:rsid w:val="00DC2924"/>
    <w:rsid w:val="00DC4729"/>
    <w:rsid w:val="00DD31C5"/>
    <w:rsid w:val="00DD3D78"/>
    <w:rsid w:val="00DD5020"/>
    <w:rsid w:val="00DD63BE"/>
    <w:rsid w:val="00DE4296"/>
    <w:rsid w:val="00DF2469"/>
    <w:rsid w:val="00DF6BD4"/>
    <w:rsid w:val="00DF7899"/>
    <w:rsid w:val="00E0524C"/>
    <w:rsid w:val="00E15751"/>
    <w:rsid w:val="00E17160"/>
    <w:rsid w:val="00E17D41"/>
    <w:rsid w:val="00E231D1"/>
    <w:rsid w:val="00E3288D"/>
    <w:rsid w:val="00E35112"/>
    <w:rsid w:val="00E35BEC"/>
    <w:rsid w:val="00E41A6A"/>
    <w:rsid w:val="00E50821"/>
    <w:rsid w:val="00E51936"/>
    <w:rsid w:val="00E51F91"/>
    <w:rsid w:val="00E5498A"/>
    <w:rsid w:val="00E559CE"/>
    <w:rsid w:val="00E60F42"/>
    <w:rsid w:val="00E6746C"/>
    <w:rsid w:val="00E7086E"/>
    <w:rsid w:val="00E71248"/>
    <w:rsid w:val="00E73C41"/>
    <w:rsid w:val="00E75911"/>
    <w:rsid w:val="00E7598F"/>
    <w:rsid w:val="00E76C6B"/>
    <w:rsid w:val="00E76F60"/>
    <w:rsid w:val="00E812B5"/>
    <w:rsid w:val="00E83D90"/>
    <w:rsid w:val="00E83F91"/>
    <w:rsid w:val="00E86299"/>
    <w:rsid w:val="00E9107A"/>
    <w:rsid w:val="00E91F62"/>
    <w:rsid w:val="00E929FD"/>
    <w:rsid w:val="00E93240"/>
    <w:rsid w:val="00E9479B"/>
    <w:rsid w:val="00E94E22"/>
    <w:rsid w:val="00E95CA5"/>
    <w:rsid w:val="00E95F08"/>
    <w:rsid w:val="00E97171"/>
    <w:rsid w:val="00EA08BF"/>
    <w:rsid w:val="00EA202B"/>
    <w:rsid w:val="00EA4683"/>
    <w:rsid w:val="00EA4D48"/>
    <w:rsid w:val="00EA7ADF"/>
    <w:rsid w:val="00EB2173"/>
    <w:rsid w:val="00EB62E6"/>
    <w:rsid w:val="00EB695F"/>
    <w:rsid w:val="00EC3A85"/>
    <w:rsid w:val="00EC4B89"/>
    <w:rsid w:val="00EC506E"/>
    <w:rsid w:val="00EC59A5"/>
    <w:rsid w:val="00EC6E15"/>
    <w:rsid w:val="00ED1B30"/>
    <w:rsid w:val="00ED5D03"/>
    <w:rsid w:val="00EE01ED"/>
    <w:rsid w:val="00EE1AC1"/>
    <w:rsid w:val="00EE39D6"/>
    <w:rsid w:val="00EE42A2"/>
    <w:rsid w:val="00EE52AD"/>
    <w:rsid w:val="00EE5BC3"/>
    <w:rsid w:val="00EE6FAB"/>
    <w:rsid w:val="00EF328C"/>
    <w:rsid w:val="00EF68BB"/>
    <w:rsid w:val="00F01F92"/>
    <w:rsid w:val="00F030D4"/>
    <w:rsid w:val="00F04053"/>
    <w:rsid w:val="00F06573"/>
    <w:rsid w:val="00F10A08"/>
    <w:rsid w:val="00F15354"/>
    <w:rsid w:val="00F154A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AB4"/>
    <w:rsid w:val="00F927A1"/>
    <w:rsid w:val="00F92E4D"/>
    <w:rsid w:val="00F9415C"/>
    <w:rsid w:val="00F95D08"/>
    <w:rsid w:val="00FA0497"/>
    <w:rsid w:val="00FA23BD"/>
    <w:rsid w:val="00FA3764"/>
    <w:rsid w:val="00FA41C7"/>
    <w:rsid w:val="00FA4A79"/>
    <w:rsid w:val="00FA56ED"/>
    <w:rsid w:val="00FB05DD"/>
    <w:rsid w:val="00FB0F7C"/>
    <w:rsid w:val="00FB17E9"/>
    <w:rsid w:val="00FB24EA"/>
    <w:rsid w:val="00FB4178"/>
    <w:rsid w:val="00FB5FA6"/>
    <w:rsid w:val="00FB6B11"/>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20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37734">
      <w:bodyDiv w:val="1"/>
      <w:marLeft w:val="0"/>
      <w:marRight w:val="0"/>
      <w:marTop w:val="0"/>
      <w:marBottom w:val="0"/>
      <w:divBdr>
        <w:top w:val="none" w:sz="0" w:space="0" w:color="auto"/>
        <w:left w:val="none" w:sz="0" w:space="0" w:color="auto"/>
        <w:bottom w:val="none" w:sz="0" w:space="0" w:color="auto"/>
        <w:right w:val="none" w:sz="0" w:space="0" w:color="auto"/>
      </w:divBdr>
      <w:divsChild>
        <w:div w:id="647981194">
          <w:marLeft w:val="0"/>
          <w:marRight w:val="0"/>
          <w:marTop w:val="0"/>
          <w:marBottom w:val="0"/>
          <w:divBdr>
            <w:top w:val="none" w:sz="0" w:space="0" w:color="auto"/>
            <w:left w:val="none" w:sz="0" w:space="0" w:color="auto"/>
            <w:bottom w:val="none" w:sz="0" w:space="0" w:color="auto"/>
            <w:right w:val="none" w:sz="0" w:space="0" w:color="auto"/>
          </w:divBdr>
        </w:div>
        <w:div w:id="1227882562">
          <w:marLeft w:val="0"/>
          <w:marRight w:val="0"/>
          <w:marTop w:val="0"/>
          <w:marBottom w:val="0"/>
          <w:divBdr>
            <w:top w:val="none" w:sz="0" w:space="0" w:color="auto"/>
            <w:left w:val="none" w:sz="0" w:space="0" w:color="auto"/>
            <w:bottom w:val="none" w:sz="0" w:space="0" w:color="auto"/>
            <w:right w:val="none" w:sz="0" w:space="0" w:color="auto"/>
          </w:divBdr>
          <w:divsChild>
            <w:div w:id="1766226114">
              <w:marLeft w:val="0"/>
              <w:marRight w:val="0"/>
              <w:marTop w:val="0"/>
              <w:marBottom w:val="0"/>
              <w:divBdr>
                <w:top w:val="none" w:sz="0" w:space="0" w:color="auto"/>
                <w:left w:val="none" w:sz="0" w:space="0" w:color="auto"/>
                <w:bottom w:val="none" w:sz="0" w:space="0" w:color="auto"/>
                <w:right w:val="none" w:sz="0" w:space="0" w:color="auto"/>
              </w:divBdr>
              <w:divsChild>
                <w:div w:id="923801024">
                  <w:marLeft w:val="0"/>
                  <w:marRight w:val="0"/>
                  <w:marTop w:val="0"/>
                  <w:marBottom w:val="0"/>
                  <w:divBdr>
                    <w:top w:val="none" w:sz="0" w:space="0" w:color="auto"/>
                    <w:left w:val="none" w:sz="0" w:space="0" w:color="auto"/>
                    <w:bottom w:val="none" w:sz="0" w:space="0" w:color="auto"/>
                    <w:right w:val="none" w:sz="0" w:space="0" w:color="auto"/>
                  </w:divBdr>
                  <w:divsChild>
                    <w:div w:id="166785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214335">
          <w:marLeft w:val="0"/>
          <w:marRight w:val="0"/>
          <w:marTop w:val="0"/>
          <w:marBottom w:val="0"/>
          <w:divBdr>
            <w:top w:val="none" w:sz="0" w:space="0" w:color="auto"/>
            <w:left w:val="none" w:sz="0" w:space="0" w:color="auto"/>
            <w:bottom w:val="none" w:sz="0" w:space="0" w:color="auto"/>
            <w:right w:val="none" w:sz="0" w:space="0" w:color="auto"/>
          </w:divBdr>
          <w:divsChild>
            <w:div w:id="2081439609">
              <w:marLeft w:val="0"/>
              <w:marRight w:val="0"/>
              <w:marTop w:val="0"/>
              <w:marBottom w:val="0"/>
              <w:divBdr>
                <w:top w:val="none" w:sz="0" w:space="0" w:color="auto"/>
                <w:left w:val="none" w:sz="0" w:space="0" w:color="auto"/>
                <w:bottom w:val="none" w:sz="0" w:space="0" w:color="auto"/>
                <w:right w:val="none" w:sz="0" w:space="0" w:color="auto"/>
              </w:divBdr>
              <w:divsChild>
                <w:div w:id="151071216">
                  <w:marLeft w:val="0"/>
                  <w:marRight w:val="0"/>
                  <w:marTop w:val="0"/>
                  <w:marBottom w:val="0"/>
                  <w:divBdr>
                    <w:top w:val="none" w:sz="0" w:space="0" w:color="auto"/>
                    <w:left w:val="none" w:sz="0" w:space="0" w:color="auto"/>
                    <w:bottom w:val="none" w:sz="0" w:space="0" w:color="auto"/>
                    <w:right w:val="none" w:sz="0" w:space="0" w:color="auto"/>
                  </w:divBdr>
                  <w:divsChild>
                    <w:div w:id="56113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821134">
          <w:marLeft w:val="0"/>
          <w:marRight w:val="0"/>
          <w:marTop w:val="0"/>
          <w:marBottom w:val="0"/>
          <w:divBdr>
            <w:top w:val="none" w:sz="0" w:space="0" w:color="auto"/>
            <w:left w:val="none" w:sz="0" w:space="0" w:color="auto"/>
            <w:bottom w:val="none" w:sz="0" w:space="0" w:color="auto"/>
            <w:right w:val="none" w:sz="0" w:space="0" w:color="auto"/>
          </w:divBdr>
          <w:divsChild>
            <w:div w:id="1722360851">
              <w:marLeft w:val="0"/>
              <w:marRight w:val="0"/>
              <w:marTop w:val="0"/>
              <w:marBottom w:val="0"/>
              <w:divBdr>
                <w:top w:val="none" w:sz="0" w:space="0" w:color="auto"/>
                <w:left w:val="none" w:sz="0" w:space="0" w:color="auto"/>
                <w:bottom w:val="none" w:sz="0" w:space="0" w:color="auto"/>
                <w:right w:val="none" w:sz="0" w:space="0" w:color="auto"/>
              </w:divBdr>
              <w:divsChild>
                <w:div w:id="1594124925">
                  <w:marLeft w:val="0"/>
                  <w:marRight w:val="0"/>
                  <w:marTop w:val="0"/>
                  <w:marBottom w:val="0"/>
                  <w:divBdr>
                    <w:top w:val="none" w:sz="0" w:space="0" w:color="auto"/>
                    <w:left w:val="none" w:sz="0" w:space="0" w:color="auto"/>
                    <w:bottom w:val="none" w:sz="0" w:space="0" w:color="auto"/>
                    <w:right w:val="none" w:sz="0" w:space="0" w:color="auto"/>
                  </w:divBdr>
                  <w:divsChild>
                    <w:div w:id="106368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811054">
          <w:marLeft w:val="0"/>
          <w:marRight w:val="0"/>
          <w:marTop w:val="0"/>
          <w:marBottom w:val="0"/>
          <w:divBdr>
            <w:top w:val="none" w:sz="0" w:space="0" w:color="auto"/>
            <w:left w:val="none" w:sz="0" w:space="0" w:color="auto"/>
            <w:bottom w:val="none" w:sz="0" w:space="0" w:color="auto"/>
            <w:right w:val="none" w:sz="0" w:space="0" w:color="auto"/>
          </w:divBdr>
          <w:divsChild>
            <w:div w:id="1154300180">
              <w:marLeft w:val="0"/>
              <w:marRight w:val="0"/>
              <w:marTop w:val="0"/>
              <w:marBottom w:val="0"/>
              <w:divBdr>
                <w:top w:val="none" w:sz="0" w:space="0" w:color="auto"/>
                <w:left w:val="none" w:sz="0" w:space="0" w:color="auto"/>
                <w:bottom w:val="none" w:sz="0" w:space="0" w:color="auto"/>
                <w:right w:val="none" w:sz="0" w:space="0" w:color="auto"/>
              </w:divBdr>
              <w:divsChild>
                <w:div w:id="1930191934">
                  <w:marLeft w:val="0"/>
                  <w:marRight w:val="0"/>
                  <w:marTop w:val="0"/>
                  <w:marBottom w:val="0"/>
                  <w:divBdr>
                    <w:top w:val="none" w:sz="0" w:space="0" w:color="auto"/>
                    <w:left w:val="none" w:sz="0" w:space="0" w:color="auto"/>
                    <w:bottom w:val="none" w:sz="0" w:space="0" w:color="auto"/>
                    <w:right w:val="none" w:sz="0" w:space="0" w:color="auto"/>
                  </w:divBdr>
                  <w:divsChild>
                    <w:div w:id="4314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58784">
      <w:bodyDiv w:val="1"/>
      <w:marLeft w:val="0"/>
      <w:marRight w:val="0"/>
      <w:marTop w:val="0"/>
      <w:marBottom w:val="0"/>
      <w:divBdr>
        <w:top w:val="none" w:sz="0" w:space="0" w:color="auto"/>
        <w:left w:val="none" w:sz="0" w:space="0" w:color="auto"/>
        <w:bottom w:val="none" w:sz="0" w:space="0" w:color="auto"/>
        <w:right w:val="none" w:sz="0" w:space="0" w:color="auto"/>
      </w:divBdr>
    </w:div>
    <w:div w:id="100803808">
      <w:bodyDiv w:val="1"/>
      <w:marLeft w:val="0"/>
      <w:marRight w:val="0"/>
      <w:marTop w:val="0"/>
      <w:marBottom w:val="0"/>
      <w:divBdr>
        <w:top w:val="none" w:sz="0" w:space="0" w:color="auto"/>
        <w:left w:val="none" w:sz="0" w:space="0" w:color="auto"/>
        <w:bottom w:val="none" w:sz="0" w:space="0" w:color="auto"/>
        <w:right w:val="none" w:sz="0" w:space="0" w:color="auto"/>
      </w:divBdr>
    </w:div>
    <w:div w:id="48851762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5599901">
      <w:bodyDiv w:val="1"/>
      <w:marLeft w:val="0"/>
      <w:marRight w:val="0"/>
      <w:marTop w:val="0"/>
      <w:marBottom w:val="0"/>
      <w:divBdr>
        <w:top w:val="none" w:sz="0" w:space="0" w:color="auto"/>
        <w:left w:val="none" w:sz="0" w:space="0" w:color="auto"/>
        <w:bottom w:val="none" w:sz="0" w:space="0" w:color="auto"/>
        <w:right w:val="none" w:sz="0" w:space="0" w:color="auto"/>
      </w:divBdr>
      <w:divsChild>
        <w:div w:id="1529179856">
          <w:marLeft w:val="0"/>
          <w:marRight w:val="0"/>
          <w:marTop w:val="0"/>
          <w:marBottom w:val="0"/>
          <w:divBdr>
            <w:top w:val="none" w:sz="0" w:space="0" w:color="auto"/>
            <w:left w:val="none" w:sz="0" w:space="0" w:color="auto"/>
            <w:bottom w:val="none" w:sz="0" w:space="0" w:color="auto"/>
            <w:right w:val="none" w:sz="0" w:space="0" w:color="auto"/>
          </w:divBdr>
          <w:divsChild>
            <w:div w:id="1409159014">
              <w:marLeft w:val="0"/>
              <w:marRight w:val="0"/>
              <w:marTop w:val="0"/>
              <w:marBottom w:val="0"/>
              <w:divBdr>
                <w:top w:val="none" w:sz="0" w:space="0" w:color="auto"/>
                <w:left w:val="none" w:sz="0" w:space="0" w:color="auto"/>
                <w:bottom w:val="none" w:sz="0" w:space="0" w:color="auto"/>
                <w:right w:val="none" w:sz="0" w:space="0" w:color="auto"/>
              </w:divBdr>
            </w:div>
          </w:divsChild>
        </w:div>
        <w:div w:id="641151893">
          <w:marLeft w:val="0"/>
          <w:marRight w:val="0"/>
          <w:marTop w:val="0"/>
          <w:marBottom w:val="0"/>
          <w:divBdr>
            <w:top w:val="none" w:sz="0" w:space="0" w:color="auto"/>
            <w:left w:val="none" w:sz="0" w:space="0" w:color="auto"/>
            <w:bottom w:val="none" w:sz="0" w:space="0" w:color="auto"/>
            <w:right w:val="none" w:sz="0" w:space="0" w:color="auto"/>
          </w:divBdr>
          <w:divsChild>
            <w:div w:id="100389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92852">
      <w:bodyDiv w:val="1"/>
      <w:marLeft w:val="0"/>
      <w:marRight w:val="0"/>
      <w:marTop w:val="0"/>
      <w:marBottom w:val="0"/>
      <w:divBdr>
        <w:top w:val="none" w:sz="0" w:space="0" w:color="auto"/>
        <w:left w:val="none" w:sz="0" w:space="0" w:color="auto"/>
        <w:bottom w:val="none" w:sz="0" w:space="0" w:color="auto"/>
        <w:right w:val="none" w:sz="0" w:space="0" w:color="auto"/>
      </w:divBdr>
    </w:div>
    <w:div w:id="1922637268">
      <w:bodyDiv w:val="1"/>
      <w:marLeft w:val="0"/>
      <w:marRight w:val="0"/>
      <w:marTop w:val="0"/>
      <w:marBottom w:val="0"/>
      <w:divBdr>
        <w:top w:val="none" w:sz="0" w:space="0" w:color="auto"/>
        <w:left w:val="none" w:sz="0" w:space="0" w:color="auto"/>
        <w:bottom w:val="none" w:sz="0" w:space="0" w:color="auto"/>
        <w:right w:val="none" w:sz="0" w:space="0" w:color="auto"/>
      </w:divBdr>
      <w:divsChild>
        <w:div w:id="506792774">
          <w:marLeft w:val="0"/>
          <w:marRight w:val="0"/>
          <w:marTop w:val="0"/>
          <w:marBottom w:val="0"/>
          <w:divBdr>
            <w:top w:val="none" w:sz="0" w:space="0" w:color="auto"/>
            <w:left w:val="none" w:sz="0" w:space="0" w:color="auto"/>
            <w:bottom w:val="none" w:sz="0" w:space="0" w:color="auto"/>
            <w:right w:val="none" w:sz="0" w:space="0" w:color="auto"/>
          </w:divBdr>
        </w:div>
        <w:div w:id="30230941">
          <w:marLeft w:val="0"/>
          <w:marRight w:val="0"/>
          <w:marTop w:val="0"/>
          <w:marBottom w:val="0"/>
          <w:divBdr>
            <w:top w:val="none" w:sz="0" w:space="0" w:color="auto"/>
            <w:left w:val="none" w:sz="0" w:space="0" w:color="auto"/>
            <w:bottom w:val="none" w:sz="0" w:space="0" w:color="auto"/>
            <w:right w:val="none" w:sz="0" w:space="0" w:color="auto"/>
          </w:divBdr>
          <w:divsChild>
            <w:div w:id="819004269">
              <w:marLeft w:val="0"/>
              <w:marRight w:val="0"/>
              <w:marTop w:val="0"/>
              <w:marBottom w:val="0"/>
              <w:divBdr>
                <w:top w:val="none" w:sz="0" w:space="0" w:color="auto"/>
                <w:left w:val="none" w:sz="0" w:space="0" w:color="auto"/>
                <w:bottom w:val="none" w:sz="0" w:space="0" w:color="auto"/>
                <w:right w:val="none" w:sz="0" w:space="0" w:color="auto"/>
              </w:divBdr>
              <w:divsChild>
                <w:div w:id="1461806128">
                  <w:marLeft w:val="0"/>
                  <w:marRight w:val="0"/>
                  <w:marTop w:val="0"/>
                  <w:marBottom w:val="0"/>
                  <w:divBdr>
                    <w:top w:val="none" w:sz="0" w:space="0" w:color="auto"/>
                    <w:left w:val="none" w:sz="0" w:space="0" w:color="auto"/>
                    <w:bottom w:val="none" w:sz="0" w:space="0" w:color="auto"/>
                    <w:right w:val="none" w:sz="0" w:space="0" w:color="auto"/>
                  </w:divBdr>
                  <w:divsChild>
                    <w:div w:id="33931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421785">
          <w:marLeft w:val="0"/>
          <w:marRight w:val="0"/>
          <w:marTop w:val="0"/>
          <w:marBottom w:val="0"/>
          <w:divBdr>
            <w:top w:val="none" w:sz="0" w:space="0" w:color="auto"/>
            <w:left w:val="none" w:sz="0" w:space="0" w:color="auto"/>
            <w:bottom w:val="none" w:sz="0" w:space="0" w:color="auto"/>
            <w:right w:val="none" w:sz="0" w:space="0" w:color="auto"/>
          </w:divBdr>
          <w:divsChild>
            <w:div w:id="1470854495">
              <w:marLeft w:val="0"/>
              <w:marRight w:val="0"/>
              <w:marTop w:val="0"/>
              <w:marBottom w:val="0"/>
              <w:divBdr>
                <w:top w:val="none" w:sz="0" w:space="0" w:color="auto"/>
                <w:left w:val="none" w:sz="0" w:space="0" w:color="auto"/>
                <w:bottom w:val="none" w:sz="0" w:space="0" w:color="auto"/>
                <w:right w:val="none" w:sz="0" w:space="0" w:color="auto"/>
              </w:divBdr>
              <w:divsChild>
                <w:div w:id="2083138909">
                  <w:marLeft w:val="0"/>
                  <w:marRight w:val="0"/>
                  <w:marTop w:val="0"/>
                  <w:marBottom w:val="0"/>
                  <w:divBdr>
                    <w:top w:val="none" w:sz="0" w:space="0" w:color="auto"/>
                    <w:left w:val="none" w:sz="0" w:space="0" w:color="auto"/>
                    <w:bottom w:val="none" w:sz="0" w:space="0" w:color="auto"/>
                    <w:right w:val="none" w:sz="0" w:space="0" w:color="auto"/>
                  </w:divBdr>
                  <w:divsChild>
                    <w:div w:id="101025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547935">
          <w:marLeft w:val="0"/>
          <w:marRight w:val="0"/>
          <w:marTop w:val="0"/>
          <w:marBottom w:val="0"/>
          <w:divBdr>
            <w:top w:val="none" w:sz="0" w:space="0" w:color="auto"/>
            <w:left w:val="none" w:sz="0" w:space="0" w:color="auto"/>
            <w:bottom w:val="none" w:sz="0" w:space="0" w:color="auto"/>
            <w:right w:val="none" w:sz="0" w:space="0" w:color="auto"/>
          </w:divBdr>
          <w:divsChild>
            <w:div w:id="685205592">
              <w:marLeft w:val="0"/>
              <w:marRight w:val="0"/>
              <w:marTop w:val="0"/>
              <w:marBottom w:val="0"/>
              <w:divBdr>
                <w:top w:val="none" w:sz="0" w:space="0" w:color="auto"/>
                <w:left w:val="none" w:sz="0" w:space="0" w:color="auto"/>
                <w:bottom w:val="none" w:sz="0" w:space="0" w:color="auto"/>
                <w:right w:val="none" w:sz="0" w:space="0" w:color="auto"/>
              </w:divBdr>
              <w:divsChild>
                <w:div w:id="1941789673">
                  <w:marLeft w:val="0"/>
                  <w:marRight w:val="0"/>
                  <w:marTop w:val="0"/>
                  <w:marBottom w:val="0"/>
                  <w:divBdr>
                    <w:top w:val="none" w:sz="0" w:space="0" w:color="auto"/>
                    <w:left w:val="none" w:sz="0" w:space="0" w:color="auto"/>
                    <w:bottom w:val="none" w:sz="0" w:space="0" w:color="auto"/>
                    <w:right w:val="none" w:sz="0" w:space="0" w:color="auto"/>
                  </w:divBdr>
                  <w:divsChild>
                    <w:div w:id="64758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2756">
          <w:marLeft w:val="0"/>
          <w:marRight w:val="0"/>
          <w:marTop w:val="0"/>
          <w:marBottom w:val="0"/>
          <w:divBdr>
            <w:top w:val="none" w:sz="0" w:space="0" w:color="auto"/>
            <w:left w:val="none" w:sz="0" w:space="0" w:color="auto"/>
            <w:bottom w:val="none" w:sz="0" w:space="0" w:color="auto"/>
            <w:right w:val="none" w:sz="0" w:space="0" w:color="auto"/>
          </w:divBdr>
          <w:divsChild>
            <w:div w:id="530152181">
              <w:marLeft w:val="0"/>
              <w:marRight w:val="0"/>
              <w:marTop w:val="0"/>
              <w:marBottom w:val="0"/>
              <w:divBdr>
                <w:top w:val="none" w:sz="0" w:space="0" w:color="auto"/>
                <w:left w:val="none" w:sz="0" w:space="0" w:color="auto"/>
                <w:bottom w:val="none" w:sz="0" w:space="0" w:color="auto"/>
                <w:right w:val="none" w:sz="0" w:space="0" w:color="auto"/>
              </w:divBdr>
              <w:divsChild>
                <w:div w:id="631137017">
                  <w:marLeft w:val="0"/>
                  <w:marRight w:val="0"/>
                  <w:marTop w:val="0"/>
                  <w:marBottom w:val="0"/>
                  <w:divBdr>
                    <w:top w:val="none" w:sz="0" w:space="0" w:color="auto"/>
                    <w:left w:val="none" w:sz="0" w:space="0" w:color="auto"/>
                    <w:bottom w:val="none" w:sz="0" w:space="0" w:color="auto"/>
                    <w:right w:val="none" w:sz="0" w:space="0" w:color="auto"/>
                  </w:divBdr>
                  <w:divsChild>
                    <w:div w:id="41139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864057">
      <w:bodyDiv w:val="1"/>
      <w:marLeft w:val="0"/>
      <w:marRight w:val="0"/>
      <w:marTop w:val="0"/>
      <w:marBottom w:val="0"/>
      <w:divBdr>
        <w:top w:val="none" w:sz="0" w:space="0" w:color="auto"/>
        <w:left w:val="none" w:sz="0" w:space="0" w:color="auto"/>
        <w:bottom w:val="none" w:sz="0" w:space="0" w:color="auto"/>
        <w:right w:val="none" w:sz="0" w:space="0" w:color="auto"/>
      </w:divBdr>
      <w:divsChild>
        <w:div w:id="875043545">
          <w:marLeft w:val="0"/>
          <w:marRight w:val="0"/>
          <w:marTop w:val="0"/>
          <w:marBottom w:val="0"/>
          <w:divBdr>
            <w:top w:val="none" w:sz="0" w:space="0" w:color="auto"/>
            <w:left w:val="none" w:sz="0" w:space="0" w:color="auto"/>
            <w:bottom w:val="none" w:sz="0" w:space="0" w:color="auto"/>
            <w:right w:val="none" w:sz="0" w:space="0" w:color="auto"/>
          </w:divBdr>
          <w:divsChild>
            <w:div w:id="82529567">
              <w:marLeft w:val="0"/>
              <w:marRight w:val="0"/>
              <w:marTop w:val="0"/>
              <w:marBottom w:val="0"/>
              <w:divBdr>
                <w:top w:val="none" w:sz="0" w:space="0" w:color="auto"/>
                <w:left w:val="none" w:sz="0" w:space="0" w:color="auto"/>
                <w:bottom w:val="none" w:sz="0" w:space="0" w:color="auto"/>
                <w:right w:val="none" w:sz="0" w:space="0" w:color="auto"/>
              </w:divBdr>
            </w:div>
          </w:divsChild>
        </w:div>
        <w:div w:id="81607023">
          <w:marLeft w:val="0"/>
          <w:marRight w:val="0"/>
          <w:marTop w:val="0"/>
          <w:marBottom w:val="0"/>
          <w:divBdr>
            <w:top w:val="none" w:sz="0" w:space="0" w:color="auto"/>
            <w:left w:val="none" w:sz="0" w:space="0" w:color="auto"/>
            <w:bottom w:val="none" w:sz="0" w:space="0" w:color="auto"/>
            <w:right w:val="none" w:sz="0" w:space="0" w:color="auto"/>
          </w:divBdr>
          <w:divsChild>
            <w:div w:id="195513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15689</TotalTime>
  <Pages>5</Pages>
  <Words>1036</Words>
  <Characters>5909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Dalling</cp:lastModifiedBy>
  <cp:revision>84</cp:revision>
  <cp:lastPrinted>2020-02-11T19:20:00Z</cp:lastPrinted>
  <dcterms:created xsi:type="dcterms:W3CDTF">2026-02-05T12:55:00Z</dcterms:created>
  <dcterms:modified xsi:type="dcterms:W3CDTF">2026-10-01T20:27:00Z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