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B64E95" w14:textId="33508ECF" w:rsidR="00696E41" w:rsidRPr="00F32BB6" w:rsidRDefault="00133C69"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STUDENT:</w:t>
      </w:r>
    </w:p>
    <w:p w14:paraId="31089F7F" w14:textId="08F6C86A" w:rsidR="00133C69" w:rsidRPr="00F32BB6" w:rsidRDefault="00133C69"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NOSHEEN MANZOOR</w:t>
      </w:r>
    </w:p>
    <w:p w14:paraId="27515062" w14:textId="6B590C4D" w:rsidR="00133C69" w:rsidRPr="00F32BB6" w:rsidRDefault="00133C69"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2218718</w:t>
      </w:r>
    </w:p>
    <w:p w14:paraId="0D7D54EF" w14:textId="77777777" w:rsidR="00133C69" w:rsidRPr="00F32BB6" w:rsidRDefault="00133C69" w:rsidP="00F32BB6">
      <w:pPr>
        <w:jc w:val="center"/>
        <w:rPr>
          <w:rFonts w:ascii="Baskerville Old Face" w:hAnsi="Baskerville Old Face" w:cs="Arial"/>
          <w:b/>
          <w:bCs/>
          <w:sz w:val="36"/>
          <w:szCs w:val="36"/>
        </w:rPr>
      </w:pPr>
    </w:p>
    <w:p w14:paraId="781A7665" w14:textId="1867CC2B" w:rsidR="00133C69" w:rsidRPr="00F32BB6" w:rsidRDefault="00133C69"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MODULE:</w:t>
      </w:r>
    </w:p>
    <w:p w14:paraId="582DF7DD" w14:textId="1E75B8ED" w:rsidR="00CB51F9" w:rsidRPr="00F32BB6" w:rsidRDefault="00CB51F9"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LCMB7024</w:t>
      </w:r>
    </w:p>
    <w:p w14:paraId="3F867288" w14:textId="450C5165" w:rsidR="00CB51F9" w:rsidRPr="00F32BB6" w:rsidRDefault="00CB51F9"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PORTFOLIO</w:t>
      </w:r>
      <w:r w:rsidR="0044520B" w:rsidRPr="00F32BB6">
        <w:rPr>
          <w:rFonts w:ascii="Baskerville Old Face" w:hAnsi="Baskerville Old Face" w:cs="Arial"/>
          <w:b/>
          <w:bCs/>
          <w:sz w:val="36"/>
          <w:szCs w:val="36"/>
        </w:rPr>
        <w:t>/REPORT/REFLECTION</w:t>
      </w:r>
    </w:p>
    <w:p w14:paraId="597154F9" w14:textId="77777777" w:rsidR="0044520B" w:rsidRPr="00F32BB6" w:rsidRDefault="0044520B" w:rsidP="00F32BB6">
      <w:pPr>
        <w:jc w:val="center"/>
        <w:rPr>
          <w:rFonts w:ascii="Baskerville Old Face" w:hAnsi="Baskerville Old Face" w:cs="Arial"/>
          <w:b/>
          <w:bCs/>
          <w:sz w:val="36"/>
          <w:szCs w:val="36"/>
        </w:rPr>
      </w:pPr>
    </w:p>
    <w:p w14:paraId="01E81020" w14:textId="7EDB5EB7" w:rsidR="0044520B" w:rsidRPr="00F32BB6" w:rsidRDefault="0044520B"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LECTURER:</w:t>
      </w:r>
    </w:p>
    <w:p w14:paraId="26287BDD" w14:textId="02F84E1A" w:rsidR="0044520B" w:rsidRPr="00F32BB6" w:rsidRDefault="0044520B"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TAONGA KAONGA SOBERE</w:t>
      </w:r>
      <w:r w:rsidR="00F32BB6" w:rsidRPr="00F32BB6">
        <w:rPr>
          <w:rFonts w:ascii="Baskerville Old Face" w:hAnsi="Baskerville Old Face" w:cs="Arial"/>
          <w:b/>
          <w:bCs/>
          <w:sz w:val="36"/>
          <w:szCs w:val="36"/>
        </w:rPr>
        <w:t>-SNITHERS</w:t>
      </w:r>
    </w:p>
    <w:p w14:paraId="3E447191" w14:textId="77777777" w:rsidR="00F32BB6" w:rsidRPr="00F32BB6" w:rsidRDefault="00F32BB6" w:rsidP="00F32BB6">
      <w:pPr>
        <w:jc w:val="center"/>
        <w:rPr>
          <w:rFonts w:ascii="Baskerville Old Face" w:hAnsi="Baskerville Old Face" w:cs="Arial"/>
          <w:b/>
          <w:bCs/>
          <w:sz w:val="36"/>
          <w:szCs w:val="36"/>
        </w:rPr>
      </w:pPr>
    </w:p>
    <w:p w14:paraId="5102EF6F" w14:textId="77777777" w:rsidR="00F32BB6" w:rsidRPr="00F32BB6" w:rsidRDefault="00F32BB6" w:rsidP="00F32BB6">
      <w:pPr>
        <w:jc w:val="center"/>
        <w:rPr>
          <w:rFonts w:ascii="Baskerville Old Face" w:hAnsi="Baskerville Old Face" w:cs="Arial"/>
          <w:b/>
          <w:bCs/>
          <w:sz w:val="36"/>
          <w:szCs w:val="36"/>
        </w:rPr>
      </w:pPr>
    </w:p>
    <w:p w14:paraId="6D4220CC" w14:textId="77777777" w:rsidR="00F32BB6" w:rsidRPr="00F32BB6" w:rsidRDefault="00F32BB6" w:rsidP="00F32BB6">
      <w:pPr>
        <w:jc w:val="center"/>
        <w:rPr>
          <w:rFonts w:ascii="Baskerville Old Face" w:hAnsi="Baskerville Old Face" w:cs="Arial"/>
          <w:b/>
          <w:bCs/>
          <w:sz w:val="36"/>
          <w:szCs w:val="36"/>
        </w:rPr>
      </w:pPr>
    </w:p>
    <w:p w14:paraId="68D11F16" w14:textId="77777777" w:rsidR="00F32BB6" w:rsidRPr="00F32BB6" w:rsidRDefault="00F32BB6" w:rsidP="00F32BB6">
      <w:pPr>
        <w:jc w:val="center"/>
        <w:rPr>
          <w:rFonts w:ascii="Baskerville Old Face" w:hAnsi="Baskerville Old Face" w:cs="Arial"/>
          <w:b/>
          <w:bCs/>
          <w:sz w:val="36"/>
          <w:szCs w:val="36"/>
        </w:rPr>
      </w:pPr>
    </w:p>
    <w:p w14:paraId="2C2B6509" w14:textId="77777777" w:rsidR="00F32BB6" w:rsidRPr="00F32BB6" w:rsidRDefault="00F32BB6" w:rsidP="00F32BB6">
      <w:pPr>
        <w:jc w:val="center"/>
        <w:rPr>
          <w:rFonts w:ascii="Baskerville Old Face" w:hAnsi="Baskerville Old Face" w:cs="Arial"/>
          <w:b/>
          <w:bCs/>
          <w:sz w:val="36"/>
          <w:szCs w:val="36"/>
        </w:rPr>
      </w:pPr>
    </w:p>
    <w:p w14:paraId="1C5DC422" w14:textId="77777777" w:rsidR="00F32BB6" w:rsidRPr="00F32BB6" w:rsidRDefault="00F32BB6" w:rsidP="00F32BB6">
      <w:pPr>
        <w:jc w:val="center"/>
        <w:rPr>
          <w:rFonts w:ascii="Baskerville Old Face" w:hAnsi="Baskerville Old Face" w:cs="Arial"/>
          <w:b/>
          <w:bCs/>
          <w:sz w:val="36"/>
          <w:szCs w:val="36"/>
        </w:rPr>
      </w:pPr>
    </w:p>
    <w:p w14:paraId="5134CCE2" w14:textId="77777777" w:rsidR="00F32BB6" w:rsidRPr="00F32BB6" w:rsidRDefault="00F32BB6" w:rsidP="00F32BB6">
      <w:pPr>
        <w:jc w:val="center"/>
        <w:rPr>
          <w:rFonts w:ascii="Baskerville Old Face" w:hAnsi="Baskerville Old Face" w:cs="Arial"/>
          <w:b/>
          <w:bCs/>
          <w:sz w:val="36"/>
          <w:szCs w:val="36"/>
        </w:rPr>
      </w:pPr>
    </w:p>
    <w:p w14:paraId="5D6BDED0" w14:textId="77777777" w:rsidR="00F32BB6" w:rsidRPr="00F32BB6" w:rsidRDefault="00F32BB6" w:rsidP="00F32BB6">
      <w:pPr>
        <w:jc w:val="center"/>
        <w:rPr>
          <w:rFonts w:ascii="Baskerville Old Face" w:hAnsi="Baskerville Old Face" w:cs="Arial"/>
          <w:b/>
          <w:bCs/>
          <w:sz w:val="36"/>
          <w:szCs w:val="36"/>
        </w:rPr>
      </w:pPr>
    </w:p>
    <w:p w14:paraId="24943BE1" w14:textId="77777777" w:rsidR="00F32BB6" w:rsidRPr="00F32BB6" w:rsidRDefault="00F32BB6" w:rsidP="00F32BB6">
      <w:pPr>
        <w:jc w:val="center"/>
        <w:rPr>
          <w:rFonts w:ascii="Baskerville Old Face" w:hAnsi="Baskerville Old Face" w:cs="Arial"/>
          <w:b/>
          <w:bCs/>
          <w:sz w:val="36"/>
          <w:szCs w:val="36"/>
        </w:rPr>
      </w:pPr>
    </w:p>
    <w:p w14:paraId="1100C564" w14:textId="77777777" w:rsidR="00F32BB6" w:rsidRPr="00F32BB6" w:rsidRDefault="00F32BB6" w:rsidP="00F32BB6">
      <w:pPr>
        <w:jc w:val="center"/>
        <w:rPr>
          <w:rFonts w:ascii="Baskerville Old Face" w:hAnsi="Baskerville Old Face" w:cs="Arial"/>
          <w:b/>
          <w:bCs/>
          <w:sz w:val="36"/>
          <w:szCs w:val="36"/>
        </w:rPr>
      </w:pPr>
    </w:p>
    <w:p w14:paraId="75D87529" w14:textId="77777777" w:rsidR="00F32BB6" w:rsidRPr="00F32BB6" w:rsidRDefault="00F32BB6" w:rsidP="00F32BB6">
      <w:pPr>
        <w:jc w:val="center"/>
        <w:rPr>
          <w:rFonts w:ascii="Baskerville Old Face" w:hAnsi="Baskerville Old Face" w:cs="Arial"/>
          <w:b/>
          <w:bCs/>
          <w:sz w:val="36"/>
          <w:szCs w:val="36"/>
        </w:rPr>
      </w:pPr>
    </w:p>
    <w:p w14:paraId="68032866" w14:textId="546DF723" w:rsidR="00F32BB6" w:rsidRDefault="00F32BB6" w:rsidP="00F32BB6">
      <w:pPr>
        <w:jc w:val="center"/>
        <w:rPr>
          <w:rFonts w:ascii="Baskerville Old Face" w:hAnsi="Baskerville Old Face" w:cs="Arial"/>
          <w:b/>
          <w:bCs/>
          <w:sz w:val="36"/>
          <w:szCs w:val="36"/>
        </w:rPr>
      </w:pPr>
      <w:r w:rsidRPr="00F32BB6">
        <w:rPr>
          <w:rFonts w:ascii="Baskerville Old Face" w:hAnsi="Baskerville Old Face" w:cs="Arial"/>
          <w:b/>
          <w:bCs/>
          <w:sz w:val="36"/>
          <w:szCs w:val="36"/>
        </w:rPr>
        <w:t>WORD COUNT:</w:t>
      </w:r>
    </w:p>
    <w:p w14:paraId="3EE384FB" w14:textId="7E9B9FC3" w:rsidR="009432A5" w:rsidRPr="00F32BB6" w:rsidRDefault="009432A5" w:rsidP="00F32BB6">
      <w:pPr>
        <w:jc w:val="center"/>
        <w:rPr>
          <w:rFonts w:ascii="Baskerville Old Face" w:hAnsi="Baskerville Old Face" w:cs="Arial"/>
          <w:b/>
          <w:bCs/>
          <w:sz w:val="36"/>
          <w:szCs w:val="36"/>
        </w:rPr>
      </w:pPr>
      <w:r>
        <w:rPr>
          <w:rFonts w:ascii="Baskerville Old Face" w:hAnsi="Baskerville Old Face" w:cs="Arial"/>
          <w:b/>
          <w:bCs/>
          <w:sz w:val="36"/>
          <w:szCs w:val="36"/>
        </w:rPr>
        <w:t>2473</w:t>
      </w:r>
    </w:p>
    <w:p w14:paraId="64F97216" w14:textId="77777777" w:rsidR="00696E41" w:rsidRDefault="00696E41">
      <w:r>
        <w:br w:type="page"/>
      </w:r>
    </w:p>
    <w:sdt>
      <w:sdtPr>
        <w:rPr>
          <w:rFonts w:asciiTheme="minorHAnsi" w:eastAsiaTheme="minorHAnsi" w:hAnsiTheme="minorHAnsi" w:cstheme="minorBidi"/>
          <w:b w:val="0"/>
          <w:bCs w:val="0"/>
          <w:color w:val="auto"/>
          <w:kern w:val="2"/>
          <w:sz w:val="24"/>
          <w:szCs w:val="24"/>
          <w:lang w:val="en-GB"/>
          <w14:ligatures w14:val="standardContextual"/>
        </w:rPr>
        <w:id w:val="-226768548"/>
        <w:docPartObj>
          <w:docPartGallery w:val="Table of Contents"/>
          <w:docPartUnique/>
        </w:docPartObj>
      </w:sdtPr>
      <w:sdtEndPr>
        <w:rPr>
          <w:noProof/>
        </w:rPr>
      </w:sdtEndPr>
      <w:sdtContent>
        <w:p w14:paraId="50FB1333" w14:textId="0C10BD63" w:rsidR="007B6AA0" w:rsidRDefault="007B6AA0">
          <w:pPr>
            <w:pStyle w:val="TOCHeading"/>
          </w:pPr>
          <w:r>
            <w:t>Table of Contents</w:t>
          </w:r>
        </w:p>
        <w:p w14:paraId="682688F9" w14:textId="6B9CF3E0" w:rsidR="00B520F4" w:rsidRDefault="007B6AA0">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36260075" w:history="1">
            <w:r w:rsidR="00B520F4" w:rsidRPr="00922A27">
              <w:rPr>
                <w:rStyle w:val="Hyperlink"/>
                <w:noProof/>
              </w:rPr>
              <w:t>INTRODUCTION:</w:t>
            </w:r>
            <w:r w:rsidR="00B520F4">
              <w:rPr>
                <w:noProof/>
                <w:webHidden/>
              </w:rPr>
              <w:tab/>
            </w:r>
            <w:r w:rsidR="00B520F4">
              <w:rPr>
                <w:noProof/>
                <w:webHidden/>
              </w:rPr>
              <w:fldChar w:fldCharType="begin"/>
            </w:r>
            <w:r w:rsidR="00B520F4">
              <w:rPr>
                <w:noProof/>
                <w:webHidden/>
              </w:rPr>
              <w:instrText xml:space="preserve"> PAGEREF _Toc236260075 \h </w:instrText>
            </w:r>
            <w:r w:rsidR="00B520F4">
              <w:rPr>
                <w:noProof/>
                <w:webHidden/>
              </w:rPr>
            </w:r>
            <w:r w:rsidR="00B520F4">
              <w:rPr>
                <w:noProof/>
                <w:webHidden/>
              </w:rPr>
              <w:fldChar w:fldCharType="separate"/>
            </w:r>
            <w:r w:rsidR="00B520F4">
              <w:rPr>
                <w:noProof/>
                <w:webHidden/>
              </w:rPr>
              <w:t>3</w:t>
            </w:r>
            <w:r w:rsidR="00B520F4">
              <w:rPr>
                <w:noProof/>
                <w:webHidden/>
              </w:rPr>
              <w:fldChar w:fldCharType="end"/>
            </w:r>
          </w:hyperlink>
        </w:p>
        <w:p w14:paraId="2961B7C3" w14:textId="0B6CC306" w:rsidR="00B520F4" w:rsidRDefault="00B520F4">
          <w:pPr>
            <w:pStyle w:val="TOC1"/>
            <w:tabs>
              <w:tab w:val="right" w:leader="dot" w:pos="9016"/>
            </w:tabs>
            <w:rPr>
              <w:rFonts w:eastAsiaTheme="minorEastAsia"/>
              <w:b w:val="0"/>
              <w:bCs w:val="0"/>
              <w:caps w:val="0"/>
              <w:noProof/>
              <w:sz w:val="24"/>
              <w:szCs w:val="24"/>
              <w:lang w:eastAsia="en-GB"/>
            </w:rPr>
          </w:pPr>
          <w:hyperlink w:anchor="_Toc236260076" w:history="1">
            <w:r w:rsidRPr="00922A27">
              <w:rPr>
                <w:rStyle w:val="Hyperlink"/>
                <w:rFonts w:ascii="Arial" w:hAnsi="Arial" w:cs="Arial"/>
                <w:noProof/>
              </w:rPr>
              <w:t>ANALYSIS FOR THE BRAND EXTENSION</w:t>
            </w:r>
            <w:r>
              <w:rPr>
                <w:noProof/>
                <w:webHidden/>
              </w:rPr>
              <w:tab/>
            </w:r>
            <w:r>
              <w:rPr>
                <w:noProof/>
                <w:webHidden/>
              </w:rPr>
              <w:fldChar w:fldCharType="begin"/>
            </w:r>
            <w:r>
              <w:rPr>
                <w:noProof/>
                <w:webHidden/>
              </w:rPr>
              <w:instrText xml:space="preserve"> PAGEREF _Toc236260076 \h </w:instrText>
            </w:r>
            <w:r>
              <w:rPr>
                <w:noProof/>
                <w:webHidden/>
              </w:rPr>
            </w:r>
            <w:r>
              <w:rPr>
                <w:noProof/>
                <w:webHidden/>
              </w:rPr>
              <w:fldChar w:fldCharType="separate"/>
            </w:r>
            <w:r>
              <w:rPr>
                <w:noProof/>
                <w:webHidden/>
              </w:rPr>
              <w:t>3</w:t>
            </w:r>
            <w:r>
              <w:rPr>
                <w:noProof/>
                <w:webHidden/>
              </w:rPr>
              <w:fldChar w:fldCharType="end"/>
            </w:r>
          </w:hyperlink>
        </w:p>
        <w:p w14:paraId="24D37E9F" w14:textId="36426208" w:rsidR="00B520F4" w:rsidRDefault="00B520F4">
          <w:pPr>
            <w:pStyle w:val="TOC1"/>
            <w:tabs>
              <w:tab w:val="right" w:leader="dot" w:pos="9016"/>
            </w:tabs>
            <w:rPr>
              <w:rFonts w:eastAsiaTheme="minorEastAsia"/>
              <w:b w:val="0"/>
              <w:bCs w:val="0"/>
              <w:caps w:val="0"/>
              <w:noProof/>
              <w:sz w:val="24"/>
              <w:szCs w:val="24"/>
              <w:lang w:eastAsia="en-GB"/>
            </w:rPr>
          </w:pPr>
          <w:hyperlink w:anchor="_Toc236260077" w:history="1">
            <w:r w:rsidRPr="00922A27">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_Toc236260077 \h </w:instrText>
            </w:r>
            <w:r>
              <w:rPr>
                <w:noProof/>
                <w:webHidden/>
              </w:rPr>
            </w:r>
            <w:r>
              <w:rPr>
                <w:noProof/>
                <w:webHidden/>
              </w:rPr>
              <w:fldChar w:fldCharType="separate"/>
            </w:r>
            <w:r>
              <w:rPr>
                <w:noProof/>
                <w:webHidden/>
              </w:rPr>
              <w:t>4</w:t>
            </w:r>
            <w:r>
              <w:rPr>
                <w:noProof/>
                <w:webHidden/>
              </w:rPr>
              <w:fldChar w:fldCharType="end"/>
            </w:r>
          </w:hyperlink>
        </w:p>
        <w:p w14:paraId="60AD57E0" w14:textId="3C6B62C1" w:rsidR="00B520F4" w:rsidRDefault="00B520F4">
          <w:pPr>
            <w:pStyle w:val="TOC1"/>
            <w:tabs>
              <w:tab w:val="right" w:leader="dot" w:pos="9016"/>
            </w:tabs>
            <w:rPr>
              <w:rFonts w:eastAsiaTheme="minorEastAsia"/>
              <w:b w:val="0"/>
              <w:bCs w:val="0"/>
              <w:caps w:val="0"/>
              <w:noProof/>
              <w:sz w:val="24"/>
              <w:szCs w:val="24"/>
              <w:lang w:eastAsia="en-GB"/>
            </w:rPr>
          </w:pPr>
          <w:hyperlink w:anchor="_Toc236260078" w:history="1">
            <w:r w:rsidRPr="00922A27">
              <w:rPr>
                <w:rStyle w:val="Hyperlink"/>
                <w:rFonts w:ascii="Arial" w:hAnsi="Arial" w:cs="Arial"/>
                <w:noProof/>
              </w:rPr>
              <w:t>MARKETING MIX (7Ps)</w:t>
            </w:r>
            <w:r>
              <w:rPr>
                <w:noProof/>
                <w:webHidden/>
              </w:rPr>
              <w:tab/>
            </w:r>
            <w:r>
              <w:rPr>
                <w:noProof/>
                <w:webHidden/>
              </w:rPr>
              <w:fldChar w:fldCharType="begin"/>
            </w:r>
            <w:r>
              <w:rPr>
                <w:noProof/>
                <w:webHidden/>
              </w:rPr>
              <w:instrText xml:space="preserve"> PAGEREF _Toc236260078 \h </w:instrText>
            </w:r>
            <w:r>
              <w:rPr>
                <w:noProof/>
                <w:webHidden/>
              </w:rPr>
            </w:r>
            <w:r>
              <w:rPr>
                <w:noProof/>
                <w:webHidden/>
              </w:rPr>
              <w:fldChar w:fldCharType="separate"/>
            </w:r>
            <w:r>
              <w:rPr>
                <w:noProof/>
                <w:webHidden/>
              </w:rPr>
              <w:t>8</w:t>
            </w:r>
            <w:r>
              <w:rPr>
                <w:noProof/>
                <w:webHidden/>
              </w:rPr>
              <w:fldChar w:fldCharType="end"/>
            </w:r>
          </w:hyperlink>
        </w:p>
        <w:p w14:paraId="75111C77" w14:textId="002F3D5F" w:rsidR="00B520F4" w:rsidRDefault="00B520F4">
          <w:pPr>
            <w:pStyle w:val="TOC1"/>
            <w:tabs>
              <w:tab w:val="right" w:leader="dot" w:pos="9016"/>
            </w:tabs>
            <w:rPr>
              <w:rFonts w:eastAsiaTheme="minorEastAsia"/>
              <w:b w:val="0"/>
              <w:bCs w:val="0"/>
              <w:caps w:val="0"/>
              <w:noProof/>
              <w:sz w:val="24"/>
              <w:szCs w:val="24"/>
              <w:lang w:eastAsia="en-GB"/>
            </w:rPr>
          </w:pPr>
          <w:hyperlink w:anchor="_Toc236260079" w:history="1">
            <w:r w:rsidRPr="00922A27">
              <w:rPr>
                <w:rStyle w:val="Hyperlink"/>
                <w:rFonts w:ascii="Arial" w:hAnsi="Arial" w:cs="Arial"/>
                <w:noProof/>
              </w:rPr>
              <w:t>REFLECTION:</w:t>
            </w:r>
            <w:r>
              <w:rPr>
                <w:noProof/>
                <w:webHidden/>
              </w:rPr>
              <w:tab/>
            </w:r>
            <w:r>
              <w:rPr>
                <w:noProof/>
                <w:webHidden/>
              </w:rPr>
              <w:fldChar w:fldCharType="begin"/>
            </w:r>
            <w:r>
              <w:rPr>
                <w:noProof/>
                <w:webHidden/>
              </w:rPr>
              <w:instrText xml:space="preserve"> PAGEREF _Toc236260079 \h </w:instrText>
            </w:r>
            <w:r>
              <w:rPr>
                <w:noProof/>
                <w:webHidden/>
              </w:rPr>
            </w:r>
            <w:r>
              <w:rPr>
                <w:noProof/>
                <w:webHidden/>
              </w:rPr>
              <w:fldChar w:fldCharType="separate"/>
            </w:r>
            <w:r>
              <w:rPr>
                <w:noProof/>
                <w:webHidden/>
              </w:rPr>
              <w:t>12</w:t>
            </w:r>
            <w:r>
              <w:rPr>
                <w:noProof/>
                <w:webHidden/>
              </w:rPr>
              <w:fldChar w:fldCharType="end"/>
            </w:r>
          </w:hyperlink>
        </w:p>
        <w:p w14:paraId="2C7DF73E" w14:textId="7B6775A6" w:rsidR="00B520F4" w:rsidRDefault="00B520F4">
          <w:pPr>
            <w:pStyle w:val="TOC2"/>
            <w:tabs>
              <w:tab w:val="right" w:leader="dot" w:pos="9016"/>
            </w:tabs>
            <w:rPr>
              <w:rFonts w:eastAsiaTheme="minorEastAsia"/>
              <w:smallCaps w:val="0"/>
              <w:noProof/>
              <w:sz w:val="24"/>
              <w:szCs w:val="24"/>
              <w:lang w:eastAsia="en-GB"/>
            </w:rPr>
          </w:pPr>
          <w:hyperlink w:anchor="_Toc236260080" w:history="1">
            <w:r w:rsidRPr="00922A27">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_Toc236260080 \h </w:instrText>
            </w:r>
            <w:r>
              <w:rPr>
                <w:noProof/>
                <w:webHidden/>
              </w:rPr>
            </w:r>
            <w:r>
              <w:rPr>
                <w:noProof/>
                <w:webHidden/>
              </w:rPr>
              <w:fldChar w:fldCharType="separate"/>
            </w:r>
            <w:r>
              <w:rPr>
                <w:noProof/>
                <w:webHidden/>
              </w:rPr>
              <w:t>12</w:t>
            </w:r>
            <w:r>
              <w:rPr>
                <w:noProof/>
                <w:webHidden/>
              </w:rPr>
              <w:fldChar w:fldCharType="end"/>
            </w:r>
          </w:hyperlink>
        </w:p>
        <w:p w14:paraId="7782E2A8" w14:textId="2837448B" w:rsidR="00B520F4" w:rsidRDefault="00B520F4">
          <w:pPr>
            <w:pStyle w:val="TOC2"/>
            <w:tabs>
              <w:tab w:val="right" w:leader="dot" w:pos="9016"/>
            </w:tabs>
            <w:rPr>
              <w:rFonts w:eastAsiaTheme="minorEastAsia"/>
              <w:smallCaps w:val="0"/>
              <w:noProof/>
              <w:sz w:val="24"/>
              <w:szCs w:val="24"/>
              <w:lang w:eastAsia="en-GB"/>
            </w:rPr>
          </w:pPr>
          <w:hyperlink w:anchor="_Toc236260081" w:history="1">
            <w:r w:rsidRPr="00922A27">
              <w:rPr>
                <w:rStyle w:val="Hyperlink"/>
                <w:rFonts w:ascii="Arial" w:hAnsi="Arial" w:cs="Arial"/>
                <w:noProof/>
              </w:rPr>
              <w:t>ANALYSIS</w:t>
            </w:r>
            <w:r>
              <w:rPr>
                <w:noProof/>
                <w:webHidden/>
              </w:rPr>
              <w:tab/>
            </w:r>
            <w:r>
              <w:rPr>
                <w:noProof/>
                <w:webHidden/>
              </w:rPr>
              <w:fldChar w:fldCharType="begin"/>
            </w:r>
            <w:r>
              <w:rPr>
                <w:noProof/>
                <w:webHidden/>
              </w:rPr>
              <w:instrText xml:space="preserve"> PAGEREF _Toc236260081 \h </w:instrText>
            </w:r>
            <w:r>
              <w:rPr>
                <w:noProof/>
                <w:webHidden/>
              </w:rPr>
            </w:r>
            <w:r>
              <w:rPr>
                <w:noProof/>
                <w:webHidden/>
              </w:rPr>
              <w:fldChar w:fldCharType="separate"/>
            </w:r>
            <w:r>
              <w:rPr>
                <w:noProof/>
                <w:webHidden/>
              </w:rPr>
              <w:t>12</w:t>
            </w:r>
            <w:r>
              <w:rPr>
                <w:noProof/>
                <w:webHidden/>
              </w:rPr>
              <w:fldChar w:fldCharType="end"/>
            </w:r>
          </w:hyperlink>
        </w:p>
        <w:p w14:paraId="733E3EC4" w14:textId="10CB458D" w:rsidR="00B520F4" w:rsidRDefault="00B520F4">
          <w:pPr>
            <w:pStyle w:val="TOC2"/>
            <w:tabs>
              <w:tab w:val="right" w:leader="dot" w:pos="9016"/>
            </w:tabs>
            <w:rPr>
              <w:rFonts w:eastAsiaTheme="minorEastAsia"/>
              <w:smallCaps w:val="0"/>
              <w:noProof/>
              <w:sz w:val="24"/>
              <w:szCs w:val="24"/>
              <w:lang w:eastAsia="en-GB"/>
            </w:rPr>
          </w:pPr>
          <w:hyperlink w:anchor="_Toc236260082" w:history="1">
            <w:r w:rsidRPr="00922A27">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_Toc236260082 \h </w:instrText>
            </w:r>
            <w:r>
              <w:rPr>
                <w:noProof/>
                <w:webHidden/>
              </w:rPr>
            </w:r>
            <w:r>
              <w:rPr>
                <w:noProof/>
                <w:webHidden/>
              </w:rPr>
              <w:fldChar w:fldCharType="separate"/>
            </w:r>
            <w:r>
              <w:rPr>
                <w:noProof/>
                <w:webHidden/>
              </w:rPr>
              <w:t>12</w:t>
            </w:r>
            <w:r>
              <w:rPr>
                <w:noProof/>
                <w:webHidden/>
              </w:rPr>
              <w:fldChar w:fldCharType="end"/>
            </w:r>
          </w:hyperlink>
        </w:p>
        <w:p w14:paraId="35FAC915" w14:textId="373D63AB" w:rsidR="00B520F4" w:rsidRDefault="00B520F4">
          <w:pPr>
            <w:pStyle w:val="TOC1"/>
            <w:tabs>
              <w:tab w:val="right" w:leader="dot" w:pos="9016"/>
            </w:tabs>
            <w:rPr>
              <w:rFonts w:eastAsiaTheme="minorEastAsia"/>
              <w:b w:val="0"/>
              <w:bCs w:val="0"/>
              <w:caps w:val="0"/>
              <w:noProof/>
              <w:sz w:val="24"/>
              <w:szCs w:val="24"/>
              <w:lang w:eastAsia="en-GB"/>
            </w:rPr>
          </w:pPr>
          <w:hyperlink w:anchor="_Toc236260083" w:history="1">
            <w:r w:rsidRPr="00922A2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_Toc236260083 \h </w:instrText>
            </w:r>
            <w:r>
              <w:rPr>
                <w:noProof/>
                <w:webHidden/>
              </w:rPr>
            </w:r>
            <w:r>
              <w:rPr>
                <w:noProof/>
                <w:webHidden/>
              </w:rPr>
              <w:fldChar w:fldCharType="separate"/>
            </w:r>
            <w:r>
              <w:rPr>
                <w:noProof/>
                <w:webHidden/>
              </w:rPr>
              <w:t>14</w:t>
            </w:r>
            <w:r>
              <w:rPr>
                <w:noProof/>
                <w:webHidden/>
              </w:rPr>
              <w:fldChar w:fldCharType="end"/>
            </w:r>
          </w:hyperlink>
        </w:p>
        <w:p w14:paraId="4B1C63A5" w14:textId="71010969" w:rsidR="007B6AA0" w:rsidRDefault="007B6AA0">
          <w:r>
            <w:rPr>
              <w:b/>
              <w:bCs/>
              <w:noProof/>
            </w:rPr>
            <w:fldChar w:fldCharType="end"/>
          </w:r>
        </w:p>
      </w:sdtContent>
    </w:sdt>
    <w:p w14:paraId="04B82AF8" w14:textId="725E6139" w:rsidR="00696E41" w:rsidRDefault="00696E41"/>
    <w:p w14:paraId="29C4B88D" w14:textId="77777777" w:rsidR="00696E41" w:rsidRDefault="00696E41">
      <w:r>
        <w:br w:type="page"/>
      </w:r>
    </w:p>
    <w:p w14:paraId="77F5CDCA" w14:textId="02A0CA38" w:rsidR="004B4742" w:rsidRDefault="004B4742" w:rsidP="00A119DC">
      <w:pPr>
        <w:pStyle w:val="Heading1"/>
        <w:rPr>
          <w:color w:val="000000" w:themeColor="text1"/>
        </w:rPr>
      </w:pPr>
      <w:bookmarkStart w:id="0" w:name="_Toc236260075"/>
      <w:r w:rsidRPr="00A119DC">
        <w:rPr>
          <w:color w:val="000000" w:themeColor="text1"/>
        </w:rPr>
        <w:lastRenderedPageBreak/>
        <w:t>INTRODUCTION:</w:t>
      </w:r>
      <w:bookmarkEnd w:id="0"/>
    </w:p>
    <w:p w14:paraId="61A6528E" w14:textId="75E984C7" w:rsidR="00A119DC" w:rsidRPr="00A119DC" w:rsidRDefault="00B520F4" w:rsidP="00B520F4">
      <w:pPr>
        <w:spacing w:line="360" w:lineRule="auto"/>
        <w:jc w:val="both"/>
        <w:rPr>
          <w:rFonts w:ascii="Arial" w:hAnsi="Arial" w:cs="Arial"/>
        </w:rPr>
      </w:pPr>
      <w:r w:rsidRPr="00B520F4">
        <w:rPr>
          <w:rFonts w:ascii="Arial" w:hAnsi="Arial" w:cs="Arial"/>
        </w:rPr>
        <w:t xml:space="preserve">This report offers an extended 7Ps marketing mix and a critical Segmentation, Targeting, Differentiation, and Positioning (STDP) analysis for </w:t>
      </w:r>
      <w:proofErr w:type="spellStart"/>
      <w:r w:rsidRPr="00B520F4">
        <w:rPr>
          <w:rFonts w:ascii="Arial" w:hAnsi="Arial" w:cs="Arial"/>
        </w:rPr>
        <w:t>ReCrocs</w:t>
      </w:r>
      <w:proofErr w:type="spellEnd"/>
      <w:r w:rsidRPr="00B520F4">
        <w:rPr>
          <w:rFonts w:ascii="Arial" w:hAnsi="Arial" w:cs="Arial"/>
        </w:rPr>
        <w:t xml:space="preserve">, a proposed sustainable brand extension of Crocs, Inc. that offers a circular take-back program that enables customers to return used Crocs for recycling, refurbishment, or resale in exchange for loyalty rewards. The research assesses how </w:t>
      </w:r>
      <w:proofErr w:type="spellStart"/>
      <w:r w:rsidRPr="00B520F4">
        <w:rPr>
          <w:rFonts w:ascii="Arial" w:hAnsi="Arial" w:cs="Arial"/>
        </w:rPr>
        <w:t>ReCrocs</w:t>
      </w:r>
      <w:proofErr w:type="spellEnd"/>
      <w:r w:rsidRPr="00B520F4">
        <w:rPr>
          <w:rFonts w:ascii="Arial" w:hAnsi="Arial" w:cs="Arial"/>
        </w:rPr>
        <w:t xml:space="preserve"> can maintain its current brand identity of comfort, uniqueness, and self-expression while strategically positioning itself within the sustainable footwear industry. Using Gibbs' (1988) Reflective Cycle to critically evaluate presentation delivery and pinpoint areas for future development, the report ends with a reflective assessment of the poster presentation given on this study.</w:t>
      </w:r>
    </w:p>
    <w:p w14:paraId="3259B237" w14:textId="6D412A04" w:rsidR="00A8018E" w:rsidRPr="008B0111" w:rsidRDefault="008B0111" w:rsidP="008B0111">
      <w:pPr>
        <w:pStyle w:val="Heading1"/>
        <w:rPr>
          <w:rFonts w:ascii="Arial" w:hAnsi="Arial" w:cs="Arial"/>
          <w:color w:val="000000" w:themeColor="text1"/>
          <w:sz w:val="36"/>
          <w:szCs w:val="36"/>
        </w:rPr>
      </w:pPr>
      <w:bookmarkStart w:id="1" w:name="_Toc236260076"/>
      <w:r w:rsidRPr="008B0111">
        <w:rPr>
          <w:rFonts w:ascii="Arial" w:hAnsi="Arial" w:cs="Arial"/>
          <w:color w:val="000000" w:themeColor="text1"/>
          <w:sz w:val="36"/>
          <w:szCs w:val="36"/>
        </w:rPr>
        <w:t>ANALYSIS FOR THE BRAND EXTENSION</w:t>
      </w:r>
      <w:bookmarkEnd w:id="1"/>
    </w:p>
    <w:p w14:paraId="5A2FAF21" w14:textId="3A498AAC" w:rsidR="009D7D96" w:rsidRPr="006952F8" w:rsidRDefault="00A62554" w:rsidP="006952F8">
      <w:pPr>
        <w:spacing w:line="360" w:lineRule="auto"/>
        <w:jc w:val="both"/>
        <w:rPr>
          <w:rFonts w:ascii="Arial" w:hAnsi="Arial" w:cs="Arial"/>
        </w:rPr>
      </w:pPr>
      <w:r w:rsidRPr="006952F8">
        <w:rPr>
          <w:rFonts w:ascii="Arial" w:hAnsi="Arial" w:cs="Arial"/>
        </w:rPr>
        <w:t xml:space="preserve">A critical Segmentation, Targeting, Differentiation, and Positioning (STDP) analysis of </w:t>
      </w:r>
      <w:proofErr w:type="spellStart"/>
      <w:r w:rsidRPr="006952F8">
        <w:rPr>
          <w:rFonts w:ascii="Arial" w:hAnsi="Arial" w:cs="Arial"/>
        </w:rPr>
        <w:t>ReCrocs</w:t>
      </w:r>
      <w:proofErr w:type="spellEnd"/>
      <w:r w:rsidRPr="006952F8">
        <w:rPr>
          <w:rFonts w:ascii="Arial" w:hAnsi="Arial" w:cs="Arial"/>
        </w:rPr>
        <w:t xml:space="preserve">, a proposed sustainable brand extension of Crocs, Inc., is presented in this section. Crocs is a global footwear brand known for its unique </w:t>
      </w:r>
      <w:proofErr w:type="spellStart"/>
      <w:r w:rsidRPr="006952F8">
        <w:rPr>
          <w:rFonts w:ascii="Arial" w:hAnsi="Arial" w:cs="Arial"/>
        </w:rPr>
        <w:t>Croslite</w:t>
      </w:r>
      <w:proofErr w:type="spellEnd"/>
      <w:r w:rsidRPr="006952F8">
        <w:rPr>
          <w:rFonts w:ascii="Arial" w:hAnsi="Arial" w:cs="Arial"/>
        </w:rPr>
        <w:t xml:space="preserve"> material and </w:t>
      </w:r>
      <w:proofErr w:type="spellStart"/>
      <w:r w:rsidRPr="006952F8">
        <w:rPr>
          <w:rFonts w:ascii="Arial" w:hAnsi="Arial" w:cs="Arial"/>
        </w:rPr>
        <w:t>Jibbitz</w:t>
      </w:r>
      <w:proofErr w:type="spellEnd"/>
      <w:r w:rsidRPr="006952F8">
        <w:rPr>
          <w:rFonts w:ascii="Arial" w:hAnsi="Arial" w:cs="Arial"/>
        </w:rPr>
        <w:t xml:space="preserve"> customization culture. The brand is distributed in over 100 countries and is built on comfort, individuality, and self-expression. </w:t>
      </w:r>
      <w:proofErr w:type="spellStart"/>
      <w:r w:rsidRPr="006952F8">
        <w:rPr>
          <w:rFonts w:ascii="Arial" w:hAnsi="Arial" w:cs="Arial"/>
        </w:rPr>
        <w:t>ReCrocs</w:t>
      </w:r>
      <w:proofErr w:type="spellEnd"/>
      <w:r w:rsidRPr="006952F8">
        <w:rPr>
          <w:rFonts w:ascii="Arial" w:hAnsi="Arial" w:cs="Arial"/>
        </w:rPr>
        <w:t xml:space="preserve"> is a circular take-back program that allows consumers to return their Crocs for recycling, repurposing, or refurbishing into new goods in exchange for loyalty incentives. This reduces waste and prolongs the useful life of materials. </w:t>
      </w:r>
    </w:p>
    <w:p w14:paraId="4E7E9563" w14:textId="1B35A5FC" w:rsidR="009F2500" w:rsidRPr="006952F8" w:rsidRDefault="009F2500" w:rsidP="006952F8">
      <w:pPr>
        <w:spacing w:line="360" w:lineRule="auto"/>
        <w:jc w:val="both"/>
        <w:rPr>
          <w:rFonts w:ascii="Arial" w:hAnsi="Arial" w:cs="Arial"/>
        </w:rPr>
      </w:pPr>
      <w:r w:rsidRPr="006952F8">
        <w:rPr>
          <w:rFonts w:ascii="Arial" w:hAnsi="Arial" w:cs="Arial"/>
        </w:rPr>
        <w:t xml:space="preserve">As demonstrated, </w:t>
      </w:r>
      <w:proofErr w:type="spellStart"/>
      <w:r w:rsidRPr="006952F8">
        <w:rPr>
          <w:rFonts w:ascii="Arial" w:hAnsi="Arial" w:cs="Arial"/>
        </w:rPr>
        <w:t>ReCrocs</w:t>
      </w:r>
      <w:proofErr w:type="spellEnd"/>
      <w:r w:rsidRPr="006952F8">
        <w:rPr>
          <w:rFonts w:ascii="Arial" w:hAnsi="Arial" w:cs="Arial"/>
        </w:rPr>
        <w:t xml:space="preserve"> firmly occupies the "brand extension" segment of Kotler et al.</w:t>
      </w:r>
      <w:r w:rsidR="00F370E4">
        <w:rPr>
          <w:rFonts w:ascii="Arial" w:hAnsi="Arial" w:cs="Arial"/>
        </w:rPr>
        <w:t>,</w:t>
      </w:r>
      <w:r w:rsidRPr="006952F8">
        <w:rPr>
          <w:rFonts w:ascii="Arial" w:hAnsi="Arial" w:cs="Arial"/>
        </w:rPr>
        <w:t xml:space="preserve"> (2024) brand development matrix, which uses an already-existing, highly recognizable brand name to enter a new product/service category (circular footwear services) as compared to a new product within the existing category (line extension) or a completely new brand. Strategically, this distinction is important because brand extensions run the danger of diluting parent-brand value if they are poorly performed or regarded as inauthentic (</w:t>
      </w:r>
      <w:proofErr w:type="spellStart"/>
      <w:r w:rsidRPr="006952F8">
        <w:rPr>
          <w:rFonts w:ascii="Arial" w:hAnsi="Arial" w:cs="Arial"/>
        </w:rPr>
        <w:t>Volckner</w:t>
      </w:r>
      <w:proofErr w:type="spellEnd"/>
      <w:r w:rsidRPr="006952F8">
        <w:rPr>
          <w:rFonts w:ascii="Arial" w:hAnsi="Arial" w:cs="Arial"/>
        </w:rPr>
        <w:t xml:space="preserve"> and Sattler, 2006). Although their impacts vary significantly among contextual and consumer factors, a recent large-scale meta-analysis of over 2,000 effect sizes reveals that both parent-brand equity and perceived extension fit are consistently positive drivers of extension success (Peng et al., 2023).</w:t>
      </w:r>
    </w:p>
    <w:p w14:paraId="3661B950" w14:textId="77777777" w:rsidR="009F2500" w:rsidRPr="006952F8" w:rsidRDefault="009F2500" w:rsidP="006952F8">
      <w:pPr>
        <w:spacing w:line="360" w:lineRule="auto"/>
        <w:jc w:val="both"/>
        <w:rPr>
          <w:rFonts w:ascii="Arial" w:hAnsi="Arial" w:cs="Arial"/>
        </w:rPr>
      </w:pPr>
    </w:p>
    <w:p w14:paraId="53759F8B" w14:textId="212711CB" w:rsidR="00F91335" w:rsidRDefault="002E00C2" w:rsidP="004B0FE7">
      <w:pPr>
        <w:spacing w:line="360" w:lineRule="auto"/>
        <w:jc w:val="center"/>
      </w:pPr>
      <w:r w:rsidRPr="00502ADB">
        <w:rPr>
          <w:rFonts w:ascii="Arial" w:hAnsi="Arial" w:cs="Arial"/>
          <w:noProof/>
        </w:rPr>
        <w:lastRenderedPageBreak/>
        <w:drawing>
          <wp:inline distT="0" distB="0" distL="0" distR="0" wp14:anchorId="2C473EF7" wp14:editId="444743A6">
            <wp:extent cx="4000500"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4000500" cy="2876550"/>
                    </a:xfrm>
                    <a:prstGeom prst="rect">
                      <a:avLst/>
                    </a:prstGeom>
                  </pic:spPr>
                </pic:pic>
              </a:graphicData>
            </a:graphic>
          </wp:inline>
        </w:drawing>
      </w:r>
    </w:p>
    <w:p w14:paraId="76FD69DB" w14:textId="1B9908A8" w:rsidR="00F91335" w:rsidRPr="00A8018E" w:rsidRDefault="00F91335" w:rsidP="00A8018E">
      <w:pPr>
        <w:pStyle w:val="Heading1"/>
        <w:rPr>
          <w:rFonts w:ascii="Arial" w:hAnsi="Arial" w:cs="Arial"/>
          <w:color w:val="000000" w:themeColor="text1"/>
          <w:sz w:val="36"/>
          <w:szCs w:val="36"/>
        </w:rPr>
      </w:pPr>
      <w:bookmarkStart w:id="2" w:name="_Toc236260077"/>
      <w:r w:rsidRPr="00A8018E">
        <w:rPr>
          <w:rFonts w:ascii="Arial" w:hAnsi="Arial" w:cs="Arial"/>
          <w:color w:val="000000" w:themeColor="text1"/>
          <w:sz w:val="36"/>
          <w:szCs w:val="36"/>
        </w:rPr>
        <w:t>SEGMENTATION</w:t>
      </w:r>
      <w:bookmarkEnd w:id="2"/>
    </w:p>
    <w:p w14:paraId="61FE4E16" w14:textId="6ED5E002" w:rsidR="006807E7" w:rsidRPr="00662F73" w:rsidRDefault="006807E7" w:rsidP="00662F73">
      <w:pPr>
        <w:spacing w:line="360" w:lineRule="auto"/>
        <w:jc w:val="both"/>
        <w:rPr>
          <w:rFonts w:ascii="Arial" w:hAnsi="Arial" w:cs="Arial"/>
        </w:rPr>
      </w:pPr>
      <w:r w:rsidRPr="00662F73">
        <w:rPr>
          <w:rFonts w:ascii="Arial" w:hAnsi="Arial" w:cs="Arial"/>
        </w:rPr>
        <w:t xml:space="preserve">Geographic, demographic, psychographic, and </w:t>
      </w:r>
      <w:proofErr w:type="spellStart"/>
      <w:r w:rsidRPr="00662F73">
        <w:rPr>
          <w:rFonts w:ascii="Arial" w:hAnsi="Arial" w:cs="Arial"/>
        </w:rPr>
        <w:t>behavioral</w:t>
      </w:r>
      <w:proofErr w:type="spellEnd"/>
      <w:r w:rsidRPr="00662F73">
        <w:rPr>
          <w:rFonts w:ascii="Arial" w:hAnsi="Arial" w:cs="Arial"/>
        </w:rPr>
        <w:t xml:space="preserve"> factors may be used to categorize the market for circular, sustainable footwear (Kotler et al., 2024), as shown in Table 1.</w:t>
      </w:r>
    </w:p>
    <w:tbl>
      <w:tblPr>
        <w:tblW w:w="9700" w:type="dxa"/>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000" w:firstRow="0" w:lastRow="0" w:firstColumn="0" w:lastColumn="0" w:noHBand="0" w:noVBand="0"/>
      </w:tblPr>
      <w:tblGrid>
        <w:gridCol w:w="1815"/>
        <w:gridCol w:w="2149"/>
        <w:gridCol w:w="5736"/>
      </w:tblGrid>
      <w:tr w:rsidR="00F91335" w:rsidRPr="00662F73" w14:paraId="32839ED9" w14:textId="77777777" w:rsidTr="00F52F10">
        <w:trPr>
          <w:tblHeader/>
        </w:trPr>
        <w:tc>
          <w:tcPr>
            <w:tcW w:w="1815" w:type="dxa"/>
            <w:shd w:val="clear" w:color="auto" w:fill="1F5B4C"/>
            <w:tcMar>
              <w:top w:w="100" w:type="dxa"/>
              <w:left w:w="120" w:type="dxa"/>
              <w:bottom w:w="100" w:type="dxa"/>
              <w:right w:w="120" w:type="dxa"/>
            </w:tcMar>
            <w:vAlign w:val="center"/>
          </w:tcPr>
          <w:p w14:paraId="7FE487C0" w14:textId="77777777" w:rsidR="00F91335" w:rsidRPr="00662F73" w:rsidRDefault="00F91335" w:rsidP="00662F73">
            <w:pPr>
              <w:spacing w:line="360" w:lineRule="auto"/>
              <w:jc w:val="both"/>
              <w:rPr>
                <w:rFonts w:ascii="Arial" w:hAnsi="Arial" w:cs="Arial"/>
              </w:rPr>
            </w:pPr>
            <w:r w:rsidRPr="00662F73">
              <w:rPr>
                <w:rFonts w:ascii="Arial" w:hAnsi="Arial" w:cs="Arial"/>
                <w:b/>
                <w:bCs/>
                <w:color w:val="FFFFFF"/>
              </w:rPr>
              <w:t>Basis</w:t>
            </w:r>
          </w:p>
        </w:tc>
        <w:tc>
          <w:tcPr>
            <w:tcW w:w="2149" w:type="dxa"/>
            <w:shd w:val="clear" w:color="auto" w:fill="1F5B4C"/>
            <w:tcMar>
              <w:top w:w="100" w:type="dxa"/>
              <w:left w:w="120" w:type="dxa"/>
              <w:bottom w:w="100" w:type="dxa"/>
              <w:right w:w="120" w:type="dxa"/>
            </w:tcMar>
            <w:vAlign w:val="center"/>
          </w:tcPr>
          <w:p w14:paraId="7D38BD8B" w14:textId="77777777" w:rsidR="00F91335" w:rsidRPr="00662F73" w:rsidRDefault="00F91335" w:rsidP="00662F73">
            <w:pPr>
              <w:spacing w:line="360" w:lineRule="auto"/>
              <w:jc w:val="both"/>
              <w:rPr>
                <w:rFonts w:ascii="Arial" w:hAnsi="Arial" w:cs="Arial"/>
              </w:rPr>
            </w:pPr>
            <w:r w:rsidRPr="00662F73">
              <w:rPr>
                <w:rFonts w:ascii="Arial" w:hAnsi="Arial" w:cs="Arial"/>
                <w:b/>
                <w:bCs/>
                <w:color w:val="FFFFFF"/>
              </w:rPr>
              <w:t>Variables Applied</w:t>
            </w:r>
          </w:p>
        </w:tc>
        <w:tc>
          <w:tcPr>
            <w:tcW w:w="5736" w:type="dxa"/>
            <w:shd w:val="clear" w:color="auto" w:fill="1F5B4C"/>
            <w:tcMar>
              <w:top w:w="100" w:type="dxa"/>
              <w:left w:w="120" w:type="dxa"/>
              <w:bottom w:w="100" w:type="dxa"/>
              <w:right w:w="120" w:type="dxa"/>
            </w:tcMar>
            <w:vAlign w:val="center"/>
          </w:tcPr>
          <w:p w14:paraId="04CC73D0" w14:textId="77777777" w:rsidR="00F91335" w:rsidRPr="00662F73" w:rsidRDefault="00F91335" w:rsidP="00662F73">
            <w:pPr>
              <w:spacing w:line="360" w:lineRule="auto"/>
              <w:jc w:val="both"/>
              <w:rPr>
                <w:rFonts w:ascii="Arial" w:hAnsi="Arial" w:cs="Arial"/>
              </w:rPr>
            </w:pPr>
            <w:r w:rsidRPr="00662F73">
              <w:rPr>
                <w:rFonts w:ascii="Arial" w:hAnsi="Arial" w:cs="Arial"/>
                <w:b/>
                <w:bCs/>
                <w:color w:val="FFFFFF"/>
              </w:rPr>
              <w:t>Profile</w:t>
            </w:r>
          </w:p>
        </w:tc>
      </w:tr>
      <w:tr w:rsidR="00F91335" w:rsidRPr="00662F73" w14:paraId="0F8EFF50" w14:textId="77777777" w:rsidTr="00F52F10">
        <w:tc>
          <w:tcPr>
            <w:tcW w:w="1815" w:type="dxa"/>
            <w:shd w:val="clear" w:color="auto" w:fill="FFFFFF"/>
            <w:tcMar>
              <w:top w:w="90" w:type="dxa"/>
              <w:left w:w="120" w:type="dxa"/>
              <w:bottom w:w="90" w:type="dxa"/>
              <w:right w:w="120" w:type="dxa"/>
            </w:tcMar>
            <w:vAlign w:val="center"/>
          </w:tcPr>
          <w:p w14:paraId="7E71ABB7" w14:textId="77777777" w:rsidR="00F91335" w:rsidRPr="00662F73" w:rsidRDefault="00F91335" w:rsidP="00662F73">
            <w:pPr>
              <w:spacing w:line="360" w:lineRule="auto"/>
              <w:jc w:val="both"/>
              <w:rPr>
                <w:rFonts w:ascii="Arial" w:hAnsi="Arial" w:cs="Arial"/>
              </w:rPr>
            </w:pPr>
            <w:r w:rsidRPr="00662F73">
              <w:rPr>
                <w:rFonts w:ascii="Arial" w:hAnsi="Arial" w:cs="Arial"/>
              </w:rPr>
              <w:t>Geographic</w:t>
            </w:r>
          </w:p>
        </w:tc>
        <w:tc>
          <w:tcPr>
            <w:tcW w:w="2149" w:type="dxa"/>
            <w:shd w:val="clear" w:color="auto" w:fill="FFFFFF"/>
            <w:tcMar>
              <w:top w:w="90" w:type="dxa"/>
              <w:left w:w="120" w:type="dxa"/>
              <w:bottom w:w="90" w:type="dxa"/>
              <w:right w:w="120" w:type="dxa"/>
            </w:tcMar>
            <w:vAlign w:val="center"/>
          </w:tcPr>
          <w:p w14:paraId="69D59738" w14:textId="77777777" w:rsidR="00F91335" w:rsidRPr="00662F73" w:rsidRDefault="00F91335" w:rsidP="00662F73">
            <w:pPr>
              <w:spacing w:line="360" w:lineRule="auto"/>
              <w:jc w:val="both"/>
              <w:rPr>
                <w:rFonts w:ascii="Arial" w:hAnsi="Arial" w:cs="Arial"/>
              </w:rPr>
            </w:pPr>
            <w:r w:rsidRPr="00662F73">
              <w:rPr>
                <w:rFonts w:ascii="Arial" w:hAnsi="Arial" w:cs="Arial"/>
              </w:rPr>
              <w:t>Region, urbanicity, recycling infrastructure</w:t>
            </w:r>
          </w:p>
        </w:tc>
        <w:tc>
          <w:tcPr>
            <w:tcW w:w="5736" w:type="dxa"/>
            <w:shd w:val="clear" w:color="auto" w:fill="FFFFFF"/>
            <w:tcMar>
              <w:top w:w="90" w:type="dxa"/>
              <w:left w:w="120" w:type="dxa"/>
              <w:bottom w:w="90" w:type="dxa"/>
              <w:right w:w="120" w:type="dxa"/>
            </w:tcMar>
            <w:vAlign w:val="center"/>
          </w:tcPr>
          <w:p w14:paraId="42173668" w14:textId="77777777" w:rsidR="00F91335" w:rsidRPr="00662F73" w:rsidRDefault="00F91335" w:rsidP="00662F73">
            <w:pPr>
              <w:spacing w:line="360" w:lineRule="auto"/>
              <w:jc w:val="both"/>
              <w:rPr>
                <w:rFonts w:ascii="Arial" w:hAnsi="Arial" w:cs="Arial"/>
              </w:rPr>
            </w:pPr>
            <w:r w:rsidRPr="00662F73">
              <w:rPr>
                <w:rFonts w:ascii="Arial" w:hAnsi="Arial" w:cs="Arial"/>
              </w:rPr>
              <w:t>Urban/suburban markets in North America, the UK and Western Europe with established recycling infrastructure and tightening anti-greenwashing regulation; core Crocs range remains globally accessible.</w:t>
            </w:r>
          </w:p>
        </w:tc>
      </w:tr>
      <w:tr w:rsidR="00F91335" w:rsidRPr="00662F73" w14:paraId="5BF8B707" w14:textId="77777777" w:rsidTr="00F52F10">
        <w:tc>
          <w:tcPr>
            <w:tcW w:w="1815" w:type="dxa"/>
            <w:shd w:val="clear" w:color="auto" w:fill="F2F2F2"/>
            <w:tcMar>
              <w:top w:w="90" w:type="dxa"/>
              <w:left w:w="120" w:type="dxa"/>
              <w:bottom w:w="90" w:type="dxa"/>
              <w:right w:w="120" w:type="dxa"/>
            </w:tcMar>
            <w:vAlign w:val="center"/>
          </w:tcPr>
          <w:p w14:paraId="7BE55722" w14:textId="77777777" w:rsidR="00F91335" w:rsidRPr="00662F73" w:rsidRDefault="00F91335" w:rsidP="00662F73">
            <w:pPr>
              <w:spacing w:line="360" w:lineRule="auto"/>
              <w:jc w:val="both"/>
              <w:rPr>
                <w:rFonts w:ascii="Arial" w:hAnsi="Arial" w:cs="Arial"/>
              </w:rPr>
            </w:pPr>
            <w:r w:rsidRPr="00662F73">
              <w:rPr>
                <w:rFonts w:ascii="Arial" w:hAnsi="Arial" w:cs="Arial"/>
              </w:rPr>
              <w:t>Demographic</w:t>
            </w:r>
          </w:p>
        </w:tc>
        <w:tc>
          <w:tcPr>
            <w:tcW w:w="2149" w:type="dxa"/>
            <w:shd w:val="clear" w:color="auto" w:fill="F2F2F2"/>
            <w:tcMar>
              <w:top w:w="90" w:type="dxa"/>
              <w:left w:w="120" w:type="dxa"/>
              <w:bottom w:w="90" w:type="dxa"/>
              <w:right w:w="120" w:type="dxa"/>
            </w:tcMar>
            <w:vAlign w:val="center"/>
          </w:tcPr>
          <w:p w14:paraId="284CA099" w14:textId="77777777" w:rsidR="00F91335" w:rsidRPr="00662F73" w:rsidRDefault="00F91335" w:rsidP="00662F73">
            <w:pPr>
              <w:spacing w:line="360" w:lineRule="auto"/>
              <w:jc w:val="both"/>
              <w:rPr>
                <w:rFonts w:ascii="Arial" w:hAnsi="Arial" w:cs="Arial"/>
              </w:rPr>
            </w:pPr>
            <w:r w:rsidRPr="00662F73">
              <w:rPr>
                <w:rFonts w:ascii="Arial" w:hAnsi="Arial" w:cs="Arial"/>
              </w:rPr>
              <w:t>Age, life stage, income</w:t>
            </w:r>
          </w:p>
        </w:tc>
        <w:tc>
          <w:tcPr>
            <w:tcW w:w="5736" w:type="dxa"/>
            <w:shd w:val="clear" w:color="auto" w:fill="F2F2F2"/>
            <w:tcMar>
              <w:top w:w="90" w:type="dxa"/>
              <w:left w:w="120" w:type="dxa"/>
              <w:bottom w:w="90" w:type="dxa"/>
              <w:right w:w="120" w:type="dxa"/>
            </w:tcMar>
            <w:vAlign w:val="center"/>
          </w:tcPr>
          <w:p w14:paraId="1EB9E0FB" w14:textId="7B0CF3C3" w:rsidR="00F91335" w:rsidRPr="00662F73" w:rsidRDefault="00F91335" w:rsidP="00662F73">
            <w:pPr>
              <w:spacing w:line="360" w:lineRule="auto"/>
              <w:jc w:val="both"/>
              <w:rPr>
                <w:rFonts w:ascii="Arial" w:hAnsi="Arial" w:cs="Arial"/>
              </w:rPr>
            </w:pPr>
            <w:r w:rsidRPr="00662F73">
              <w:rPr>
                <w:rFonts w:ascii="Arial" w:hAnsi="Arial" w:cs="Arial"/>
              </w:rPr>
              <w:t>Generation Z and Millennials (c. 16–40), students, young professionals and young families with moderate disposable income</w:t>
            </w:r>
            <w:r w:rsidR="00CC0D1B">
              <w:rPr>
                <w:rFonts w:ascii="Arial" w:hAnsi="Arial" w:cs="Arial"/>
              </w:rPr>
              <w:t xml:space="preserve"> (Deloitte, 2024)</w:t>
            </w:r>
          </w:p>
        </w:tc>
      </w:tr>
      <w:tr w:rsidR="00F91335" w:rsidRPr="00662F73" w14:paraId="3A780A09" w14:textId="77777777" w:rsidTr="00F52F10">
        <w:tc>
          <w:tcPr>
            <w:tcW w:w="1815" w:type="dxa"/>
            <w:shd w:val="clear" w:color="auto" w:fill="FFFFFF"/>
            <w:tcMar>
              <w:top w:w="90" w:type="dxa"/>
              <w:left w:w="120" w:type="dxa"/>
              <w:bottom w:w="90" w:type="dxa"/>
              <w:right w:w="120" w:type="dxa"/>
            </w:tcMar>
            <w:vAlign w:val="center"/>
          </w:tcPr>
          <w:p w14:paraId="6F926A12" w14:textId="77777777" w:rsidR="00F91335" w:rsidRPr="00662F73" w:rsidRDefault="00F91335" w:rsidP="00662F73">
            <w:pPr>
              <w:spacing w:line="360" w:lineRule="auto"/>
              <w:jc w:val="both"/>
              <w:rPr>
                <w:rFonts w:ascii="Arial" w:hAnsi="Arial" w:cs="Arial"/>
              </w:rPr>
            </w:pPr>
            <w:r w:rsidRPr="00662F73">
              <w:rPr>
                <w:rFonts w:ascii="Arial" w:hAnsi="Arial" w:cs="Arial"/>
              </w:rPr>
              <w:t>Psychographic</w:t>
            </w:r>
          </w:p>
        </w:tc>
        <w:tc>
          <w:tcPr>
            <w:tcW w:w="2149" w:type="dxa"/>
            <w:shd w:val="clear" w:color="auto" w:fill="FFFFFF"/>
            <w:tcMar>
              <w:top w:w="90" w:type="dxa"/>
              <w:left w:w="120" w:type="dxa"/>
              <w:bottom w:w="90" w:type="dxa"/>
              <w:right w:w="120" w:type="dxa"/>
            </w:tcMar>
            <w:vAlign w:val="center"/>
          </w:tcPr>
          <w:p w14:paraId="5EFC2F45" w14:textId="77777777" w:rsidR="00F91335" w:rsidRPr="00662F73" w:rsidRDefault="00F91335" w:rsidP="00662F73">
            <w:pPr>
              <w:spacing w:line="360" w:lineRule="auto"/>
              <w:jc w:val="both"/>
              <w:rPr>
                <w:rFonts w:ascii="Arial" w:hAnsi="Arial" w:cs="Arial"/>
              </w:rPr>
            </w:pPr>
            <w:r w:rsidRPr="00662F73">
              <w:rPr>
                <w:rFonts w:ascii="Arial" w:hAnsi="Arial" w:cs="Arial"/>
              </w:rPr>
              <w:t>Values, self-concept, lifestyle</w:t>
            </w:r>
          </w:p>
        </w:tc>
        <w:tc>
          <w:tcPr>
            <w:tcW w:w="5736" w:type="dxa"/>
            <w:shd w:val="clear" w:color="auto" w:fill="FFFFFF"/>
            <w:tcMar>
              <w:top w:w="90" w:type="dxa"/>
              <w:left w:w="120" w:type="dxa"/>
              <w:bottom w:w="90" w:type="dxa"/>
              <w:right w:w="120" w:type="dxa"/>
            </w:tcMar>
            <w:vAlign w:val="center"/>
          </w:tcPr>
          <w:p w14:paraId="0BAE5824" w14:textId="77777777" w:rsidR="00F91335" w:rsidRPr="00662F73" w:rsidRDefault="00F91335" w:rsidP="00662F73">
            <w:pPr>
              <w:spacing w:line="360" w:lineRule="auto"/>
              <w:jc w:val="both"/>
              <w:rPr>
                <w:rFonts w:ascii="Arial" w:hAnsi="Arial" w:cs="Arial"/>
              </w:rPr>
            </w:pPr>
            <w:r w:rsidRPr="00662F73">
              <w:rPr>
                <w:rFonts w:ascii="Arial" w:hAnsi="Arial" w:cs="Arial"/>
              </w:rPr>
              <w:t xml:space="preserve">Individuality and self-expression (reflected in </w:t>
            </w:r>
            <w:proofErr w:type="spellStart"/>
            <w:r w:rsidRPr="00662F73">
              <w:rPr>
                <w:rFonts w:ascii="Arial" w:hAnsi="Arial" w:cs="Arial"/>
              </w:rPr>
              <w:t>Jibbitz</w:t>
            </w:r>
            <w:proofErr w:type="spellEnd"/>
            <w:r w:rsidRPr="00662F73">
              <w:rPr>
                <w:rFonts w:ascii="Arial" w:hAnsi="Arial" w:cs="Arial"/>
              </w:rPr>
              <w:t xml:space="preserve"> customisation), alongside growing environmental consciousness; aligns with 'Experiencer' and 'Believer' VALS orientations (Solomon, 2020).</w:t>
            </w:r>
          </w:p>
        </w:tc>
      </w:tr>
      <w:tr w:rsidR="00F91335" w:rsidRPr="00662F73" w14:paraId="1319C387" w14:textId="77777777" w:rsidTr="00F52F10">
        <w:tc>
          <w:tcPr>
            <w:tcW w:w="1815" w:type="dxa"/>
            <w:shd w:val="clear" w:color="auto" w:fill="F2F2F2"/>
            <w:tcMar>
              <w:top w:w="90" w:type="dxa"/>
              <w:left w:w="120" w:type="dxa"/>
              <w:bottom w:w="90" w:type="dxa"/>
              <w:right w:w="120" w:type="dxa"/>
            </w:tcMar>
            <w:vAlign w:val="center"/>
          </w:tcPr>
          <w:p w14:paraId="2A25D483" w14:textId="77777777" w:rsidR="00F91335" w:rsidRPr="00662F73" w:rsidRDefault="00F91335" w:rsidP="00662F73">
            <w:pPr>
              <w:spacing w:line="360" w:lineRule="auto"/>
              <w:jc w:val="both"/>
              <w:rPr>
                <w:rFonts w:ascii="Arial" w:hAnsi="Arial" w:cs="Arial"/>
              </w:rPr>
            </w:pPr>
            <w:r w:rsidRPr="00662F73">
              <w:rPr>
                <w:rFonts w:ascii="Arial" w:hAnsi="Arial" w:cs="Arial"/>
              </w:rPr>
              <w:lastRenderedPageBreak/>
              <w:t>Behavioural</w:t>
            </w:r>
          </w:p>
        </w:tc>
        <w:tc>
          <w:tcPr>
            <w:tcW w:w="2149" w:type="dxa"/>
            <w:shd w:val="clear" w:color="auto" w:fill="F2F2F2"/>
            <w:tcMar>
              <w:top w:w="90" w:type="dxa"/>
              <w:left w:w="120" w:type="dxa"/>
              <w:bottom w:w="90" w:type="dxa"/>
              <w:right w:w="120" w:type="dxa"/>
            </w:tcMar>
            <w:vAlign w:val="center"/>
          </w:tcPr>
          <w:p w14:paraId="085665E2" w14:textId="77777777" w:rsidR="00F91335" w:rsidRPr="00662F73" w:rsidRDefault="00F91335" w:rsidP="00662F73">
            <w:pPr>
              <w:spacing w:line="360" w:lineRule="auto"/>
              <w:jc w:val="both"/>
              <w:rPr>
                <w:rFonts w:ascii="Arial" w:hAnsi="Arial" w:cs="Arial"/>
              </w:rPr>
            </w:pPr>
            <w:r w:rsidRPr="00662F73">
              <w:rPr>
                <w:rFonts w:ascii="Arial" w:hAnsi="Arial" w:cs="Arial"/>
              </w:rPr>
              <w:t>Purchase frequency, loyalty, engagement</w:t>
            </w:r>
          </w:p>
        </w:tc>
        <w:tc>
          <w:tcPr>
            <w:tcW w:w="5736" w:type="dxa"/>
            <w:shd w:val="clear" w:color="auto" w:fill="F2F2F2"/>
            <w:tcMar>
              <w:top w:w="90" w:type="dxa"/>
              <w:left w:w="120" w:type="dxa"/>
              <w:bottom w:w="90" w:type="dxa"/>
              <w:right w:w="120" w:type="dxa"/>
            </w:tcMar>
            <w:vAlign w:val="center"/>
          </w:tcPr>
          <w:p w14:paraId="758F3CBB" w14:textId="77777777" w:rsidR="00F91335" w:rsidRPr="00662F73" w:rsidRDefault="00F91335" w:rsidP="00662F73">
            <w:pPr>
              <w:spacing w:line="360" w:lineRule="auto"/>
              <w:jc w:val="both"/>
              <w:rPr>
                <w:rFonts w:ascii="Arial" w:hAnsi="Arial" w:cs="Arial"/>
              </w:rPr>
            </w:pPr>
            <w:r w:rsidRPr="00662F73">
              <w:rPr>
                <w:rFonts w:ascii="Arial" w:hAnsi="Arial" w:cs="Arial"/>
              </w:rPr>
              <w:t>Existing Crocs loyalists with high repeat purchase and customisation behaviour; an emerging 'circular consumer' segment responsive to take-back and reward incentives (cf. Baier, Rausch and Wagner, 2020).</w:t>
            </w:r>
          </w:p>
        </w:tc>
      </w:tr>
    </w:tbl>
    <w:p w14:paraId="39E60A49" w14:textId="77777777" w:rsidR="00D3475F" w:rsidRPr="00662F73" w:rsidRDefault="00D3475F" w:rsidP="00662F73">
      <w:pPr>
        <w:spacing w:line="360" w:lineRule="auto"/>
        <w:jc w:val="both"/>
        <w:rPr>
          <w:rFonts w:ascii="Arial" w:hAnsi="Arial" w:cs="Arial"/>
        </w:rPr>
      </w:pPr>
    </w:p>
    <w:p w14:paraId="7188D52B" w14:textId="1ED7ABE5" w:rsidR="006807E7" w:rsidRPr="00F65635" w:rsidRDefault="000D1C9F" w:rsidP="00662F73">
      <w:pPr>
        <w:spacing w:line="360" w:lineRule="auto"/>
        <w:jc w:val="both"/>
        <w:rPr>
          <w:rFonts w:ascii="Arial" w:hAnsi="Arial" w:cs="Arial"/>
        </w:rPr>
      </w:pPr>
      <w:r w:rsidRPr="00662F73">
        <w:rPr>
          <w:rFonts w:ascii="Arial" w:hAnsi="Arial" w:cs="Arial"/>
        </w:rPr>
        <w:t xml:space="preserve">This segmentation is limited by its dependence on broad age groups (Gen Z, Millennials), which can mask significant intra-cohort diversity in environmental views and purchasing power, according to current consumer </w:t>
      </w:r>
      <w:proofErr w:type="spellStart"/>
      <w:r w:rsidRPr="00662F73">
        <w:rPr>
          <w:rFonts w:ascii="Arial" w:hAnsi="Arial" w:cs="Arial"/>
        </w:rPr>
        <w:t>behavior</w:t>
      </w:r>
      <w:proofErr w:type="spellEnd"/>
      <w:r w:rsidRPr="00662F73">
        <w:rPr>
          <w:rFonts w:ascii="Arial" w:hAnsi="Arial" w:cs="Arial"/>
        </w:rPr>
        <w:t xml:space="preserve"> research (Solomon, 2020). To prevent overestimating the size of the addressable group, a more comprehensive strategy would combine generational segmentation with a values-based or attitudinal segmentation layer, such as separating "committed" from "aspirational" sustainable customers.</w:t>
      </w:r>
    </w:p>
    <w:p w14:paraId="3B63BFBD" w14:textId="1A509B0E" w:rsidR="001932D6" w:rsidRPr="00662F73" w:rsidRDefault="00606EB2" w:rsidP="00662F73">
      <w:pPr>
        <w:spacing w:line="360" w:lineRule="auto"/>
        <w:jc w:val="both"/>
        <w:rPr>
          <w:rFonts w:ascii="Arial" w:hAnsi="Arial" w:cs="Arial"/>
          <w:b/>
          <w:bCs/>
        </w:rPr>
      </w:pPr>
      <w:r w:rsidRPr="00662F73">
        <w:rPr>
          <w:rFonts w:ascii="Arial" w:hAnsi="Arial" w:cs="Arial"/>
          <w:b/>
          <w:bCs/>
        </w:rPr>
        <w:t>TARGETING</w:t>
      </w:r>
    </w:p>
    <w:p w14:paraId="5A78641D" w14:textId="4A24581B" w:rsidR="001932D6" w:rsidRPr="00662F73" w:rsidRDefault="001932D6" w:rsidP="00662F73">
      <w:pPr>
        <w:spacing w:line="360" w:lineRule="auto"/>
        <w:jc w:val="both"/>
        <w:rPr>
          <w:rFonts w:ascii="Arial" w:hAnsi="Arial" w:cs="Arial"/>
        </w:rPr>
      </w:pPr>
      <w:proofErr w:type="spellStart"/>
      <w:r w:rsidRPr="00662F73">
        <w:rPr>
          <w:rFonts w:ascii="Arial" w:hAnsi="Arial" w:cs="Arial"/>
        </w:rPr>
        <w:t>ReCrocs</w:t>
      </w:r>
      <w:proofErr w:type="spellEnd"/>
      <w:r w:rsidRPr="00662F73">
        <w:rPr>
          <w:rFonts w:ascii="Arial" w:hAnsi="Arial" w:cs="Arial"/>
        </w:rPr>
        <w:t xml:space="preserve"> uses a differentiated (concentrated-within-portfolio) targeting strategy, giving priority to two segments: the Gen Z/Millennial "circular consumer" segment, which may not yet own Crocs but is drawn to companies that offer visible, rewarding sustainability action, and current environmentally conscious Crocs loyalists who already identify with the brand's individuality-led positioning (Kotler et al., 2024). This is corroborated by data showing that 81% of consumers worldwide think businesses should contribute to environmental improvement (Nielsen</w:t>
      </w:r>
      <w:r w:rsidR="00976556">
        <w:rPr>
          <w:rFonts w:ascii="Arial" w:hAnsi="Arial" w:cs="Arial"/>
        </w:rPr>
        <w:t xml:space="preserve"> et al., 2020</w:t>
      </w:r>
      <w:r w:rsidRPr="00662F73">
        <w:rPr>
          <w:rFonts w:ascii="Arial" w:hAnsi="Arial" w:cs="Arial"/>
        </w:rPr>
        <w:t>) and that younger consumers in particular are expecting brands to take on environmental responsibility. A recent survey of 641 Generation Z consumers revealed that environmental attitude and perceived green value are significant, mediated predictors of sustainable purchase intention (Ngo et al., 2024).</w:t>
      </w:r>
      <w:r w:rsidR="00606EB2" w:rsidRPr="00662F73">
        <w:rPr>
          <w:rFonts w:ascii="Arial" w:hAnsi="Arial" w:cs="Arial"/>
        </w:rPr>
        <w:t xml:space="preserve"> By focusing on these markets, Crocs can use the program to draw in new, sustainability-minded consumers while converting an already-engaged customer base into active participants in the circular loop without having to alter the mainstream Crocs range's pricing structure or wider mass-market appeal.</w:t>
      </w:r>
    </w:p>
    <w:p w14:paraId="11A817FC" w14:textId="04563933" w:rsidR="00606EB2" w:rsidRPr="00662F73" w:rsidRDefault="00F04530" w:rsidP="00662F73">
      <w:pPr>
        <w:spacing w:line="360" w:lineRule="auto"/>
        <w:jc w:val="both"/>
        <w:rPr>
          <w:rFonts w:ascii="Arial" w:hAnsi="Arial" w:cs="Arial"/>
          <w:b/>
          <w:bCs/>
        </w:rPr>
      </w:pPr>
      <w:r w:rsidRPr="00662F73">
        <w:rPr>
          <w:rFonts w:ascii="Arial" w:hAnsi="Arial" w:cs="Arial"/>
          <w:b/>
          <w:bCs/>
        </w:rPr>
        <w:t>DIFFERENTATION</w:t>
      </w:r>
    </w:p>
    <w:p w14:paraId="19A1E457" w14:textId="52F70D18" w:rsidR="00EC1E8F" w:rsidRPr="00662F73" w:rsidRDefault="00827E53" w:rsidP="00662F73">
      <w:pPr>
        <w:spacing w:line="360" w:lineRule="auto"/>
        <w:jc w:val="both"/>
        <w:rPr>
          <w:rFonts w:ascii="Arial" w:hAnsi="Arial" w:cs="Arial"/>
        </w:rPr>
      </w:pPr>
      <w:r w:rsidRPr="00662F73">
        <w:rPr>
          <w:rFonts w:ascii="Arial" w:hAnsi="Arial" w:cs="Arial"/>
        </w:rPr>
        <w:t xml:space="preserve">By combining material circularity with Crocs' current customization culture and mass-market brand familiarity, </w:t>
      </w:r>
      <w:proofErr w:type="spellStart"/>
      <w:r w:rsidRPr="00662F73">
        <w:rPr>
          <w:rFonts w:ascii="Arial" w:hAnsi="Arial" w:cs="Arial"/>
        </w:rPr>
        <w:t>ReCrocs</w:t>
      </w:r>
      <w:proofErr w:type="spellEnd"/>
      <w:r w:rsidRPr="00662F73">
        <w:rPr>
          <w:rFonts w:ascii="Arial" w:hAnsi="Arial" w:cs="Arial"/>
        </w:rPr>
        <w:t xml:space="preserve"> sets itself apart from other cyclical or recycled-</w:t>
      </w:r>
      <w:r w:rsidRPr="00662F73">
        <w:rPr>
          <w:rFonts w:ascii="Arial" w:hAnsi="Arial" w:cs="Arial"/>
        </w:rPr>
        <w:lastRenderedPageBreak/>
        <w:t xml:space="preserve">material footwear ventures, such as Allbirds' low-carbon shoes or </w:t>
      </w:r>
      <w:proofErr w:type="spellStart"/>
      <w:r w:rsidRPr="00662F73">
        <w:rPr>
          <w:rFonts w:ascii="Arial" w:hAnsi="Arial" w:cs="Arial"/>
        </w:rPr>
        <w:t>Rothy's</w:t>
      </w:r>
      <w:proofErr w:type="spellEnd"/>
      <w:r w:rsidRPr="00662F73">
        <w:rPr>
          <w:rFonts w:ascii="Arial" w:hAnsi="Arial" w:cs="Arial"/>
        </w:rPr>
        <w:t xml:space="preserve"> recycled-plastic line. </w:t>
      </w:r>
      <w:proofErr w:type="spellStart"/>
      <w:r w:rsidRPr="00662F73">
        <w:rPr>
          <w:rFonts w:ascii="Arial" w:hAnsi="Arial" w:cs="Arial"/>
        </w:rPr>
        <w:t>ReCrocs</w:t>
      </w:r>
      <w:proofErr w:type="spellEnd"/>
      <w:r w:rsidRPr="00662F73">
        <w:rPr>
          <w:rFonts w:ascii="Arial" w:hAnsi="Arial" w:cs="Arial"/>
        </w:rPr>
        <w:t xml:space="preserve"> is based on an active take-back loop rather than focusing only on recycled inputs. When consumers return worn Crocs, the business recycles, repurposes, or refurbishes them into new items in exchange for loyalty benefits and first access. Two further areas of distinction support this: first, the program has visual and material individuality that generic "eco" footwear lacks because to Crocs' exclusive </w:t>
      </w:r>
      <w:proofErr w:type="spellStart"/>
      <w:r w:rsidRPr="00662F73">
        <w:rPr>
          <w:rFonts w:ascii="Arial" w:hAnsi="Arial" w:cs="Arial"/>
        </w:rPr>
        <w:t>Croslite</w:t>
      </w:r>
      <w:proofErr w:type="spellEnd"/>
      <w:r w:rsidRPr="00662F73">
        <w:rPr>
          <w:rFonts w:ascii="Arial" w:hAnsi="Arial" w:cs="Arial"/>
        </w:rPr>
        <w:t xml:space="preserve"> material and classic shape (Aaker, 1996; Kapferer, 2012).</w:t>
      </w:r>
      <w:r w:rsidR="00EC1E8F" w:rsidRPr="00662F73">
        <w:rPr>
          <w:rFonts w:ascii="Arial" w:hAnsi="Arial" w:cs="Arial"/>
        </w:rPr>
        <w:t xml:space="preserve"> Secondly, rather than being a strictly practical recycling program, circularity may be presented as an extension of self-expression thanks to Crocs' current culture of personalization with </w:t>
      </w:r>
      <w:proofErr w:type="spellStart"/>
      <w:r w:rsidR="00EC1E8F" w:rsidRPr="00662F73">
        <w:rPr>
          <w:rFonts w:ascii="Arial" w:hAnsi="Arial" w:cs="Arial"/>
        </w:rPr>
        <w:t>Jibbitz</w:t>
      </w:r>
      <w:proofErr w:type="spellEnd"/>
      <w:r w:rsidR="00EC1E8F" w:rsidRPr="00662F73">
        <w:rPr>
          <w:rFonts w:ascii="Arial" w:hAnsi="Arial" w:cs="Arial"/>
        </w:rPr>
        <w:t xml:space="preserve"> charms. This is consistent with data from the larger fast-fashion industry, which shows that when ethical and sustainable factors are legitimately incorporated into a brand's current identity rather than added as a stand-alone project, they progressively moderate brand purchase intentions (Baena, 2024).</w:t>
      </w:r>
    </w:p>
    <w:p w14:paraId="072F8112" w14:textId="7554588C" w:rsidR="00EC1E8F" w:rsidRPr="00F65635" w:rsidRDefault="00964E40" w:rsidP="00662F73">
      <w:pPr>
        <w:spacing w:line="360" w:lineRule="auto"/>
        <w:jc w:val="both"/>
        <w:rPr>
          <w:rFonts w:ascii="Arial" w:hAnsi="Arial" w:cs="Arial"/>
          <w:b/>
          <w:bCs/>
        </w:rPr>
      </w:pPr>
      <w:r w:rsidRPr="00F65635">
        <w:rPr>
          <w:rFonts w:ascii="Arial" w:hAnsi="Arial" w:cs="Arial"/>
          <w:b/>
          <w:bCs/>
        </w:rPr>
        <w:t>POSITIONING:</w:t>
      </w:r>
    </w:p>
    <w:p w14:paraId="0D1FA6E5" w14:textId="7F2871A9" w:rsidR="00964E40" w:rsidRPr="00662F73" w:rsidRDefault="0091081E" w:rsidP="00662F73">
      <w:pPr>
        <w:spacing w:line="360" w:lineRule="auto"/>
        <w:jc w:val="both"/>
        <w:rPr>
          <w:rFonts w:ascii="Arial" w:hAnsi="Arial" w:cs="Arial"/>
        </w:rPr>
      </w:pPr>
      <w:r w:rsidRPr="00662F73">
        <w:rPr>
          <w:rFonts w:ascii="Arial" w:hAnsi="Arial" w:cs="Arial"/>
        </w:rPr>
        <w:t xml:space="preserve">Visible individuality/ self-expression and environmental credibility are two aspects of sustainable branding that </w:t>
      </w:r>
      <w:proofErr w:type="spellStart"/>
      <w:r w:rsidRPr="00662F73">
        <w:rPr>
          <w:rFonts w:ascii="Arial" w:hAnsi="Arial" w:cs="Arial"/>
        </w:rPr>
        <w:t>ReCrocs</w:t>
      </w:r>
      <w:proofErr w:type="spellEnd"/>
      <w:r w:rsidRPr="00662F73">
        <w:rPr>
          <w:rFonts w:ascii="Arial" w:hAnsi="Arial" w:cs="Arial"/>
        </w:rPr>
        <w:t xml:space="preserve"> is situated at the junction of (Kotler et al., 2024). Figure 2 maps </w:t>
      </w:r>
      <w:proofErr w:type="spellStart"/>
      <w:r w:rsidRPr="00662F73">
        <w:rPr>
          <w:rFonts w:ascii="Arial" w:hAnsi="Arial" w:cs="Arial"/>
        </w:rPr>
        <w:t>ReCrocs</w:t>
      </w:r>
      <w:proofErr w:type="spellEnd"/>
      <w:r w:rsidRPr="00662F73">
        <w:rPr>
          <w:rFonts w:ascii="Arial" w:hAnsi="Arial" w:cs="Arial"/>
        </w:rPr>
        <w:t xml:space="preserve"> against important benchmarks in the areas of comfort and sustainable footwear.</w:t>
      </w:r>
    </w:p>
    <w:p w14:paraId="14295F2E" w14:textId="00468CB6" w:rsidR="0091081E" w:rsidRPr="00662F73" w:rsidRDefault="00FF5181" w:rsidP="00C13EA7">
      <w:pPr>
        <w:spacing w:line="360" w:lineRule="auto"/>
        <w:jc w:val="center"/>
        <w:rPr>
          <w:rFonts w:ascii="Arial" w:hAnsi="Arial" w:cs="Arial"/>
        </w:rPr>
      </w:pPr>
      <w:r w:rsidRPr="00662F73">
        <w:rPr>
          <w:rFonts w:ascii="Arial" w:hAnsi="Arial" w:cs="Arial"/>
          <w:noProof/>
        </w:rPr>
        <w:drawing>
          <wp:inline distT="0" distB="0" distL="0" distR="0" wp14:anchorId="2D90D1C6" wp14:editId="42145125">
            <wp:extent cx="3480955" cy="2975387"/>
            <wp:effectExtent l="0" t="0" r="0" b="0"/>
            <wp:docPr id="281987389" name="Picture 281987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3499773" cy="2991472"/>
                    </a:xfrm>
                    <a:prstGeom prst="rect">
                      <a:avLst/>
                    </a:prstGeom>
                  </pic:spPr>
                </pic:pic>
              </a:graphicData>
            </a:graphic>
          </wp:inline>
        </w:drawing>
      </w:r>
    </w:p>
    <w:p w14:paraId="13E3987E" w14:textId="77777777" w:rsidR="00F105EA" w:rsidRPr="00662F73" w:rsidRDefault="00F105EA" w:rsidP="00662F73">
      <w:pPr>
        <w:spacing w:line="360" w:lineRule="auto"/>
        <w:jc w:val="both"/>
        <w:rPr>
          <w:rFonts w:ascii="Arial" w:hAnsi="Arial" w:cs="Arial"/>
        </w:rPr>
      </w:pPr>
    </w:p>
    <w:p w14:paraId="3213A7DF" w14:textId="6E96ECF9" w:rsidR="00F105EA" w:rsidRPr="00662F73" w:rsidRDefault="00F105EA" w:rsidP="00662F73">
      <w:pPr>
        <w:spacing w:line="360" w:lineRule="auto"/>
        <w:jc w:val="both"/>
        <w:rPr>
          <w:rFonts w:ascii="Arial" w:hAnsi="Arial" w:cs="Arial"/>
        </w:rPr>
      </w:pPr>
      <w:r w:rsidRPr="00662F73">
        <w:rPr>
          <w:rFonts w:ascii="Arial" w:hAnsi="Arial" w:cs="Arial"/>
        </w:rPr>
        <w:t xml:space="preserve">Figure 2 shows that although popular Crocs occupy high individuality but low visible environmental credibility, sustainability experts like </w:t>
      </w:r>
      <w:proofErr w:type="spellStart"/>
      <w:r w:rsidRPr="00662F73">
        <w:rPr>
          <w:rFonts w:ascii="Arial" w:hAnsi="Arial" w:cs="Arial"/>
        </w:rPr>
        <w:t>Rothy's</w:t>
      </w:r>
      <w:proofErr w:type="spellEnd"/>
      <w:r w:rsidRPr="00662F73">
        <w:rPr>
          <w:rFonts w:ascii="Arial" w:hAnsi="Arial" w:cs="Arial"/>
        </w:rPr>
        <w:t xml:space="preserve"> and Allbirds possess relatively high environmental credibility but comparably low individuality/self-</w:t>
      </w:r>
      <w:r w:rsidRPr="00662F73">
        <w:rPr>
          <w:rFonts w:ascii="Arial" w:hAnsi="Arial" w:cs="Arial"/>
        </w:rPr>
        <w:lastRenderedPageBreak/>
        <w:t xml:space="preserve">expression positioning. </w:t>
      </w:r>
      <w:proofErr w:type="spellStart"/>
      <w:r w:rsidRPr="00662F73">
        <w:rPr>
          <w:rFonts w:ascii="Arial" w:hAnsi="Arial" w:cs="Arial"/>
        </w:rPr>
        <w:t>ReCrocs</w:t>
      </w:r>
      <w:proofErr w:type="spellEnd"/>
      <w:r w:rsidRPr="00662F73">
        <w:rPr>
          <w:rFonts w:ascii="Arial" w:hAnsi="Arial" w:cs="Arial"/>
        </w:rPr>
        <w:t xml:space="preserve"> is positioned to fill the high/high quadrant, which is not fully addressed by any competition set.</w:t>
      </w:r>
    </w:p>
    <w:p w14:paraId="1827B132" w14:textId="3C4B6152" w:rsidR="00F105EA" w:rsidRPr="00662F73" w:rsidRDefault="00397BF5" w:rsidP="00662F73">
      <w:pPr>
        <w:spacing w:line="360" w:lineRule="auto"/>
        <w:jc w:val="both"/>
        <w:rPr>
          <w:rFonts w:ascii="Arial" w:hAnsi="Arial" w:cs="Arial"/>
        </w:rPr>
      </w:pPr>
      <w:r w:rsidRPr="00662F73">
        <w:rPr>
          <w:rFonts w:ascii="Arial" w:hAnsi="Arial" w:cs="Arial"/>
        </w:rPr>
        <w:t xml:space="preserve">In accordance with Kotler et al.'s (2024) positioning-statement structure, </w:t>
      </w:r>
      <w:proofErr w:type="spellStart"/>
      <w:r w:rsidRPr="00662F73">
        <w:rPr>
          <w:rFonts w:ascii="Arial" w:hAnsi="Arial" w:cs="Arial"/>
        </w:rPr>
        <w:t>ReCrocs</w:t>
      </w:r>
      <w:proofErr w:type="spellEnd"/>
      <w:r w:rsidRPr="00662F73">
        <w:rPr>
          <w:rFonts w:ascii="Arial" w:hAnsi="Arial" w:cs="Arial"/>
        </w:rPr>
        <w:t xml:space="preserve"> is the take-back and recycling program that transforms worn-out Crocs into new products for environmentally and socially conscious comfort-seekers who wish to express their individuality without compromising on sustainability. Unlike generic circular footwear schemes, </w:t>
      </w:r>
      <w:proofErr w:type="spellStart"/>
      <w:r w:rsidRPr="00662F73">
        <w:rPr>
          <w:rFonts w:ascii="Arial" w:hAnsi="Arial" w:cs="Arial"/>
        </w:rPr>
        <w:t>ReCrocs</w:t>
      </w:r>
      <w:proofErr w:type="spellEnd"/>
      <w:r w:rsidRPr="00662F73">
        <w:rPr>
          <w:rFonts w:ascii="Arial" w:hAnsi="Arial" w:cs="Arial"/>
        </w:rPr>
        <w:t xml:space="preserve"> uses Crocs' proprietary </w:t>
      </w:r>
      <w:proofErr w:type="spellStart"/>
      <w:r w:rsidRPr="00662F73">
        <w:rPr>
          <w:rFonts w:ascii="Arial" w:hAnsi="Arial" w:cs="Arial"/>
        </w:rPr>
        <w:t>Croslite</w:t>
      </w:r>
      <w:proofErr w:type="spellEnd"/>
      <w:r w:rsidRPr="00662F73">
        <w:rPr>
          <w:rFonts w:ascii="Arial" w:hAnsi="Arial" w:cs="Arial"/>
        </w:rPr>
        <w:t xml:space="preserve"> material and existing customization culture to make circularity rewarding, visible, and instantly recognizable.</w:t>
      </w:r>
    </w:p>
    <w:p w14:paraId="71F58C28" w14:textId="06F95557" w:rsidR="00702C4B" w:rsidRPr="00662F73" w:rsidRDefault="00702C4B" w:rsidP="00662F73">
      <w:pPr>
        <w:spacing w:line="360" w:lineRule="auto"/>
        <w:jc w:val="both"/>
        <w:rPr>
          <w:rFonts w:ascii="Arial" w:hAnsi="Arial" w:cs="Arial"/>
        </w:rPr>
      </w:pPr>
      <w:r w:rsidRPr="00662F73">
        <w:rPr>
          <w:rFonts w:ascii="Arial" w:hAnsi="Arial" w:cs="Arial"/>
        </w:rPr>
        <w:t xml:space="preserve">By utilizing brand assets that rivals find difficult to imitate, this stance aims to be both unique and defendable. The axes and competitor placements in Figure 2 should therefore be interpreted as an informed strategic hypothesis to be validated through consumer perception testing prior to launch rather than an established market fact. However, a truly critical evaluation must recognize that positioning maps of this type are analyst-constructed rather than empirically derived from primary consumer research (Kotler et al., 2024). According to Zhang, Li, and Wang (2024), sustainability is no longer an optional trend but rather a commercial necessity, which supports the strategic justification for </w:t>
      </w:r>
      <w:proofErr w:type="spellStart"/>
      <w:r w:rsidRPr="00662F73">
        <w:rPr>
          <w:rFonts w:ascii="Arial" w:hAnsi="Arial" w:cs="Arial"/>
        </w:rPr>
        <w:t>ReCrocs</w:t>
      </w:r>
      <w:proofErr w:type="spellEnd"/>
      <w:r w:rsidRPr="00662F73">
        <w:rPr>
          <w:rFonts w:ascii="Arial" w:hAnsi="Arial" w:cs="Arial"/>
        </w:rPr>
        <w:t>' positioning as a central rather than ancillary extension of the Crocs brand (Keller, 2013).</w:t>
      </w:r>
    </w:p>
    <w:p w14:paraId="13BF452C" w14:textId="0EDB07F9" w:rsidR="00F32514" w:rsidRPr="007E2BBA" w:rsidRDefault="00F32514" w:rsidP="007E2BBA">
      <w:pPr>
        <w:pStyle w:val="Heading1"/>
        <w:rPr>
          <w:rFonts w:ascii="Arial" w:hAnsi="Arial" w:cs="Arial"/>
        </w:rPr>
      </w:pPr>
      <w:bookmarkStart w:id="3" w:name="_Toc236260078"/>
      <w:r w:rsidRPr="007E2BBA">
        <w:rPr>
          <w:rFonts w:ascii="Arial" w:hAnsi="Arial" w:cs="Arial"/>
          <w:color w:val="000000" w:themeColor="text1"/>
          <w:sz w:val="36"/>
          <w:szCs w:val="36"/>
        </w:rPr>
        <w:t xml:space="preserve">MARKETING </w:t>
      </w:r>
      <w:r w:rsidR="00633497" w:rsidRPr="007E2BBA">
        <w:rPr>
          <w:rFonts w:ascii="Arial" w:hAnsi="Arial" w:cs="Arial"/>
          <w:color w:val="000000" w:themeColor="text1"/>
          <w:sz w:val="36"/>
          <w:szCs w:val="36"/>
        </w:rPr>
        <w:t>MIX</w:t>
      </w:r>
      <w:r w:rsidR="00B959DC" w:rsidRPr="007E2BBA">
        <w:rPr>
          <w:rFonts w:ascii="Arial" w:hAnsi="Arial" w:cs="Arial"/>
          <w:color w:val="000000" w:themeColor="text1"/>
          <w:sz w:val="36"/>
          <w:szCs w:val="36"/>
        </w:rPr>
        <w:t xml:space="preserve"> (</w:t>
      </w:r>
      <w:r w:rsidR="007E2BBA" w:rsidRPr="007E2BBA">
        <w:rPr>
          <w:rFonts w:ascii="Arial" w:hAnsi="Arial" w:cs="Arial"/>
          <w:color w:val="000000" w:themeColor="text1"/>
          <w:sz w:val="36"/>
          <w:szCs w:val="36"/>
        </w:rPr>
        <w:t>7Ps)</w:t>
      </w:r>
      <w:bookmarkEnd w:id="3"/>
    </w:p>
    <w:p w14:paraId="4550657E" w14:textId="3F0B92D0" w:rsidR="00D1168E" w:rsidRPr="00662F73" w:rsidRDefault="00D1168E" w:rsidP="00662F73">
      <w:pPr>
        <w:spacing w:line="360" w:lineRule="auto"/>
        <w:jc w:val="both"/>
        <w:rPr>
          <w:rFonts w:ascii="Arial" w:hAnsi="Arial" w:cs="Arial"/>
        </w:rPr>
      </w:pPr>
      <w:r w:rsidRPr="00662F73">
        <w:rPr>
          <w:rFonts w:ascii="Arial" w:hAnsi="Arial" w:cs="Arial"/>
        </w:rPr>
        <w:t xml:space="preserve">In line with Booms and Bitner's service-marketing extension as covered by Kotler et al. (2024), </w:t>
      </w:r>
      <w:proofErr w:type="spellStart"/>
      <w:r w:rsidRPr="00662F73">
        <w:rPr>
          <w:rFonts w:ascii="Arial" w:hAnsi="Arial" w:cs="Arial"/>
        </w:rPr>
        <w:t>ReCrocs</w:t>
      </w:r>
      <w:proofErr w:type="spellEnd"/>
      <w:r w:rsidRPr="00662F73">
        <w:rPr>
          <w:rFonts w:ascii="Arial" w:hAnsi="Arial" w:cs="Arial"/>
        </w:rPr>
        <w:t xml:space="preserve"> uses the extended 7Ps framework—Product, Price, Place, Promotion, People, Process, and Physical Evidence—instead of the conventional 4Ps because it combines a physical product with an ongoing service relationship (the return-recycle-</w:t>
      </w:r>
      <w:proofErr w:type="spellStart"/>
      <w:r w:rsidRPr="00662F73">
        <w:rPr>
          <w:rFonts w:ascii="Arial" w:hAnsi="Arial" w:cs="Arial"/>
        </w:rPr>
        <w:t>rewear</w:t>
      </w:r>
      <w:proofErr w:type="spellEnd"/>
      <w:r w:rsidRPr="00662F73">
        <w:rPr>
          <w:rFonts w:ascii="Arial" w:hAnsi="Arial" w:cs="Arial"/>
        </w:rPr>
        <w:t xml:space="preserve"> loop). This is especially pertinent in light of recent research showing that consumers assess product-to-service brand extensions using different similarity criteria than product-to-product extensions, making explicit attention to service-specific mix elements (People, Process, Physical Evidence) a strategic requirement rather than an optional addition (Dimitriu and </w:t>
      </w:r>
      <w:proofErr w:type="spellStart"/>
      <w:r w:rsidRPr="00662F73">
        <w:rPr>
          <w:rFonts w:ascii="Arial" w:hAnsi="Arial" w:cs="Arial"/>
        </w:rPr>
        <w:t>Warlop</w:t>
      </w:r>
      <w:proofErr w:type="spellEnd"/>
      <w:r w:rsidRPr="00662F73">
        <w:rPr>
          <w:rFonts w:ascii="Arial" w:hAnsi="Arial" w:cs="Arial"/>
        </w:rPr>
        <w:t>, 2022). The strategic application of each component is summarized in Table 2, which is followed by a critical discussion.</w:t>
      </w:r>
    </w:p>
    <w:p w14:paraId="2231549A" w14:textId="77777777" w:rsidR="00041AF3" w:rsidRPr="00662F73" w:rsidRDefault="00041AF3" w:rsidP="00662F73">
      <w:pPr>
        <w:spacing w:line="360" w:lineRule="auto"/>
        <w:jc w:val="both"/>
        <w:rPr>
          <w:rFonts w:ascii="Arial" w:hAnsi="Arial" w:cs="Arial"/>
        </w:rPr>
      </w:pPr>
    </w:p>
    <w:tbl>
      <w:tblPr>
        <w:tblW w:w="9500" w:type="dxa"/>
        <w:tblBorders>
          <w:top w:val="single" w:sz="4" w:space="0" w:color="999999"/>
          <w:left w:val="single" w:sz="4" w:space="0" w:color="999999"/>
          <w:bottom w:val="single" w:sz="4" w:space="0" w:color="999999"/>
          <w:right w:val="single" w:sz="4" w:space="0" w:color="999999"/>
          <w:insideH w:val="single" w:sz="2" w:space="0" w:color="CCCCCC"/>
          <w:insideV w:val="single" w:sz="2" w:space="0" w:color="CCCCCC"/>
        </w:tblBorders>
        <w:tblCellMar>
          <w:left w:w="10" w:type="dxa"/>
          <w:right w:w="10" w:type="dxa"/>
        </w:tblCellMar>
        <w:tblLook w:val="0000" w:firstRow="0" w:lastRow="0" w:firstColumn="0" w:lastColumn="0" w:noHBand="0" w:noVBand="0"/>
      </w:tblPr>
      <w:tblGrid>
        <w:gridCol w:w="2600"/>
        <w:gridCol w:w="6900"/>
      </w:tblGrid>
      <w:tr w:rsidR="00041AF3" w:rsidRPr="00662F73" w14:paraId="689E4A5E" w14:textId="77777777" w:rsidTr="001C4B48">
        <w:trPr>
          <w:tblHeader/>
        </w:trPr>
        <w:tc>
          <w:tcPr>
            <w:tcW w:w="2600" w:type="dxa"/>
            <w:shd w:val="clear" w:color="auto" w:fill="1F5B4C"/>
            <w:tcMar>
              <w:top w:w="100" w:type="dxa"/>
              <w:left w:w="120" w:type="dxa"/>
              <w:bottom w:w="100" w:type="dxa"/>
              <w:right w:w="120" w:type="dxa"/>
            </w:tcMar>
            <w:vAlign w:val="center"/>
          </w:tcPr>
          <w:p w14:paraId="4E0E0309" w14:textId="77777777" w:rsidR="00041AF3" w:rsidRPr="00662F73" w:rsidRDefault="00041AF3" w:rsidP="00662F73">
            <w:pPr>
              <w:spacing w:line="360" w:lineRule="auto"/>
              <w:jc w:val="both"/>
              <w:rPr>
                <w:rFonts w:ascii="Arial" w:hAnsi="Arial" w:cs="Arial"/>
              </w:rPr>
            </w:pPr>
            <w:r w:rsidRPr="00662F73">
              <w:rPr>
                <w:rFonts w:ascii="Arial" w:hAnsi="Arial" w:cs="Arial"/>
                <w:b/>
                <w:bCs/>
              </w:rPr>
              <w:lastRenderedPageBreak/>
              <w:t>Element</w:t>
            </w:r>
          </w:p>
        </w:tc>
        <w:tc>
          <w:tcPr>
            <w:tcW w:w="6900" w:type="dxa"/>
            <w:shd w:val="clear" w:color="auto" w:fill="1F5B4C"/>
            <w:tcMar>
              <w:top w:w="100" w:type="dxa"/>
              <w:left w:w="120" w:type="dxa"/>
              <w:bottom w:w="100" w:type="dxa"/>
              <w:right w:w="120" w:type="dxa"/>
            </w:tcMar>
            <w:vAlign w:val="center"/>
          </w:tcPr>
          <w:p w14:paraId="0A97477D" w14:textId="77777777" w:rsidR="00041AF3" w:rsidRPr="00662F73" w:rsidRDefault="00041AF3" w:rsidP="00662F73">
            <w:pPr>
              <w:spacing w:line="360" w:lineRule="auto"/>
              <w:jc w:val="both"/>
              <w:rPr>
                <w:rFonts w:ascii="Arial" w:hAnsi="Arial" w:cs="Arial"/>
              </w:rPr>
            </w:pPr>
            <w:r w:rsidRPr="00662F73">
              <w:rPr>
                <w:rFonts w:ascii="Arial" w:hAnsi="Arial" w:cs="Arial"/>
                <w:b/>
                <w:bCs/>
              </w:rPr>
              <w:t>Strategic Application</w:t>
            </w:r>
          </w:p>
        </w:tc>
      </w:tr>
      <w:tr w:rsidR="00041AF3" w:rsidRPr="00662F73" w14:paraId="2E2BA1A5" w14:textId="77777777" w:rsidTr="001C4B48">
        <w:tc>
          <w:tcPr>
            <w:tcW w:w="2600" w:type="dxa"/>
            <w:shd w:val="clear" w:color="auto" w:fill="FFFFFF"/>
            <w:tcMar>
              <w:top w:w="90" w:type="dxa"/>
              <w:left w:w="120" w:type="dxa"/>
              <w:bottom w:w="90" w:type="dxa"/>
              <w:right w:w="120" w:type="dxa"/>
            </w:tcMar>
            <w:vAlign w:val="center"/>
          </w:tcPr>
          <w:p w14:paraId="1B97EEB0" w14:textId="77777777" w:rsidR="00041AF3" w:rsidRPr="00662F73" w:rsidRDefault="00041AF3" w:rsidP="00662F73">
            <w:pPr>
              <w:spacing w:line="360" w:lineRule="auto"/>
              <w:jc w:val="both"/>
              <w:rPr>
                <w:rFonts w:ascii="Arial" w:hAnsi="Arial" w:cs="Arial"/>
              </w:rPr>
            </w:pPr>
            <w:r w:rsidRPr="00662F73">
              <w:rPr>
                <w:rFonts w:ascii="Arial" w:hAnsi="Arial" w:cs="Arial"/>
              </w:rPr>
              <w:t>Product</w:t>
            </w:r>
          </w:p>
        </w:tc>
        <w:tc>
          <w:tcPr>
            <w:tcW w:w="6900" w:type="dxa"/>
            <w:shd w:val="clear" w:color="auto" w:fill="FFFFFF"/>
            <w:tcMar>
              <w:top w:w="90" w:type="dxa"/>
              <w:left w:w="120" w:type="dxa"/>
              <w:bottom w:w="90" w:type="dxa"/>
              <w:right w:w="120" w:type="dxa"/>
            </w:tcMar>
            <w:vAlign w:val="center"/>
          </w:tcPr>
          <w:p w14:paraId="2EAC970D" w14:textId="77777777" w:rsidR="00041AF3" w:rsidRPr="00662F73" w:rsidRDefault="00041AF3" w:rsidP="00662F73">
            <w:pPr>
              <w:spacing w:line="360" w:lineRule="auto"/>
              <w:jc w:val="both"/>
              <w:rPr>
                <w:rFonts w:ascii="Arial" w:hAnsi="Arial" w:cs="Arial"/>
              </w:rPr>
            </w:pPr>
            <w:r w:rsidRPr="00662F73">
              <w:rPr>
                <w:rFonts w:ascii="Arial" w:hAnsi="Arial" w:cs="Arial"/>
              </w:rPr>
              <w:t xml:space="preserve">Footwear and </w:t>
            </w:r>
            <w:proofErr w:type="spellStart"/>
            <w:r w:rsidRPr="00662F73">
              <w:rPr>
                <w:rFonts w:ascii="Arial" w:hAnsi="Arial" w:cs="Arial"/>
              </w:rPr>
              <w:t>Jibbitz</w:t>
            </w:r>
            <w:proofErr w:type="spellEnd"/>
            <w:r w:rsidRPr="00662F73">
              <w:rPr>
                <w:rFonts w:ascii="Arial" w:hAnsi="Arial" w:cs="Arial"/>
              </w:rPr>
              <w:t xml:space="preserve"> charms made from reclaimed </w:t>
            </w:r>
            <w:proofErr w:type="spellStart"/>
            <w:r w:rsidRPr="00662F73">
              <w:rPr>
                <w:rFonts w:ascii="Arial" w:hAnsi="Arial" w:cs="Arial"/>
              </w:rPr>
              <w:t>Croslite</w:t>
            </w:r>
            <w:proofErr w:type="spellEnd"/>
            <w:r w:rsidRPr="00662F73">
              <w:rPr>
                <w:rFonts w:ascii="Arial" w:hAnsi="Arial" w:cs="Arial"/>
              </w:rPr>
              <w:t>; refurbished/resale line; digital return record.</w:t>
            </w:r>
          </w:p>
        </w:tc>
      </w:tr>
      <w:tr w:rsidR="00041AF3" w:rsidRPr="00662F73" w14:paraId="2F134165" w14:textId="77777777" w:rsidTr="001C4B48">
        <w:tc>
          <w:tcPr>
            <w:tcW w:w="2600" w:type="dxa"/>
            <w:shd w:val="clear" w:color="auto" w:fill="F2F2F2"/>
            <w:tcMar>
              <w:top w:w="90" w:type="dxa"/>
              <w:left w:w="120" w:type="dxa"/>
              <w:bottom w:w="90" w:type="dxa"/>
              <w:right w:w="120" w:type="dxa"/>
            </w:tcMar>
            <w:vAlign w:val="center"/>
          </w:tcPr>
          <w:p w14:paraId="5AE4FB33" w14:textId="77777777" w:rsidR="00041AF3" w:rsidRPr="00662F73" w:rsidRDefault="00041AF3" w:rsidP="00662F73">
            <w:pPr>
              <w:spacing w:line="360" w:lineRule="auto"/>
              <w:jc w:val="both"/>
              <w:rPr>
                <w:rFonts w:ascii="Arial" w:hAnsi="Arial" w:cs="Arial"/>
              </w:rPr>
            </w:pPr>
            <w:r w:rsidRPr="00662F73">
              <w:rPr>
                <w:rFonts w:ascii="Arial" w:hAnsi="Arial" w:cs="Arial"/>
              </w:rPr>
              <w:t>Price</w:t>
            </w:r>
          </w:p>
        </w:tc>
        <w:tc>
          <w:tcPr>
            <w:tcW w:w="6900" w:type="dxa"/>
            <w:shd w:val="clear" w:color="auto" w:fill="F2F2F2"/>
            <w:tcMar>
              <w:top w:w="90" w:type="dxa"/>
              <w:left w:w="120" w:type="dxa"/>
              <w:bottom w:w="90" w:type="dxa"/>
              <w:right w:w="120" w:type="dxa"/>
            </w:tcMar>
            <w:vAlign w:val="center"/>
          </w:tcPr>
          <w:p w14:paraId="1D85BF94" w14:textId="77777777" w:rsidR="00041AF3" w:rsidRPr="00662F73" w:rsidRDefault="00041AF3" w:rsidP="00662F73">
            <w:pPr>
              <w:spacing w:line="360" w:lineRule="auto"/>
              <w:jc w:val="both"/>
              <w:rPr>
                <w:rFonts w:ascii="Arial" w:hAnsi="Arial" w:cs="Arial"/>
              </w:rPr>
            </w:pPr>
            <w:r w:rsidRPr="00662F73">
              <w:rPr>
                <w:rFonts w:ascii="Arial" w:hAnsi="Arial" w:cs="Arial"/>
              </w:rPr>
              <w:t>Accessible, near-parity pricing with core Crocs range; value delivered via loyalty credit rather than premium.</w:t>
            </w:r>
          </w:p>
        </w:tc>
      </w:tr>
      <w:tr w:rsidR="00041AF3" w:rsidRPr="00662F73" w14:paraId="78A4191A" w14:textId="77777777" w:rsidTr="001C4B48">
        <w:tc>
          <w:tcPr>
            <w:tcW w:w="2600" w:type="dxa"/>
            <w:shd w:val="clear" w:color="auto" w:fill="FFFFFF"/>
            <w:tcMar>
              <w:top w:w="90" w:type="dxa"/>
              <w:left w:w="120" w:type="dxa"/>
              <w:bottom w:w="90" w:type="dxa"/>
              <w:right w:w="120" w:type="dxa"/>
            </w:tcMar>
            <w:vAlign w:val="center"/>
          </w:tcPr>
          <w:p w14:paraId="10C0951D" w14:textId="77777777" w:rsidR="00041AF3" w:rsidRPr="00662F73" w:rsidRDefault="00041AF3" w:rsidP="00662F73">
            <w:pPr>
              <w:spacing w:line="360" w:lineRule="auto"/>
              <w:jc w:val="both"/>
              <w:rPr>
                <w:rFonts w:ascii="Arial" w:hAnsi="Arial" w:cs="Arial"/>
              </w:rPr>
            </w:pPr>
            <w:r w:rsidRPr="00662F73">
              <w:rPr>
                <w:rFonts w:ascii="Arial" w:hAnsi="Arial" w:cs="Arial"/>
              </w:rPr>
              <w:t>Place</w:t>
            </w:r>
          </w:p>
        </w:tc>
        <w:tc>
          <w:tcPr>
            <w:tcW w:w="6900" w:type="dxa"/>
            <w:shd w:val="clear" w:color="auto" w:fill="FFFFFF"/>
            <w:tcMar>
              <w:top w:w="90" w:type="dxa"/>
              <w:left w:w="120" w:type="dxa"/>
              <w:bottom w:w="90" w:type="dxa"/>
              <w:right w:w="120" w:type="dxa"/>
            </w:tcMar>
            <w:vAlign w:val="center"/>
          </w:tcPr>
          <w:p w14:paraId="47252FB5" w14:textId="77777777" w:rsidR="00041AF3" w:rsidRPr="00662F73" w:rsidRDefault="00041AF3" w:rsidP="00662F73">
            <w:pPr>
              <w:spacing w:line="360" w:lineRule="auto"/>
              <w:jc w:val="both"/>
              <w:rPr>
                <w:rFonts w:ascii="Arial" w:hAnsi="Arial" w:cs="Arial"/>
              </w:rPr>
            </w:pPr>
            <w:r w:rsidRPr="00662F73">
              <w:rPr>
                <w:rFonts w:ascii="Arial" w:hAnsi="Arial" w:cs="Arial"/>
              </w:rPr>
              <w:t>Existing Crocs retail footprint plus in-store and mail-back take-back points.</w:t>
            </w:r>
          </w:p>
        </w:tc>
      </w:tr>
      <w:tr w:rsidR="00041AF3" w:rsidRPr="00662F73" w14:paraId="034B6C4E" w14:textId="77777777" w:rsidTr="001C4B48">
        <w:tc>
          <w:tcPr>
            <w:tcW w:w="2600" w:type="dxa"/>
            <w:shd w:val="clear" w:color="auto" w:fill="F2F2F2"/>
            <w:tcMar>
              <w:top w:w="90" w:type="dxa"/>
              <w:left w:w="120" w:type="dxa"/>
              <w:bottom w:w="90" w:type="dxa"/>
              <w:right w:w="120" w:type="dxa"/>
            </w:tcMar>
            <w:vAlign w:val="center"/>
          </w:tcPr>
          <w:p w14:paraId="4A63FF4B" w14:textId="77777777" w:rsidR="00041AF3" w:rsidRPr="00662F73" w:rsidRDefault="00041AF3" w:rsidP="00662F73">
            <w:pPr>
              <w:spacing w:line="360" w:lineRule="auto"/>
              <w:jc w:val="both"/>
              <w:rPr>
                <w:rFonts w:ascii="Arial" w:hAnsi="Arial" w:cs="Arial"/>
              </w:rPr>
            </w:pPr>
            <w:r w:rsidRPr="00662F73">
              <w:rPr>
                <w:rFonts w:ascii="Arial" w:hAnsi="Arial" w:cs="Arial"/>
              </w:rPr>
              <w:t>Promotion</w:t>
            </w:r>
          </w:p>
        </w:tc>
        <w:tc>
          <w:tcPr>
            <w:tcW w:w="6900" w:type="dxa"/>
            <w:shd w:val="clear" w:color="auto" w:fill="F2F2F2"/>
            <w:tcMar>
              <w:top w:w="90" w:type="dxa"/>
              <w:left w:w="120" w:type="dxa"/>
              <w:bottom w:w="90" w:type="dxa"/>
              <w:right w:w="120" w:type="dxa"/>
            </w:tcMar>
            <w:vAlign w:val="center"/>
          </w:tcPr>
          <w:p w14:paraId="7945BC08" w14:textId="77777777" w:rsidR="00041AF3" w:rsidRPr="00662F73" w:rsidRDefault="00041AF3" w:rsidP="00662F73">
            <w:pPr>
              <w:spacing w:line="360" w:lineRule="auto"/>
              <w:jc w:val="both"/>
              <w:rPr>
                <w:rFonts w:ascii="Arial" w:hAnsi="Arial" w:cs="Arial"/>
              </w:rPr>
            </w:pPr>
            <w:r w:rsidRPr="00662F73">
              <w:rPr>
                <w:rFonts w:ascii="Arial" w:hAnsi="Arial" w:cs="Arial"/>
              </w:rPr>
              <w:t>Evidence-based storytelling, creator collaborations, app-based gamification of returns.</w:t>
            </w:r>
          </w:p>
        </w:tc>
      </w:tr>
      <w:tr w:rsidR="00041AF3" w:rsidRPr="00662F73" w14:paraId="3A360B2E" w14:textId="77777777" w:rsidTr="001C4B48">
        <w:tc>
          <w:tcPr>
            <w:tcW w:w="2600" w:type="dxa"/>
            <w:shd w:val="clear" w:color="auto" w:fill="FFFFFF"/>
            <w:tcMar>
              <w:top w:w="90" w:type="dxa"/>
              <w:left w:w="120" w:type="dxa"/>
              <w:bottom w:w="90" w:type="dxa"/>
              <w:right w:w="120" w:type="dxa"/>
            </w:tcMar>
            <w:vAlign w:val="center"/>
          </w:tcPr>
          <w:p w14:paraId="7F86A74D" w14:textId="77777777" w:rsidR="00041AF3" w:rsidRPr="00662F73" w:rsidRDefault="00041AF3" w:rsidP="00662F73">
            <w:pPr>
              <w:spacing w:line="360" w:lineRule="auto"/>
              <w:jc w:val="both"/>
              <w:rPr>
                <w:rFonts w:ascii="Arial" w:hAnsi="Arial" w:cs="Arial"/>
              </w:rPr>
            </w:pPr>
            <w:r w:rsidRPr="00662F73">
              <w:rPr>
                <w:rFonts w:ascii="Arial" w:hAnsi="Arial" w:cs="Arial"/>
              </w:rPr>
              <w:t>People</w:t>
            </w:r>
          </w:p>
        </w:tc>
        <w:tc>
          <w:tcPr>
            <w:tcW w:w="6900" w:type="dxa"/>
            <w:shd w:val="clear" w:color="auto" w:fill="FFFFFF"/>
            <w:tcMar>
              <w:top w:w="90" w:type="dxa"/>
              <w:left w:w="120" w:type="dxa"/>
              <w:bottom w:w="90" w:type="dxa"/>
              <w:right w:w="120" w:type="dxa"/>
            </w:tcMar>
            <w:vAlign w:val="center"/>
          </w:tcPr>
          <w:p w14:paraId="6BCD334D" w14:textId="77777777" w:rsidR="00041AF3" w:rsidRPr="00662F73" w:rsidRDefault="00041AF3" w:rsidP="00662F73">
            <w:pPr>
              <w:spacing w:line="360" w:lineRule="auto"/>
              <w:jc w:val="both"/>
              <w:rPr>
                <w:rFonts w:ascii="Arial" w:hAnsi="Arial" w:cs="Arial"/>
              </w:rPr>
            </w:pPr>
            <w:r w:rsidRPr="00662F73">
              <w:rPr>
                <w:rFonts w:ascii="Arial" w:hAnsi="Arial" w:cs="Arial"/>
              </w:rPr>
              <w:t>Trained retail/customer-service staff able to grade returns and communicate the scheme accurately.</w:t>
            </w:r>
          </w:p>
        </w:tc>
      </w:tr>
      <w:tr w:rsidR="00041AF3" w:rsidRPr="00662F73" w14:paraId="612B1326" w14:textId="77777777" w:rsidTr="001C4B48">
        <w:tc>
          <w:tcPr>
            <w:tcW w:w="2600" w:type="dxa"/>
            <w:shd w:val="clear" w:color="auto" w:fill="F2F2F2"/>
            <w:tcMar>
              <w:top w:w="90" w:type="dxa"/>
              <w:left w:w="120" w:type="dxa"/>
              <w:bottom w:w="90" w:type="dxa"/>
              <w:right w:w="120" w:type="dxa"/>
            </w:tcMar>
            <w:vAlign w:val="center"/>
          </w:tcPr>
          <w:p w14:paraId="4657C771" w14:textId="77777777" w:rsidR="00041AF3" w:rsidRPr="00662F73" w:rsidRDefault="00041AF3" w:rsidP="00662F73">
            <w:pPr>
              <w:spacing w:line="360" w:lineRule="auto"/>
              <w:jc w:val="both"/>
              <w:rPr>
                <w:rFonts w:ascii="Arial" w:hAnsi="Arial" w:cs="Arial"/>
              </w:rPr>
            </w:pPr>
            <w:r w:rsidRPr="00662F73">
              <w:rPr>
                <w:rFonts w:ascii="Arial" w:hAnsi="Arial" w:cs="Arial"/>
              </w:rPr>
              <w:t>Process</w:t>
            </w:r>
          </w:p>
        </w:tc>
        <w:tc>
          <w:tcPr>
            <w:tcW w:w="6900" w:type="dxa"/>
            <w:shd w:val="clear" w:color="auto" w:fill="F2F2F2"/>
            <w:tcMar>
              <w:top w:w="90" w:type="dxa"/>
              <w:left w:w="120" w:type="dxa"/>
              <w:bottom w:w="90" w:type="dxa"/>
              <w:right w:w="120" w:type="dxa"/>
            </w:tcMar>
            <w:vAlign w:val="center"/>
          </w:tcPr>
          <w:p w14:paraId="308B0AD3" w14:textId="77777777" w:rsidR="00041AF3" w:rsidRPr="00662F73" w:rsidRDefault="00041AF3" w:rsidP="00662F73">
            <w:pPr>
              <w:spacing w:line="360" w:lineRule="auto"/>
              <w:jc w:val="both"/>
              <w:rPr>
                <w:rFonts w:ascii="Arial" w:hAnsi="Arial" w:cs="Arial"/>
              </w:rPr>
            </w:pPr>
            <w:r w:rsidRPr="00662F73">
              <w:rPr>
                <w:rFonts w:ascii="Arial" w:hAnsi="Arial" w:cs="Arial"/>
              </w:rPr>
              <w:t>Return → grade → recycle/refurbish → reward, integrated into existing purchase channels.</w:t>
            </w:r>
          </w:p>
        </w:tc>
      </w:tr>
      <w:tr w:rsidR="00041AF3" w:rsidRPr="00662F73" w14:paraId="635A7C30" w14:textId="77777777" w:rsidTr="001C4B48">
        <w:tc>
          <w:tcPr>
            <w:tcW w:w="2600" w:type="dxa"/>
            <w:shd w:val="clear" w:color="auto" w:fill="FFFFFF"/>
            <w:tcMar>
              <w:top w:w="90" w:type="dxa"/>
              <w:left w:w="120" w:type="dxa"/>
              <w:bottom w:w="90" w:type="dxa"/>
              <w:right w:w="120" w:type="dxa"/>
            </w:tcMar>
            <w:vAlign w:val="center"/>
          </w:tcPr>
          <w:p w14:paraId="4C8A721E" w14:textId="77777777" w:rsidR="00041AF3" w:rsidRPr="00662F73" w:rsidRDefault="00041AF3" w:rsidP="00662F73">
            <w:pPr>
              <w:spacing w:line="360" w:lineRule="auto"/>
              <w:jc w:val="both"/>
              <w:rPr>
                <w:rFonts w:ascii="Arial" w:hAnsi="Arial" w:cs="Arial"/>
              </w:rPr>
            </w:pPr>
            <w:r w:rsidRPr="00662F73">
              <w:rPr>
                <w:rFonts w:ascii="Arial" w:hAnsi="Arial" w:cs="Arial"/>
              </w:rPr>
              <w:t>Physical Evidence</w:t>
            </w:r>
          </w:p>
        </w:tc>
        <w:tc>
          <w:tcPr>
            <w:tcW w:w="6900" w:type="dxa"/>
            <w:shd w:val="clear" w:color="auto" w:fill="FFFFFF"/>
            <w:tcMar>
              <w:top w:w="90" w:type="dxa"/>
              <w:left w:w="120" w:type="dxa"/>
              <w:bottom w:w="90" w:type="dxa"/>
              <w:right w:w="120" w:type="dxa"/>
            </w:tcMar>
            <w:vAlign w:val="center"/>
          </w:tcPr>
          <w:p w14:paraId="7648D684" w14:textId="77777777" w:rsidR="00041AF3" w:rsidRPr="00662F73" w:rsidRDefault="00041AF3" w:rsidP="00662F73">
            <w:pPr>
              <w:spacing w:line="360" w:lineRule="auto"/>
              <w:jc w:val="both"/>
              <w:rPr>
                <w:rFonts w:ascii="Arial" w:hAnsi="Arial" w:cs="Arial"/>
              </w:rPr>
            </w:pPr>
            <w:r w:rsidRPr="00662F73">
              <w:rPr>
                <w:rFonts w:ascii="Arial" w:hAnsi="Arial" w:cs="Arial"/>
              </w:rPr>
              <w:t>Reduced packaging, in-store signage, digital return history and reward balance.</w:t>
            </w:r>
          </w:p>
        </w:tc>
      </w:tr>
    </w:tbl>
    <w:p w14:paraId="4671B7F2" w14:textId="12978EB4" w:rsidR="00F464ED" w:rsidRPr="0044389F" w:rsidRDefault="00F464ED" w:rsidP="0044389F">
      <w:pPr>
        <w:pStyle w:val="Heading2"/>
        <w:rPr>
          <w:color w:val="000000" w:themeColor="text1"/>
        </w:rPr>
      </w:pPr>
      <w:r w:rsidRPr="0044389F">
        <w:rPr>
          <w:color w:val="000000" w:themeColor="text1"/>
        </w:rPr>
        <w:t>PRODUCT:</w:t>
      </w:r>
    </w:p>
    <w:p w14:paraId="4C7DDE9A" w14:textId="493689C5" w:rsidR="00F464ED" w:rsidRPr="00662F73" w:rsidRDefault="00223839" w:rsidP="00662F73">
      <w:pPr>
        <w:spacing w:line="360" w:lineRule="auto"/>
        <w:jc w:val="both"/>
        <w:rPr>
          <w:rFonts w:ascii="Arial" w:hAnsi="Arial" w:cs="Arial"/>
        </w:rPr>
      </w:pPr>
      <w:r w:rsidRPr="00662F73">
        <w:rPr>
          <w:rFonts w:ascii="Arial" w:hAnsi="Arial" w:cs="Arial"/>
        </w:rPr>
        <w:t xml:space="preserve">The main product line consists of a variety of Crocs shoes and </w:t>
      </w:r>
      <w:proofErr w:type="spellStart"/>
      <w:r w:rsidRPr="00662F73">
        <w:rPr>
          <w:rFonts w:ascii="Arial" w:hAnsi="Arial" w:cs="Arial"/>
        </w:rPr>
        <w:t>Jibbitz</w:t>
      </w:r>
      <w:proofErr w:type="spellEnd"/>
      <w:r w:rsidRPr="00662F73">
        <w:rPr>
          <w:rFonts w:ascii="Arial" w:hAnsi="Arial" w:cs="Arial"/>
        </w:rPr>
        <w:t xml:space="preserve"> charms that are made, whenever feasible, using recycled and reclaimed </w:t>
      </w:r>
      <w:proofErr w:type="spellStart"/>
      <w:r w:rsidRPr="00662F73">
        <w:rPr>
          <w:rFonts w:ascii="Arial" w:hAnsi="Arial" w:cs="Arial"/>
        </w:rPr>
        <w:t>Croslite</w:t>
      </w:r>
      <w:proofErr w:type="spellEnd"/>
      <w:r w:rsidRPr="00662F73">
        <w:rPr>
          <w:rFonts w:ascii="Arial" w:hAnsi="Arial" w:cs="Arial"/>
        </w:rPr>
        <w:t xml:space="preserve"> material collected via the take-back program. There is also a refurbished/resold line for returned pairs that are still suitable for usage. This design decision directly operationalizes the differentiation strategy: the product line is based on the "return, recycle, </w:t>
      </w:r>
      <w:proofErr w:type="spellStart"/>
      <w:r w:rsidRPr="00662F73">
        <w:rPr>
          <w:rFonts w:ascii="Arial" w:hAnsi="Arial" w:cs="Arial"/>
        </w:rPr>
        <w:t>rewear</w:t>
      </w:r>
      <w:proofErr w:type="spellEnd"/>
      <w:r w:rsidRPr="00662F73">
        <w:rPr>
          <w:rFonts w:ascii="Arial" w:hAnsi="Arial" w:cs="Arial"/>
        </w:rPr>
        <w:t xml:space="preserve">" cycle rather than treating sustainability as an add-on claim. This supports brand extension theory's requirement that an extension be seen as a logical and credible fit with the parent brand's current competencies and materials (Kotler et al., 2024; </w:t>
      </w:r>
      <w:proofErr w:type="spellStart"/>
      <w:r w:rsidRPr="00662F73">
        <w:rPr>
          <w:rFonts w:ascii="Arial" w:hAnsi="Arial" w:cs="Arial"/>
        </w:rPr>
        <w:t>Volckner</w:t>
      </w:r>
      <w:proofErr w:type="spellEnd"/>
      <w:r w:rsidRPr="00662F73">
        <w:rPr>
          <w:rFonts w:ascii="Arial" w:hAnsi="Arial" w:cs="Arial"/>
        </w:rPr>
        <w:t xml:space="preserve"> and Sattler, 2006).</w:t>
      </w:r>
    </w:p>
    <w:p w14:paraId="2E6B2FF9" w14:textId="27504EE7" w:rsidR="00223839" w:rsidRPr="00662F73" w:rsidRDefault="00FE25E6" w:rsidP="00662F73">
      <w:pPr>
        <w:spacing w:line="360" w:lineRule="auto"/>
        <w:jc w:val="both"/>
        <w:rPr>
          <w:rFonts w:ascii="Arial" w:hAnsi="Arial" w:cs="Arial"/>
        </w:rPr>
      </w:pPr>
      <w:r w:rsidRPr="00662F73">
        <w:rPr>
          <w:rFonts w:ascii="Arial" w:hAnsi="Arial" w:cs="Arial"/>
        </w:rPr>
        <w:t>Designs for disassembly and mono-material building should be given priority in accordance with circular economy concepts (</w:t>
      </w:r>
      <w:proofErr w:type="spellStart"/>
      <w:r w:rsidRPr="00662F73">
        <w:rPr>
          <w:rFonts w:ascii="Arial" w:hAnsi="Arial" w:cs="Arial"/>
        </w:rPr>
        <w:t>Geissdoerfer</w:t>
      </w:r>
      <w:proofErr w:type="spellEnd"/>
      <w:r w:rsidRPr="00662F73">
        <w:rPr>
          <w:rFonts w:ascii="Arial" w:hAnsi="Arial" w:cs="Arial"/>
        </w:rPr>
        <w:t xml:space="preserve"> et al., 2018) so that recovered material may really re-enter production rather than just being "recycled" in a marketing, nominal sense. However, a recent systematic review of circular economy </w:t>
      </w:r>
      <w:r w:rsidRPr="00662F73">
        <w:rPr>
          <w:rFonts w:ascii="Arial" w:hAnsi="Arial" w:cs="Arial"/>
        </w:rPr>
        <w:lastRenderedPageBreak/>
        <w:t>review articles warns that circularity claims are often techno-managerial in emphasis and can exaggerate true systemic impact if they are not accompanied by transparent measurement (Hossain et al., 2024). This underscores the necessity of the verifiable reporting that is covered later in this section.</w:t>
      </w:r>
    </w:p>
    <w:p w14:paraId="1F52B406" w14:textId="03135F7B" w:rsidR="00FE25E6" w:rsidRPr="0044389F" w:rsidRDefault="00161C29" w:rsidP="0044389F">
      <w:pPr>
        <w:pStyle w:val="Heading2"/>
        <w:rPr>
          <w:color w:val="000000" w:themeColor="text1"/>
        </w:rPr>
      </w:pPr>
      <w:r w:rsidRPr="0044389F">
        <w:rPr>
          <w:color w:val="000000" w:themeColor="text1"/>
        </w:rPr>
        <w:t>PRICE:</w:t>
      </w:r>
    </w:p>
    <w:p w14:paraId="2C230EF1" w14:textId="44D3A76B" w:rsidR="00161C29" w:rsidRPr="00662F73" w:rsidRDefault="004B3575" w:rsidP="00662F73">
      <w:pPr>
        <w:spacing w:line="360" w:lineRule="auto"/>
        <w:jc w:val="both"/>
        <w:rPr>
          <w:rFonts w:ascii="Arial" w:hAnsi="Arial" w:cs="Arial"/>
        </w:rPr>
      </w:pPr>
      <w:r w:rsidRPr="00662F73">
        <w:rPr>
          <w:rFonts w:ascii="Arial" w:hAnsi="Arial" w:cs="Arial"/>
        </w:rPr>
        <w:t xml:space="preserve">Since cost is an important component of Crocs' historical appeal across a wide demographic, </w:t>
      </w:r>
      <w:proofErr w:type="spellStart"/>
      <w:r w:rsidRPr="00662F73">
        <w:rPr>
          <w:rFonts w:ascii="Arial" w:hAnsi="Arial" w:cs="Arial"/>
        </w:rPr>
        <w:t>ReCrocs</w:t>
      </w:r>
      <w:proofErr w:type="spellEnd"/>
      <w:r w:rsidRPr="00662F73">
        <w:rPr>
          <w:rFonts w:ascii="Arial" w:hAnsi="Arial" w:cs="Arial"/>
        </w:rPr>
        <w:t xml:space="preserve"> maintains Crocs' core strength of accessible, mass-market price rather than offering a big premium. In accordance with psychological pricing concepts that prevent alienating price-sensitive sectors, recycled-material items are priced at or only slightly above typical Crocs ranges (Kotler et al., 2024). Instead, the take-back loop itself provides the main incentive: consumers who return old pairs get </w:t>
      </w:r>
      <w:proofErr w:type="spellStart"/>
      <w:r w:rsidRPr="00662F73">
        <w:rPr>
          <w:rFonts w:ascii="Arial" w:hAnsi="Arial" w:cs="Arial"/>
        </w:rPr>
        <w:t>Jibbitz</w:t>
      </w:r>
      <w:proofErr w:type="spellEnd"/>
      <w:r w:rsidRPr="00662F73">
        <w:rPr>
          <w:rFonts w:ascii="Arial" w:hAnsi="Arial" w:cs="Arial"/>
        </w:rPr>
        <w:t xml:space="preserve"> prizes, loyalty credit, and exclusive early access.</w:t>
      </w:r>
    </w:p>
    <w:p w14:paraId="39665B16" w14:textId="754FCB4C" w:rsidR="004B3575" w:rsidRPr="00662F73" w:rsidRDefault="00BF74F5" w:rsidP="00662F73">
      <w:pPr>
        <w:spacing w:line="360" w:lineRule="auto"/>
        <w:jc w:val="both"/>
        <w:rPr>
          <w:rFonts w:ascii="Arial" w:hAnsi="Arial" w:cs="Arial"/>
        </w:rPr>
      </w:pPr>
      <w:r w:rsidRPr="00662F73">
        <w:rPr>
          <w:rFonts w:ascii="Arial" w:hAnsi="Arial" w:cs="Arial"/>
        </w:rPr>
        <w:t>Although it depends on recovered-material input costs staying low enough to sustain near-parity pricing at scale—a commercial assumption that would require validation through supply-chain costing rather than being taken for granted—this model encourages repeat participation without requiring Crocs to give up its value-for-money positioning.</w:t>
      </w:r>
    </w:p>
    <w:p w14:paraId="39C21A24" w14:textId="361829FE" w:rsidR="00161C29" w:rsidRPr="0044389F" w:rsidRDefault="00161C29" w:rsidP="0044389F">
      <w:pPr>
        <w:pStyle w:val="Heading2"/>
        <w:rPr>
          <w:color w:val="000000" w:themeColor="text1"/>
        </w:rPr>
      </w:pPr>
      <w:r w:rsidRPr="0044389F">
        <w:rPr>
          <w:color w:val="000000" w:themeColor="text1"/>
        </w:rPr>
        <w:t>PLACE:</w:t>
      </w:r>
    </w:p>
    <w:p w14:paraId="6DCF0824" w14:textId="3E2C5C39" w:rsidR="00161C29" w:rsidRPr="00662F73" w:rsidRDefault="007B04A5" w:rsidP="00662F73">
      <w:pPr>
        <w:spacing w:line="360" w:lineRule="auto"/>
        <w:jc w:val="both"/>
        <w:rPr>
          <w:rFonts w:ascii="Arial" w:hAnsi="Arial" w:cs="Arial"/>
        </w:rPr>
      </w:pPr>
      <w:r w:rsidRPr="00662F73">
        <w:rPr>
          <w:rFonts w:ascii="Arial" w:hAnsi="Arial" w:cs="Arial"/>
        </w:rPr>
        <w:t>Distribution blends Crocs' current wide retail reach with a more focused take-back infrastructure: core goods are still accessible through retail partners, Crocs.com, and existing shops, while take-back is made possible through in-store collection locations and a mail-back option via the Crocs app. The two targeting goals found in the STDP analysis are reflected in this dual strategy: mass accessibility for the current, devoted customer base and a handy, well-marked circular touchpoint for the environmentally conscious "circular consumer" sector (Kotler et al., 2024).</w:t>
      </w:r>
    </w:p>
    <w:p w14:paraId="3239EBED" w14:textId="2809D24A" w:rsidR="00161C29" w:rsidRPr="0044389F" w:rsidRDefault="00161C29" w:rsidP="0044389F">
      <w:pPr>
        <w:pStyle w:val="Heading2"/>
        <w:rPr>
          <w:color w:val="000000" w:themeColor="text1"/>
        </w:rPr>
      </w:pPr>
      <w:r w:rsidRPr="0044389F">
        <w:rPr>
          <w:color w:val="000000" w:themeColor="text1"/>
        </w:rPr>
        <w:t>PROMOTION:</w:t>
      </w:r>
    </w:p>
    <w:p w14:paraId="5BAE1A3C" w14:textId="25FE9EE7" w:rsidR="00161C29" w:rsidRPr="00662F73" w:rsidRDefault="00487AD8" w:rsidP="00662F73">
      <w:pPr>
        <w:spacing w:line="360" w:lineRule="auto"/>
        <w:jc w:val="both"/>
        <w:rPr>
          <w:rFonts w:ascii="Arial" w:hAnsi="Arial" w:cs="Arial"/>
        </w:rPr>
      </w:pPr>
      <w:r w:rsidRPr="00662F73">
        <w:rPr>
          <w:rFonts w:ascii="Arial" w:hAnsi="Arial" w:cs="Arial"/>
        </w:rPr>
        <w:t xml:space="preserve">Given well-documented consumer distrust about unclear corporate environmental messaging and the danger of greenwashing charges, promotion is </w:t>
      </w:r>
      <w:proofErr w:type="spellStart"/>
      <w:r w:rsidRPr="00662F73">
        <w:rPr>
          <w:rFonts w:ascii="Arial" w:hAnsi="Arial" w:cs="Arial"/>
        </w:rPr>
        <w:t>centered</w:t>
      </w:r>
      <w:proofErr w:type="spellEnd"/>
      <w:r w:rsidRPr="00662F73">
        <w:rPr>
          <w:rFonts w:ascii="Arial" w:hAnsi="Arial" w:cs="Arial"/>
        </w:rPr>
        <w:t xml:space="preserve"> on evidence-based narrative rather than broad sustainability claims alone (Chan and Ma, 2016; Peattie and Crane, 2005). According to recent research, perceived greenwashing still undermines brand trust and purchase intention even in cases where underlying environmental claims are only partially true (Zhang</w:t>
      </w:r>
      <w:r w:rsidR="00A851EC">
        <w:rPr>
          <w:rFonts w:ascii="Arial" w:hAnsi="Arial" w:cs="Arial"/>
        </w:rPr>
        <w:t xml:space="preserve"> and </w:t>
      </w:r>
      <w:r w:rsidR="00536756">
        <w:rPr>
          <w:rFonts w:ascii="Arial" w:hAnsi="Arial" w:cs="Arial"/>
        </w:rPr>
        <w:t>Yuan</w:t>
      </w:r>
      <w:r w:rsidRPr="00662F73">
        <w:rPr>
          <w:rFonts w:ascii="Arial" w:hAnsi="Arial" w:cs="Arial"/>
        </w:rPr>
        <w:t xml:space="preserve">, 2024). </w:t>
      </w:r>
      <w:r w:rsidRPr="00662F73">
        <w:rPr>
          <w:rFonts w:ascii="Arial" w:hAnsi="Arial" w:cs="Arial"/>
        </w:rPr>
        <w:lastRenderedPageBreak/>
        <w:t>Rather than relying solely on claims-based messaging, trust is best restored through non-deceptive, experience-based brand communication (Rahman et al., 202</w:t>
      </w:r>
      <w:r w:rsidR="00335CED">
        <w:rPr>
          <w:rFonts w:ascii="Arial" w:hAnsi="Arial" w:cs="Arial"/>
        </w:rPr>
        <w:t>3</w:t>
      </w:r>
      <w:r w:rsidRPr="00662F73">
        <w:rPr>
          <w:rFonts w:ascii="Arial" w:hAnsi="Arial" w:cs="Arial"/>
        </w:rPr>
        <w:t>).</w:t>
      </w:r>
    </w:p>
    <w:p w14:paraId="5B68C0D1" w14:textId="5B34EF0B" w:rsidR="0036167E" w:rsidRPr="00662F73" w:rsidRDefault="0036167E" w:rsidP="00662F73">
      <w:pPr>
        <w:spacing w:line="360" w:lineRule="auto"/>
        <w:jc w:val="both"/>
        <w:rPr>
          <w:rFonts w:ascii="Arial" w:hAnsi="Arial" w:cs="Arial"/>
        </w:rPr>
      </w:pPr>
      <w:r w:rsidRPr="00662F73">
        <w:rPr>
          <w:rFonts w:ascii="Arial" w:hAnsi="Arial" w:cs="Arial"/>
        </w:rPr>
        <w:t xml:space="preserve">Strategies include creative partnerships based on pre-existing </w:t>
      </w:r>
      <w:proofErr w:type="spellStart"/>
      <w:r w:rsidRPr="00662F73">
        <w:rPr>
          <w:rFonts w:ascii="Arial" w:hAnsi="Arial" w:cs="Arial"/>
        </w:rPr>
        <w:t>Jibbitz</w:t>
      </w:r>
      <w:proofErr w:type="spellEnd"/>
      <w:r w:rsidRPr="00662F73">
        <w:rPr>
          <w:rFonts w:ascii="Arial" w:hAnsi="Arial" w:cs="Arial"/>
        </w:rPr>
        <w:t>-style self-expression content, social media content that illustrates the material route from returned Crocs to new goods, and app-based gamification that rewards each returned item. Nielsen's (2018) 81% statistic and Wang</w:t>
      </w:r>
      <w:r w:rsidR="00F622E5">
        <w:rPr>
          <w:rFonts w:ascii="Arial" w:hAnsi="Arial" w:cs="Arial"/>
        </w:rPr>
        <w:t xml:space="preserve"> et al.,</w:t>
      </w:r>
      <w:r w:rsidRPr="00662F73">
        <w:rPr>
          <w:rFonts w:ascii="Arial" w:hAnsi="Arial" w:cs="Arial"/>
        </w:rPr>
        <w:t xml:space="preserve"> (202</w:t>
      </w:r>
      <w:r w:rsidR="008677F8">
        <w:rPr>
          <w:rFonts w:ascii="Arial" w:hAnsi="Arial" w:cs="Arial"/>
        </w:rPr>
        <w:t>5</w:t>
      </w:r>
      <w:r w:rsidRPr="00662F73">
        <w:rPr>
          <w:rFonts w:ascii="Arial" w:hAnsi="Arial" w:cs="Arial"/>
        </w:rPr>
        <w:t xml:space="preserve">) claim that sustainability is now a business imperative serve as the foundation for the extension's messaging, which frames </w:t>
      </w:r>
      <w:proofErr w:type="spellStart"/>
      <w:r w:rsidRPr="00662F73">
        <w:rPr>
          <w:rFonts w:ascii="Arial" w:hAnsi="Arial" w:cs="Arial"/>
        </w:rPr>
        <w:t>ReCrocs</w:t>
      </w:r>
      <w:proofErr w:type="spellEnd"/>
      <w:r w:rsidRPr="00662F73">
        <w:rPr>
          <w:rFonts w:ascii="Arial" w:hAnsi="Arial" w:cs="Arial"/>
        </w:rPr>
        <w:t xml:space="preserve"> as "part of a movement" rather than a purely transactional recycling program in line with the self-expression-driven psychographic profile noted in Section 1.</w:t>
      </w:r>
    </w:p>
    <w:p w14:paraId="1D07CB30" w14:textId="766C7935" w:rsidR="00161C29" w:rsidRPr="0044389F" w:rsidRDefault="00161C29" w:rsidP="0044389F">
      <w:pPr>
        <w:pStyle w:val="Heading2"/>
        <w:rPr>
          <w:color w:val="000000" w:themeColor="text1"/>
        </w:rPr>
      </w:pPr>
      <w:r w:rsidRPr="0044389F">
        <w:rPr>
          <w:color w:val="000000" w:themeColor="text1"/>
        </w:rPr>
        <w:t>PEOPLE:</w:t>
      </w:r>
    </w:p>
    <w:p w14:paraId="6678773B" w14:textId="2AA37D01" w:rsidR="00161C29" w:rsidRPr="00662F73" w:rsidRDefault="001E3402" w:rsidP="00662F73">
      <w:pPr>
        <w:spacing w:line="360" w:lineRule="auto"/>
        <w:jc w:val="both"/>
        <w:rPr>
          <w:rFonts w:ascii="Arial" w:hAnsi="Arial" w:cs="Arial"/>
        </w:rPr>
      </w:pPr>
      <w:r w:rsidRPr="00662F73">
        <w:rPr>
          <w:rFonts w:ascii="Arial" w:hAnsi="Arial" w:cs="Arial"/>
        </w:rPr>
        <w:t xml:space="preserve">In order to properly explain the </w:t>
      </w:r>
      <w:proofErr w:type="spellStart"/>
      <w:r w:rsidRPr="00662F73">
        <w:rPr>
          <w:rFonts w:ascii="Arial" w:hAnsi="Arial" w:cs="Arial"/>
        </w:rPr>
        <w:t>ReCrocs</w:t>
      </w:r>
      <w:proofErr w:type="spellEnd"/>
      <w:r w:rsidRPr="00662F73">
        <w:rPr>
          <w:rFonts w:ascii="Arial" w:hAnsi="Arial" w:cs="Arial"/>
        </w:rPr>
        <w:t xml:space="preserve"> concept and handle the return process, including determining whether returned pairs are appropriate for material recycling or refurbishment/resale, retail and customer service employees must receive training. Staff credibility at the point of sale and return is crucial to preserving trust because </w:t>
      </w:r>
      <w:proofErr w:type="spellStart"/>
      <w:r w:rsidRPr="00662F73">
        <w:rPr>
          <w:rFonts w:ascii="Arial" w:hAnsi="Arial" w:cs="Arial"/>
        </w:rPr>
        <w:t>ReCrocs</w:t>
      </w:r>
      <w:proofErr w:type="spellEnd"/>
      <w:r w:rsidRPr="00662F73">
        <w:rPr>
          <w:rFonts w:ascii="Arial" w:hAnsi="Arial" w:cs="Arial"/>
        </w:rPr>
        <w:t>' differentiation is partially based on genuine circularity rather than just marketing claims; inconsistent or exaggerated claims at this touchpoint would directly undermine the brand's positioning (Kotler et al., 2024).</w:t>
      </w:r>
    </w:p>
    <w:p w14:paraId="5CF32E72" w14:textId="62318A9E" w:rsidR="00161C29" w:rsidRPr="0044389F" w:rsidRDefault="00161C29" w:rsidP="0044389F">
      <w:pPr>
        <w:pStyle w:val="Heading2"/>
        <w:rPr>
          <w:color w:val="000000" w:themeColor="text1"/>
        </w:rPr>
      </w:pPr>
      <w:r w:rsidRPr="0044389F">
        <w:rPr>
          <w:color w:val="000000" w:themeColor="text1"/>
        </w:rPr>
        <w:t>PROCESS:</w:t>
      </w:r>
    </w:p>
    <w:p w14:paraId="0976696F" w14:textId="5293B57F" w:rsidR="00161C29" w:rsidRPr="00662F73" w:rsidRDefault="00BE5AF4" w:rsidP="00662F73">
      <w:pPr>
        <w:spacing w:line="360" w:lineRule="auto"/>
        <w:jc w:val="both"/>
        <w:rPr>
          <w:rFonts w:ascii="Arial" w:hAnsi="Arial" w:cs="Arial"/>
        </w:rPr>
      </w:pPr>
      <w:r w:rsidRPr="00662F73">
        <w:rPr>
          <w:rFonts w:ascii="Arial" w:hAnsi="Arial" w:cs="Arial"/>
        </w:rPr>
        <w:t>The customer journey shown in Figure 3 is formalized by the process element: a client returns old Crocs, the material is recycled or reused (or the pair is restored for resale), and the customer receives a reward while the material is retained in use rather than dumped in a landfill.</w:t>
      </w:r>
    </w:p>
    <w:p w14:paraId="3EEFB496" w14:textId="4E7D5F16" w:rsidR="00BE5AF4" w:rsidRPr="00662F73" w:rsidRDefault="005822C4" w:rsidP="00C13EA7">
      <w:pPr>
        <w:spacing w:line="360" w:lineRule="auto"/>
        <w:jc w:val="center"/>
        <w:rPr>
          <w:rFonts w:ascii="Arial" w:hAnsi="Arial" w:cs="Arial"/>
        </w:rPr>
      </w:pPr>
      <w:r w:rsidRPr="00662F73">
        <w:rPr>
          <w:rFonts w:ascii="Arial" w:hAnsi="Arial" w:cs="Arial"/>
          <w:noProof/>
        </w:rPr>
        <w:lastRenderedPageBreak/>
        <w:drawing>
          <wp:inline distT="0" distB="0" distL="0" distR="0" wp14:anchorId="3AB5A490" wp14:editId="6576EC6C">
            <wp:extent cx="4000500" cy="4000500"/>
            <wp:effectExtent l="0" t="0" r="0" b="0"/>
            <wp:docPr id="5845394" name="Picture 5845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000500" cy="4000500"/>
                    </a:xfrm>
                    <a:prstGeom prst="rect">
                      <a:avLst/>
                    </a:prstGeom>
                  </pic:spPr>
                </pic:pic>
              </a:graphicData>
            </a:graphic>
          </wp:inline>
        </w:drawing>
      </w:r>
    </w:p>
    <w:p w14:paraId="0AF34144" w14:textId="052BE383" w:rsidR="005822C4" w:rsidRPr="00662F73" w:rsidRDefault="00274920" w:rsidP="00662F73">
      <w:pPr>
        <w:spacing w:line="360" w:lineRule="auto"/>
        <w:jc w:val="both"/>
        <w:rPr>
          <w:rFonts w:ascii="Arial" w:hAnsi="Arial" w:cs="Arial"/>
        </w:rPr>
      </w:pPr>
      <w:r w:rsidRPr="00662F73">
        <w:rPr>
          <w:rFonts w:ascii="Arial" w:hAnsi="Arial" w:cs="Arial"/>
        </w:rPr>
        <w:t>Since the differentiation approach relies on customers completing the loop regularly rather than making a single purchase of recycled stuff, minimizing friction in this process is crucial. The goal is to lower the effort barrier that has hindered the adoption of similar take-back programs in the larger fashion industry by enabling returns through current retail touchpoints and a straightforward app-based procedure.</w:t>
      </w:r>
    </w:p>
    <w:p w14:paraId="7FA9DF3F" w14:textId="5505FB22" w:rsidR="00161C29" w:rsidRPr="0044389F" w:rsidRDefault="006C0A91" w:rsidP="0044389F">
      <w:pPr>
        <w:pStyle w:val="Heading2"/>
        <w:rPr>
          <w:color w:val="000000" w:themeColor="text1"/>
        </w:rPr>
      </w:pPr>
      <w:r w:rsidRPr="0044389F">
        <w:rPr>
          <w:color w:val="000000" w:themeColor="text1"/>
        </w:rPr>
        <w:t>PHYSICAL EVIDENCE:</w:t>
      </w:r>
    </w:p>
    <w:p w14:paraId="31E11609" w14:textId="6059BE90" w:rsidR="001D15CF" w:rsidRPr="00662F73" w:rsidRDefault="001D15CF" w:rsidP="00662F73">
      <w:pPr>
        <w:spacing w:line="360" w:lineRule="auto"/>
        <w:jc w:val="both"/>
        <w:rPr>
          <w:rFonts w:ascii="Arial" w:hAnsi="Arial" w:cs="Arial"/>
        </w:rPr>
      </w:pPr>
      <w:r w:rsidRPr="00662F73">
        <w:rPr>
          <w:rFonts w:ascii="Arial" w:hAnsi="Arial" w:cs="Arial"/>
        </w:rPr>
        <w:t xml:space="preserve">Digital evidence, such as an in-app return history and reward balance, transforms an otherwise intangible sustainability claim into a tangible, individual record of impact. Physical evidence includes recyclable or reduced packaging, in-store signage and collection points, and clear </w:t>
      </w:r>
      <w:proofErr w:type="spellStart"/>
      <w:r w:rsidRPr="00662F73">
        <w:rPr>
          <w:rFonts w:ascii="Arial" w:hAnsi="Arial" w:cs="Arial"/>
        </w:rPr>
        <w:t>labeling</w:t>
      </w:r>
      <w:proofErr w:type="spellEnd"/>
      <w:r w:rsidRPr="00662F73">
        <w:rPr>
          <w:rFonts w:ascii="Arial" w:hAnsi="Arial" w:cs="Arial"/>
        </w:rPr>
        <w:t xml:space="preserve"> identifying products made from returned material. Visible and verifiable proof is necessary to support the "circular economy leadership" relationship at the heart of </w:t>
      </w:r>
      <w:proofErr w:type="spellStart"/>
      <w:r w:rsidRPr="00662F73">
        <w:rPr>
          <w:rFonts w:ascii="Arial" w:hAnsi="Arial" w:cs="Arial"/>
        </w:rPr>
        <w:t>ReCrocs</w:t>
      </w:r>
      <w:proofErr w:type="spellEnd"/>
      <w:r w:rsidRPr="00662F73">
        <w:rPr>
          <w:rFonts w:ascii="Arial" w:hAnsi="Arial" w:cs="Arial"/>
        </w:rPr>
        <w:t>' targeted brand image, given the credibility risk inherent in sustainability positioning (Kotler et al., 2024).</w:t>
      </w:r>
    </w:p>
    <w:p w14:paraId="5A160ED9" w14:textId="34F34C5C" w:rsidR="00987941" w:rsidRPr="007E2BBA" w:rsidRDefault="006727C5" w:rsidP="007E2BBA">
      <w:pPr>
        <w:pStyle w:val="Heading1"/>
        <w:rPr>
          <w:rFonts w:ascii="Arial" w:hAnsi="Arial" w:cs="Arial"/>
          <w:color w:val="000000" w:themeColor="text1"/>
          <w:sz w:val="36"/>
          <w:szCs w:val="36"/>
        </w:rPr>
      </w:pPr>
      <w:bookmarkStart w:id="4" w:name="_Toc236260079"/>
      <w:r w:rsidRPr="007E2BBA">
        <w:rPr>
          <w:rFonts w:ascii="Arial" w:hAnsi="Arial" w:cs="Arial"/>
          <w:color w:val="000000" w:themeColor="text1"/>
          <w:sz w:val="36"/>
          <w:szCs w:val="36"/>
        </w:rPr>
        <w:t>REFLECTION:</w:t>
      </w:r>
      <w:bookmarkEnd w:id="4"/>
    </w:p>
    <w:p w14:paraId="37139AD4" w14:textId="270A9DAE" w:rsidR="00A76E46" w:rsidRPr="00662F73" w:rsidRDefault="00DC54CF" w:rsidP="00662F73">
      <w:pPr>
        <w:spacing w:line="360" w:lineRule="auto"/>
        <w:jc w:val="both"/>
        <w:rPr>
          <w:rFonts w:ascii="Arial" w:hAnsi="Arial" w:cs="Arial"/>
        </w:rPr>
      </w:pPr>
      <w:r w:rsidRPr="00DC54CF">
        <w:rPr>
          <w:rFonts w:ascii="Arial" w:hAnsi="Arial" w:cs="Arial"/>
        </w:rPr>
        <w:t xml:space="preserve">During my poster presentation, I felt comfortable describing the </w:t>
      </w:r>
      <w:proofErr w:type="spellStart"/>
      <w:r w:rsidRPr="00DC54CF">
        <w:rPr>
          <w:rFonts w:ascii="Arial" w:hAnsi="Arial" w:cs="Arial"/>
        </w:rPr>
        <w:t>ReCrocs</w:t>
      </w:r>
      <w:proofErr w:type="spellEnd"/>
      <w:r w:rsidRPr="00DC54CF">
        <w:rPr>
          <w:rFonts w:ascii="Arial" w:hAnsi="Arial" w:cs="Arial"/>
        </w:rPr>
        <w:t xml:space="preserve"> sustainable brand extension and was able to communicate well with the audience. I answered </w:t>
      </w:r>
      <w:r w:rsidRPr="00DC54CF">
        <w:rPr>
          <w:rFonts w:ascii="Arial" w:hAnsi="Arial" w:cs="Arial"/>
        </w:rPr>
        <w:lastRenderedPageBreak/>
        <w:t>questions effectively and presented each piece of the marketing plan, including the STDP analysis and marketing mix, in a logical and confident manner. I think my readiness and comprehension of the subject allowed me to effectively convey the main ideas.</w:t>
      </w:r>
    </w:p>
    <w:p w14:paraId="6707A20A" w14:textId="78EFF369" w:rsidR="00AE2CD2" w:rsidRPr="007E2BBA" w:rsidRDefault="00AE2CD2" w:rsidP="007E2BBA">
      <w:pPr>
        <w:pStyle w:val="Heading2"/>
        <w:rPr>
          <w:rFonts w:ascii="Arial" w:hAnsi="Arial" w:cs="Arial"/>
          <w:color w:val="000000" w:themeColor="text1"/>
          <w:sz w:val="28"/>
          <w:szCs w:val="28"/>
        </w:rPr>
      </w:pPr>
      <w:bookmarkStart w:id="5" w:name="_Toc236260080"/>
      <w:r w:rsidRPr="007E2BBA">
        <w:rPr>
          <w:rFonts w:ascii="Arial" w:hAnsi="Arial" w:cs="Arial"/>
          <w:color w:val="000000" w:themeColor="text1"/>
          <w:sz w:val="28"/>
          <w:szCs w:val="28"/>
        </w:rPr>
        <w:t>EVALUATION</w:t>
      </w:r>
      <w:bookmarkEnd w:id="5"/>
    </w:p>
    <w:p w14:paraId="306E54F7" w14:textId="41BF2C1D" w:rsidR="00DC54CF" w:rsidRPr="00662F73" w:rsidRDefault="00E330B8" w:rsidP="00662F73">
      <w:pPr>
        <w:spacing w:line="360" w:lineRule="auto"/>
        <w:jc w:val="both"/>
        <w:rPr>
          <w:rFonts w:ascii="Arial" w:hAnsi="Arial" w:cs="Arial"/>
        </w:rPr>
      </w:pPr>
      <w:r w:rsidRPr="00E330B8">
        <w:rPr>
          <w:rFonts w:ascii="Arial" w:hAnsi="Arial" w:cs="Arial"/>
        </w:rPr>
        <w:t>Overall, the presentation was effective because I maintained audience interest and exhibited a thorough comprehension of my study. However, my lecturer gave useful suggestions regarding my presentation skills. I periodically stood in front of the poster and turned my back towards the crowd while referring to certain passages. Although this did not diminish my understanding of the subject, it hindered the efficacy of my non-verbal communication and made it more difficult for the audience to remain totally engaged.</w:t>
      </w:r>
    </w:p>
    <w:p w14:paraId="1E64F458" w14:textId="334354F8" w:rsidR="00AE2CD2" w:rsidRPr="007E2BBA" w:rsidRDefault="00AE2CD2" w:rsidP="007E2BBA">
      <w:pPr>
        <w:pStyle w:val="Heading2"/>
        <w:rPr>
          <w:rFonts w:ascii="Arial" w:hAnsi="Arial" w:cs="Arial"/>
          <w:color w:val="000000" w:themeColor="text1"/>
          <w:sz w:val="28"/>
          <w:szCs w:val="28"/>
        </w:rPr>
      </w:pPr>
      <w:bookmarkStart w:id="6" w:name="_Toc236260081"/>
      <w:r w:rsidRPr="007E2BBA">
        <w:rPr>
          <w:rFonts w:ascii="Arial" w:hAnsi="Arial" w:cs="Arial"/>
          <w:color w:val="000000" w:themeColor="text1"/>
          <w:sz w:val="28"/>
          <w:szCs w:val="28"/>
        </w:rPr>
        <w:t>ANALYSIS</w:t>
      </w:r>
      <w:bookmarkEnd w:id="6"/>
    </w:p>
    <w:p w14:paraId="627CE2A0" w14:textId="7A41910E" w:rsidR="00A76E46" w:rsidRPr="00662F73" w:rsidRDefault="000A67D7" w:rsidP="00662F73">
      <w:pPr>
        <w:spacing w:line="360" w:lineRule="auto"/>
        <w:jc w:val="both"/>
        <w:rPr>
          <w:rFonts w:ascii="Arial" w:hAnsi="Arial" w:cs="Arial"/>
        </w:rPr>
      </w:pPr>
      <w:r w:rsidRPr="000A67D7">
        <w:rPr>
          <w:rFonts w:ascii="Arial" w:hAnsi="Arial" w:cs="Arial"/>
        </w:rPr>
        <w:t>Reflecting on this feedback, I concluded that good presentations relied not just on topic knowledge but also on body language, audience awareness and visual communication. Gibbs' (1988) Reflective Cycle encourages individuals to use feedback as a chance for continual growth. While I felt confident in delivering my topic, I understood that keeping eye contact and situating myself opposite the poster would have provided a more professional and audience-centred presentation.</w:t>
      </w:r>
    </w:p>
    <w:p w14:paraId="052B9D65" w14:textId="52E256D3" w:rsidR="00A76E46" w:rsidRPr="007E2BBA" w:rsidRDefault="00A76E46" w:rsidP="007E2BBA">
      <w:pPr>
        <w:pStyle w:val="Heading2"/>
        <w:rPr>
          <w:rFonts w:ascii="Arial" w:hAnsi="Arial" w:cs="Arial"/>
          <w:color w:val="000000" w:themeColor="text1"/>
          <w:sz w:val="28"/>
          <w:szCs w:val="28"/>
        </w:rPr>
      </w:pPr>
      <w:bookmarkStart w:id="7" w:name="_Toc236260082"/>
      <w:r w:rsidRPr="007E2BBA">
        <w:rPr>
          <w:rFonts w:ascii="Arial" w:hAnsi="Arial" w:cs="Arial"/>
          <w:color w:val="000000" w:themeColor="text1"/>
          <w:sz w:val="28"/>
          <w:szCs w:val="28"/>
        </w:rPr>
        <w:t>ACTION PLAN</w:t>
      </w:r>
      <w:bookmarkEnd w:id="7"/>
    </w:p>
    <w:p w14:paraId="1C736B05" w14:textId="56845A35" w:rsidR="0076004F" w:rsidRDefault="00D928E8" w:rsidP="00662F73">
      <w:pPr>
        <w:spacing w:line="360" w:lineRule="auto"/>
        <w:jc w:val="both"/>
        <w:rPr>
          <w:rFonts w:ascii="Arial" w:hAnsi="Arial" w:cs="Arial"/>
        </w:rPr>
      </w:pPr>
      <w:r w:rsidRPr="00D928E8">
        <w:rPr>
          <w:rFonts w:ascii="Arial" w:hAnsi="Arial" w:cs="Arial"/>
        </w:rPr>
        <w:t xml:space="preserve">In upcoming presentations, I will continue to build on my confidence and good communication abilities while refining my presentation delivery. I will rehearse my placement in preparation, avoid obstructing visual elements, maintain eye contact throughout, and utilize motions that lead attention to the poster without turning my back to the audience. I can find and fix these </w:t>
      </w:r>
      <w:r w:rsidR="001D5188" w:rsidRPr="00D928E8">
        <w:rPr>
          <w:rFonts w:ascii="Arial" w:hAnsi="Arial" w:cs="Arial"/>
        </w:rPr>
        <w:t>behaviours</w:t>
      </w:r>
      <w:r w:rsidRPr="00D928E8">
        <w:rPr>
          <w:rFonts w:ascii="Arial" w:hAnsi="Arial" w:cs="Arial"/>
        </w:rPr>
        <w:t xml:space="preserve"> before presenting by recording my practice sessions and asking for feedback from my peers during preparation.</w:t>
      </w:r>
    </w:p>
    <w:p w14:paraId="507F8F59" w14:textId="747EEC3B" w:rsidR="0076004F" w:rsidRDefault="0076004F" w:rsidP="00662F73">
      <w:pPr>
        <w:spacing w:line="360" w:lineRule="auto"/>
        <w:jc w:val="both"/>
        <w:rPr>
          <w:rFonts w:ascii="Arial" w:hAnsi="Arial" w:cs="Arial"/>
        </w:rPr>
      </w:pPr>
    </w:p>
    <w:p w14:paraId="44398F84" w14:textId="77777777" w:rsidR="0076004F" w:rsidRDefault="0076004F">
      <w:pPr>
        <w:rPr>
          <w:rFonts w:ascii="Arial" w:hAnsi="Arial" w:cs="Arial"/>
        </w:rPr>
      </w:pPr>
      <w:r>
        <w:rPr>
          <w:rFonts w:ascii="Arial" w:hAnsi="Arial" w:cs="Arial"/>
        </w:rPr>
        <w:br w:type="page"/>
      </w:r>
    </w:p>
    <w:p w14:paraId="3F1771A6" w14:textId="4DF60302" w:rsidR="00EE76DC" w:rsidRPr="00EE76DC" w:rsidRDefault="00EE76DC" w:rsidP="00EE76DC">
      <w:pPr>
        <w:pStyle w:val="Heading1"/>
        <w:rPr>
          <w:rFonts w:ascii="Arial" w:hAnsi="Arial" w:cs="Arial"/>
          <w:color w:val="000000" w:themeColor="text1"/>
          <w:sz w:val="36"/>
          <w:szCs w:val="36"/>
        </w:rPr>
      </w:pPr>
      <w:bookmarkStart w:id="8" w:name="_Toc236260083"/>
      <w:r w:rsidRPr="00EE76DC">
        <w:rPr>
          <w:rFonts w:ascii="Arial" w:hAnsi="Arial" w:cs="Arial"/>
          <w:color w:val="000000" w:themeColor="text1"/>
          <w:sz w:val="36"/>
          <w:szCs w:val="36"/>
        </w:rPr>
        <w:lastRenderedPageBreak/>
        <w:t>REFERENCES:</w:t>
      </w:r>
      <w:bookmarkEnd w:id="8"/>
    </w:p>
    <w:p w14:paraId="5A185370" w14:textId="77777777" w:rsidR="00886044" w:rsidRPr="00294452" w:rsidRDefault="00886044" w:rsidP="00294452">
      <w:pPr>
        <w:spacing w:line="360" w:lineRule="auto"/>
        <w:jc w:val="both"/>
        <w:rPr>
          <w:rFonts w:ascii="Arial" w:hAnsi="Arial" w:cs="Arial"/>
          <w:color w:val="000000"/>
        </w:rPr>
      </w:pPr>
      <w:r w:rsidRPr="00294452">
        <w:rPr>
          <w:rFonts w:ascii="Arial" w:hAnsi="Arial" w:cs="Arial"/>
          <w:color w:val="000000"/>
        </w:rPr>
        <w:t>Armstrong, G. and Kotler, P. (2023)</w:t>
      </w:r>
      <w:r w:rsidRPr="00294452">
        <w:rPr>
          <w:rStyle w:val="apple-converted-space"/>
          <w:rFonts w:ascii="Arial" w:hAnsi="Arial" w:cs="Arial"/>
          <w:color w:val="000000"/>
        </w:rPr>
        <w:t> </w:t>
      </w:r>
      <w:r w:rsidRPr="00294452">
        <w:rPr>
          <w:rStyle w:val="Emphasis"/>
          <w:rFonts w:ascii="Arial" w:hAnsi="Arial" w:cs="Arial"/>
          <w:color w:val="000000"/>
        </w:rPr>
        <w:t>Marketing: An Introduction</w:t>
      </w:r>
      <w:r w:rsidRPr="00294452">
        <w:rPr>
          <w:rFonts w:ascii="Arial" w:hAnsi="Arial" w:cs="Arial"/>
          <w:color w:val="000000"/>
        </w:rPr>
        <w:t>. Pearson.</w:t>
      </w:r>
    </w:p>
    <w:p w14:paraId="1164576F" w14:textId="77777777" w:rsidR="009D63F1" w:rsidRDefault="009D63F1" w:rsidP="00294452">
      <w:pPr>
        <w:spacing w:line="360" w:lineRule="auto"/>
        <w:jc w:val="both"/>
        <w:rPr>
          <w:rFonts w:ascii="Arial" w:hAnsi="Arial" w:cs="Arial"/>
        </w:rPr>
      </w:pPr>
    </w:p>
    <w:p w14:paraId="7245D8CF" w14:textId="50C42FA3" w:rsidR="00886044" w:rsidRPr="00294452" w:rsidRDefault="00886044" w:rsidP="00294452">
      <w:pPr>
        <w:spacing w:line="360" w:lineRule="auto"/>
        <w:jc w:val="both"/>
        <w:rPr>
          <w:rFonts w:ascii="Arial" w:hAnsi="Arial" w:cs="Arial"/>
        </w:rPr>
      </w:pPr>
      <w:r w:rsidRPr="00294452">
        <w:rPr>
          <w:rFonts w:ascii="Arial" w:hAnsi="Arial" w:cs="Arial"/>
        </w:rPr>
        <w:t xml:space="preserve">Baier, D., Rausch, T.M. and Wagner, T.F. (2020) “The Drivers of Sustainable Apparel and Sportswear Consumption: A Segmented Kano Perspective,” Sustainability, 12(7), p. 2788. Available at: </w:t>
      </w:r>
      <w:hyperlink r:id="rId8" w:history="1">
        <w:r w:rsidRPr="00294452">
          <w:rPr>
            <w:rStyle w:val="Hyperlink"/>
            <w:rFonts w:ascii="Arial" w:hAnsi="Arial" w:cs="Arial"/>
          </w:rPr>
          <w:t>https://doi.org/10.3390/su12072788</w:t>
        </w:r>
      </w:hyperlink>
      <w:r w:rsidRPr="00294452">
        <w:rPr>
          <w:rFonts w:ascii="Arial" w:hAnsi="Arial" w:cs="Arial"/>
        </w:rPr>
        <w:t>.</w:t>
      </w:r>
      <w:r w:rsidRPr="00294452">
        <w:rPr>
          <w:rFonts w:ascii="Arial" w:hAnsi="Arial" w:cs="Arial"/>
        </w:rPr>
        <w:t xml:space="preserve"> </w:t>
      </w:r>
    </w:p>
    <w:p w14:paraId="76ED1DB1" w14:textId="77777777" w:rsidR="009D63F1" w:rsidRDefault="009D63F1" w:rsidP="00294452">
      <w:pPr>
        <w:spacing w:line="360" w:lineRule="auto"/>
        <w:jc w:val="both"/>
        <w:rPr>
          <w:rFonts w:ascii="Arial" w:hAnsi="Arial" w:cs="Arial"/>
        </w:rPr>
      </w:pPr>
    </w:p>
    <w:p w14:paraId="7C9B7754" w14:textId="517B0149" w:rsidR="00886044" w:rsidRPr="00294452" w:rsidRDefault="00886044" w:rsidP="00294452">
      <w:pPr>
        <w:spacing w:line="360" w:lineRule="auto"/>
        <w:jc w:val="both"/>
        <w:rPr>
          <w:rFonts w:ascii="Arial" w:hAnsi="Arial" w:cs="Arial"/>
        </w:rPr>
      </w:pPr>
      <w:r w:rsidRPr="00294452">
        <w:rPr>
          <w:rFonts w:ascii="Arial" w:hAnsi="Arial" w:cs="Arial"/>
        </w:rPr>
        <w:t xml:space="preserve">Chan, R.Y.K. and Ma, K.H.Y. (2016) “Environmental Orientation of Exporting SMEs from an Emerging Economy: Its Antecedents and Consequences,” Management international review, 56(5), pp. 597–632. Available at: </w:t>
      </w:r>
      <w:hyperlink r:id="rId9" w:history="1">
        <w:r w:rsidRPr="00294452">
          <w:rPr>
            <w:rStyle w:val="Hyperlink"/>
            <w:rFonts w:ascii="Arial" w:hAnsi="Arial" w:cs="Arial"/>
          </w:rPr>
          <w:t>https://doi.org/10.1007/s11575-016-0280-0</w:t>
        </w:r>
      </w:hyperlink>
      <w:r w:rsidRPr="00294452">
        <w:rPr>
          <w:rFonts w:ascii="Arial" w:hAnsi="Arial" w:cs="Arial"/>
        </w:rPr>
        <w:t>.</w:t>
      </w:r>
      <w:r w:rsidRPr="00294452">
        <w:rPr>
          <w:rFonts w:ascii="Arial" w:hAnsi="Arial" w:cs="Arial"/>
        </w:rPr>
        <w:t xml:space="preserve"> </w:t>
      </w:r>
    </w:p>
    <w:p w14:paraId="64400449" w14:textId="77777777" w:rsidR="009D63F1" w:rsidRDefault="009D63F1" w:rsidP="00294452">
      <w:pPr>
        <w:spacing w:line="360" w:lineRule="auto"/>
        <w:jc w:val="both"/>
        <w:rPr>
          <w:rFonts w:ascii="Arial" w:hAnsi="Arial" w:cs="Arial"/>
          <w:color w:val="000000"/>
        </w:rPr>
      </w:pPr>
    </w:p>
    <w:p w14:paraId="733DD490" w14:textId="0198F6C8" w:rsidR="00886044" w:rsidRPr="00294452" w:rsidRDefault="00886044" w:rsidP="00294452">
      <w:pPr>
        <w:spacing w:line="360" w:lineRule="auto"/>
        <w:jc w:val="both"/>
        <w:rPr>
          <w:rFonts w:ascii="Arial" w:hAnsi="Arial" w:cs="Arial"/>
          <w:color w:val="000000"/>
        </w:rPr>
      </w:pPr>
      <w:r w:rsidRPr="00294452">
        <w:rPr>
          <w:rFonts w:ascii="Arial" w:hAnsi="Arial" w:cs="Arial"/>
          <w:color w:val="000000"/>
        </w:rPr>
        <w:t>Deloitte (2024)</w:t>
      </w:r>
      <w:r w:rsidRPr="00294452">
        <w:rPr>
          <w:rStyle w:val="apple-converted-space"/>
          <w:rFonts w:ascii="Arial" w:hAnsi="Arial" w:cs="Arial"/>
          <w:color w:val="000000"/>
        </w:rPr>
        <w:t> </w:t>
      </w:r>
      <w:r w:rsidRPr="00294452">
        <w:rPr>
          <w:rStyle w:val="Emphasis"/>
          <w:rFonts w:ascii="Arial" w:hAnsi="Arial" w:cs="Arial"/>
          <w:color w:val="000000"/>
        </w:rPr>
        <w:t>Gen Z and Millennial Survey 2024</w:t>
      </w:r>
      <w:r w:rsidRPr="00294452">
        <w:rPr>
          <w:rFonts w:ascii="Arial" w:hAnsi="Arial" w:cs="Arial"/>
          <w:color w:val="000000"/>
        </w:rPr>
        <w:t>.</w:t>
      </w:r>
    </w:p>
    <w:p w14:paraId="50697E94" w14:textId="77777777" w:rsidR="009D63F1" w:rsidRDefault="009D63F1" w:rsidP="00294452">
      <w:pPr>
        <w:spacing w:line="360" w:lineRule="auto"/>
        <w:jc w:val="both"/>
        <w:rPr>
          <w:rFonts w:ascii="Arial" w:hAnsi="Arial" w:cs="Arial"/>
        </w:rPr>
      </w:pPr>
    </w:p>
    <w:p w14:paraId="26108CAE" w14:textId="42F51D15" w:rsidR="00886044" w:rsidRPr="00294452" w:rsidRDefault="00886044" w:rsidP="00294452">
      <w:pPr>
        <w:spacing w:line="360" w:lineRule="auto"/>
        <w:jc w:val="both"/>
        <w:rPr>
          <w:rFonts w:ascii="Arial" w:hAnsi="Arial" w:cs="Arial"/>
        </w:rPr>
      </w:pPr>
      <w:r w:rsidRPr="00294452">
        <w:rPr>
          <w:rFonts w:ascii="Arial" w:hAnsi="Arial" w:cs="Arial"/>
        </w:rPr>
        <w:t xml:space="preserve">Dimitriu, R. and </w:t>
      </w:r>
      <w:proofErr w:type="spellStart"/>
      <w:r w:rsidRPr="00294452">
        <w:rPr>
          <w:rFonts w:ascii="Arial" w:hAnsi="Arial" w:cs="Arial"/>
        </w:rPr>
        <w:t>Warlop</w:t>
      </w:r>
      <w:proofErr w:type="spellEnd"/>
      <w:r w:rsidRPr="00294452">
        <w:rPr>
          <w:rFonts w:ascii="Arial" w:hAnsi="Arial" w:cs="Arial"/>
        </w:rPr>
        <w:t xml:space="preserve">, L. (2022) “Is similarity a constraint for service-to-service brand </w:t>
      </w:r>
      <w:proofErr w:type="gramStart"/>
      <w:r w:rsidRPr="00294452">
        <w:rPr>
          <w:rFonts w:ascii="Arial" w:hAnsi="Arial" w:cs="Arial"/>
        </w:rPr>
        <w:t>extensions?,</w:t>
      </w:r>
      <w:proofErr w:type="gramEnd"/>
      <w:r w:rsidRPr="00294452">
        <w:rPr>
          <w:rFonts w:ascii="Arial" w:hAnsi="Arial" w:cs="Arial"/>
        </w:rPr>
        <w:t xml:space="preserve">” International journal of research in marketing, 39(4), pp. 1019–1041. Available at: </w:t>
      </w:r>
      <w:hyperlink r:id="rId10" w:history="1">
        <w:r w:rsidRPr="00294452">
          <w:rPr>
            <w:rStyle w:val="Hyperlink"/>
            <w:rFonts w:ascii="Arial" w:hAnsi="Arial" w:cs="Arial"/>
          </w:rPr>
          <w:t>https://doi.org/10.1016/j.ijresmar.2021.12.001</w:t>
        </w:r>
      </w:hyperlink>
      <w:r w:rsidRPr="00294452">
        <w:rPr>
          <w:rFonts w:ascii="Arial" w:hAnsi="Arial" w:cs="Arial"/>
        </w:rPr>
        <w:t>.</w:t>
      </w:r>
      <w:r w:rsidRPr="00294452">
        <w:rPr>
          <w:rFonts w:ascii="Arial" w:hAnsi="Arial" w:cs="Arial"/>
        </w:rPr>
        <w:t xml:space="preserve"> </w:t>
      </w:r>
    </w:p>
    <w:p w14:paraId="2FAAB187" w14:textId="77777777" w:rsidR="009D63F1" w:rsidRDefault="009D63F1" w:rsidP="00294452">
      <w:pPr>
        <w:spacing w:line="360" w:lineRule="auto"/>
        <w:jc w:val="both"/>
        <w:rPr>
          <w:rFonts w:ascii="Arial" w:hAnsi="Arial" w:cs="Arial"/>
        </w:rPr>
      </w:pPr>
    </w:p>
    <w:p w14:paraId="63F1A622" w14:textId="7A29C655" w:rsidR="00886044" w:rsidRPr="00294452" w:rsidRDefault="00886044" w:rsidP="00294452">
      <w:pPr>
        <w:spacing w:line="360" w:lineRule="auto"/>
        <w:jc w:val="both"/>
        <w:rPr>
          <w:rFonts w:ascii="Arial" w:hAnsi="Arial" w:cs="Arial"/>
        </w:rPr>
      </w:pPr>
      <w:r w:rsidRPr="00294452">
        <w:rPr>
          <w:rFonts w:ascii="Arial" w:hAnsi="Arial" w:cs="Arial"/>
        </w:rPr>
        <w:t>Gibbs, G., 1988. Learning by doing: A guide to teaching and learning methods. Further Education Unit.</w:t>
      </w:r>
    </w:p>
    <w:p w14:paraId="5C78D3D4" w14:textId="77777777" w:rsidR="009D63F1" w:rsidRDefault="009D63F1" w:rsidP="00294452">
      <w:pPr>
        <w:spacing w:line="360" w:lineRule="auto"/>
        <w:jc w:val="both"/>
        <w:rPr>
          <w:rFonts w:ascii="Arial" w:hAnsi="Arial" w:cs="Arial"/>
        </w:rPr>
      </w:pPr>
    </w:p>
    <w:p w14:paraId="487F45A9" w14:textId="42694B41" w:rsidR="00886044" w:rsidRPr="00294452" w:rsidRDefault="00886044" w:rsidP="00294452">
      <w:pPr>
        <w:spacing w:line="360" w:lineRule="auto"/>
        <w:jc w:val="both"/>
        <w:rPr>
          <w:rFonts w:ascii="Arial" w:hAnsi="Arial" w:cs="Arial"/>
        </w:rPr>
      </w:pPr>
      <w:r w:rsidRPr="00294452">
        <w:rPr>
          <w:rFonts w:ascii="Arial" w:hAnsi="Arial" w:cs="Arial"/>
        </w:rPr>
        <w:t xml:space="preserve">Kapferer, J.N. (2012) The New Strategic Brand Management: Advanced Insights and Strategic Thinking. 5th </w:t>
      </w:r>
      <w:proofErr w:type="spellStart"/>
      <w:r w:rsidRPr="00294452">
        <w:rPr>
          <w:rFonts w:ascii="Arial" w:hAnsi="Arial" w:cs="Arial"/>
        </w:rPr>
        <w:t>edn</w:t>
      </w:r>
      <w:proofErr w:type="spellEnd"/>
      <w:r w:rsidRPr="00294452">
        <w:rPr>
          <w:rFonts w:ascii="Arial" w:hAnsi="Arial" w:cs="Arial"/>
        </w:rPr>
        <w:t>. London: Kogan Page.</w:t>
      </w:r>
    </w:p>
    <w:p w14:paraId="57F417C7" w14:textId="77777777" w:rsidR="009D63F1" w:rsidRDefault="009D63F1" w:rsidP="00294452">
      <w:pPr>
        <w:spacing w:line="360" w:lineRule="auto"/>
        <w:jc w:val="both"/>
        <w:rPr>
          <w:rFonts w:ascii="Arial" w:hAnsi="Arial" w:cs="Arial"/>
        </w:rPr>
      </w:pPr>
    </w:p>
    <w:p w14:paraId="55A04008" w14:textId="22635657" w:rsidR="00886044" w:rsidRPr="00294452" w:rsidRDefault="00886044" w:rsidP="00294452">
      <w:pPr>
        <w:spacing w:line="360" w:lineRule="auto"/>
        <w:jc w:val="both"/>
        <w:rPr>
          <w:rFonts w:ascii="Arial" w:hAnsi="Arial" w:cs="Arial"/>
        </w:rPr>
      </w:pPr>
      <w:r w:rsidRPr="00294452">
        <w:rPr>
          <w:rFonts w:ascii="Arial" w:hAnsi="Arial" w:cs="Arial"/>
        </w:rPr>
        <w:t xml:space="preserve">Kotler, P., Armstrong, G., Harris, L.C. and Piercy, N. (2024) Principles of Marketing. 9th European </w:t>
      </w:r>
      <w:proofErr w:type="spellStart"/>
      <w:r w:rsidRPr="00294452">
        <w:rPr>
          <w:rFonts w:ascii="Arial" w:hAnsi="Arial" w:cs="Arial"/>
        </w:rPr>
        <w:t>edn</w:t>
      </w:r>
      <w:proofErr w:type="spellEnd"/>
      <w:r w:rsidRPr="00294452">
        <w:rPr>
          <w:rFonts w:ascii="Arial" w:hAnsi="Arial" w:cs="Arial"/>
        </w:rPr>
        <w:t>. Harlow: Pearson Education.</w:t>
      </w:r>
    </w:p>
    <w:p w14:paraId="3DC69D7D" w14:textId="77777777" w:rsidR="009D63F1" w:rsidRDefault="009D63F1" w:rsidP="00294452">
      <w:pPr>
        <w:spacing w:line="360" w:lineRule="auto"/>
        <w:jc w:val="both"/>
        <w:rPr>
          <w:rFonts w:ascii="Arial" w:hAnsi="Arial" w:cs="Arial"/>
        </w:rPr>
      </w:pPr>
    </w:p>
    <w:p w14:paraId="7FC5525C" w14:textId="4A4114C5" w:rsidR="00886044" w:rsidRPr="00294452" w:rsidRDefault="00886044" w:rsidP="00294452">
      <w:pPr>
        <w:spacing w:line="360" w:lineRule="auto"/>
        <w:jc w:val="both"/>
        <w:rPr>
          <w:rFonts w:ascii="Arial" w:hAnsi="Arial" w:cs="Arial"/>
        </w:rPr>
      </w:pPr>
      <w:r w:rsidRPr="00294452">
        <w:rPr>
          <w:rFonts w:ascii="Arial" w:hAnsi="Arial" w:cs="Arial"/>
        </w:rPr>
        <w:t xml:space="preserve">Management Decision (2009) “Consumer </w:t>
      </w:r>
      <w:proofErr w:type="spellStart"/>
      <w:r w:rsidRPr="00294452">
        <w:rPr>
          <w:rFonts w:ascii="Arial" w:hAnsi="Arial" w:cs="Arial"/>
        </w:rPr>
        <w:t>Behavior</w:t>
      </w:r>
      <w:proofErr w:type="spellEnd"/>
      <w:r w:rsidRPr="00294452">
        <w:rPr>
          <w:rFonts w:ascii="Arial" w:hAnsi="Arial" w:cs="Arial"/>
        </w:rPr>
        <w:t xml:space="preserve">: Buying, Having, and Being (8th ed.),” 47(5), pp. 845–848. Available at: </w:t>
      </w:r>
      <w:hyperlink r:id="rId11" w:history="1">
        <w:r w:rsidRPr="00294452">
          <w:rPr>
            <w:rStyle w:val="Hyperlink"/>
            <w:rFonts w:ascii="Arial" w:hAnsi="Arial" w:cs="Arial"/>
          </w:rPr>
          <w:t>https://doi.org/10.1108/00251740910960169</w:t>
        </w:r>
      </w:hyperlink>
      <w:r w:rsidRPr="00294452">
        <w:rPr>
          <w:rFonts w:ascii="Arial" w:hAnsi="Arial" w:cs="Arial"/>
        </w:rPr>
        <w:t>.</w:t>
      </w:r>
      <w:r w:rsidRPr="00294452">
        <w:rPr>
          <w:rFonts w:ascii="Arial" w:hAnsi="Arial" w:cs="Arial"/>
        </w:rPr>
        <w:t xml:space="preserve"> </w:t>
      </w:r>
    </w:p>
    <w:p w14:paraId="684BF42A" w14:textId="77777777" w:rsidR="009D63F1" w:rsidRDefault="009D63F1" w:rsidP="00294452">
      <w:pPr>
        <w:spacing w:line="360" w:lineRule="auto"/>
        <w:jc w:val="both"/>
        <w:rPr>
          <w:rFonts w:ascii="Arial" w:hAnsi="Arial" w:cs="Arial"/>
        </w:rPr>
      </w:pPr>
    </w:p>
    <w:p w14:paraId="4FF5A35C" w14:textId="079488AC" w:rsidR="00886044" w:rsidRPr="00294452" w:rsidRDefault="00886044" w:rsidP="00294452">
      <w:pPr>
        <w:spacing w:line="360" w:lineRule="auto"/>
        <w:jc w:val="both"/>
        <w:rPr>
          <w:rFonts w:ascii="Arial" w:hAnsi="Arial" w:cs="Arial"/>
        </w:rPr>
      </w:pPr>
      <w:r w:rsidRPr="00294452">
        <w:rPr>
          <w:rFonts w:ascii="Arial" w:hAnsi="Arial" w:cs="Arial"/>
        </w:rPr>
        <w:t xml:space="preserve">Michael, R.S., 2020. Consumer </w:t>
      </w:r>
      <w:proofErr w:type="spellStart"/>
      <w:r w:rsidRPr="00294452">
        <w:rPr>
          <w:rFonts w:ascii="Arial" w:hAnsi="Arial" w:cs="Arial"/>
        </w:rPr>
        <w:t>Behavior</w:t>
      </w:r>
      <w:proofErr w:type="spellEnd"/>
      <w:r w:rsidRPr="00294452">
        <w:rPr>
          <w:rFonts w:ascii="Arial" w:hAnsi="Arial" w:cs="Arial"/>
        </w:rPr>
        <w:t>: Buying, Having, and Being (-Global Edition).</w:t>
      </w:r>
    </w:p>
    <w:p w14:paraId="1D88D7B7" w14:textId="77777777" w:rsidR="00886044" w:rsidRPr="00294452" w:rsidRDefault="00886044" w:rsidP="00294452">
      <w:pPr>
        <w:spacing w:line="360" w:lineRule="auto"/>
        <w:jc w:val="both"/>
        <w:rPr>
          <w:rFonts w:ascii="Arial" w:hAnsi="Arial" w:cs="Arial"/>
        </w:rPr>
      </w:pPr>
      <w:r w:rsidRPr="00294452">
        <w:rPr>
          <w:rFonts w:ascii="Arial" w:hAnsi="Arial" w:cs="Arial"/>
        </w:rPr>
        <w:lastRenderedPageBreak/>
        <w:t xml:space="preserve">Ngo, T.T.A. et al. (2024) “Factors influencing Generation Z’s intention to purchase sustainable clothing products in Vietnam,” </w:t>
      </w:r>
      <w:proofErr w:type="spellStart"/>
      <w:r w:rsidRPr="00294452">
        <w:rPr>
          <w:rFonts w:ascii="Arial" w:hAnsi="Arial" w:cs="Arial"/>
        </w:rPr>
        <w:t>PloS</w:t>
      </w:r>
      <w:proofErr w:type="spellEnd"/>
      <w:r w:rsidRPr="00294452">
        <w:rPr>
          <w:rFonts w:ascii="Arial" w:hAnsi="Arial" w:cs="Arial"/>
        </w:rPr>
        <w:t xml:space="preserve"> one, 19(12), p. e0315502. Available at: </w:t>
      </w:r>
      <w:hyperlink r:id="rId12" w:history="1">
        <w:r w:rsidRPr="00294452">
          <w:rPr>
            <w:rStyle w:val="Hyperlink"/>
            <w:rFonts w:ascii="Arial" w:hAnsi="Arial" w:cs="Arial"/>
          </w:rPr>
          <w:t>https://doi.org/10.1371/journal.pone.0315502</w:t>
        </w:r>
      </w:hyperlink>
      <w:r w:rsidRPr="00294452">
        <w:rPr>
          <w:rFonts w:ascii="Arial" w:hAnsi="Arial" w:cs="Arial"/>
        </w:rPr>
        <w:t>.</w:t>
      </w:r>
      <w:r w:rsidRPr="00294452">
        <w:rPr>
          <w:rFonts w:ascii="Arial" w:hAnsi="Arial" w:cs="Arial"/>
        </w:rPr>
        <w:t xml:space="preserve"> </w:t>
      </w:r>
    </w:p>
    <w:p w14:paraId="509C1874" w14:textId="77777777" w:rsidR="009D63F1" w:rsidRDefault="009D63F1" w:rsidP="00294452">
      <w:pPr>
        <w:spacing w:line="360" w:lineRule="auto"/>
        <w:jc w:val="both"/>
        <w:rPr>
          <w:rFonts w:ascii="Arial" w:hAnsi="Arial" w:cs="Arial"/>
        </w:rPr>
      </w:pPr>
    </w:p>
    <w:p w14:paraId="25C85269" w14:textId="44E2EC9D" w:rsidR="00886044" w:rsidRPr="00294452" w:rsidRDefault="00886044" w:rsidP="00294452">
      <w:pPr>
        <w:spacing w:line="360" w:lineRule="auto"/>
        <w:jc w:val="both"/>
        <w:rPr>
          <w:rFonts w:ascii="Arial" w:hAnsi="Arial" w:cs="Arial"/>
        </w:rPr>
      </w:pPr>
      <w:r w:rsidRPr="00294452">
        <w:rPr>
          <w:rFonts w:ascii="Arial" w:hAnsi="Arial" w:cs="Arial"/>
        </w:rPr>
        <w:t xml:space="preserve">Nielsen, K.S. et al. (2020) “Improving Climate Change Mitigation Analysis: A Framework for Examining Feasibility,” One earth (Cambridge, Mass.), 3(3), pp. 325–336. Available at: </w:t>
      </w:r>
      <w:hyperlink r:id="rId13" w:history="1">
        <w:r w:rsidRPr="00294452">
          <w:rPr>
            <w:rStyle w:val="Hyperlink"/>
            <w:rFonts w:ascii="Arial" w:hAnsi="Arial" w:cs="Arial"/>
          </w:rPr>
          <w:t>https://doi.org/10.1016/j.oneear.2020.08.007</w:t>
        </w:r>
      </w:hyperlink>
      <w:r w:rsidRPr="00294452">
        <w:rPr>
          <w:rFonts w:ascii="Arial" w:hAnsi="Arial" w:cs="Arial"/>
        </w:rPr>
        <w:t>.</w:t>
      </w:r>
      <w:r w:rsidRPr="00294452">
        <w:rPr>
          <w:rFonts w:ascii="Arial" w:hAnsi="Arial" w:cs="Arial"/>
        </w:rPr>
        <w:t xml:space="preserve"> </w:t>
      </w:r>
    </w:p>
    <w:p w14:paraId="629E3133" w14:textId="77777777" w:rsidR="009D63F1" w:rsidRDefault="009D63F1" w:rsidP="00294452">
      <w:pPr>
        <w:spacing w:line="360" w:lineRule="auto"/>
        <w:jc w:val="both"/>
        <w:rPr>
          <w:rFonts w:ascii="Arial" w:hAnsi="Arial" w:cs="Arial"/>
        </w:rPr>
      </w:pPr>
    </w:p>
    <w:p w14:paraId="110E5233" w14:textId="0F62F6AE" w:rsidR="00886044" w:rsidRPr="00294452" w:rsidRDefault="00886044" w:rsidP="00294452">
      <w:pPr>
        <w:spacing w:line="360" w:lineRule="auto"/>
        <w:jc w:val="both"/>
        <w:rPr>
          <w:rFonts w:ascii="Arial" w:hAnsi="Arial" w:cs="Arial"/>
        </w:rPr>
      </w:pPr>
      <w:r w:rsidRPr="00294452">
        <w:rPr>
          <w:rFonts w:ascii="Arial" w:hAnsi="Arial" w:cs="Arial"/>
        </w:rPr>
        <w:t xml:space="preserve">Peattie, K. and Crane, A. (2005) “Green marketing: legend, myth, farce or </w:t>
      </w:r>
      <w:proofErr w:type="gramStart"/>
      <w:r w:rsidRPr="00294452">
        <w:rPr>
          <w:rFonts w:ascii="Arial" w:hAnsi="Arial" w:cs="Arial"/>
        </w:rPr>
        <w:t>prophesy?,</w:t>
      </w:r>
      <w:proofErr w:type="gramEnd"/>
      <w:r w:rsidRPr="00294452">
        <w:rPr>
          <w:rFonts w:ascii="Arial" w:hAnsi="Arial" w:cs="Arial"/>
        </w:rPr>
        <w:t xml:space="preserve">” Qualitative market research. Edited by C. Dennis and L. Harris, 8(4), pp. 357–370. Available at: </w:t>
      </w:r>
      <w:hyperlink r:id="rId14" w:history="1">
        <w:r w:rsidRPr="00294452">
          <w:rPr>
            <w:rStyle w:val="Hyperlink"/>
            <w:rFonts w:ascii="Arial" w:hAnsi="Arial" w:cs="Arial"/>
          </w:rPr>
          <w:t>https://doi.org/10.1108/13522750510619733</w:t>
        </w:r>
      </w:hyperlink>
      <w:r w:rsidRPr="00294452">
        <w:rPr>
          <w:rFonts w:ascii="Arial" w:hAnsi="Arial" w:cs="Arial"/>
        </w:rPr>
        <w:t>.</w:t>
      </w:r>
      <w:r w:rsidRPr="00294452">
        <w:rPr>
          <w:rFonts w:ascii="Arial" w:hAnsi="Arial" w:cs="Arial"/>
        </w:rPr>
        <w:t xml:space="preserve"> </w:t>
      </w:r>
    </w:p>
    <w:p w14:paraId="44545ECD" w14:textId="77777777" w:rsidR="009D63F1" w:rsidRDefault="009D63F1" w:rsidP="00294452">
      <w:pPr>
        <w:spacing w:line="360" w:lineRule="auto"/>
        <w:jc w:val="both"/>
        <w:rPr>
          <w:rFonts w:ascii="Arial" w:hAnsi="Arial" w:cs="Arial"/>
        </w:rPr>
      </w:pPr>
    </w:p>
    <w:p w14:paraId="6D743003" w14:textId="69D25002" w:rsidR="00886044" w:rsidRPr="00294452" w:rsidRDefault="00886044" w:rsidP="00294452">
      <w:pPr>
        <w:spacing w:line="360" w:lineRule="auto"/>
        <w:jc w:val="both"/>
        <w:rPr>
          <w:rFonts w:ascii="Arial" w:hAnsi="Arial" w:cs="Arial"/>
        </w:rPr>
      </w:pPr>
      <w:r w:rsidRPr="00294452">
        <w:rPr>
          <w:rFonts w:ascii="Arial" w:hAnsi="Arial" w:cs="Arial"/>
        </w:rPr>
        <w:t xml:space="preserve">Peng, C., </w:t>
      </w:r>
      <w:proofErr w:type="spellStart"/>
      <w:r w:rsidRPr="00294452">
        <w:rPr>
          <w:rFonts w:ascii="Arial" w:hAnsi="Arial" w:cs="Arial"/>
        </w:rPr>
        <w:t>Bijmolt</w:t>
      </w:r>
      <w:proofErr w:type="spellEnd"/>
      <w:r w:rsidRPr="00294452">
        <w:rPr>
          <w:rFonts w:ascii="Arial" w:hAnsi="Arial" w:cs="Arial"/>
        </w:rPr>
        <w:t xml:space="preserve">, T.H., </w:t>
      </w:r>
      <w:proofErr w:type="spellStart"/>
      <w:r w:rsidRPr="00294452">
        <w:rPr>
          <w:rFonts w:ascii="Arial" w:hAnsi="Arial" w:cs="Arial"/>
        </w:rPr>
        <w:t>Völckner</w:t>
      </w:r>
      <w:proofErr w:type="spellEnd"/>
      <w:r w:rsidRPr="00294452">
        <w:rPr>
          <w:rFonts w:ascii="Arial" w:hAnsi="Arial" w:cs="Arial"/>
        </w:rPr>
        <w:t>, F. and Zhao, H., 2023. A meta-analysis of brand extension success: The effects of parent brand equity and extension fit. Journal of Marketing, 87(6), pp.906-927.</w:t>
      </w:r>
    </w:p>
    <w:p w14:paraId="051F9103" w14:textId="77777777" w:rsidR="009D63F1" w:rsidRDefault="009D63F1" w:rsidP="00294452">
      <w:pPr>
        <w:spacing w:line="360" w:lineRule="auto"/>
        <w:jc w:val="both"/>
        <w:rPr>
          <w:rFonts w:ascii="Arial" w:hAnsi="Arial" w:cs="Arial"/>
        </w:rPr>
      </w:pPr>
    </w:p>
    <w:p w14:paraId="1D62D9DB" w14:textId="73C5C4E6" w:rsidR="00886044" w:rsidRDefault="00886044" w:rsidP="00294452">
      <w:pPr>
        <w:spacing w:line="360" w:lineRule="auto"/>
        <w:jc w:val="both"/>
        <w:rPr>
          <w:rFonts w:ascii="Arial" w:hAnsi="Arial" w:cs="Arial"/>
        </w:rPr>
      </w:pPr>
      <w:r w:rsidRPr="00294452">
        <w:rPr>
          <w:rFonts w:ascii="Arial" w:hAnsi="Arial" w:cs="Arial"/>
        </w:rPr>
        <w:t xml:space="preserve">Rahman, S. </w:t>
      </w:r>
      <w:proofErr w:type="spellStart"/>
      <w:r w:rsidRPr="00294452">
        <w:rPr>
          <w:rFonts w:ascii="Arial" w:hAnsi="Arial" w:cs="Arial"/>
        </w:rPr>
        <w:t>ur</w:t>
      </w:r>
      <w:proofErr w:type="spellEnd"/>
      <w:r w:rsidRPr="00294452">
        <w:rPr>
          <w:rFonts w:ascii="Arial" w:hAnsi="Arial" w:cs="Arial"/>
        </w:rPr>
        <w:t xml:space="preserve"> and Nguyen</w:t>
      </w:r>
      <w:r w:rsidRPr="00294452">
        <w:rPr>
          <w:rFonts w:ascii="Cambria Math" w:hAnsi="Cambria Math" w:cs="Cambria Math"/>
        </w:rPr>
        <w:t>‐</w:t>
      </w:r>
      <w:r w:rsidRPr="00294452">
        <w:rPr>
          <w:rFonts w:ascii="Arial" w:hAnsi="Arial" w:cs="Arial"/>
        </w:rPr>
        <w:t xml:space="preserve">Viet, B. (2023) “Towards sustainable development: Coupling green marketing strategies and consumer perceptions in addressing greenwashing,” Business strategy and the environment, 32(4), pp. 2420–2433. Available at: </w:t>
      </w:r>
      <w:hyperlink r:id="rId15" w:history="1">
        <w:r w:rsidRPr="00294452">
          <w:rPr>
            <w:rStyle w:val="Hyperlink"/>
            <w:rFonts w:ascii="Arial" w:hAnsi="Arial" w:cs="Arial"/>
          </w:rPr>
          <w:t>https://doi.org/10.1002/bse.3256</w:t>
        </w:r>
      </w:hyperlink>
      <w:r w:rsidRPr="00294452">
        <w:rPr>
          <w:rFonts w:ascii="Arial" w:hAnsi="Arial" w:cs="Arial"/>
        </w:rPr>
        <w:t>.</w:t>
      </w:r>
      <w:r w:rsidRPr="00294452">
        <w:rPr>
          <w:rFonts w:ascii="Arial" w:hAnsi="Arial" w:cs="Arial"/>
        </w:rPr>
        <w:t xml:space="preserve"> </w:t>
      </w:r>
    </w:p>
    <w:p w14:paraId="650CF73A" w14:textId="77777777" w:rsidR="009D63F1" w:rsidRPr="00294452" w:rsidRDefault="009D63F1" w:rsidP="00294452">
      <w:pPr>
        <w:spacing w:line="360" w:lineRule="auto"/>
        <w:jc w:val="both"/>
        <w:rPr>
          <w:rFonts w:ascii="Arial" w:hAnsi="Arial" w:cs="Arial"/>
        </w:rPr>
      </w:pPr>
    </w:p>
    <w:p w14:paraId="744C5649" w14:textId="77777777" w:rsidR="00886044" w:rsidRDefault="00886044" w:rsidP="00294452">
      <w:pPr>
        <w:spacing w:line="360" w:lineRule="auto"/>
        <w:jc w:val="both"/>
        <w:rPr>
          <w:rFonts w:ascii="Arial" w:hAnsi="Arial" w:cs="Arial"/>
        </w:rPr>
      </w:pPr>
      <w:proofErr w:type="spellStart"/>
      <w:r w:rsidRPr="00294452">
        <w:rPr>
          <w:rFonts w:ascii="Arial" w:hAnsi="Arial" w:cs="Arial"/>
        </w:rPr>
        <w:t>Völckner</w:t>
      </w:r>
      <w:proofErr w:type="spellEnd"/>
      <w:r w:rsidRPr="00294452">
        <w:rPr>
          <w:rFonts w:ascii="Arial" w:hAnsi="Arial" w:cs="Arial"/>
        </w:rPr>
        <w:t xml:space="preserve">, F. and Sattler, H. (2006) “Drivers of Brand Extension Success,” Journal of marketing, 70(2), pp. 18–34. Available at: </w:t>
      </w:r>
      <w:hyperlink r:id="rId16" w:history="1">
        <w:r w:rsidRPr="00294452">
          <w:rPr>
            <w:rStyle w:val="Hyperlink"/>
            <w:rFonts w:ascii="Arial" w:hAnsi="Arial" w:cs="Arial"/>
          </w:rPr>
          <w:t>https://doi.org/10.1509/jmkg.70.2.18</w:t>
        </w:r>
      </w:hyperlink>
      <w:r w:rsidRPr="00294452">
        <w:rPr>
          <w:rFonts w:ascii="Arial" w:hAnsi="Arial" w:cs="Arial"/>
        </w:rPr>
        <w:t>.</w:t>
      </w:r>
      <w:r w:rsidRPr="00294452">
        <w:rPr>
          <w:rFonts w:ascii="Arial" w:hAnsi="Arial" w:cs="Arial"/>
        </w:rPr>
        <w:t xml:space="preserve"> </w:t>
      </w:r>
    </w:p>
    <w:p w14:paraId="60BAF74A" w14:textId="77777777" w:rsidR="00F94360" w:rsidRPr="00294452" w:rsidRDefault="00F94360" w:rsidP="00294452">
      <w:pPr>
        <w:spacing w:line="360" w:lineRule="auto"/>
        <w:jc w:val="both"/>
        <w:rPr>
          <w:rFonts w:ascii="Arial" w:hAnsi="Arial" w:cs="Arial"/>
        </w:rPr>
      </w:pPr>
    </w:p>
    <w:p w14:paraId="2F972369" w14:textId="77777777" w:rsidR="00886044" w:rsidRDefault="00886044" w:rsidP="00294452">
      <w:pPr>
        <w:spacing w:line="360" w:lineRule="auto"/>
        <w:jc w:val="both"/>
        <w:rPr>
          <w:rFonts w:ascii="Arial" w:hAnsi="Arial" w:cs="Arial"/>
        </w:rPr>
      </w:pPr>
      <w:r w:rsidRPr="00294452">
        <w:rPr>
          <w:rFonts w:ascii="Arial" w:hAnsi="Arial" w:cs="Arial"/>
        </w:rPr>
        <w:t xml:space="preserve">Wang, K.-Y. et al. (2025) “RETRACTED ARTICLE: Exploring Sustainability Dynamics in Chinese Folk Belief Consumer </w:t>
      </w:r>
      <w:proofErr w:type="spellStart"/>
      <w:r w:rsidRPr="00294452">
        <w:rPr>
          <w:rFonts w:ascii="Arial" w:hAnsi="Arial" w:cs="Arial"/>
        </w:rPr>
        <w:t>Behavior</w:t>
      </w:r>
      <w:proofErr w:type="spellEnd"/>
      <w:r w:rsidRPr="00294452">
        <w:rPr>
          <w:rFonts w:ascii="Arial" w:hAnsi="Arial" w:cs="Arial"/>
        </w:rPr>
        <w:t xml:space="preserve">: A Quintuple Innovation Helix Approach,” Journal of the knowledge economy, 16(1), pp. 3350–3385. Available at: </w:t>
      </w:r>
      <w:hyperlink r:id="rId17" w:history="1">
        <w:r w:rsidRPr="00294452">
          <w:rPr>
            <w:rStyle w:val="Hyperlink"/>
            <w:rFonts w:ascii="Arial" w:hAnsi="Arial" w:cs="Arial"/>
          </w:rPr>
          <w:t>https://doi.org/10.1007/s13132-024-02004-w</w:t>
        </w:r>
      </w:hyperlink>
      <w:r w:rsidRPr="00294452">
        <w:rPr>
          <w:rFonts w:ascii="Arial" w:hAnsi="Arial" w:cs="Arial"/>
        </w:rPr>
        <w:t>.</w:t>
      </w:r>
      <w:r w:rsidRPr="00294452">
        <w:rPr>
          <w:rFonts w:ascii="Arial" w:hAnsi="Arial" w:cs="Arial"/>
        </w:rPr>
        <w:t xml:space="preserve"> </w:t>
      </w:r>
    </w:p>
    <w:p w14:paraId="48228187" w14:textId="77777777" w:rsidR="00F94360" w:rsidRPr="00294452" w:rsidRDefault="00F94360" w:rsidP="00294452">
      <w:pPr>
        <w:spacing w:line="360" w:lineRule="auto"/>
        <w:jc w:val="both"/>
        <w:rPr>
          <w:rFonts w:ascii="Arial" w:hAnsi="Arial" w:cs="Arial"/>
        </w:rPr>
      </w:pPr>
    </w:p>
    <w:p w14:paraId="54363468" w14:textId="77777777" w:rsidR="00886044" w:rsidRPr="00294452" w:rsidRDefault="00886044" w:rsidP="00294452">
      <w:pPr>
        <w:spacing w:line="360" w:lineRule="auto"/>
        <w:jc w:val="both"/>
        <w:rPr>
          <w:rFonts w:ascii="Arial" w:hAnsi="Arial" w:cs="Arial"/>
        </w:rPr>
      </w:pPr>
      <w:r w:rsidRPr="00294452">
        <w:rPr>
          <w:rFonts w:ascii="Arial" w:hAnsi="Arial" w:cs="Arial"/>
        </w:rPr>
        <w:t xml:space="preserve">Zhang, Y. and Yuan, L. (2024) “In the clash between consumer green values and company green values, who will win? The role of greenwashing and involvement in environmental campaigns on social media,” Journal of cleaner production, 480. Available at: </w:t>
      </w:r>
      <w:hyperlink r:id="rId18" w:history="1">
        <w:r w:rsidRPr="00294452">
          <w:rPr>
            <w:rStyle w:val="Hyperlink"/>
            <w:rFonts w:ascii="Arial" w:hAnsi="Arial" w:cs="Arial"/>
          </w:rPr>
          <w:t>https://doi.org/10.1016/j.jclepro.2024.144103</w:t>
        </w:r>
      </w:hyperlink>
      <w:r w:rsidRPr="00294452">
        <w:rPr>
          <w:rFonts w:ascii="Arial" w:hAnsi="Arial" w:cs="Arial"/>
        </w:rPr>
        <w:t>.</w:t>
      </w:r>
      <w:r w:rsidRPr="00294452">
        <w:rPr>
          <w:rFonts w:ascii="Arial" w:hAnsi="Arial" w:cs="Arial"/>
        </w:rPr>
        <w:t xml:space="preserve"> </w:t>
      </w:r>
    </w:p>
    <w:p w14:paraId="3E855BA3" w14:textId="77777777" w:rsidR="00886044" w:rsidRPr="00294452" w:rsidRDefault="00886044" w:rsidP="00294452">
      <w:pPr>
        <w:spacing w:line="360" w:lineRule="auto"/>
        <w:jc w:val="both"/>
        <w:rPr>
          <w:rFonts w:ascii="Arial" w:hAnsi="Arial" w:cs="Arial"/>
        </w:rPr>
      </w:pPr>
      <w:r w:rsidRPr="00294452">
        <w:rPr>
          <w:rFonts w:ascii="Arial" w:hAnsi="Arial" w:cs="Arial"/>
        </w:rPr>
        <w:lastRenderedPageBreak/>
        <w:t xml:space="preserve">Zhang, Y. and Yuan, L., </w:t>
      </w:r>
      <w:r w:rsidRPr="00294452">
        <w:rPr>
          <w:rFonts w:ascii="Arial" w:hAnsi="Arial" w:cs="Arial"/>
        </w:rPr>
        <w:t>(</w:t>
      </w:r>
      <w:r w:rsidRPr="00294452">
        <w:rPr>
          <w:rFonts w:ascii="Arial" w:hAnsi="Arial" w:cs="Arial"/>
        </w:rPr>
        <w:t>2024</w:t>
      </w:r>
      <w:r w:rsidRPr="00294452">
        <w:rPr>
          <w:rFonts w:ascii="Arial" w:hAnsi="Arial" w:cs="Arial"/>
        </w:rPr>
        <w:t>)</w:t>
      </w:r>
      <w:r w:rsidRPr="00294452">
        <w:rPr>
          <w:rFonts w:ascii="Arial" w:hAnsi="Arial" w:cs="Arial"/>
        </w:rPr>
        <w:t xml:space="preserve"> In the clash between consumer green values and company green values, who will win? The role of greenwashing and involvement in environmental campaigns on social media. Journal of Cleaner Production, 480, p.144103.</w:t>
      </w:r>
    </w:p>
    <w:sectPr w:rsidR="00886044" w:rsidRPr="002944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Baskerville Old Face">
    <w:panose1 w:val="02020602080505020303"/>
    <w:charset w:val="4D"/>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48B"/>
    <w:rsid w:val="00041AF3"/>
    <w:rsid w:val="000A67D7"/>
    <w:rsid w:val="000D1C9F"/>
    <w:rsid w:val="00101B85"/>
    <w:rsid w:val="00133C69"/>
    <w:rsid w:val="00161C29"/>
    <w:rsid w:val="001761FD"/>
    <w:rsid w:val="001932D6"/>
    <w:rsid w:val="001D15CF"/>
    <w:rsid w:val="001D5188"/>
    <w:rsid w:val="001E3402"/>
    <w:rsid w:val="001F029D"/>
    <w:rsid w:val="001F5F91"/>
    <w:rsid w:val="00223839"/>
    <w:rsid w:val="00274920"/>
    <w:rsid w:val="00294452"/>
    <w:rsid w:val="002A048B"/>
    <w:rsid w:val="002E00C2"/>
    <w:rsid w:val="0030439A"/>
    <w:rsid w:val="003325E8"/>
    <w:rsid w:val="00335CED"/>
    <w:rsid w:val="0036167E"/>
    <w:rsid w:val="00376320"/>
    <w:rsid w:val="00397BF5"/>
    <w:rsid w:val="00423883"/>
    <w:rsid w:val="0044389F"/>
    <w:rsid w:val="0044520B"/>
    <w:rsid w:val="00471157"/>
    <w:rsid w:val="00487AD8"/>
    <w:rsid w:val="004B0FE7"/>
    <w:rsid w:val="004B3575"/>
    <w:rsid w:val="004B4742"/>
    <w:rsid w:val="00502ADB"/>
    <w:rsid w:val="00536756"/>
    <w:rsid w:val="005822C4"/>
    <w:rsid w:val="00606EB2"/>
    <w:rsid w:val="006119B9"/>
    <w:rsid w:val="00625F65"/>
    <w:rsid w:val="00633497"/>
    <w:rsid w:val="00662F73"/>
    <w:rsid w:val="006727C5"/>
    <w:rsid w:val="006807E7"/>
    <w:rsid w:val="006952F8"/>
    <w:rsid w:val="00696E41"/>
    <w:rsid w:val="006C0A91"/>
    <w:rsid w:val="00702C4B"/>
    <w:rsid w:val="007104E2"/>
    <w:rsid w:val="00751BBA"/>
    <w:rsid w:val="0076004F"/>
    <w:rsid w:val="007B04A5"/>
    <w:rsid w:val="007B6452"/>
    <w:rsid w:val="007B6AA0"/>
    <w:rsid w:val="007E2BBA"/>
    <w:rsid w:val="00827E53"/>
    <w:rsid w:val="00835195"/>
    <w:rsid w:val="008677F8"/>
    <w:rsid w:val="00875733"/>
    <w:rsid w:val="00886044"/>
    <w:rsid w:val="008B0111"/>
    <w:rsid w:val="008F35BF"/>
    <w:rsid w:val="0091081E"/>
    <w:rsid w:val="009432A5"/>
    <w:rsid w:val="00964E40"/>
    <w:rsid w:val="00976556"/>
    <w:rsid w:val="00987941"/>
    <w:rsid w:val="009B73EB"/>
    <w:rsid w:val="009D63F1"/>
    <w:rsid w:val="009D7D96"/>
    <w:rsid w:val="009F2500"/>
    <w:rsid w:val="00A119DC"/>
    <w:rsid w:val="00A24DBC"/>
    <w:rsid w:val="00A6117D"/>
    <w:rsid w:val="00A62554"/>
    <w:rsid w:val="00A76E46"/>
    <w:rsid w:val="00A8018E"/>
    <w:rsid w:val="00A851EC"/>
    <w:rsid w:val="00AC316E"/>
    <w:rsid w:val="00AE2CD2"/>
    <w:rsid w:val="00B520F4"/>
    <w:rsid w:val="00B959DC"/>
    <w:rsid w:val="00BB1B8C"/>
    <w:rsid w:val="00BE5AF4"/>
    <w:rsid w:val="00BF74F5"/>
    <w:rsid w:val="00C04F4B"/>
    <w:rsid w:val="00C13EA7"/>
    <w:rsid w:val="00CB51F9"/>
    <w:rsid w:val="00CC0D1B"/>
    <w:rsid w:val="00D1168E"/>
    <w:rsid w:val="00D3475F"/>
    <w:rsid w:val="00D928E8"/>
    <w:rsid w:val="00DB6891"/>
    <w:rsid w:val="00DC54CF"/>
    <w:rsid w:val="00DC59B7"/>
    <w:rsid w:val="00E330B8"/>
    <w:rsid w:val="00E33719"/>
    <w:rsid w:val="00EC1E8F"/>
    <w:rsid w:val="00EE76DC"/>
    <w:rsid w:val="00F04530"/>
    <w:rsid w:val="00F10236"/>
    <w:rsid w:val="00F105EA"/>
    <w:rsid w:val="00F32514"/>
    <w:rsid w:val="00F32BB6"/>
    <w:rsid w:val="00F370E4"/>
    <w:rsid w:val="00F464ED"/>
    <w:rsid w:val="00F52F10"/>
    <w:rsid w:val="00F622E5"/>
    <w:rsid w:val="00F65635"/>
    <w:rsid w:val="00F91335"/>
    <w:rsid w:val="00F94360"/>
    <w:rsid w:val="00FA55D2"/>
    <w:rsid w:val="00FB4D82"/>
    <w:rsid w:val="00FE25E6"/>
    <w:rsid w:val="00FF5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1755CE"/>
  <w15:chartTrackingRefBased/>
  <w15:docId w15:val="{A435A567-30FD-744D-8047-4785A38EB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4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04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4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4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4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4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4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4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4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4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4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4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4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4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4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4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4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48B"/>
    <w:rPr>
      <w:rFonts w:eastAsiaTheme="majorEastAsia" w:cstheme="majorBidi"/>
      <w:color w:val="272727" w:themeColor="text1" w:themeTint="D8"/>
    </w:rPr>
  </w:style>
  <w:style w:type="paragraph" w:styleId="Title">
    <w:name w:val="Title"/>
    <w:basedOn w:val="Normal"/>
    <w:next w:val="Normal"/>
    <w:link w:val="TitleChar"/>
    <w:uiPriority w:val="10"/>
    <w:qFormat/>
    <w:rsid w:val="002A04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4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4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4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4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A048B"/>
    <w:rPr>
      <w:i/>
      <w:iCs/>
      <w:color w:val="404040" w:themeColor="text1" w:themeTint="BF"/>
    </w:rPr>
  </w:style>
  <w:style w:type="paragraph" w:styleId="ListParagraph">
    <w:name w:val="List Paragraph"/>
    <w:basedOn w:val="Normal"/>
    <w:uiPriority w:val="34"/>
    <w:qFormat/>
    <w:rsid w:val="002A048B"/>
    <w:pPr>
      <w:ind w:left="720"/>
      <w:contextualSpacing/>
    </w:pPr>
  </w:style>
  <w:style w:type="character" w:styleId="IntenseEmphasis">
    <w:name w:val="Intense Emphasis"/>
    <w:basedOn w:val="DefaultParagraphFont"/>
    <w:uiPriority w:val="21"/>
    <w:qFormat/>
    <w:rsid w:val="002A048B"/>
    <w:rPr>
      <w:i/>
      <w:iCs/>
      <w:color w:val="0F4761" w:themeColor="accent1" w:themeShade="BF"/>
    </w:rPr>
  </w:style>
  <w:style w:type="paragraph" w:styleId="IntenseQuote">
    <w:name w:val="Intense Quote"/>
    <w:basedOn w:val="Normal"/>
    <w:next w:val="Normal"/>
    <w:link w:val="IntenseQuoteChar"/>
    <w:uiPriority w:val="30"/>
    <w:qFormat/>
    <w:rsid w:val="002A04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48B"/>
    <w:rPr>
      <w:i/>
      <w:iCs/>
      <w:color w:val="0F4761" w:themeColor="accent1" w:themeShade="BF"/>
    </w:rPr>
  </w:style>
  <w:style w:type="character" w:styleId="IntenseReference">
    <w:name w:val="Intense Reference"/>
    <w:basedOn w:val="DefaultParagraphFont"/>
    <w:uiPriority w:val="32"/>
    <w:qFormat/>
    <w:rsid w:val="002A048B"/>
    <w:rPr>
      <w:b/>
      <w:bCs/>
      <w:smallCaps/>
      <w:color w:val="0F4761" w:themeColor="accent1" w:themeShade="BF"/>
      <w:spacing w:val="5"/>
    </w:rPr>
  </w:style>
  <w:style w:type="character" w:customStyle="1" w:styleId="apple-converted-space">
    <w:name w:val="apple-converted-space"/>
    <w:basedOn w:val="DefaultParagraphFont"/>
    <w:rsid w:val="0076004F"/>
  </w:style>
  <w:style w:type="character" w:styleId="Emphasis">
    <w:name w:val="Emphasis"/>
    <w:basedOn w:val="DefaultParagraphFont"/>
    <w:uiPriority w:val="20"/>
    <w:qFormat/>
    <w:rsid w:val="0076004F"/>
    <w:rPr>
      <w:i/>
      <w:iCs/>
    </w:rPr>
  </w:style>
  <w:style w:type="paragraph" w:styleId="TOCHeading">
    <w:name w:val="TOC Heading"/>
    <w:basedOn w:val="Heading1"/>
    <w:next w:val="Normal"/>
    <w:uiPriority w:val="39"/>
    <w:unhideWhenUsed/>
    <w:qFormat/>
    <w:rsid w:val="007B6AA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B6AA0"/>
    <w:pPr>
      <w:spacing w:before="120" w:after="120"/>
    </w:pPr>
    <w:rPr>
      <w:b/>
      <w:bCs/>
      <w:caps/>
      <w:sz w:val="20"/>
      <w:szCs w:val="20"/>
    </w:rPr>
  </w:style>
  <w:style w:type="paragraph" w:styleId="TOC2">
    <w:name w:val="toc 2"/>
    <w:basedOn w:val="Normal"/>
    <w:next w:val="Normal"/>
    <w:autoRedefine/>
    <w:uiPriority w:val="39"/>
    <w:unhideWhenUsed/>
    <w:rsid w:val="007B6AA0"/>
    <w:pPr>
      <w:ind w:left="240"/>
    </w:pPr>
    <w:rPr>
      <w:smallCaps/>
      <w:sz w:val="20"/>
      <w:szCs w:val="20"/>
    </w:rPr>
  </w:style>
  <w:style w:type="character" w:styleId="Hyperlink">
    <w:name w:val="Hyperlink"/>
    <w:basedOn w:val="DefaultParagraphFont"/>
    <w:uiPriority w:val="99"/>
    <w:unhideWhenUsed/>
    <w:rsid w:val="007B6AA0"/>
    <w:rPr>
      <w:color w:val="467886" w:themeColor="hyperlink"/>
      <w:u w:val="single"/>
    </w:rPr>
  </w:style>
  <w:style w:type="paragraph" w:styleId="TOC3">
    <w:name w:val="toc 3"/>
    <w:basedOn w:val="Normal"/>
    <w:next w:val="Normal"/>
    <w:autoRedefine/>
    <w:uiPriority w:val="39"/>
    <w:semiHidden/>
    <w:unhideWhenUsed/>
    <w:rsid w:val="007B6AA0"/>
    <w:pPr>
      <w:ind w:left="480"/>
    </w:pPr>
    <w:rPr>
      <w:i/>
      <w:iCs/>
      <w:sz w:val="20"/>
      <w:szCs w:val="20"/>
    </w:rPr>
  </w:style>
  <w:style w:type="paragraph" w:styleId="TOC4">
    <w:name w:val="toc 4"/>
    <w:basedOn w:val="Normal"/>
    <w:next w:val="Normal"/>
    <w:autoRedefine/>
    <w:uiPriority w:val="39"/>
    <w:semiHidden/>
    <w:unhideWhenUsed/>
    <w:rsid w:val="007B6AA0"/>
    <w:pPr>
      <w:ind w:left="720"/>
    </w:pPr>
    <w:rPr>
      <w:sz w:val="18"/>
      <w:szCs w:val="18"/>
    </w:rPr>
  </w:style>
  <w:style w:type="paragraph" w:styleId="TOC5">
    <w:name w:val="toc 5"/>
    <w:basedOn w:val="Normal"/>
    <w:next w:val="Normal"/>
    <w:autoRedefine/>
    <w:uiPriority w:val="39"/>
    <w:semiHidden/>
    <w:unhideWhenUsed/>
    <w:rsid w:val="007B6AA0"/>
    <w:pPr>
      <w:ind w:left="960"/>
    </w:pPr>
    <w:rPr>
      <w:sz w:val="18"/>
      <w:szCs w:val="18"/>
    </w:rPr>
  </w:style>
  <w:style w:type="paragraph" w:styleId="TOC6">
    <w:name w:val="toc 6"/>
    <w:basedOn w:val="Normal"/>
    <w:next w:val="Normal"/>
    <w:autoRedefine/>
    <w:uiPriority w:val="39"/>
    <w:semiHidden/>
    <w:unhideWhenUsed/>
    <w:rsid w:val="007B6AA0"/>
    <w:pPr>
      <w:ind w:left="1200"/>
    </w:pPr>
    <w:rPr>
      <w:sz w:val="18"/>
      <w:szCs w:val="18"/>
    </w:rPr>
  </w:style>
  <w:style w:type="paragraph" w:styleId="TOC7">
    <w:name w:val="toc 7"/>
    <w:basedOn w:val="Normal"/>
    <w:next w:val="Normal"/>
    <w:autoRedefine/>
    <w:uiPriority w:val="39"/>
    <w:semiHidden/>
    <w:unhideWhenUsed/>
    <w:rsid w:val="007B6AA0"/>
    <w:pPr>
      <w:ind w:left="1440"/>
    </w:pPr>
    <w:rPr>
      <w:sz w:val="18"/>
      <w:szCs w:val="18"/>
    </w:rPr>
  </w:style>
  <w:style w:type="paragraph" w:styleId="TOC8">
    <w:name w:val="toc 8"/>
    <w:basedOn w:val="Normal"/>
    <w:next w:val="Normal"/>
    <w:autoRedefine/>
    <w:uiPriority w:val="39"/>
    <w:semiHidden/>
    <w:unhideWhenUsed/>
    <w:rsid w:val="007B6AA0"/>
    <w:pPr>
      <w:ind w:left="1680"/>
    </w:pPr>
    <w:rPr>
      <w:sz w:val="18"/>
      <w:szCs w:val="18"/>
    </w:rPr>
  </w:style>
  <w:style w:type="paragraph" w:styleId="TOC9">
    <w:name w:val="toc 9"/>
    <w:basedOn w:val="Normal"/>
    <w:next w:val="Normal"/>
    <w:autoRedefine/>
    <w:uiPriority w:val="39"/>
    <w:semiHidden/>
    <w:unhideWhenUsed/>
    <w:rsid w:val="007B6AA0"/>
    <w:pPr>
      <w:ind w:left="1920"/>
    </w:pPr>
    <w:rPr>
      <w:sz w:val="18"/>
      <w:szCs w:val="18"/>
    </w:rPr>
  </w:style>
  <w:style w:type="character" w:styleId="UnresolvedMention">
    <w:name w:val="Unresolved Mention"/>
    <w:basedOn w:val="DefaultParagraphFont"/>
    <w:uiPriority w:val="99"/>
    <w:semiHidden/>
    <w:unhideWhenUsed/>
    <w:rsid w:val="004238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072788" TargetMode="External"/><Relationship Id="rId13" Type="http://schemas.openxmlformats.org/officeDocument/2006/relationships/hyperlink" Target="https://doi.org/10.1016/j.oneear.2020.08.007" TargetMode="External"/><Relationship Id="rId18" Type="http://schemas.openxmlformats.org/officeDocument/2006/relationships/hyperlink" Target="https://doi.org/10.1016/j.jclepro.2024.144103"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371/journal.pone.0315502" TargetMode="External"/><Relationship Id="rId17" Type="http://schemas.openxmlformats.org/officeDocument/2006/relationships/hyperlink" Target="https://doi.org/10.1007/s13132-024-02004-w" TargetMode="External"/><Relationship Id="rId2" Type="http://schemas.openxmlformats.org/officeDocument/2006/relationships/styles" Target="styles.xml"/><Relationship Id="rId16" Type="http://schemas.openxmlformats.org/officeDocument/2006/relationships/hyperlink" Target="https://doi.org/10.1509/jmkg.70.2.1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108/00251740910960169" TargetMode="External"/><Relationship Id="rId5" Type="http://schemas.openxmlformats.org/officeDocument/2006/relationships/image" Target="media/image1.png"/><Relationship Id="rId15" Type="http://schemas.openxmlformats.org/officeDocument/2006/relationships/hyperlink" Target="https://doi.org/10.1002/bse.3256" TargetMode="External"/><Relationship Id="rId10" Type="http://schemas.openxmlformats.org/officeDocument/2006/relationships/hyperlink" Target="https://doi.org/10.1016/j.ijresmar.2021.12.00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11575-016-0280-0" TargetMode="External"/><Relationship Id="rId14" Type="http://schemas.openxmlformats.org/officeDocument/2006/relationships/hyperlink" Target="https://doi.org/10.1108/135227505106197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C0D061-16BE-2446-A346-96D11B376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3449</Words>
  <Characters>19661</Characters>
  <Application>Microsoft Office Word</Application>
  <DocSecurity>0</DocSecurity>
  <Lines>163</Lines>
  <Paragraphs>46</Paragraphs>
  <ScaleCrop>false</ScaleCrop>
  <Company/>
  <LinksUpToDate>false</LinksUpToDate>
  <CharactersWithSpaces>23064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Manzoor (2218718)</dc:creator>
  <cp:keywords/>
  <dc:description/>
  <cp:lastModifiedBy>Nosheen Manzoor (2218718)</cp:lastModifiedBy>
  <cp:revision>2</cp:revision>
  <dcterms:created xsi:type="dcterms:W3CDTF">2026-07-29T22:32:00Z</dcterms:created>
  <dcterms:modified xsi:type="dcterms:W3CDTF">2026-07-29T22:32:00Z</dcterms:modified>
</cp:coreProperties>
</file>