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AE85B" w14:textId="77777777" w:rsidR="00B35516" w:rsidRDefault="00B35516" w:rsidP="00B35516">
      <w:pPr>
        <w:jc w:val="both"/>
        <w:rPr>
          <w:rFonts w:ascii="Arial" w:hAnsi="Arial" w:cs="Arial"/>
          <w:b/>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60"/>
        <w:gridCol w:w="6792"/>
      </w:tblGrid>
      <w:tr w:rsidR="00B35516" w:rsidRPr="00B74109" w14:paraId="6AEFF634" w14:textId="77777777" w:rsidTr="00101A24">
        <w:trPr>
          <w:trHeight w:val="300"/>
        </w:trPr>
        <w:tc>
          <w:tcPr>
            <w:tcW w:w="1890" w:type="dxa"/>
            <w:tcBorders>
              <w:top w:val="single" w:sz="6" w:space="0" w:color="auto"/>
              <w:left w:val="single" w:sz="6" w:space="0" w:color="auto"/>
              <w:bottom w:val="single" w:sz="6" w:space="0" w:color="auto"/>
              <w:right w:val="single" w:sz="6" w:space="0" w:color="auto"/>
            </w:tcBorders>
            <w:hideMark/>
          </w:tcPr>
          <w:p w14:paraId="77C0E69D" w14:textId="77777777" w:rsidR="00B35516" w:rsidRPr="00B74109" w:rsidRDefault="00B35516" w:rsidP="00101A24">
            <w:pPr>
              <w:spacing w:after="0" w:line="240" w:lineRule="auto"/>
              <w:jc w:val="both"/>
              <w:textAlignment w:val="baseline"/>
              <w:rPr>
                <w:rFonts w:ascii="Times New Roman" w:eastAsia="Times New Roman" w:hAnsi="Times New Roman" w:cs="Times New Roman"/>
              </w:rPr>
            </w:pPr>
            <w:r w:rsidRPr="00B74109">
              <w:rPr>
                <w:rFonts w:ascii="Arial" w:eastAsia="Times New Roman" w:hAnsi="Arial" w:cs="Arial"/>
                <w:b/>
                <w:bCs/>
                <w:color w:val="000000"/>
              </w:rPr>
              <w:t>Programme:</w:t>
            </w:r>
            <w:r w:rsidRPr="00B74109">
              <w:rPr>
                <w:rFonts w:ascii="Arial" w:eastAsia="Times New Roman" w:hAnsi="Arial" w:cs="Arial"/>
                <w:color w:val="000000"/>
              </w:rPr>
              <w:t> </w:t>
            </w:r>
          </w:p>
        </w:tc>
        <w:tc>
          <w:tcPr>
            <w:tcW w:w="7110" w:type="dxa"/>
            <w:tcBorders>
              <w:top w:val="single" w:sz="6" w:space="0" w:color="auto"/>
              <w:left w:val="single" w:sz="6" w:space="0" w:color="auto"/>
              <w:bottom w:val="single" w:sz="6" w:space="0" w:color="auto"/>
              <w:right w:val="single" w:sz="6" w:space="0" w:color="auto"/>
            </w:tcBorders>
            <w:hideMark/>
          </w:tcPr>
          <w:p w14:paraId="3E5C031B" w14:textId="77777777" w:rsidR="00B35516" w:rsidRPr="00B74109" w:rsidRDefault="00B35516" w:rsidP="00101A24">
            <w:pPr>
              <w:spacing w:after="0" w:line="240" w:lineRule="auto"/>
              <w:jc w:val="both"/>
              <w:textAlignment w:val="baseline"/>
              <w:rPr>
                <w:rFonts w:ascii="Times New Roman" w:eastAsia="Times New Roman" w:hAnsi="Times New Roman" w:cs="Times New Roman"/>
              </w:rPr>
            </w:pPr>
            <w:r w:rsidRPr="00B74109">
              <w:rPr>
                <w:rFonts w:ascii="Arial" w:eastAsia="Times New Roman" w:hAnsi="Arial" w:cs="Arial"/>
                <w:b/>
                <w:bCs/>
                <w:color w:val="000000"/>
              </w:rPr>
              <w:t>MSc Digital Transformation for the Health and Care Professions</w:t>
            </w:r>
            <w:r w:rsidRPr="00B74109">
              <w:rPr>
                <w:rFonts w:ascii="Arial" w:eastAsia="Times New Roman" w:hAnsi="Arial" w:cs="Arial"/>
                <w:color w:val="000000"/>
              </w:rPr>
              <w:t> </w:t>
            </w:r>
          </w:p>
        </w:tc>
      </w:tr>
      <w:tr w:rsidR="00B35516" w:rsidRPr="00B74109" w14:paraId="536DE967" w14:textId="77777777" w:rsidTr="00101A24">
        <w:trPr>
          <w:trHeight w:val="300"/>
        </w:trPr>
        <w:tc>
          <w:tcPr>
            <w:tcW w:w="1890" w:type="dxa"/>
            <w:tcBorders>
              <w:top w:val="single" w:sz="6" w:space="0" w:color="auto"/>
              <w:left w:val="single" w:sz="6" w:space="0" w:color="auto"/>
              <w:bottom w:val="single" w:sz="6" w:space="0" w:color="auto"/>
              <w:right w:val="single" w:sz="6" w:space="0" w:color="auto"/>
            </w:tcBorders>
            <w:hideMark/>
          </w:tcPr>
          <w:p w14:paraId="12C5091A" w14:textId="77777777" w:rsidR="00B35516" w:rsidRPr="00B74109" w:rsidRDefault="00B35516" w:rsidP="00101A24">
            <w:pPr>
              <w:spacing w:after="0" w:line="240" w:lineRule="auto"/>
              <w:jc w:val="both"/>
              <w:textAlignment w:val="baseline"/>
              <w:rPr>
                <w:rFonts w:ascii="Times New Roman" w:eastAsia="Times New Roman" w:hAnsi="Times New Roman" w:cs="Times New Roman"/>
              </w:rPr>
            </w:pPr>
            <w:r w:rsidRPr="00B74109">
              <w:rPr>
                <w:rFonts w:ascii="Arial" w:eastAsia="Times New Roman" w:hAnsi="Arial" w:cs="Arial"/>
                <w:b/>
                <w:bCs/>
                <w:color w:val="000000"/>
              </w:rPr>
              <w:t>Module:</w:t>
            </w:r>
            <w:r w:rsidRPr="00B74109">
              <w:rPr>
                <w:rFonts w:ascii="Arial" w:eastAsia="Times New Roman" w:hAnsi="Arial" w:cs="Arial"/>
                <w:color w:val="000000"/>
              </w:rPr>
              <w:t> </w:t>
            </w:r>
          </w:p>
        </w:tc>
        <w:tc>
          <w:tcPr>
            <w:tcW w:w="7110" w:type="dxa"/>
            <w:tcBorders>
              <w:top w:val="single" w:sz="6" w:space="0" w:color="auto"/>
              <w:left w:val="single" w:sz="6" w:space="0" w:color="auto"/>
              <w:bottom w:val="single" w:sz="6" w:space="0" w:color="auto"/>
              <w:right w:val="single" w:sz="6" w:space="0" w:color="auto"/>
            </w:tcBorders>
            <w:hideMark/>
          </w:tcPr>
          <w:p w14:paraId="2BFAE69D" w14:textId="77777777" w:rsidR="00B35516" w:rsidRPr="00B74109" w:rsidRDefault="00B35516" w:rsidP="00101A24">
            <w:pPr>
              <w:spacing w:after="0" w:line="240" w:lineRule="auto"/>
              <w:jc w:val="both"/>
              <w:textAlignment w:val="baseline"/>
              <w:rPr>
                <w:rFonts w:ascii="Times New Roman" w:eastAsia="Times New Roman" w:hAnsi="Times New Roman" w:cs="Times New Roman"/>
              </w:rPr>
            </w:pPr>
            <w:r w:rsidRPr="00B74109">
              <w:rPr>
                <w:rFonts w:ascii="Arial" w:eastAsia="Times New Roman" w:hAnsi="Arial" w:cs="Arial"/>
                <w:b/>
                <w:bCs/>
                <w:color w:val="000000"/>
              </w:rPr>
              <w:t>BMDS70</w:t>
            </w:r>
            <w:r>
              <w:rPr>
                <w:rFonts w:ascii="Arial" w:eastAsia="Times New Roman" w:hAnsi="Arial" w:cs="Arial"/>
                <w:b/>
                <w:bCs/>
                <w:color w:val="000000"/>
              </w:rPr>
              <w:t xml:space="preserve">10 </w:t>
            </w:r>
            <w:r w:rsidRPr="00BB1460">
              <w:rPr>
                <w:rFonts w:ascii="Arial" w:eastAsia="Times New Roman" w:hAnsi="Arial" w:cs="Arial"/>
                <w:b/>
                <w:bCs/>
                <w:color w:val="000000"/>
              </w:rPr>
              <w:t>D</w:t>
            </w:r>
            <w:r>
              <w:rPr>
                <w:rFonts w:ascii="Arial" w:eastAsia="Times New Roman" w:hAnsi="Arial" w:cs="Arial"/>
                <w:b/>
                <w:bCs/>
                <w:color w:val="000000"/>
              </w:rPr>
              <w:t>ata Analytics</w:t>
            </w:r>
          </w:p>
        </w:tc>
      </w:tr>
    </w:tbl>
    <w:p w14:paraId="3AA0027D" w14:textId="77777777" w:rsidR="00B35516" w:rsidRPr="00B74109" w:rsidRDefault="00B35516" w:rsidP="00B35516">
      <w:pPr>
        <w:spacing w:after="0" w:line="240" w:lineRule="auto"/>
        <w:ind w:left="720"/>
        <w:jc w:val="both"/>
        <w:textAlignment w:val="baseline"/>
        <w:rPr>
          <w:rFonts w:ascii="Segoe UI" w:eastAsia="Times New Roman" w:hAnsi="Segoe UI" w:cs="Segoe UI"/>
          <w:sz w:val="18"/>
          <w:szCs w:val="18"/>
        </w:rPr>
      </w:pPr>
      <w:r w:rsidRPr="00B74109">
        <w:rPr>
          <w:rFonts w:ascii="Arial" w:eastAsia="Times New Roman" w:hAnsi="Arial" w:cs="Arial"/>
        </w:rPr>
        <w:t> </w:t>
      </w:r>
    </w:p>
    <w:p w14:paraId="278C48BB" w14:textId="77777777" w:rsidR="00B35516" w:rsidRPr="00B74109" w:rsidRDefault="00B35516" w:rsidP="00B35516">
      <w:pPr>
        <w:spacing w:after="0" w:line="240" w:lineRule="auto"/>
        <w:ind w:left="720"/>
        <w:jc w:val="both"/>
        <w:textAlignment w:val="baseline"/>
        <w:rPr>
          <w:rFonts w:ascii="Segoe UI" w:eastAsia="Times New Roman" w:hAnsi="Segoe UI" w:cs="Segoe UI"/>
          <w:sz w:val="18"/>
          <w:szCs w:val="18"/>
        </w:rPr>
      </w:pPr>
      <w:r w:rsidRPr="00B74109">
        <w:rPr>
          <w:rFonts w:ascii="Arial" w:eastAsia="Times New Roman" w:hAnsi="Arial" w:cs="Arial"/>
        </w:rPr>
        <w:t> </w:t>
      </w:r>
    </w:p>
    <w:p w14:paraId="4BCF072C" w14:textId="77777777" w:rsidR="00B35516" w:rsidRPr="00B74109" w:rsidRDefault="00B35516" w:rsidP="00B35516">
      <w:pPr>
        <w:spacing w:after="0" w:line="240" w:lineRule="auto"/>
        <w:ind w:left="720"/>
        <w:jc w:val="both"/>
        <w:textAlignment w:val="baseline"/>
        <w:rPr>
          <w:rFonts w:ascii="Segoe UI" w:eastAsia="Times New Roman" w:hAnsi="Segoe UI" w:cs="Segoe UI"/>
          <w:sz w:val="18"/>
          <w:szCs w:val="18"/>
        </w:rPr>
      </w:pPr>
      <w:r w:rsidRPr="00B74109">
        <w:rPr>
          <w:rFonts w:ascii="Arial" w:eastAsia="Times New Roman" w:hAnsi="Arial" w:cs="Arial"/>
        </w:rPr>
        <w:t> </w:t>
      </w:r>
    </w:p>
    <w:p w14:paraId="605309A2" w14:textId="77777777" w:rsidR="00B35516" w:rsidRPr="00B74109" w:rsidRDefault="00B35516" w:rsidP="00B35516">
      <w:pPr>
        <w:spacing w:after="0" w:line="240" w:lineRule="auto"/>
        <w:ind w:left="720"/>
        <w:jc w:val="both"/>
        <w:textAlignment w:val="baseline"/>
        <w:rPr>
          <w:rFonts w:ascii="Segoe UI" w:eastAsia="Times New Roman" w:hAnsi="Segoe UI" w:cs="Segoe UI"/>
          <w:sz w:val="18"/>
          <w:szCs w:val="18"/>
        </w:rPr>
      </w:pPr>
      <w:r w:rsidRPr="00B74109">
        <w:rPr>
          <w:rFonts w:ascii="Arial" w:eastAsia="Times New Roman" w:hAnsi="Arial" w:cs="Arial"/>
        </w:rPr>
        <w:t> </w:t>
      </w:r>
    </w:p>
    <w:tbl>
      <w:tblPr>
        <w:tblW w:w="862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3"/>
        <w:gridCol w:w="3395"/>
        <w:gridCol w:w="1994"/>
        <w:gridCol w:w="1928"/>
      </w:tblGrid>
      <w:tr w:rsidR="00B35516" w:rsidRPr="00B74109" w14:paraId="463DBA6E" w14:textId="77777777" w:rsidTr="00101A24">
        <w:trPr>
          <w:trHeight w:val="300"/>
        </w:trPr>
        <w:tc>
          <w:tcPr>
            <w:tcW w:w="1303" w:type="dxa"/>
            <w:tcBorders>
              <w:top w:val="single" w:sz="6" w:space="0" w:color="auto"/>
              <w:left w:val="single" w:sz="6" w:space="0" w:color="auto"/>
              <w:bottom w:val="single" w:sz="6" w:space="0" w:color="auto"/>
              <w:right w:val="single" w:sz="6" w:space="0" w:color="auto"/>
            </w:tcBorders>
            <w:hideMark/>
          </w:tcPr>
          <w:p w14:paraId="6CA58635" w14:textId="77777777" w:rsidR="00B35516" w:rsidRPr="00B74109" w:rsidRDefault="00B35516" w:rsidP="00101A24">
            <w:pPr>
              <w:spacing w:after="0" w:line="240" w:lineRule="auto"/>
              <w:jc w:val="both"/>
              <w:textAlignment w:val="baseline"/>
              <w:rPr>
                <w:rFonts w:ascii="Times New Roman" w:eastAsia="Times New Roman" w:hAnsi="Times New Roman" w:cs="Times New Roman"/>
              </w:rPr>
            </w:pPr>
            <w:r w:rsidRPr="00B74109">
              <w:rPr>
                <w:rFonts w:ascii="Arial" w:eastAsia="Times New Roman" w:hAnsi="Arial" w:cs="Arial"/>
                <w:b/>
                <w:bCs/>
                <w:color w:val="000000"/>
              </w:rPr>
              <w:t>Assignment Title:</w:t>
            </w:r>
            <w:r w:rsidRPr="00B74109">
              <w:rPr>
                <w:rFonts w:ascii="Arial" w:eastAsia="Times New Roman" w:hAnsi="Arial" w:cs="Arial"/>
                <w:color w:val="000000"/>
              </w:rPr>
              <w:t> </w:t>
            </w:r>
          </w:p>
        </w:tc>
        <w:tc>
          <w:tcPr>
            <w:tcW w:w="3395" w:type="dxa"/>
            <w:tcBorders>
              <w:top w:val="single" w:sz="6" w:space="0" w:color="auto"/>
              <w:left w:val="single" w:sz="6" w:space="0" w:color="auto"/>
              <w:bottom w:val="single" w:sz="6" w:space="0" w:color="auto"/>
              <w:right w:val="single" w:sz="6" w:space="0" w:color="auto"/>
            </w:tcBorders>
            <w:hideMark/>
          </w:tcPr>
          <w:p w14:paraId="251A90D9" w14:textId="77777777" w:rsidR="00B35516" w:rsidRDefault="00B35516" w:rsidP="00101A24">
            <w:pPr>
              <w:spacing w:after="0" w:line="240" w:lineRule="auto"/>
              <w:jc w:val="both"/>
              <w:textAlignment w:val="baseline"/>
              <w:rPr>
                <w:rFonts w:ascii="Arial" w:hAnsi="Arial" w:cs="Arial"/>
                <w:b/>
              </w:rPr>
            </w:pPr>
          </w:p>
          <w:p w14:paraId="07339666" w14:textId="77777777" w:rsidR="00B35516" w:rsidRPr="00B74109" w:rsidRDefault="00B35516" w:rsidP="00101A24">
            <w:pPr>
              <w:spacing w:after="0" w:line="240" w:lineRule="auto"/>
              <w:jc w:val="both"/>
              <w:textAlignment w:val="baseline"/>
              <w:rPr>
                <w:rFonts w:ascii="Times New Roman" w:eastAsia="Times New Roman" w:hAnsi="Times New Roman" w:cs="Times New Roman"/>
              </w:rPr>
            </w:pPr>
            <w:r>
              <w:rPr>
                <w:rFonts w:ascii="Arial" w:hAnsi="Arial" w:cs="Arial"/>
                <w:b/>
              </w:rPr>
              <w:t>Data Analysis Report (Part 2)</w:t>
            </w:r>
          </w:p>
        </w:tc>
        <w:tc>
          <w:tcPr>
            <w:tcW w:w="1994" w:type="dxa"/>
            <w:tcBorders>
              <w:top w:val="single" w:sz="6" w:space="0" w:color="auto"/>
              <w:left w:val="single" w:sz="6" w:space="0" w:color="auto"/>
              <w:bottom w:val="single" w:sz="6" w:space="0" w:color="auto"/>
              <w:right w:val="single" w:sz="6" w:space="0" w:color="auto"/>
            </w:tcBorders>
            <w:hideMark/>
          </w:tcPr>
          <w:p w14:paraId="611D780E" w14:textId="77777777" w:rsidR="00B35516" w:rsidRPr="0006398F" w:rsidRDefault="00B35516" w:rsidP="00101A24">
            <w:pPr>
              <w:spacing w:after="0" w:line="240" w:lineRule="auto"/>
              <w:jc w:val="both"/>
              <w:textAlignment w:val="baseline"/>
              <w:rPr>
                <w:rFonts w:ascii="Arial" w:eastAsia="Times New Roman" w:hAnsi="Arial" w:cs="Arial"/>
                <w:b/>
                <w:bCs/>
              </w:rPr>
            </w:pPr>
            <w:r w:rsidRPr="0006398F">
              <w:rPr>
                <w:rFonts w:ascii="Arial" w:eastAsia="Times New Roman" w:hAnsi="Arial" w:cs="Arial"/>
                <w:b/>
                <w:bCs/>
                <w:color w:val="000000"/>
              </w:rPr>
              <w:t>Word count (or equivalent): </w:t>
            </w:r>
          </w:p>
          <w:p w14:paraId="4293A959" w14:textId="77777777" w:rsidR="00B35516" w:rsidRPr="0006398F" w:rsidRDefault="00B35516" w:rsidP="00101A24">
            <w:pPr>
              <w:spacing w:after="0" w:line="240" w:lineRule="auto"/>
              <w:jc w:val="both"/>
              <w:textAlignment w:val="baseline"/>
              <w:rPr>
                <w:rFonts w:ascii="Arial" w:eastAsia="Times New Roman" w:hAnsi="Arial" w:cs="Arial"/>
                <w:b/>
                <w:bCs/>
              </w:rPr>
            </w:pPr>
            <w:r w:rsidRPr="0006398F">
              <w:rPr>
                <w:rFonts w:ascii="Arial" w:eastAsia="Times New Roman" w:hAnsi="Arial" w:cs="Arial"/>
                <w:b/>
                <w:bCs/>
                <w:color w:val="000000"/>
              </w:rPr>
              <w:t>Essay word count (excluding references): </w:t>
            </w:r>
          </w:p>
        </w:tc>
        <w:tc>
          <w:tcPr>
            <w:tcW w:w="1928" w:type="dxa"/>
            <w:tcBorders>
              <w:top w:val="single" w:sz="6" w:space="0" w:color="auto"/>
              <w:left w:val="single" w:sz="6" w:space="0" w:color="auto"/>
              <w:bottom w:val="single" w:sz="6" w:space="0" w:color="auto"/>
              <w:right w:val="single" w:sz="6" w:space="0" w:color="auto"/>
            </w:tcBorders>
            <w:hideMark/>
          </w:tcPr>
          <w:p w14:paraId="35D48344" w14:textId="77777777" w:rsidR="00B35516" w:rsidRPr="0006398F" w:rsidRDefault="00B35516" w:rsidP="00101A24">
            <w:pPr>
              <w:spacing w:after="0" w:line="240" w:lineRule="auto"/>
              <w:jc w:val="both"/>
              <w:textAlignment w:val="baseline"/>
              <w:rPr>
                <w:rFonts w:ascii="Arial" w:eastAsia="Times New Roman" w:hAnsi="Arial" w:cs="Arial"/>
                <w:b/>
                <w:bCs/>
              </w:rPr>
            </w:pPr>
            <w:r w:rsidRPr="0006398F">
              <w:rPr>
                <w:rFonts w:ascii="Arial" w:eastAsia="Times New Roman" w:hAnsi="Arial" w:cs="Arial"/>
                <w:b/>
                <w:bCs/>
              </w:rPr>
              <w:t>5000</w:t>
            </w:r>
          </w:p>
          <w:p w14:paraId="34BC8991" w14:textId="77777777" w:rsidR="00B35516" w:rsidRDefault="00B35516" w:rsidP="00101A24">
            <w:pPr>
              <w:spacing w:after="0" w:line="240" w:lineRule="auto"/>
              <w:jc w:val="both"/>
              <w:textAlignment w:val="baseline"/>
              <w:rPr>
                <w:rFonts w:ascii="Arial" w:eastAsia="Times New Roman" w:hAnsi="Arial" w:cs="Arial"/>
                <w:b/>
                <w:bCs/>
              </w:rPr>
            </w:pPr>
          </w:p>
          <w:p w14:paraId="3FF64C8D" w14:textId="1712AFD1" w:rsidR="00B35516" w:rsidRPr="0006398F" w:rsidRDefault="00FD39D0" w:rsidP="00101A24">
            <w:pPr>
              <w:spacing w:after="0" w:line="240" w:lineRule="auto"/>
              <w:jc w:val="both"/>
              <w:textAlignment w:val="baseline"/>
              <w:rPr>
                <w:rFonts w:ascii="Arial" w:eastAsia="Times New Roman" w:hAnsi="Arial" w:cs="Arial"/>
                <w:b/>
                <w:bCs/>
              </w:rPr>
            </w:pPr>
            <w:r>
              <w:rPr>
                <w:rFonts w:ascii="Arial" w:eastAsia="Times New Roman" w:hAnsi="Arial" w:cs="Arial"/>
                <w:b/>
                <w:bCs/>
              </w:rPr>
              <w:t>5</w:t>
            </w:r>
            <w:r w:rsidR="0063329A">
              <w:rPr>
                <w:rFonts w:ascii="Arial" w:eastAsia="Times New Roman" w:hAnsi="Arial" w:cs="Arial"/>
                <w:b/>
                <w:bCs/>
              </w:rPr>
              <w:t>123</w:t>
            </w:r>
          </w:p>
          <w:p w14:paraId="66E3A4FF" w14:textId="77777777" w:rsidR="00B35516" w:rsidRPr="0006398F" w:rsidRDefault="00B35516" w:rsidP="00101A24">
            <w:pPr>
              <w:spacing w:after="0" w:line="240" w:lineRule="auto"/>
              <w:jc w:val="both"/>
              <w:textAlignment w:val="baseline"/>
              <w:rPr>
                <w:rFonts w:ascii="Arial" w:eastAsia="Times New Roman" w:hAnsi="Arial" w:cs="Arial"/>
                <w:b/>
                <w:bCs/>
              </w:rPr>
            </w:pPr>
          </w:p>
        </w:tc>
      </w:tr>
    </w:tbl>
    <w:p w14:paraId="4925E819" w14:textId="77777777" w:rsidR="00B35516" w:rsidRPr="00B74109" w:rsidRDefault="00B35516" w:rsidP="00B35516">
      <w:pPr>
        <w:spacing w:after="0" w:line="240" w:lineRule="auto"/>
        <w:ind w:left="720"/>
        <w:jc w:val="both"/>
        <w:textAlignment w:val="baseline"/>
        <w:rPr>
          <w:rFonts w:ascii="Segoe UI" w:eastAsia="Times New Roman" w:hAnsi="Segoe UI" w:cs="Segoe UI"/>
          <w:sz w:val="18"/>
          <w:szCs w:val="18"/>
        </w:rPr>
      </w:pPr>
      <w:r w:rsidRPr="00B74109">
        <w:rPr>
          <w:rFonts w:ascii="Arial" w:eastAsia="Times New Roman" w:hAnsi="Arial" w:cs="Arial"/>
        </w:rPr>
        <w:t> </w:t>
      </w:r>
    </w:p>
    <w:p w14:paraId="4E45F4A0" w14:textId="77777777" w:rsidR="00B35516" w:rsidRPr="00B74109" w:rsidRDefault="00B35516" w:rsidP="00B35516">
      <w:pPr>
        <w:spacing w:after="0" w:line="240" w:lineRule="auto"/>
        <w:ind w:left="720"/>
        <w:jc w:val="both"/>
        <w:textAlignment w:val="baseline"/>
        <w:rPr>
          <w:rFonts w:ascii="Segoe UI" w:eastAsia="Times New Roman" w:hAnsi="Segoe UI" w:cs="Segoe UI"/>
          <w:sz w:val="18"/>
          <w:szCs w:val="18"/>
        </w:rPr>
      </w:pPr>
      <w:r w:rsidRPr="00B74109">
        <w:rPr>
          <w:rFonts w:ascii="Arial" w:eastAsia="Times New Roman" w:hAnsi="Arial" w:cs="Arial"/>
        </w:rPr>
        <w:t> </w:t>
      </w:r>
    </w:p>
    <w:p w14:paraId="6CC68D64" w14:textId="77777777" w:rsidR="00B35516" w:rsidRPr="00B74109" w:rsidRDefault="00B35516" w:rsidP="00B35516">
      <w:pPr>
        <w:spacing w:after="0" w:line="240" w:lineRule="auto"/>
        <w:ind w:left="720"/>
        <w:jc w:val="both"/>
        <w:textAlignment w:val="baseline"/>
        <w:rPr>
          <w:rFonts w:ascii="Segoe UI" w:eastAsia="Times New Roman" w:hAnsi="Segoe UI" w:cs="Segoe UI"/>
          <w:sz w:val="18"/>
          <w:szCs w:val="18"/>
        </w:rPr>
      </w:pPr>
      <w:r w:rsidRPr="00B74109">
        <w:rPr>
          <w:rFonts w:ascii="Arial" w:eastAsia="Times New Roman" w:hAnsi="Arial" w:cs="Arial"/>
        </w:rPr>
        <w:t> </w:t>
      </w:r>
    </w:p>
    <w:p w14:paraId="182B2B6B" w14:textId="77777777" w:rsidR="00B35516" w:rsidRPr="00B74109" w:rsidRDefault="00B35516" w:rsidP="00B35516">
      <w:pPr>
        <w:spacing w:after="0" w:line="240" w:lineRule="auto"/>
        <w:jc w:val="both"/>
        <w:textAlignment w:val="baseline"/>
        <w:rPr>
          <w:rFonts w:ascii="Segoe UI" w:eastAsia="Times New Roman" w:hAnsi="Segoe UI" w:cs="Segoe UI"/>
          <w:sz w:val="18"/>
          <w:szCs w:val="18"/>
        </w:rPr>
      </w:pPr>
      <w:r w:rsidRPr="00B74109">
        <w:rPr>
          <w:rFonts w:ascii="Arial" w:eastAsia="Times New Roman" w:hAnsi="Arial" w:cs="Arial"/>
        </w:rPr>
        <w:t> </w:t>
      </w:r>
    </w:p>
    <w:p w14:paraId="4B2D6589" w14:textId="77777777" w:rsidR="00B35516" w:rsidRPr="00B74109" w:rsidRDefault="00B35516" w:rsidP="00B35516">
      <w:pPr>
        <w:spacing w:after="0" w:line="240" w:lineRule="auto"/>
        <w:jc w:val="both"/>
        <w:textAlignment w:val="baseline"/>
        <w:rPr>
          <w:rFonts w:ascii="Segoe UI" w:eastAsia="Times New Roman" w:hAnsi="Segoe UI" w:cs="Segoe UI"/>
          <w:sz w:val="18"/>
          <w:szCs w:val="18"/>
        </w:rPr>
      </w:pPr>
      <w:r w:rsidRPr="00B74109">
        <w:rPr>
          <w:rFonts w:ascii="Arial" w:eastAsia="Times New Roman" w:hAnsi="Arial" w:cs="Arial"/>
        </w:rPr>
        <w:t> </w:t>
      </w:r>
    </w:p>
    <w:p w14:paraId="279D256B" w14:textId="77777777" w:rsidR="00B35516" w:rsidRDefault="00B35516" w:rsidP="00B35516">
      <w:pPr>
        <w:spacing w:after="0" w:line="240" w:lineRule="auto"/>
        <w:jc w:val="both"/>
        <w:textAlignment w:val="baseline"/>
        <w:rPr>
          <w:rFonts w:ascii="Arial" w:eastAsia="Times New Roman" w:hAnsi="Arial" w:cs="Arial"/>
          <w:b/>
          <w:bCs/>
        </w:rPr>
      </w:pPr>
    </w:p>
    <w:p w14:paraId="52B13BE2" w14:textId="77777777" w:rsidR="00B35516" w:rsidRDefault="00B35516" w:rsidP="00B35516">
      <w:pPr>
        <w:spacing w:after="0" w:line="240" w:lineRule="auto"/>
        <w:jc w:val="both"/>
        <w:textAlignment w:val="baseline"/>
        <w:rPr>
          <w:rFonts w:ascii="Arial" w:eastAsia="Times New Roman" w:hAnsi="Arial" w:cs="Arial"/>
          <w:b/>
          <w:bCs/>
        </w:rPr>
      </w:pPr>
    </w:p>
    <w:p w14:paraId="745327E9" w14:textId="77777777" w:rsidR="00B35516" w:rsidRDefault="00B35516" w:rsidP="00B35516">
      <w:pPr>
        <w:spacing w:after="0" w:line="240" w:lineRule="auto"/>
        <w:jc w:val="both"/>
        <w:textAlignment w:val="baseline"/>
        <w:rPr>
          <w:rFonts w:ascii="Arial" w:eastAsia="Times New Roman" w:hAnsi="Arial" w:cs="Arial"/>
          <w:b/>
          <w:bCs/>
        </w:rPr>
      </w:pPr>
    </w:p>
    <w:p w14:paraId="352F1B8B" w14:textId="77777777" w:rsidR="00B35516" w:rsidRDefault="00B35516" w:rsidP="00B35516">
      <w:pPr>
        <w:spacing w:after="0" w:line="240" w:lineRule="auto"/>
        <w:jc w:val="both"/>
        <w:textAlignment w:val="baseline"/>
        <w:rPr>
          <w:rFonts w:ascii="Arial" w:eastAsia="Times New Roman" w:hAnsi="Arial" w:cs="Arial"/>
          <w:b/>
          <w:bCs/>
        </w:rPr>
      </w:pPr>
    </w:p>
    <w:p w14:paraId="6B406DBF" w14:textId="77777777" w:rsidR="00B35516" w:rsidRDefault="00B35516" w:rsidP="00B35516">
      <w:pPr>
        <w:spacing w:after="0" w:line="240" w:lineRule="auto"/>
        <w:jc w:val="both"/>
        <w:textAlignment w:val="baseline"/>
        <w:rPr>
          <w:rFonts w:ascii="Arial" w:eastAsia="Times New Roman" w:hAnsi="Arial" w:cs="Arial"/>
          <w:b/>
          <w:bCs/>
        </w:rPr>
      </w:pPr>
    </w:p>
    <w:p w14:paraId="21BF38D1" w14:textId="77777777" w:rsidR="00B35516" w:rsidRDefault="00B35516" w:rsidP="00B35516">
      <w:pPr>
        <w:spacing w:after="0" w:line="240" w:lineRule="auto"/>
        <w:jc w:val="both"/>
        <w:textAlignment w:val="baseline"/>
        <w:rPr>
          <w:rFonts w:ascii="Arial" w:eastAsia="Times New Roman" w:hAnsi="Arial" w:cs="Arial"/>
          <w:b/>
          <w:bCs/>
        </w:rPr>
      </w:pPr>
    </w:p>
    <w:p w14:paraId="3FF36A4A" w14:textId="77777777" w:rsidR="00B35516" w:rsidRDefault="00B35516" w:rsidP="00B35516">
      <w:pPr>
        <w:spacing w:after="0" w:line="240" w:lineRule="auto"/>
        <w:jc w:val="both"/>
        <w:textAlignment w:val="baseline"/>
        <w:rPr>
          <w:rFonts w:ascii="Arial" w:eastAsia="Times New Roman" w:hAnsi="Arial" w:cs="Arial"/>
          <w:b/>
          <w:bCs/>
        </w:rPr>
      </w:pPr>
    </w:p>
    <w:p w14:paraId="784173D8" w14:textId="77777777" w:rsidR="00B35516" w:rsidRDefault="00B35516" w:rsidP="00B35516">
      <w:pPr>
        <w:spacing w:after="0" w:line="240" w:lineRule="auto"/>
        <w:jc w:val="both"/>
        <w:textAlignment w:val="baseline"/>
        <w:rPr>
          <w:rFonts w:ascii="Arial" w:eastAsia="Times New Roman" w:hAnsi="Arial" w:cs="Arial"/>
          <w:b/>
          <w:bCs/>
        </w:rPr>
      </w:pPr>
    </w:p>
    <w:p w14:paraId="5D15CF60" w14:textId="77777777" w:rsidR="00B35516" w:rsidRDefault="00B35516" w:rsidP="00B35516">
      <w:pPr>
        <w:spacing w:after="0" w:line="240" w:lineRule="auto"/>
        <w:jc w:val="both"/>
        <w:textAlignment w:val="baseline"/>
        <w:rPr>
          <w:rFonts w:ascii="Arial" w:eastAsia="Times New Roman" w:hAnsi="Arial" w:cs="Arial"/>
          <w:b/>
          <w:bCs/>
        </w:rPr>
      </w:pPr>
    </w:p>
    <w:p w14:paraId="24262045" w14:textId="77777777" w:rsidR="00B35516" w:rsidRDefault="00B35516" w:rsidP="00B35516">
      <w:pPr>
        <w:spacing w:after="0" w:line="240" w:lineRule="auto"/>
        <w:jc w:val="both"/>
        <w:textAlignment w:val="baseline"/>
        <w:rPr>
          <w:rFonts w:ascii="Arial" w:eastAsia="Times New Roman" w:hAnsi="Arial" w:cs="Arial"/>
          <w:b/>
          <w:bCs/>
        </w:rPr>
      </w:pPr>
    </w:p>
    <w:p w14:paraId="47BECED2" w14:textId="77777777" w:rsidR="00B35516" w:rsidRDefault="00B35516" w:rsidP="00B35516">
      <w:pPr>
        <w:spacing w:after="0" w:line="240" w:lineRule="auto"/>
        <w:jc w:val="both"/>
        <w:textAlignment w:val="baseline"/>
        <w:rPr>
          <w:rFonts w:ascii="Arial" w:eastAsia="Times New Roman" w:hAnsi="Arial" w:cs="Arial"/>
          <w:b/>
          <w:bCs/>
        </w:rPr>
      </w:pPr>
    </w:p>
    <w:p w14:paraId="020612F1" w14:textId="65B0B93A" w:rsidR="00B35516" w:rsidRPr="00B74109" w:rsidRDefault="00B35516" w:rsidP="00B35516">
      <w:pPr>
        <w:spacing w:after="0" w:line="240" w:lineRule="auto"/>
        <w:jc w:val="both"/>
        <w:textAlignment w:val="baseline"/>
        <w:rPr>
          <w:rFonts w:ascii="Segoe UI" w:eastAsia="Times New Roman" w:hAnsi="Segoe UI" w:cs="Segoe UI"/>
          <w:sz w:val="18"/>
          <w:szCs w:val="18"/>
        </w:rPr>
      </w:pPr>
      <w:r w:rsidRPr="00B74109">
        <w:rPr>
          <w:rFonts w:ascii="Arial" w:eastAsia="Times New Roman" w:hAnsi="Arial" w:cs="Arial"/>
          <w:b/>
          <w:bCs/>
        </w:rPr>
        <w:t>Student ID: 2408630</w:t>
      </w:r>
      <w:r w:rsidRPr="00B74109">
        <w:rPr>
          <w:rFonts w:ascii="Arial" w:eastAsia="Times New Roman" w:hAnsi="Arial" w:cs="Arial"/>
        </w:rPr>
        <w:t> </w:t>
      </w:r>
    </w:p>
    <w:p w14:paraId="3E116990" w14:textId="77777777" w:rsidR="00B35516" w:rsidRDefault="00B35516" w:rsidP="00B35516">
      <w:pPr>
        <w:spacing w:after="0" w:line="240" w:lineRule="auto"/>
        <w:jc w:val="both"/>
        <w:textAlignment w:val="baseline"/>
        <w:rPr>
          <w:rFonts w:ascii="Arial" w:eastAsia="Times New Roman" w:hAnsi="Arial" w:cs="Arial"/>
          <w:b/>
          <w:bCs/>
        </w:rPr>
      </w:pPr>
    </w:p>
    <w:p w14:paraId="3D0B9421" w14:textId="77777777" w:rsidR="00B35516" w:rsidRPr="00B74109" w:rsidRDefault="00B35516" w:rsidP="00B35516">
      <w:pPr>
        <w:spacing w:after="0" w:line="240" w:lineRule="auto"/>
        <w:jc w:val="both"/>
        <w:textAlignment w:val="baseline"/>
        <w:rPr>
          <w:rFonts w:ascii="Segoe UI" w:eastAsia="Times New Roman" w:hAnsi="Segoe UI" w:cs="Segoe UI"/>
          <w:sz w:val="18"/>
          <w:szCs w:val="18"/>
        </w:rPr>
      </w:pPr>
      <w:r w:rsidRPr="00B74109">
        <w:rPr>
          <w:rFonts w:ascii="Arial" w:eastAsia="Times New Roman" w:hAnsi="Arial" w:cs="Arial"/>
          <w:b/>
          <w:bCs/>
        </w:rPr>
        <w:t xml:space="preserve">Submission Date: Friday </w:t>
      </w:r>
      <w:r>
        <w:rPr>
          <w:rFonts w:ascii="Arial" w:eastAsia="Times New Roman" w:hAnsi="Arial" w:cs="Arial"/>
          <w:b/>
          <w:bCs/>
        </w:rPr>
        <w:t>1</w:t>
      </w:r>
      <w:r w:rsidRPr="004726A5">
        <w:rPr>
          <w:rFonts w:ascii="Arial" w:eastAsia="Times New Roman" w:hAnsi="Arial" w:cs="Arial"/>
          <w:b/>
          <w:bCs/>
          <w:vertAlign w:val="superscript"/>
        </w:rPr>
        <w:t>st</w:t>
      </w:r>
      <w:r>
        <w:rPr>
          <w:rFonts w:ascii="Arial" w:eastAsia="Times New Roman" w:hAnsi="Arial" w:cs="Arial"/>
          <w:b/>
          <w:bCs/>
        </w:rPr>
        <w:t xml:space="preserve"> May 2026</w:t>
      </w:r>
      <w:r w:rsidRPr="00B74109">
        <w:rPr>
          <w:rFonts w:ascii="Arial" w:eastAsia="Times New Roman" w:hAnsi="Arial" w:cs="Arial"/>
        </w:rPr>
        <w:t> </w:t>
      </w:r>
    </w:p>
    <w:p w14:paraId="003E862A" w14:textId="77777777" w:rsidR="00B35516" w:rsidRDefault="00B35516" w:rsidP="00B35516">
      <w:pPr>
        <w:jc w:val="both"/>
        <w:rPr>
          <w:rFonts w:ascii="Arial" w:hAnsi="Arial" w:cs="Arial"/>
          <w:b/>
        </w:rPr>
      </w:pPr>
    </w:p>
    <w:p w14:paraId="79ADBA5E" w14:textId="77777777" w:rsidR="00B35516" w:rsidRDefault="00B35516" w:rsidP="00B35516">
      <w:pPr>
        <w:jc w:val="both"/>
        <w:rPr>
          <w:rFonts w:ascii="Arial" w:hAnsi="Arial" w:cs="Arial"/>
          <w:b/>
        </w:rPr>
      </w:pPr>
    </w:p>
    <w:p w14:paraId="18D3A270" w14:textId="77777777" w:rsidR="00B35516" w:rsidRDefault="00B35516" w:rsidP="00B35516">
      <w:pPr>
        <w:jc w:val="both"/>
        <w:rPr>
          <w:rFonts w:ascii="Arial" w:hAnsi="Arial" w:cs="Arial"/>
          <w:b/>
        </w:rPr>
      </w:pPr>
    </w:p>
    <w:p w14:paraId="0A0B4EF9" w14:textId="77777777" w:rsidR="00B35516" w:rsidRDefault="00B35516" w:rsidP="00B35516">
      <w:pPr>
        <w:jc w:val="both"/>
        <w:rPr>
          <w:rFonts w:ascii="Arial" w:hAnsi="Arial" w:cs="Arial"/>
          <w:b/>
        </w:rPr>
      </w:pPr>
    </w:p>
    <w:p w14:paraId="6EE16758" w14:textId="77777777" w:rsidR="00B35516" w:rsidRDefault="00B35516" w:rsidP="00B35516">
      <w:pPr>
        <w:jc w:val="both"/>
        <w:rPr>
          <w:rFonts w:ascii="Arial" w:hAnsi="Arial" w:cs="Arial"/>
          <w:b/>
        </w:rPr>
      </w:pPr>
    </w:p>
    <w:p w14:paraId="58468058" w14:textId="77777777" w:rsidR="00B35516" w:rsidRDefault="00B35516" w:rsidP="00B35516">
      <w:pPr>
        <w:jc w:val="both"/>
        <w:rPr>
          <w:rFonts w:ascii="Arial" w:hAnsi="Arial" w:cs="Arial"/>
          <w:b/>
        </w:rPr>
      </w:pPr>
    </w:p>
    <w:p w14:paraId="23B6A708" w14:textId="77777777" w:rsidR="00B35516" w:rsidRDefault="00B35516" w:rsidP="00B35516">
      <w:pPr>
        <w:jc w:val="both"/>
        <w:rPr>
          <w:rFonts w:ascii="Arial" w:hAnsi="Arial" w:cs="Arial"/>
          <w:b/>
        </w:rPr>
      </w:pPr>
    </w:p>
    <w:p w14:paraId="3132A96F" w14:textId="77777777" w:rsidR="00B35516" w:rsidRDefault="00B35516" w:rsidP="00B35516">
      <w:pPr>
        <w:jc w:val="both"/>
        <w:rPr>
          <w:rFonts w:ascii="Arial" w:hAnsi="Arial" w:cs="Arial"/>
          <w:b/>
        </w:rPr>
      </w:pPr>
    </w:p>
    <w:p w14:paraId="7F9AE4C2" w14:textId="77777777" w:rsidR="00B35516" w:rsidRDefault="00B35516" w:rsidP="00B35516">
      <w:pPr>
        <w:jc w:val="both"/>
        <w:rPr>
          <w:rFonts w:ascii="Arial" w:hAnsi="Arial" w:cs="Arial"/>
          <w:b/>
        </w:rPr>
      </w:pPr>
    </w:p>
    <w:p w14:paraId="65E39D32" w14:textId="77777777" w:rsidR="00B35516" w:rsidRDefault="00B35516" w:rsidP="00B35516">
      <w:pPr>
        <w:jc w:val="both"/>
        <w:rPr>
          <w:rFonts w:ascii="Arial" w:hAnsi="Arial" w:cs="Arial"/>
          <w:b/>
        </w:rPr>
      </w:pPr>
    </w:p>
    <w:p w14:paraId="286483E5" w14:textId="77777777" w:rsidR="00B35516" w:rsidRDefault="00B35516" w:rsidP="00B35516">
      <w:pPr>
        <w:jc w:val="both"/>
        <w:rPr>
          <w:rFonts w:ascii="Arial" w:hAnsi="Arial" w:cs="Arial"/>
          <w:b/>
        </w:rPr>
      </w:pPr>
    </w:p>
    <w:p w14:paraId="1F6BF5AC" w14:textId="77777777" w:rsidR="00B35516" w:rsidRDefault="00B35516" w:rsidP="00B35516">
      <w:pPr>
        <w:jc w:val="both"/>
        <w:rPr>
          <w:rFonts w:ascii="Arial" w:hAnsi="Arial" w:cs="Arial"/>
          <w:b/>
        </w:rPr>
      </w:pPr>
    </w:p>
    <w:p w14:paraId="7446D3B8" w14:textId="77777777" w:rsidR="00B35516" w:rsidRDefault="00B35516" w:rsidP="00B35516">
      <w:pPr>
        <w:jc w:val="both"/>
        <w:rPr>
          <w:rFonts w:ascii="Arial" w:hAnsi="Arial" w:cs="Arial"/>
          <w:b/>
        </w:rPr>
      </w:pPr>
    </w:p>
    <w:p w14:paraId="52AAA3C1" w14:textId="77777777" w:rsidR="00B35516" w:rsidRDefault="00B35516" w:rsidP="00B35516">
      <w:pPr>
        <w:jc w:val="both"/>
        <w:rPr>
          <w:rFonts w:ascii="Arial" w:hAnsi="Arial" w:cs="Arial"/>
          <w:b/>
        </w:rPr>
      </w:pPr>
    </w:p>
    <w:p w14:paraId="79B0D6B1" w14:textId="76C75A62" w:rsidR="00B35516" w:rsidRDefault="00B35516" w:rsidP="00B35516">
      <w:pPr>
        <w:jc w:val="both"/>
        <w:rPr>
          <w:rFonts w:ascii="Arial" w:hAnsi="Arial" w:cs="Arial"/>
          <w:b/>
        </w:rPr>
      </w:pPr>
      <w:r w:rsidRPr="00695335">
        <w:rPr>
          <w:rFonts w:ascii="Arial" w:hAnsi="Arial" w:cs="Arial"/>
          <w:b/>
          <w:bCs/>
          <w:lang w:val="en-GB"/>
        </w:rPr>
        <w:lastRenderedPageBreak/>
        <w:t xml:space="preserve">Part 2 </w:t>
      </w:r>
      <w:r w:rsidRPr="00695335">
        <w:rPr>
          <w:rFonts w:ascii="Arial" w:hAnsi="Arial" w:cs="Arial"/>
          <w:b/>
          <w:lang w:val="en-GB"/>
        </w:rPr>
        <w:t xml:space="preserve">(80%) </w:t>
      </w:r>
      <w:r w:rsidRPr="00695335">
        <w:rPr>
          <w:rFonts w:ascii="Arial" w:hAnsi="Arial" w:cs="Arial"/>
          <w:b/>
          <w:bCs/>
          <w:lang w:val="en-GB"/>
        </w:rPr>
        <w:t xml:space="preserve">Outline a data analysis plan </w:t>
      </w:r>
      <w:r w:rsidRPr="00695335">
        <w:rPr>
          <w:rFonts w:ascii="Arial" w:hAnsi="Arial" w:cs="Arial"/>
          <w:b/>
          <w:lang w:val="en-GB"/>
        </w:rPr>
        <w:t>for your dissertation project</w:t>
      </w:r>
      <w:r>
        <w:rPr>
          <w:rFonts w:ascii="Arial" w:hAnsi="Arial" w:cs="Arial"/>
          <w:b/>
          <w:lang w:val="en-GB"/>
        </w:rPr>
        <w:t>.</w:t>
      </w:r>
    </w:p>
    <w:p w14:paraId="10293958" w14:textId="77777777" w:rsidR="00B35516" w:rsidRPr="005758F2" w:rsidRDefault="00B35516" w:rsidP="00B35516">
      <w:pPr>
        <w:jc w:val="both"/>
        <w:rPr>
          <w:rFonts w:ascii="Arial" w:hAnsi="Arial" w:cs="Arial"/>
        </w:rPr>
      </w:pPr>
      <w:r>
        <w:rPr>
          <w:rFonts w:ascii="Arial" w:hAnsi="Arial" w:cs="Arial"/>
          <w:b/>
        </w:rPr>
        <w:t xml:space="preserve">Title: </w:t>
      </w:r>
      <w:r w:rsidRPr="005758F2">
        <w:rPr>
          <w:rFonts w:ascii="Arial" w:hAnsi="Arial" w:cs="Arial"/>
          <w:b/>
        </w:rPr>
        <w:t>Evaluation of Cloud-Based Clinical Document Management and Workflow Platforms in NHS Primary Care G</w:t>
      </w:r>
      <w:r>
        <w:rPr>
          <w:rFonts w:ascii="Arial" w:hAnsi="Arial" w:cs="Arial"/>
          <w:b/>
        </w:rPr>
        <w:t>eneral</w:t>
      </w:r>
      <w:r w:rsidRPr="005758F2">
        <w:rPr>
          <w:rFonts w:ascii="Arial" w:hAnsi="Arial" w:cs="Arial"/>
          <w:b/>
        </w:rPr>
        <w:t xml:space="preserve"> Practices</w:t>
      </w:r>
    </w:p>
    <w:p w14:paraId="18898DF5" w14:textId="77777777" w:rsidR="00B35516" w:rsidRPr="00BB797C" w:rsidRDefault="00B35516" w:rsidP="00B35516">
      <w:pPr>
        <w:rPr>
          <w:rFonts w:ascii="Arial" w:hAnsi="Arial" w:cs="Arial"/>
          <w:b/>
          <w:bCs/>
        </w:rPr>
      </w:pPr>
      <w:r w:rsidRPr="00BB797C">
        <w:rPr>
          <w:rFonts w:ascii="Arial" w:hAnsi="Arial" w:cs="Arial"/>
          <w:b/>
          <w:bCs/>
        </w:rPr>
        <w:t>Context and scope of the project</w:t>
      </w:r>
    </w:p>
    <w:p w14:paraId="7017B130" w14:textId="385A5FE6" w:rsidR="00B35516" w:rsidRPr="001B3F92" w:rsidRDefault="00B35516" w:rsidP="002C553C">
      <w:pPr>
        <w:jc w:val="both"/>
        <w:rPr>
          <w:rFonts w:ascii="Arial" w:hAnsi="Arial" w:cs="Arial"/>
        </w:rPr>
      </w:pPr>
      <w:r w:rsidRPr="001B3F92">
        <w:rPr>
          <w:rFonts w:ascii="Arial" w:hAnsi="Arial" w:cs="Arial"/>
        </w:rPr>
        <w:t>Th</w:t>
      </w:r>
      <w:r>
        <w:rPr>
          <w:rFonts w:ascii="Arial" w:hAnsi="Arial" w:cs="Arial"/>
        </w:rPr>
        <w:t>is</w:t>
      </w:r>
      <w:r w:rsidRPr="001B3F92">
        <w:rPr>
          <w:rFonts w:ascii="Arial" w:hAnsi="Arial" w:cs="Arial"/>
        </w:rPr>
        <w:t xml:space="preserve"> project </w:t>
      </w:r>
      <w:r>
        <w:rPr>
          <w:rFonts w:ascii="Arial" w:hAnsi="Arial" w:cs="Arial"/>
        </w:rPr>
        <w:t xml:space="preserve">will </w:t>
      </w:r>
      <w:r w:rsidRPr="001B3F92">
        <w:rPr>
          <w:rFonts w:ascii="Arial" w:hAnsi="Arial" w:cs="Arial"/>
        </w:rPr>
        <w:t>a</w:t>
      </w:r>
      <w:r>
        <w:rPr>
          <w:rFonts w:ascii="Arial" w:hAnsi="Arial" w:cs="Arial"/>
        </w:rPr>
        <w:t>im to</w:t>
      </w:r>
      <w:r w:rsidRPr="001B3F92">
        <w:rPr>
          <w:rFonts w:ascii="Arial" w:hAnsi="Arial" w:cs="Arial"/>
        </w:rPr>
        <w:t xml:space="preserve"> </w:t>
      </w:r>
      <w:r>
        <w:rPr>
          <w:rFonts w:ascii="Arial" w:hAnsi="Arial" w:cs="Arial"/>
        </w:rPr>
        <w:t>evaluate</w:t>
      </w:r>
      <w:r w:rsidRPr="001B3F92">
        <w:rPr>
          <w:rFonts w:ascii="Arial" w:hAnsi="Arial" w:cs="Arial"/>
        </w:rPr>
        <w:t xml:space="preserve"> cloud-based clinical document management and workflow platforms used in NHS primary care general practice. </w:t>
      </w:r>
      <w:r w:rsidR="002C553C" w:rsidRPr="002C553C">
        <w:rPr>
          <w:rFonts w:ascii="Arial" w:hAnsi="Arial" w:cs="Arial"/>
          <w:color w:val="000000"/>
        </w:rPr>
        <w:t xml:space="preserve">The predominant platform utilised </w:t>
      </w:r>
      <w:r w:rsidR="000922FB">
        <w:rPr>
          <w:rFonts w:ascii="Arial" w:hAnsi="Arial" w:cs="Arial"/>
          <w:color w:val="000000"/>
        </w:rPr>
        <w:t>by</w:t>
      </w:r>
      <w:r w:rsidR="009901B3">
        <w:rPr>
          <w:rFonts w:ascii="Arial" w:hAnsi="Arial" w:cs="Arial"/>
          <w:color w:val="000000"/>
        </w:rPr>
        <w:t xml:space="preserve"> the NHS </w:t>
      </w:r>
      <w:r w:rsidR="002C553C" w:rsidRPr="002C553C">
        <w:rPr>
          <w:rFonts w:ascii="Arial" w:hAnsi="Arial" w:cs="Arial"/>
          <w:color w:val="000000"/>
        </w:rPr>
        <w:t>is ‘Docman10x’ (OneAdvanced, 2025), which facilitates comprehensive management of clinical correspondence and associated workflow tasks, encompassing discharge summaries, outpatient communications, pathology results, attachments, and task-oriented exchanges.</w:t>
      </w:r>
      <w:r w:rsidR="002C553C">
        <w:rPr>
          <w:rFonts w:ascii="Arial" w:hAnsi="Arial" w:cs="Arial"/>
          <w:color w:val="000000"/>
        </w:rPr>
        <w:t xml:space="preserve"> </w:t>
      </w:r>
      <w:r>
        <w:rPr>
          <w:rFonts w:ascii="Arial" w:hAnsi="Arial" w:cs="Arial"/>
        </w:rPr>
        <w:t>T</w:t>
      </w:r>
      <w:r w:rsidRPr="001B3F92">
        <w:rPr>
          <w:rFonts w:ascii="Arial" w:hAnsi="Arial" w:cs="Arial"/>
        </w:rPr>
        <w:t>h</w:t>
      </w:r>
      <w:r>
        <w:rPr>
          <w:rFonts w:ascii="Arial" w:hAnsi="Arial" w:cs="Arial"/>
        </w:rPr>
        <w:t>is</w:t>
      </w:r>
      <w:r w:rsidR="00AE4CBC">
        <w:rPr>
          <w:rFonts w:ascii="Arial" w:hAnsi="Arial" w:cs="Arial"/>
        </w:rPr>
        <w:t xml:space="preserve"> </w:t>
      </w:r>
      <w:r w:rsidR="002F12D1">
        <w:rPr>
          <w:rFonts w:ascii="Arial" w:hAnsi="Arial" w:cs="Arial"/>
        </w:rPr>
        <w:t>evaluation</w:t>
      </w:r>
      <w:r>
        <w:rPr>
          <w:rFonts w:ascii="Arial" w:hAnsi="Arial" w:cs="Arial"/>
        </w:rPr>
        <w:t xml:space="preserve"> will involve focus</w:t>
      </w:r>
      <w:r w:rsidR="002F12D1">
        <w:rPr>
          <w:rFonts w:ascii="Arial" w:hAnsi="Arial" w:cs="Arial"/>
        </w:rPr>
        <w:t>ing</w:t>
      </w:r>
      <w:r>
        <w:rPr>
          <w:rFonts w:ascii="Arial" w:hAnsi="Arial" w:cs="Arial"/>
        </w:rPr>
        <w:t xml:space="preserve"> on</w:t>
      </w:r>
      <w:r w:rsidRPr="001B3F92">
        <w:rPr>
          <w:rFonts w:ascii="Arial" w:hAnsi="Arial" w:cs="Arial"/>
        </w:rPr>
        <w:t xml:space="preserve"> how documents move through a sequence of receipt, indexing, prioritisation, allocation, review, action and closure. Although these activities are often framed as administrative processes, they are clinically </w:t>
      </w:r>
      <w:r>
        <w:rPr>
          <w:rFonts w:ascii="Arial" w:hAnsi="Arial" w:cs="Arial"/>
        </w:rPr>
        <w:t>significant</w:t>
      </w:r>
      <w:r w:rsidRPr="001B3F92">
        <w:rPr>
          <w:rFonts w:ascii="Arial" w:hAnsi="Arial" w:cs="Arial"/>
        </w:rPr>
        <w:t xml:space="preserve"> because each stage influences whether relevant information is processed accurately and within a safe timescale. The context of th</w:t>
      </w:r>
      <w:r>
        <w:rPr>
          <w:rFonts w:ascii="Arial" w:hAnsi="Arial" w:cs="Arial"/>
        </w:rPr>
        <w:t>is</w:t>
      </w:r>
      <w:r w:rsidRPr="001B3F92">
        <w:rPr>
          <w:rFonts w:ascii="Arial" w:hAnsi="Arial" w:cs="Arial"/>
        </w:rPr>
        <w:t xml:space="preserve"> project is therefore best understood as a socio-technical system in which digital workflow performance is inseparable from patient safety, professional accountability and organisational capacity</w:t>
      </w:r>
      <w:r>
        <w:rPr>
          <w:rFonts w:ascii="Arial" w:hAnsi="Arial" w:cs="Arial"/>
        </w:rPr>
        <w:t xml:space="preserve"> </w:t>
      </w:r>
      <w:r w:rsidRPr="00BA37FB">
        <w:rPr>
          <w:rFonts w:ascii="Arial" w:hAnsi="Arial" w:cs="Arial"/>
        </w:rPr>
        <w:t>(</w:t>
      </w:r>
      <w:r w:rsidRPr="00AB14E6">
        <w:rPr>
          <w:rFonts w:ascii="Arial" w:hAnsi="Arial" w:cs="Arial"/>
        </w:rPr>
        <w:t>Sittig and Singh, 2010</w:t>
      </w:r>
      <w:r>
        <w:rPr>
          <w:rFonts w:ascii="Arial" w:hAnsi="Arial" w:cs="Arial"/>
        </w:rPr>
        <w:t xml:space="preserve">; </w:t>
      </w:r>
      <w:r w:rsidRPr="00BA37FB">
        <w:rPr>
          <w:rFonts w:ascii="Arial" w:hAnsi="Arial" w:cs="Arial"/>
        </w:rPr>
        <w:t>Govers and Amelsvoort, 2023)</w:t>
      </w:r>
      <w:r w:rsidRPr="001B3F92">
        <w:rPr>
          <w:rFonts w:ascii="Arial" w:hAnsi="Arial" w:cs="Arial"/>
        </w:rPr>
        <w:t>.</w:t>
      </w:r>
    </w:p>
    <w:p w14:paraId="57F57FB0" w14:textId="068CEFD0" w:rsidR="00B35516" w:rsidRPr="001B3F92" w:rsidRDefault="00B35516" w:rsidP="00B35516">
      <w:pPr>
        <w:jc w:val="both"/>
        <w:rPr>
          <w:rFonts w:ascii="Arial" w:hAnsi="Arial" w:cs="Arial"/>
        </w:rPr>
      </w:pPr>
      <w:r w:rsidRPr="001B3F92">
        <w:rPr>
          <w:rFonts w:ascii="Arial" w:hAnsi="Arial" w:cs="Arial"/>
        </w:rPr>
        <w:t xml:space="preserve">The contemporary general practice environment makes this a highly relevant area of study. </w:t>
      </w:r>
      <w:r>
        <w:rPr>
          <w:rFonts w:ascii="Arial" w:hAnsi="Arial" w:cs="Arial"/>
        </w:rPr>
        <w:t>NHS p</w:t>
      </w:r>
      <w:r w:rsidRPr="001B3F92">
        <w:rPr>
          <w:rFonts w:ascii="Arial" w:hAnsi="Arial" w:cs="Arial"/>
        </w:rPr>
        <w:t>rimary care services continue to operate under sustained workload pressure, with increasing dependence on digital infrastructure to maintain continuity, timeliness and traceability of care. Within this setting, cloud-based platforms are often presented as mechanisms for improving transparency, reducing backlog and supporting flexible access to workflow tasks across sites and teams</w:t>
      </w:r>
      <w:r>
        <w:rPr>
          <w:rFonts w:ascii="Arial" w:hAnsi="Arial" w:cs="Arial"/>
        </w:rPr>
        <w:t xml:space="preserve"> </w:t>
      </w:r>
      <w:r w:rsidRPr="00F025A5">
        <w:rPr>
          <w:rFonts w:ascii="Arial" w:hAnsi="Arial" w:cs="Arial"/>
        </w:rPr>
        <w:t>(Sachdeva and Bhatia, 2024)</w:t>
      </w:r>
      <w:r w:rsidRPr="001B3F92">
        <w:rPr>
          <w:rFonts w:ascii="Arial" w:hAnsi="Arial" w:cs="Arial"/>
        </w:rPr>
        <w:t>. However, such claims cannot be accepted at face value. A digital platform may increase visibility while also producing new forms of delay, duplication, work redistribution or configuration-related risk</w:t>
      </w:r>
      <w:r>
        <w:rPr>
          <w:rFonts w:ascii="Arial" w:hAnsi="Arial" w:cs="Arial"/>
        </w:rPr>
        <w:t xml:space="preserve"> </w:t>
      </w:r>
      <w:r w:rsidRPr="009C7681">
        <w:rPr>
          <w:rFonts w:ascii="Arial" w:hAnsi="Arial" w:cs="Arial"/>
        </w:rPr>
        <w:t>(NHS England, 2024</w:t>
      </w:r>
      <w:r>
        <w:rPr>
          <w:rFonts w:ascii="Arial" w:hAnsi="Arial" w:cs="Arial"/>
        </w:rPr>
        <w:t>a</w:t>
      </w:r>
      <w:r w:rsidRPr="009C7681">
        <w:rPr>
          <w:rFonts w:ascii="Arial" w:hAnsi="Arial" w:cs="Arial"/>
        </w:rPr>
        <w:t>)</w:t>
      </w:r>
      <w:r w:rsidRPr="001B3F92">
        <w:rPr>
          <w:rFonts w:ascii="Arial" w:hAnsi="Arial" w:cs="Arial"/>
        </w:rPr>
        <w:t>. The significance of th</w:t>
      </w:r>
      <w:r>
        <w:rPr>
          <w:rFonts w:ascii="Arial" w:hAnsi="Arial" w:cs="Arial"/>
        </w:rPr>
        <w:t>is</w:t>
      </w:r>
      <w:r w:rsidRPr="001B3F92">
        <w:rPr>
          <w:rFonts w:ascii="Arial" w:hAnsi="Arial" w:cs="Arial"/>
        </w:rPr>
        <w:t xml:space="preserve"> project therefore lies not simply in whether technology is adopted, but in whether adoption results in measurable, reliable and governable improvement to workflow performance.</w:t>
      </w:r>
    </w:p>
    <w:p w14:paraId="00306985" w14:textId="75AC972B" w:rsidR="00B35516" w:rsidRPr="001B3F92" w:rsidRDefault="00B35516" w:rsidP="00B35516">
      <w:pPr>
        <w:jc w:val="both"/>
        <w:rPr>
          <w:rFonts w:ascii="Arial" w:hAnsi="Arial" w:cs="Arial"/>
        </w:rPr>
      </w:pPr>
      <w:r w:rsidRPr="001B3F92">
        <w:rPr>
          <w:rFonts w:ascii="Arial" w:hAnsi="Arial" w:cs="Arial"/>
        </w:rPr>
        <w:t>Th</w:t>
      </w:r>
      <w:r>
        <w:rPr>
          <w:rFonts w:ascii="Arial" w:hAnsi="Arial" w:cs="Arial"/>
        </w:rPr>
        <w:t>is</w:t>
      </w:r>
      <w:r w:rsidRPr="001B3F92">
        <w:rPr>
          <w:rFonts w:ascii="Arial" w:hAnsi="Arial" w:cs="Arial"/>
        </w:rPr>
        <w:t xml:space="preserve"> project </w:t>
      </w:r>
      <w:r>
        <w:rPr>
          <w:rFonts w:ascii="Arial" w:hAnsi="Arial" w:cs="Arial"/>
        </w:rPr>
        <w:t>will be</w:t>
      </w:r>
      <w:r w:rsidRPr="001B3F92">
        <w:rPr>
          <w:rFonts w:ascii="Arial" w:hAnsi="Arial" w:cs="Arial"/>
        </w:rPr>
        <w:t xml:space="preserve"> a mixed-methods service evaluation</w:t>
      </w:r>
      <w:r>
        <w:rPr>
          <w:rFonts w:ascii="Arial" w:hAnsi="Arial" w:cs="Arial"/>
        </w:rPr>
        <w:t xml:space="preserve"> rather than</w:t>
      </w:r>
      <w:r w:rsidRPr="001B3F92">
        <w:rPr>
          <w:rFonts w:ascii="Arial" w:hAnsi="Arial" w:cs="Arial"/>
        </w:rPr>
        <w:t xml:space="preserve"> a randomised or quasi-experimental study testing efficacy under controlled conditions</w:t>
      </w:r>
      <w:r>
        <w:rPr>
          <w:rFonts w:ascii="Arial" w:hAnsi="Arial" w:cs="Arial"/>
        </w:rPr>
        <w:t xml:space="preserve"> </w:t>
      </w:r>
      <w:r w:rsidRPr="00D349C1">
        <w:rPr>
          <w:rFonts w:ascii="Arial" w:hAnsi="Arial" w:cs="Arial"/>
        </w:rPr>
        <w:t>(Fetters and Molina-Azorin, 2020)</w:t>
      </w:r>
      <w:r w:rsidRPr="001B3F92">
        <w:rPr>
          <w:rFonts w:ascii="Arial" w:hAnsi="Arial" w:cs="Arial"/>
        </w:rPr>
        <w:t xml:space="preserve">. </w:t>
      </w:r>
      <w:r>
        <w:rPr>
          <w:rFonts w:ascii="Arial" w:hAnsi="Arial" w:cs="Arial"/>
        </w:rPr>
        <w:t>I</w:t>
      </w:r>
      <w:r w:rsidRPr="001B3F92">
        <w:rPr>
          <w:rFonts w:ascii="Arial" w:hAnsi="Arial" w:cs="Arial"/>
        </w:rPr>
        <w:t>t</w:t>
      </w:r>
      <w:r>
        <w:rPr>
          <w:rFonts w:ascii="Arial" w:hAnsi="Arial" w:cs="Arial"/>
        </w:rPr>
        <w:t xml:space="preserve"> will aim to</w:t>
      </w:r>
      <w:r w:rsidRPr="001B3F92">
        <w:rPr>
          <w:rFonts w:ascii="Arial" w:hAnsi="Arial" w:cs="Arial"/>
        </w:rPr>
        <w:t xml:space="preserve"> examine the behaviour of a digital workflow system in routine service settings to support local decision-making about effectiveness, usability and governance suitability. </w:t>
      </w:r>
      <w:r>
        <w:rPr>
          <w:rFonts w:ascii="Arial" w:hAnsi="Arial" w:cs="Arial"/>
        </w:rPr>
        <w:t xml:space="preserve">Areas </w:t>
      </w:r>
      <w:r w:rsidRPr="001B3F92">
        <w:rPr>
          <w:rFonts w:ascii="Arial" w:hAnsi="Arial" w:cs="Arial"/>
        </w:rPr>
        <w:t xml:space="preserve">of analysis </w:t>
      </w:r>
      <w:r>
        <w:rPr>
          <w:rFonts w:ascii="Arial" w:hAnsi="Arial" w:cs="Arial"/>
        </w:rPr>
        <w:t>will be</w:t>
      </w:r>
      <w:r w:rsidRPr="001B3F92">
        <w:rPr>
          <w:rFonts w:ascii="Arial" w:hAnsi="Arial" w:cs="Arial"/>
        </w:rPr>
        <w:t xml:space="preserve"> workflow episodes and staff accounts of system use. Professional participants may include reception and administrative staff, care navigators, practice managers, pharmacists, advanced practitioners and general practitioners whose roles involve handling or acting on correspondence. Patients are not direct participants, but the project nonetheless interacts with data derived from patient records and operational systems. This means that the scope includes service processes, staff experience and system outputs, while remaining tightly bound by information governance </w:t>
      </w:r>
      <w:r>
        <w:rPr>
          <w:rFonts w:ascii="Arial" w:hAnsi="Arial" w:cs="Arial"/>
        </w:rPr>
        <w:t xml:space="preserve">and ethical </w:t>
      </w:r>
      <w:r w:rsidR="004154DF" w:rsidRPr="001B3F92">
        <w:rPr>
          <w:rFonts w:ascii="Arial" w:hAnsi="Arial" w:cs="Arial"/>
        </w:rPr>
        <w:t>responsibilities</w:t>
      </w:r>
      <w:r w:rsidRPr="001B3F92">
        <w:rPr>
          <w:rFonts w:ascii="Arial" w:hAnsi="Arial" w:cs="Arial"/>
        </w:rPr>
        <w:t>.</w:t>
      </w:r>
    </w:p>
    <w:p w14:paraId="5C4CB9FA" w14:textId="6E1DD444" w:rsidR="00B35516" w:rsidRPr="001B3F92" w:rsidRDefault="00B35516" w:rsidP="00B35516">
      <w:pPr>
        <w:jc w:val="both"/>
        <w:rPr>
          <w:rFonts w:ascii="Arial" w:hAnsi="Arial" w:cs="Arial"/>
        </w:rPr>
      </w:pPr>
      <w:r w:rsidRPr="001B3F92">
        <w:rPr>
          <w:rFonts w:ascii="Arial" w:hAnsi="Arial" w:cs="Arial"/>
        </w:rPr>
        <w:t>The project does not seek to evaluate the entirety of digital transformation in general practice, nor does it attempt to attribute downstream clinical outcomes such as hospital admissions or long-term disease control directly to the workflow platform. As an alternative, th</w:t>
      </w:r>
      <w:r>
        <w:rPr>
          <w:rFonts w:ascii="Arial" w:hAnsi="Arial" w:cs="Arial"/>
        </w:rPr>
        <w:t>is</w:t>
      </w:r>
      <w:r w:rsidRPr="001B3F92">
        <w:rPr>
          <w:rFonts w:ascii="Arial" w:hAnsi="Arial" w:cs="Arial"/>
        </w:rPr>
        <w:t xml:space="preserve"> project concentrates on measurable process outcomes that are</w:t>
      </w:r>
      <w:r>
        <w:rPr>
          <w:rFonts w:ascii="Arial" w:hAnsi="Arial" w:cs="Arial"/>
        </w:rPr>
        <w:t xml:space="preserve"> linked to </w:t>
      </w:r>
      <w:r w:rsidRPr="001B3F92">
        <w:rPr>
          <w:rFonts w:ascii="Arial" w:hAnsi="Arial" w:cs="Arial"/>
        </w:rPr>
        <w:t xml:space="preserve">safe and effective correspondence handling, such as turnaround time, backlog age, overdue volume, </w:t>
      </w:r>
      <w:r w:rsidRPr="001B3F92">
        <w:rPr>
          <w:rFonts w:ascii="Arial" w:hAnsi="Arial" w:cs="Arial"/>
        </w:rPr>
        <w:lastRenderedPageBreak/>
        <w:t>reallocation frequency and user-reported workflow burden.</w:t>
      </w:r>
      <w:r w:rsidR="00EA69ED">
        <w:rPr>
          <w:rFonts w:ascii="Arial" w:hAnsi="Arial" w:cs="Arial"/>
        </w:rPr>
        <w:t xml:space="preserve"> </w:t>
      </w:r>
      <w:r w:rsidRPr="001B3F92">
        <w:rPr>
          <w:rFonts w:ascii="Arial" w:hAnsi="Arial" w:cs="Arial"/>
        </w:rPr>
        <w:t xml:space="preserve">This </w:t>
      </w:r>
      <w:r w:rsidR="00D67483">
        <w:rPr>
          <w:rFonts w:ascii="Arial" w:hAnsi="Arial" w:cs="Arial"/>
        </w:rPr>
        <w:t xml:space="preserve">highly focused </w:t>
      </w:r>
      <w:r w:rsidRPr="001B3F92">
        <w:rPr>
          <w:rFonts w:ascii="Arial" w:hAnsi="Arial" w:cs="Arial"/>
        </w:rPr>
        <w:t xml:space="preserve">scope is methodologically important because it </w:t>
      </w:r>
      <w:r w:rsidR="00D67483">
        <w:rPr>
          <w:rFonts w:ascii="Arial" w:hAnsi="Arial" w:cs="Arial"/>
        </w:rPr>
        <w:t xml:space="preserve">will </w:t>
      </w:r>
      <w:r w:rsidRPr="001B3F92">
        <w:rPr>
          <w:rFonts w:ascii="Arial" w:hAnsi="Arial" w:cs="Arial"/>
        </w:rPr>
        <w:t>align the research questions with outcomes that the service evaluation can realistically</w:t>
      </w:r>
      <w:r>
        <w:rPr>
          <w:rFonts w:ascii="Arial" w:hAnsi="Arial" w:cs="Arial"/>
        </w:rPr>
        <w:t xml:space="preserve"> </w:t>
      </w:r>
      <w:r w:rsidRPr="001B3F92">
        <w:rPr>
          <w:rFonts w:ascii="Arial" w:hAnsi="Arial" w:cs="Arial"/>
        </w:rPr>
        <w:t>examine</w:t>
      </w:r>
      <w:r w:rsidRPr="007B6DAA">
        <w:rPr>
          <w:rFonts w:ascii="Arial" w:hAnsi="Arial" w:cs="Arial"/>
        </w:rPr>
        <w:t xml:space="preserve"> (The Cochrane Collaboration, 2023)</w:t>
      </w:r>
      <w:r w:rsidRPr="001B3F92">
        <w:rPr>
          <w:rFonts w:ascii="Arial" w:hAnsi="Arial" w:cs="Arial"/>
        </w:rPr>
        <w:t>.</w:t>
      </w:r>
    </w:p>
    <w:p w14:paraId="0687A18A" w14:textId="77777777" w:rsidR="00B35516" w:rsidRPr="00857E24" w:rsidRDefault="00B35516" w:rsidP="00B35516">
      <w:pPr>
        <w:jc w:val="both"/>
        <w:rPr>
          <w:rFonts w:ascii="Arial" w:hAnsi="Arial" w:cs="Arial"/>
          <w:b/>
          <w:bCs/>
        </w:rPr>
      </w:pPr>
      <w:r w:rsidRPr="00B10AFB">
        <w:rPr>
          <w:rFonts w:ascii="Arial" w:hAnsi="Arial" w:cs="Arial"/>
          <w:b/>
          <w:bCs/>
        </w:rPr>
        <w:t>Define and justify the project aim and research objectives</w:t>
      </w:r>
    </w:p>
    <w:p w14:paraId="1C4CD459" w14:textId="5C530988" w:rsidR="00B35516" w:rsidRPr="00B10AFB" w:rsidRDefault="00B35516" w:rsidP="00B35516">
      <w:pPr>
        <w:jc w:val="both"/>
        <w:rPr>
          <w:rFonts w:ascii="Arial" w:hAnsi="Arial" w:cs="Arial"/>
        </w:rPr>
      </w:pPr>
      <w:r>
        <w:rPr>
          <w:rFonts w:ascii="Arial" w:hAnsi="Arial" w:cs="Arial"/>
        </w:rPr>
        <w:t xml:space="preserve">The research question for this project will be, </w:t>
      </w:r>
      <w:r w:rsidRPr="002B05C4">
        <w:rPr>
          <w:rFonts w:ascii="Arial" w:hAnsi="Arial" w:cs="Arial"/>
        </w:rPr>
        <w:t xml:space="preserve">to what extent do cloud-based clinical document management and workflow platforms improve the reliability, efficiency and governance readiness of document processing in NHS primary care </w:t>
      </w:r>
      <w:r w:rsidR="003D69FD">
        <w:rPr>
          <w:rFonts w:ascii="Arial" w:hAnsi="Arial" w:cs="Arial"/>
        </w:rPr>
        <w:t>general</w:t>
      </w:r>
      <w:r w:rsidRPr="002B05C4">
        <w:rPr>
          <w:rFonts w:ascii="Arial" w:hAnsi="Arial" w:cs="Arial"/>
        </w:rPr>
        <w:t xml:space="preserve"> practices? The aim of this project is</w:t>
      </w:r>
      <w:r w:rsidRPr="002B05C4">
        <w:rPr>
          <w:rFonts w:ascii="Arial" w:hAnsi="Arial" w:cs="Arial"/>
          <w:color w:val="000000"/>
        </w:rPr>
        <w:t xml:space="preserve"> to be able to assess how cloud-based clinical document management and workflow platforms enhance reliability, efficiency, and governance of document processing in NHS primary care</w:t>
      </w:r>
      <w:r w:rsidRPr="002B05C4">
        <w:rPr>
          <w:rFonts w:ascii="Arial" w:hAnsi="Arial" w:cs="Arial"/>
        </w:rPr>
        <w:t xml:space="preserve">. </w:t>
      </w:r>
      <w:r w:rsidRPr="00B10AFB">
        <w:rPr>
          <w:rFonts w:ascii="Arial" w:hAnsi="Arial" w:cs="Arial"/>
        </w:rPr>
        <w:t xml:space="preserve">This aim is justified because correspondence and results handling are not a marginal administrative task but a safety-critical organisational process. CQC </w:t>
      </w:r>
      <w:r>
        <w:rPr>
          <w:rFonts w:ascii="Arial" w:hAnsi="Arial" w:cs="Arial"/>
        </w:rPr>
        <w:t xml:space="preserve">(2024) </w:t>
      </w:r>
      <w:r w:rsidRPr="00B10AFB">
        <w:rPr>
          <w:rFonts w:ascii="Arial" w:hAnsi="Arial" w:cs="Arial"/>
        </w:rPr>
        <w:t xml:space="preserve">guidance is explicit that practices must operate safe systems for managing clinical correspondence and test results, with clear accountability, timely action and auditable follow-up, because failures in these pathways can contribute to delays in diagnosis and treatment. </w:t>
      </w:r>
      <w:r w:rsidRPr="005E10AF">
        <w:rPr>
          <w:rFonts w:ascii="Arial" w:hAnsi="Arial" w:cs="Arial"/>
          <w:color w:val="000000"/>
        </w:rPr>
        <w:t>Document workflow is an element of safe care infrastructure, not just a neutral administrative task.</w:t>
      </w:r>
    </w:p>
    <w:p w14:paraId="4A7B0A10" w14:textId="6C1C2A3D" w:rsidR="00B35516" w:rsidRPr="00B10AFB" w:rsidRDefault="00B35516" w:rsidP="00B35516">
      <w:pPr>
        <w:jc w:val="both"/>
        <w:rPr>
          <w:rFonts w:ascii="Arial" w:hAnsi="Arial" w:cs="Arial"/>
        </w:rPr>
      </w:pPr>
      <w:r w:rsidRPr="00B10AFB">
        <w:rPr>
          <w:rFonts w:ascii="Arial" w:hAnsi="Arial" w:cs="Arial"/>
        </w:rPr>
        <w:t xml:space="preserve">Reliability, efficiency and governance readiness are used together deliberately. Reliability refers to the consistency with which documents are routed, prioritised and acted </w:t>
      </w:r>
      <w:r w:rsidR="00E947D4">
        <w:rPr>
          <w:rFonts w:ascii="Arial" w:hAnsi="Arial" w:cs="Arial"/>
        </w:rPr>
        <w:t xml:space="preserve">on </w:t>
      </w:r>
      <w:r w:rsidRPr="00B10AFB">
        <w:rPr>
          <w:rFonts w:ascii="Arial" w:hAnsi="Arial" w:cs="Arial"/>
        </w:rPr>
        <w:t>appropriately across variable service conditions</w:t>
      </w:r>
      <w:r w:rsidRPr="00CE17A7">
        <w:t xml:space="preserve"> </w:t>
      </w:r>
      <w:r w:rsidRPr="00CE17A7">
        <w:rPr>
          <w:rFonts w:ascii="Arial" w:hAnsi="Arial" w:cs="Arial"/>
        </w:rPr>
        <w:t>(Hassan, 2024)</w:t>
      </w:r>
      <w:r w:rsidRPr="00B10AFB">
        <w:rPr>
          <w:rFonts w:ascii="Arial" w:hAnsi="Arial" w:cs="Arial"/>
        </w:rPr>
        <w:t>. Efficiency refers not simply to processing speed or throughput, but to the reduction of avoidable delay, duplication, reallocation and hidden rework</w:t>
      </w:r>
      <w:r>
        <w:rPr>
          <w:rFonts w:ascii="Arial" w:hAnsi="Arial" w:cs="Arial"/>
        </w:rPr>
        <w:t xml:space="preserve"> </w:t>
      </w:r>
      <w:r w:rsidRPr="006C7BAF">
        <w:rPr>
          <w:rFonts w:ascii="Arial" w:hAnsi="Arial" w:cs="Arial"/>
        </w:rPr>
        <w:t>(Vial, 2019)</w:t>
      </w:r>
      <w:r w:rsidRPr="00B10AFB">
        <w:rPr>
          <w:rFonts w:ascii="Arial" w:hAnsi="Arial" w:cs="Arial"/>
        </w:rPr>
        <w:t>. Governance readiness refers to whether the platform supports accountable access, traceable actions, safe information handling and implementation assurance in a form consistent with NHS expectations</w:t>
      </w:r>
      <w:r>
        <w:rPr>
          <w:rFonts w:ascii="Arial" w:hAnsi="Arial" w:cs="Arial"/>
        </w:rPr>
        <w:t xml:space="preserve"> </w:t>
      </w:r>
      <w:r w:rsidRPr="00BE691E">
        <w:rPr>
          <w:rFonts w:ascii="Arial" w:hAnsi="Arial" w:cs="Arial"/>
        </w:rPr>
        <w:t>(CQC, 2025)</w:t>
      </w:r>
      <w:r w:rsidRPr="00B10AFB">
        <w:rPr>
          <w:rFonts w:ascii="Arial" w:hAnsi="Arial" w:cs="Arial"/>
        </w:rPr>
        <w:t>.</w:t>
      </w:r>
      <w:r>
        <w:rPr>
          <w:rFonts w:ascii="Arial" w:hAnsi="Arial" w:cs="Arial"/>
        </w:rPr>
        <w:t xml:space="preserve"> </w:t>
      </w:r>
      <w:r w:rsidRPr="00B10AFB">
        <w:rPr>
          <w:rFonts w:ascii="Arial" w:hAnsi="Arial" w:cs="Arial"/>
        </w:rPr>
        <w:t>This multidimensional framing is necessary because a narrower aim focused only on speed would risk mistaking acceleration for improvement, even where burden is displaced or risk is concealed. NHS England</w:t>
      </w:r>
      <w:r w:rsidR="00FC192B">
        <w:rPr>
          <w:rFonts w:ascii="Arial" w:hAnsi="Arial" w:cs="Arial"/>
        </w:rPr>
        <w:t xml:space="preserve"> (2021)</w:t>
      </w:r>
      <w:r w:rsidRPr="00B10AFB">
        <w:rPr>
          <w:rFonts w:ascii="Arial" w:hAnsi="Arial" w:cs="Arial"/>
        </w:rPr>
        <w:t xml:space="preserve"> DTAC framework reinforces this broader evaluative logic by requiring digital technologies to be considered across clinical safety, data protection, technical security, interoperability, and usability and accessibility rather than through a single performance indicator alone. </w:t>
      </w:r>
    </w:p>
    <w:p w14:paraId="6D3DD656" w14:textId="44FF7FC2" w:rsidR="00B35516" w:rsidRPr="00B10AFB" w:rsidRDefault="00B35516" w:rsidP="00B35516">
      <w:pPr>
        <w:jc w:val="both"/>
        <w:rPr>
          <w:rFonts w:ascii="Arial" w:hAnsi="Arial" w:cs="Arial"/>
        </w:rPr>
      </w:pPr>
      <w:r w:rsidRPr="00B10AFB">
        <w:rPr>
          <w:rFonts w:ascii="Arial" w:hAnsi="Arial" w:cs="Arial"/>
        </w:rPr>
        <w:t xml:space="preserve">From a sociotechnical perspective, digital systems do not generate outcomes independently of the people and structures within which they are enacted. Workflow performance emerges through the interaction of software design, local protocols, staffing models, communication practices, role boundaries and organisational culture. Sittig and Singh’s </w:t>
      </w:r>
      <w:r>
        <w:rPr>
          <w:rFonts w:ascii="Arial" w:hAnsi="Arial" w:cs="Arial"/>
        </w:rPr>
        <w:t xml:space="preserve">(2010) </w:t>
      </w:r>
      <w:r w:rsidRPr="00B10AFB">
        <w:rPr>
          <w:rFonts w:ascii="Arial" w:hAnsi="Arial" w:cs="Arial"/>
        </w:rPr>
        <w:t>sociotechnical model is</w:t>
      </w:r>
      <w:r>
        <w:rPr>
          <w:rFonts w:ascii="Arial" w:hAnsi="Arial" w:cs="Arial"/>
        </w:rPr>
        <w:t xml:space="preserve"> </w:t>
      </w:r>
      <w:r w:rsidRPr="00B10AFB">
        <w:rPr>
          <w:rFonts w:ascii="Arial" w:hAnsi="Arial" w:cs="Arial"/>
        </w:rPr>
        <w:t xml:space="preserve">relevant here because it conceptualises health IT safety and effectiveness as contingent on multiple interdependent dimensions, including workflow and communication, internal organisational policy, external regulation and system monitoring. This means the evaluation must ask not only whether the platform appears to work, but how it is made to work in practice, for whom, and with what unintended consequences. </w:t>
      </w:r>
    </w:p>
    <w:p w14:paraId="785488DD" w14:textId="77777777" w:rsidR="00B35516" w:rsidRPr="00B10AFB" w:rsidRDefault="00B35516" w:rsidP="00B35516">
      <w:pPr>
        <w:jc w:val="both"/>
        <w:rPr>
          <w:rFonts w:ascii="Arial" w:hAnsi="Arial" w:cs="Arial"/>
        </w:rPr>
      </w:pPr>
      <w:r w:rsidRPr="00B10AFB">
        <w:rPr>
          <w:rFonts w:ascii="Arial" w:hAnsi="Arial" w:cs="Arial"/>
        </w:rPr>
        <w:t xml:space="preserve">The first objective is to quantify workflow performance using an explicit set of operational metrics. These metrics </w:t>
      </w:r>
      <w:r>
        <w:rPr>
          <w:rFonts w:ascii="Arial" w:hAnsi="Arial" w:cs="Arial"/>
        </w:rPr>
        <w:t xml:space="preserve">will </w:t>
      </w:r>
      <w:r w:rsidRPr="00B10AFB">
        <w:rPr>
          <w:rFonts w:ascii="Arial" w:hAnsi="Arial" w:cs="Arial"/>
        </w:rPr>
        <w:t xml:space="preserve">include total document volume, turnaround time, age profile of the backlog, proportion of overdue items, rate of reallocation, and throughput normalised to available staffing capacity. This objective is justified because claims of digital improvement </w:t>
      </w:r>
      <w:r>
        <w:rPr>
          <w:rFonts w:ascii="Arial" w:hAnsi="Arial" w:cs="Arial"/>
        </w:rPr>
        <w:t>can be</w:t>
      </w:r>
      <w:r w:rsidRPr="00B10AFB">
        <w:rPr>
          <w:rFonts w:ascii="Arial" w:hAnsi="Arial" w:cs="Arial"/>
        </w:rPr>
        <w:t xml:space="preserve"> rhetorically strong but analytically weak; without direct measurement, it is impossible to determine whether the platform has changed the process in any meaningful way</w:t>
      </w:r>
      <w:r>
        <w:rPr>
          <w:rFonts w:ascii="Arial" w:hAnsi="Arial" w:cs="Arial"/>
        </w:rPr>
        <w:t xml:space="preserve"> </w:t>
      </w:r>
      <w:r w:rsidRPr="00C21AE7">
        <w:rPr>
          <w:rFonts w:ascii="Arial" w:hAnsi="Arial" w:cs="Arial"/>
        </w:rPr>
        <w:t xml:space="preserve">(Grigore </w:t>
      </w:r>
      <w:r w:rsidRPr="00C21AE7">
        <w:rPr>
          <w:rFonts w:ascii="Arial" w:hAnsi="Arial" w:cs="Arial"/>
          <w:i/>
          <w:iCs/>
        </w:rPr>
        <w:t>et al</w:t>
      </w:r>
      <w:r w:rsidRPr="00C21AE7">
        <w:rPr>
          <w:rFonts w:ascii="Arial" w:hAnsi="Arial" w:cs="Arial"/>
        </w:rPr>
        <w:t>., 2020)</w:t>
      </w:r>
      <w:r w:rsidRPr="00B10AFB">
        <w:rPr>
          <w:rFonts w:ascii="Arial" w:hAnsi="Arial" w:cs="Arial"/>
        </w:rPr>
        <w:t xml:space="preserve">. </w:t>
      </w:r>
      <w:r>
        <w:rPr>
          <w:rFonts w:ascii="Arial" w:hAnsi="Arial" w:cs="Arial"/>
        </w:rPr>
        <w:t xml:space="preserve">According to </w:t>
      </w:r>
      <w:r w:rsidRPr="007441C8">
        <w:rPr>
          <w:rFonts w:ascii="Arial" w:hAnsi="Arial" w:cs="Arial"/>
        </w:rPr>
        <w:t xml:space="preserve">Tsubota </w:t>
      </w:r>
      <w:r>
        <w:rPr>
          <w:rFonts w:ascii="Arial" w:hAnsi="Arial" w:cs="Arial"/>
        </w:rPr>
        <w:t>(</w:t>
      </w:r>
      <w:r w:rsidRPr="007441C8">
        <w:rPr>
          <w:rFonts w:ascii="Arial" w:hAnsi="Arial" w:cs="Arial"/>
        </w:rPr>
        <w:t>2020)</w:t>
      </w:r>
      <w:r>
        <w:rPr>
          <w:rFonts w:ascii="Arial" w:hAnsi="Arial" w:cs="Arial"/>
        </w:rPr>
        <w:t xml:space="preserve"> e</w:t>
      </w:r>
      <w:r w:rsidRPr="00B10AFB">
        <w:rPr>
          <w:rFonts w:ascii="Arial" w:hAnsi="Arial" w:cs="Arial"/>
        </w:rPr>
        <w:t xml:space="preserve">pisode-level workflow metrics </w:t>
      </w:r>
      <w:r>
        <w:rPr>
          <w:rFonts w:ascii="Arial" w:hAnsi="Arial" w:cs="Arial"/>
        </w:rPr>
        <w:t xml:space="preserve">can </w:t>
      </w:r>
      <w:r w:rsidRPr="00B10AFB">
        <w:rPr>
          <w:rFonts w:ascii="Arial" w:hAnsi="Arial" w:cs="Arial"/>
        </w:rPr>
        <w:t xml:space="preserve">provide a defensible descriptive baseline and allow the evaluation to examine not only central </w:t>
      </w:r>
      <w:r w:rsidRPr="00B10AFB">
        <w:rPr>
          <w:rFonts w:ascii="Arial" w:hAnsi="Arial" w:cs="Arial"/>
        </w:rPr>
        <w:lastRenderedPageBreak/>
        <w:t xml:space="preserve">tendencies but also variation, bottlenecks and tail-risk delay, which are often more important for service safety than averages alone. </w:t>
      </w:r>
    </w:p>
    <w:p w14:paraId="5E138E94" w14:textId="64F8CE2C" w:rsidR="00B35516" w:rsidRDefault="00B35516" w:rsidP="00B35516">
      <w:pPr>
        <w:jc w:val="both"/>
        <w:rPr>
          <w:rFonts w:ascii="Arial" w:hAnsi="Arial" w:cs="Arial"/>
        </w:rPr>
      </w:pPr>
      <w:r w:rsidRPr="007C136E">
        <w:rPr>
          <w:rFonts w:ascii="Arial" w:hAnsi="Arial" w:cs="Arial"/>
        </w:rPr>
        <w:t>The second objective</w:t>
      </w:r>
      <w:r w:rsidRPr="00B10AFB">
        <w:rPr>
          <w:rFonts w:ascii="Arial" w:hAnsi="Arial" w:cs="Arial"/>
        </w:rPr>
        <w:t xml:space="preserve"> is to determine whether any observed differences are statistically significant and operationally significant. Statistical significance is necessary because routine service data </w:t>
      </w:r>
      <w:r>
        <w:rPr>
          <w:rFonts w:ascii="Arial" w:hAnsi="Arial" w:cs="Arial"/>
        </w:rPr>
        <w:t>can be</w:t>
      </w:r>
      <w:r w:rsidRPr="00B10AFB">
        <w:rPr>
          <w:rFonts w:ascii="Arial" w:hAnsi="Arial" w:cs="Arial"/>
        </w:rPr>
        <w:t xml:space="preserve"> </w:t>
      </w:r>
      <w:r>
        <w:rPr>
          <w:rFonts w:ascii="Arial" w:hAnsi="Arial" w:cs="Arial"/>
        </w:rPr>
        <w:t xml:space="preserve">overwhelming </w:t>
      </w:r>
      <w:r w:rsidRPr="00B10AFB">
        <w:rPr>
          <w:rFonts w:ascii="Arial" w:hAnsi="Arial" w:cs="Arial"/>
        </w:rPr>
        <w:t>and apparent differences may reflect clustering, fluctuation or case-mix variation rather than genuine improvement</w:t>
      </w:r>
      <w:r>
        <w:rPr>
          <w:rFonts w:ascii="Arial" w:hAnsi="Arial" w:cs="Arial"/>
        </w:rPr>
        <w:t xml:space="preserve"> </w:t>
      </w:r>
      <w:r w:rsidRPr="00AF143E">
        <w:rPr>
          <w:rFonts w:ascii="Arial" w:hAnsi="Arial" w:cs="Arial"/>
        </w:rPr>
        <w:t>(Sharma, 2021)</w:t>
      </w:r>
      <w:r w:rsidRPr="00B10AFB">
        <w:rPr>
          <w:rFonts w:ascii="Arial" w:hAnsi="Arial" w:cs="Arial"/>
        </w:rPr>
        <w:t>. However, statistical significance alone is insufficient in-service evaluation because a numerically detectable difference may still be trivial in practice. Operational significance is therefore required to anchor interpretation in service consequences such as fewer overdue items, safer completion of urgent tasks, reduced backlog exposure and improved resilience under pressure</w:t>
      </w:r>
      <w:r>
        <w:rPr>
          <w:rFonts w:ascii="Arial" w:hAnsi="Arial" w:cs="Arial"/>
        </w:rPr>
        <w:t xml:space="preserve"> </w:t>
      </w:r>
      <w:r w:rsidRPr="00C62A7A">
        <w:rPr>
          <w:rFonts w:ascii="Arial" w:hAnsi="Arial" w:cs="Arial"/>
        </w:rPr>
        <w:t>(The Health Foundation, 2023)</w:t>
      </w:r>
      <w:r w:rsidRPr="00B10AFB">
        <w:rPr>
          <w:rFonts w:ascii="Arial" w:hAnsi="Arial" w:cs="Arial"/>
        </w:rPr>
        <w:t xml:space="preserve">. This dual criterion strengthens methodological judgement by preventing both false optimism and reductive reliance on </w:t>
      </w:r>
      <w:r w:rsidR="004D4426">
        <w:rPr>
          <w:rFonts w:ascii="Arial" w:hAnsi="Arial" w:cs="Arial"/>
        </w:rPr>
        <w:t xml:space="preserve">probability </w:t>
      </w:r>
      <w:r w:rsidRPr="00B10AFB">
        <w:rPr>
          <w:rFonts w:ascii="Arial" w:hAnsi="Arial" w:cs="Arial"/>
        </w:rPr>
        <w:t xml:space="preserve">values. </w:t>
      </w:r>
    </w:p>
    <w:p w14:paraId="2F51AD31" w14:textId="7B71BD38" w:rsidR="00B35516" w:rsidRDefault="00B35516" w:rsidP="00B35516">
      <w:pPr>
        <w:jc w:val="both"/>
        <w:rPr>
          <w:rFonts w:ascii="Arial" w:hAnsi="Arial" w:cs="Arial"/>
        </w:rPr>
      </w:pPr>
      <w:r w:rsidRPr="00B10AFB">
        <w:rPr>
          <w:rFonts w:ascii="Arial" w:hAnsi="Arial" w:cs="Arial"/>
        </w:rPr>
        <w:t xml:space="preserve">The third objective is to identify predictors of delay, breach and backlog accumulation using inferential and predictive modelling. This objective is justified because descriptive analysis can show what is happening but not adequately explain why risk concentrates </w:t>
      </w:r>
      <w:r w:rsidR="00247275" w:rsidRPr="00B10AFB">
        <w:rPr>
          <w:rFonts w:ascii="Arial" w:hAnsi="Arial" w:cs="Arial"/>
        </w:rPr>
        <w:t>in parts</w:t>
      </w:r>
      <w:r w:rsidRPr="00B10AFB">
        <w:rPr>
          <w:rFonts w:ascii="Arial" w:hAnsi="Arial" w:cs="Arial"/>
        </w:rPr>
        <w:t xml:space="preserve"> of the workflow</w:t>
      </w:r>
      <w:r>
        <w:rPr>
          <w:rFonts w:ascii="Arial" w:hAnsi="Arial" w:cs="Arial"/>
        </w:rPr>
        <w:t xml:space="preserve"> </w:t>
      </w:r>
      <w:r w:rsidRPr="006B6104">
        <w:rPr>
          <w:rFonts w:ascii="Arial" w:hAnsi="Arial" w:cs="Arial"/>
        </w:rPr>
        <w:t>(Hassan, 2023)</w:t>
      </w:r>
      <w:r w:rsidRPr="00B10AFB">
        <w:rPr>
          <w:rFonts w:ascii="Arial" w:hAnsi="Arial" w:cs="Arial"/>
        </w:rPr>
        <w:t>. Factors such as document priority, timing of receipt, staffing capacity, organisational configuration and local routing rules may all influence whether an item is actioned within target. Modelling these relationships allows the evaluation to move from static description to conditional explanation and, where appropriate, forecasting. This is especially valuable in general practice, where operational leaders require prospective intelligence to anticipate strain rather than retrospective commentary after failure has occurred</w:t>
      </w:r>
      <w:r>
        <w:rPr>
          <w:rFonts w:ascii="Arial" w:hAnsi="Arial" w:cs="Arial"/>
        </w:rPr>
        <w:t xml:space="preserve"> </w:t>
      </w:r>
      <w:r w:rsidRPr="002C34F2">
        <w:rPr>
          <w:rFonts w:ascii="Arial" w:hAnsi="Arial" w:cs="Arial"/>
        </w:rPr>
        <w:t>(Gulati and Smith, 2024)</w:t>
      </w:r>
      <w:r w:rsidRPr="00B10AFB">
        <w:rPr>
          <w:rFonts w:ascii="Arial" w:hAnsi="Arial" w:cs="Arial"/>
        </w:rPr>
        <w:t xml:space="preserve">. </w:t>
      </w:r>
    </w:p>
    <w:p w14:paraId="6B6DFA14" w14:textId="77777777" w:rsidR="00B35516" w:rsidRPr="00B10AFB" w:rsidRDefault="00B35516" w:rsidP="00B35516">
      <w:pPr>
        <w:jc w:val="both"/>
        <w:rPr>
          <w:rFonts w:ascii="Arial" w:hAnsi="Arial" w:cs="Arial"/>
        </w:rPr>
      </w:pPr>
      <w:r w:rsidRPr="00B10AFB">
        <w:rPr>
          <w:rFonts w:ascii="Arial" w:hAnsi="Arial" w:cs="Arial"/>
        </w:rPr>
        <w:t xml:space="preserve">The fourth objective is to explore staff perceptions of usability, workload, trust, adaptation and unintended consequences. This objective is justified because digital systems are implemented through professional practice rather than simply installed into it. A platform may appear effective in aggregating performance data while simultaneously generating invisible </w:t>
      </w:r>
      <w:r>
        <w:rPr>
          <w:rFonts w:ascii="Arial" w:hAnsi="Arial" w:cs="Arial"/>
        </w:rPr>
        <w:t>work</w:t>
      </w:r>
      <w:r w:rsidRPr="00B10AFB">
        <w:rPr>
          <w:rFonts w:ascii="Arial" w:hAnsi="Arial" w:cs="Arial"/>
        </w:rPr>
        <w:t>, responsibility ambiguity, workaround behaviour or unequal burden across staff groups. Implementation science is useful here because it distinguishes between service outcomes and implementation outcomes such as acceptability, appropriateness and feasibility</w:t>
      </w:r>
      <w:r>
        <w:rPr>
          <w:rFonts w:ascii="Arial" w:hAnsi="Arial" w:cs="Arial"/>
        </w:rPr>
        <w:t xml:space="preserve"> </w:t>
      </w:r>
      <w:r w:rsidRPr="00672544">
        <w:rPr>
          <w:rFonts w:ascii="Arial" w:hAnsi="Arial" w:cs="Arial"/>
        </w:rPr>
        <w:t>(Bauer and Kirchner, 2020)</w:t>
      </w:r>
      <w:r w:rsidRPr="00B10AFB">
        <w:rPr>
          <w:rFonts w:ascii="Arial" w:hAnsi="Arial" w:cs="Arial"/>
        </w:rPr>
        <w:t>. Th</w:t>
      </w:r>
      <w:r>
        <w:rPr>
          <w:rFonts w:ascii="Arial" w:hAnsi="Arial" w:cs="Arial"/>
        </w:rPr>
        <w:t xml:space="preserve">is </w:t>
      </w:r>
      <w:r w:rsidRPr="00B10AFB">
        <w:rPr>
          <w:rFonts w:ascii="Arial" w:hAnsi="Arial" w:cs="Arial"/>
        </w:rPr>
        <w:t>matter</w:t>
      </w:r>
      <w:r>
        <w:rPr>
          <w:rFonts w:ascii="Arial" w:hAnsi="Arial" w:cs="Arial"/>
        </w:rPr>
        <w:t>s</w:t>
      </w:r>
      <w:r w:rsidRPr="00B10AFB">
        <w:rPr>
          <w:rFonts w:ascii="Arial" w:hAnsi="Arial" w:cs="Arial"/>
        </w:rPr>
        <w:t xml:space="preserve"> because a platform that performs adequately in the short term may still fail to embed if frontline staff do not experience it as workable, legitimate or proportionate to the realities of practice (</w:t>
      </w:r>
      <w:r w:rsidRPr="00505643">
        <w:rPr>
          <w:rFonts w:ascii="Arial" w:hAnsi="Arial" w:cs="Arial"/>
        </w:rPr>
        <w:t>Vieira, 2021</w:t>
      </w:r>
      <w:r w:rsidRPr="00B10AFB">
        <w:rPr>
          <w:rFonts w:ascii="Arial" w:hAnsi="Arial" w:cs="Arial"/>
        </w:rPr>
        <w:t>;</w:t>
      </w:r>
      <w:r w:rsidRPr="00A36386">
        <w:t xml:space="preserve"> </w:t>
      </w:r>
      <w:r w:rsidRPr="00A36386">
        <w:rPr>
          <w:rFonts w:ascii="Arial" w:hAnsi="Arial" w:cs="Arial"/>
        </w:rPr>
        <w:t>Thordsen and Bick, 2023)</w:t>
      </w:r>
      <w:r w:rsidRPr="00B10AFB">
        <w:rPr>
          <w:rFonts w:ascii="Arial" w:hAnsi="Arial" w:cs="Arial"/>
        </w:rPr>
        <w:t xml:space="preserve">. </w:t>
      </w:r>
    </w:p>
    <w:p w14:paraId="751FC3D4" w14:textId="3BE0B464" w:rsidR="00B35516" w:rsidRPr="006D574D" w:rsidRDefault="00B35516" w:rsidP="00B35516">
      <w:pPr>
        <w:jc w:val="both"/>
        <w:rPr>
          <w:rFonts w:ascii="Arial" w:hAnsi="Arial" w:cs="Arial"/>
        </w:rPr>
      </w:pPr>
      <w:r w:rsidRPr="00B10AFB">
        <w:rPr>
          <w:rFonts w:ascii="Arial" w:hAnsi="Arial" w:cs="Arial"/>
        </w:rPr>
        <w:t>The fifth objective is to integrate the quantitative and qualitative findings to reach an overall evaluative judgement. This objective is justified because mixed-methods work is strongest when integration occurs at the level of interpretation rather than ending with two parallel strands of evidence. If quantitative and qualitative findings converge, confidence in the platform’s value is strengthened. If they diverge, that divergence is analytically productive rather than problematic, since it may reveal tensions between measured efficiency and lived workability, or between formal governance claims and practical enactment</w:t>
      </w:r>
      <w:r>
        <w:rPr>
          <w:rFonts w:ascii="Arial" w:hAnsi="Arial" w:cs="Arial"/>
        </w:rPr>
        <w:t xml:space="preserve"> </w:t>
      </w:r>
      <w:r w:rsidRPr="004B75E1">
        <w:rPr>
          <w:rFonts w:ascii="Arial" w:hAnsi="Arial" w:cs="Arial"/>
        </w:rPr>
        <w:t>(Ahmed, Pereira and Jane, 2024)</w:t>
      </w:r>
      <w:r w:rsidRPr="00B10AFB">
        <w:rPr>
          <w:rFonts w:ascii="Arial" w:hAnsi="Arial" w:cs="Arial"/>
        </w:rPr>
        <w:t>. Th</w:t>
      </w:r>
      <w:r>
        <w:rPr>
          <w:rFonts w:ascii="Arial" w:hAnsi="Arial" w:cs="Arial"/>
        </w:rPr>
        <w:t>is</w:t>
      </w:r>
      <w:r w:rsidRPr="00B10AFB">
        <w:rPr>
          <w:rFonts w:ascii="Arial" w:hAnsi="Arial" w:cs="Arial"/>
        </w:rPr>
        <w:t xml:space="preserve"> final objective therefore ensures that the project produces a coherent and critically informed judgement about whether the platform represents substantive improvement, contextual adaptation, or the relocation of risk within the workflow system.</w:t>
      </w:r>
      <w:r w:rsidR="009067E0">
        <w:rPr>
          <w:rFonts w:ascii="Arial" w:hAnsi="Arial" w:cs="Arial"/>
        </w:rPr>
        <w:t xml:space="preserve"> </w:t>
      </w:r>
      <w:r>
        <w:rPr>
          <w:rFonts w:ascii="Arial" w:hAnsi="Arial" w:cs="Arial"/>
        </w:rPr>
        <w:t xml:space="preserve">Table 1. </w:t>
      </w:r>
      <w:r w:rsidR="006514F8">
        <w:rPr>
          <w:rFonts w:ascii="Arial" w:hAnsi="Arial" w:cs="Arial"/>
        </w:rPr>
        <w:t>p</w:t>
      </w:r>
      <w:r>
        <w:rPr>
          <w:rFonts w:ascii="Arial" w:hAnsi="Arial" w:cs="Arial"/>
        </w:rPr>
        <w:t>resents a summary of the aim and research objectives with justifications.</w:t>
      </w:r>
    </w:p>
    <w:p w14:paraId="5EA891E0" w14:textId="77777777" w:rsidR="00B35516" w:rsidRPr="00692BD2" w:rsidRDefault="00B35516" w:rsidP="00B35516">
      <w:pPr>
        <w:rPr>
          <w:rFonts w:ascii="Arial" w:hAnsi="Arial" w:cs="Arial"/>
          <w:b/>
          <w:bCs/>
        </w:rPr>
      </w:pPr>
      <w:r w:rsidRPr="00692BD2">
        <w:rPr>
          <w:rFonts w:ascii="Arial" w:hAnsi="Arial" w:cs="Arial"/>
          <w:b/>
          <w:bCs/>
        </w:rPr>
        <w:t xml:space="preserve">Table 1. Project </w:t>
      </w:r>
      <w:r>
        <w:rPr>
          <w:rFonts w:ascii="Arial" w:hAnsi="Arial" w:cs="Arial"/>
          <w:b/>
          <w:bCs/>
        </w:rPr>
        <w:t>A</w:t>
      </w:r>
      <w:r w:rsidRPr="00692BD2">
        <w:rPr>
          <w:rFonts w:ascii="Arial" w:hAnsi="Arial" w:cs="Arial"/>
          <w:b/>
          <w:bCs/>
        </w:rPr>
        <w:t xml:space="preserve">im and </w:t>
      </w:r>
      <w:r>
        <w:rPr>
          <w:rFonts w:ascii="Arial" w:hAnsi="Arial" w:cs="Arial"/>
          <w:b/>
          <w:bCs/>
        </w:rPr>
        <w:t>R</w:t>
      </w:r>
      <w:r w:rsidRPr="00692BD2">
        <w:rPr>
          <w:rFonts w:ascii="Arial" w:hAnsi="Arial" w:cs="Arial"/>
          <w:b/>
          <w:bCs/>
        </w:rPr>
        <w:t xml:space="preserve">esearch </w:t>
      </w:r>
      <w:r>
        <w:rPr>
          <w:rFonts w:ascii="Arial" w:hAnsi="Arial" w:cs="Arial"/>
          <w:b/>
          <w:bCs/>
        </w:rPr>
        <w:t>O</w:t>
      </w:r>
      <w:r w:rsidRPr="00692BD2">
        <w:rPr>
          <w:rFonts w:ascii="Arial" w:hAnsi="Arial" w:cs="Arial"/>
          <w:b/>
          <w:bCs/>
        </w:rPr>
        <w:t xml:space="preserve">bjectives </w:t>
      </w:r>
      <w:r>
        <w:rPr>
          <w:rFonts w:ascii="Arial" w:hAnsi="Arial" w:cs="Arial"/>
          <w:b/>
          <w:bCs/>
        </w:rPr>
        <w:t>A</w:t>
      </w:r>
      <w:r w:rsidRPr="00692BD2">
        <w:rPr>
          <w:rFonts w:ascii="Arial" w:hAnsi="Arial" w:cs="Arial"/>
          <w:b/>
          <w:bCs/>
        </w:rPr>
        <w:t xml:space="preserve">ligned to </w:t>
      </w:r>
      <w:r>
        <w:rPr>
          <w:rFonts w:ascii="Arial" w:hAnsi="Arial" w:cs="Arial"/>
          <w:b/>
          <w:bCs/>
        </w:rPr>
        <w:t>A</w:t>
      </w:r>
      <w:r w:rsidRPr="00692BD2">
        <w:rPr>
          <w:rFonts w:ascii="Arial" w:hAnsi="Arial" w:cs="Arial"/>
          <w:b/>
          <w:bCs/>
        </w:rPr>
        <w:t xml:space="preserve">nalytic </w:t>
      </w:r>
      <w:r>
        <w:rPr>
          <w:rFonts w:ascii="Arial" w:hAnsi="Arial" w:cs="Arial"/>
          <w:b/>
          <w:bCs/>
        </w:rPr>
        <w:t>P</w:t>
      </w:r>
      <w:r w:rsidRPr="00692BD2">
        <w:rPr>
          <w:rFonts w:ascii="Arial" w:hAnsi="Arial" w:cs="Arial"/>
          <w:b/>
          <w:bCs/>
        </w:rPr>
        <w:t>urpose</w:t>
      </w:r>
    </w:p>
    <w:tbl>
      <w:tblPr>
        <w:tblStyle w:val="TableGrid"/>
        <w:tblW w:w="0" w:type="auto"/>
        <w:jc w:val="center"/>
        <w:tblLook w:val="04A0" w:firstRow="1" w:lastRow="0" w:firstColumn="1" w:lastColumn="0" w:noHBand="0" w:noVBand="1"/>
      </w:tblPr>
      <w:tblGrid>
        <w:gridCol w:w="1654"/>
        <w:gridCol w:w="4150"/>
        <w:gridCol w:w="3422"/>
      </w:tblGrid>
      <w:tr w:rsidR="00B35516" w:rsidRPr="001B3F92" w14:paraId="126E97B3" w14:textId="77777777" w:rsidTr="00101A24">
        <w:trPr>
          <w:jc w:val="center"/>
        </w:trPr>
        <w:tc>
          <w:tcPr>
            <w:tcW w:w="1701" w:type="dxa"/>
            <w:tcMar>
              <w:top w:w="80" w:type="dxa"/>
              <w:left w:w="100" w:type="dxa"/>
              <w:bottom w:w="80" w:type="dxa"/>
              <w:right w:w="100" w:type="dxa"/>
            </w:tcMar>
            <w:vAlign w:val="center"/>
          </w:tcPr>
          <w:p w14:paraId="03F133F1" w14:textId="77777777" w:rsidR="00B35516" w:rsidRPr="001B3F92" w:rsidRDefault="00B35516" w:rsidP="00101A24">
            <w:pPr>
              <w:jc w:val="both"/>
              <w:rPr>
                <w:rFonts w:ascii="Arial" w:hAnsi="Arial" w:cs="Arial"/>
              </w:rPr>
            </w:pPr>
            <w:r w:rsidRPr="001B3F92">
              <w:rPr>
                <w:rFonts w:ascii="Arial" w:hAnsi="Arial" w:cs="Arial"/>
                <w:b/>
              </w:rPr>
              <w:lastRenderedPageBreak/>
              <w:t>Element</w:t>
            </w:r>
          </w:p>
        </w:tc>
        <w:tc>
          <w:tcPr>
            <w:tcW w:w="4365" w:type="dxa"/>
            <w:tcMar>
              <w:top w:w="80" w:type="dxa"/>
              <w:left w:w="100" w:type="dxa"/>
              <w:bottom w:w="80" w:type="dxa"/>
              <w:right w:w="100" w:type="dxa"/>
            </w:tcMar>
            <w:vAlign w:val="center"/>
          </w:tcPr>
          <w:p w14:paraId="576257CD" w14:textId="77777777" w:rsidR="00B35516" w:rsidRPr="001B3F92" w:rsidRDefault="00B35516" w:rsidP="00101A24">
            <w:pPr>
              <w:jc w:val="both"/>
              <w:rPr>
                <w:rFonts w:ascii="Arial" w:hAnsi="Arial" w:cs="Arial"/>
              </w:rPr>
            </w:pPr>
            <w:r w:rsidRPr="001B3F92">
              <w:rPr>
                <w:rFonts w:ascii="Arial" w:hAnsi="Arial" w:cs="Arial"/>
                <w:b/>
              </w:rPr>
              <w:t>Definition</w:t>
            </w:r>
          </w:p>
        </w:tc>
        <w:tc>
          <w:tcPr>
            <w:tcW w:w="3572" w:type="dxa"/>
            <w:tcMar>
              <w:top w:w="80" w:type="dxa"/>
              <w:left w:w="100" w:type="dxa"/>
              <w:bottom w:w="80" w:type="dxa"/>
              <w:right w:w="100" w:type="dxa"/>
            </w:tcMar>
            <w:vAlign w:val="center"/>
          </w:tcPr>
          <w:p w14:paraId="72CF369A" w14:textId="77777777" w:rsidR="00B35516" w:rsidRPr="001B3F92" w:rsidRDefault="00B35516" w:rsidP="00101A24">
            <w:pPr>
              <w:jc w:val="both"/>
              <w:rPr>
                <w:rFonts w:ascii="Arial" w:hAnsi="Arial" w:cs="Arial"/>
              </w:rPr>
            </w:pPr>
            <w:r w:rsidRPr="001B3F92">
              <w:rPr>
                <w:rFonts w:ascii="Arial" w:hAnsi="Arial" w:cs="Arial"/>
                <w:b/>
              </w:rPr>
              <w:t>Justification</w:t>
            </w:r>
          </w:p>
        </w:tc>
      </w:tr>
      <w:tr w:rsidR="00B35516" w:rsidRPr="001B3F92" w14:paraId="00F0B0E0" w14:textId="77777777" w:rsidTr="00101A24">
        <w:trPr>
          <w:jc w:val="center"/>
        </w:trPr>
        <w:tc>
          <w:tcPr>
            <w:tcW w:w="1701" w:type="dxa"/>
            <w:tcMar>
              <w:top w:w="80" w:type="dxa"/>
              <w:left w:w="100" w:type="dxa"/>
              <w:bottom w:w="80" w:type="dxa"/>
              <w:right w:w="100" w:type="dxa"/>
            </w:tcMar>
            <w:vAlign w:val="center"/>
          </w:tcPr>
          <w:p w14:paraId="37BE7B47" w14:textId="77777777" w:rsidR="00B35516" w:rsidRPr="001B3F92" w:rsidRDefault="00B35516" w:rsidP="00101A24">
            <w:pPr>
              <w:jc w:val="both"/>
              <w:rPr>
                <w:rFonts w:ascii="Arial" w:hAnsi="Arial" w:cs="Arial"/>
              </w:rPr>
            </w:pPr>
            <w:r w:rsidRPr="001B3F92">
              <w:rPr>
                <w:rFonts w:ascii="Arial" w:hAnsi="Arial" w:cs="Arial"/>
              </w:rPr>
              <w:t>Aim</w:t>
            </w:r>
          </w:p>
        </w:tc>
        <w:tc>
          <w:tcPr>
            <w:tcW w:w="4365" w:type="dxa"/>
            <w:tcMar>
              <w:top w:w="80" w:type="dxa"/>
              <w:left w:w="100" w:type="dxa"/>
              <w:bottom w:w="80" w:type="dxa"/>
              <w:right w:w="100" w:type="dxa"/>
            </w:tcMar>
            <w:vAlign w:val="center"/>
          </w:tcPr>
          <w:p w14:paraId="218C370D" w14:textId="77777777" w:rsidR="00B35516" w:rsidRPr="001B3F92" w:rsidRDefault="00B35516" w:rsidP="00101A24">
            <w:pPr>
              <w:jc w:val="both"/>
            </w:pPr>
            <w:r w:rsidRPr="006D6B50">
              <w:rPr>
                <w:rFonts w:ascii="Arial" w:hAnsi="Arial" w:cs="Arial"/>
                <w:color w:val="000000"/>
              </w:rPr>
              <w:t>To assess how cloud-based clinical document management and workflow platforms enhance reliability, efficiency, and governance of document processing in NHS primary care.</w:t>
            </w:r>
          </w:p>
        </w:tc>
        <w:tc>
          <w:tcPr>
            <w:tcW w:w="3572" w:type="dxa"/>
            <w:tcMar>
              <w:top w:w="80" w:type="dxa"/>
              <w:left w:w="100" w:type="dxa"/>
              <w:bottom w:w="80" w:type="dxa"/>
              <w:right w:w="100" w:type="dxa"/>
            </w:tcMar>
            <w:vAlign w:val="center"/>
          </w:tcPr>
          <w:p w14:paraId="1B28A28D" w14:textId="77777777" w:rsidR="00B35516" w:rsidRPr="001B3F92" w:rsidRDefault="00B35516" w:rsidP="00101A24">
            <w:pPr>
              <w:jc w:val="both"/>
              <w:rPr>
                <w:rFonts w:ascii="Arial" w:hAnsi="Arial" w:cs="Arial"/>
              </w:rPr>
            </w:pPr>
            <w:r w:rsidRPr="001B3F92">
              <w:rPr>
                <w:rFonts w:ascii="Arial" w:hAnsi="Arial" w:cs="Arial"/>
              </w:rPr>
              <w:t>Captures process performance, implementation quality and service accountability.</w:t>
            </w:r>
          </w:p>
        </w:tc>
      </w:tr>
      <w:tr w:rsidR="00B35516" w:rsidRPr="001B3F92" w14:paraId="74EE95AE" w14:textId="77777777" w:rsidTr="00101A24">
        <w:trPr>
          <w:jc w:val="center"/>
        </w:trPr>
        <w:tc>
          <w:tcPr>
            <w:tcW w:w="1701" w:type="dxa"/>
            <w:tcMar>
              <w:top w:w="80" w:type="dxa"/>
              <w:left w:w="100" w:type="dxa"/>
              <w:bottom w:w="80" w:type="dxa"/>
              <w:right w:w="100" w:type="dxa"/>
            </w:tcMar>
            <w:vAlign w:val="center"/>
          </w:tcPr>
          <w:p w14:paraId="2CBE36F3" w14:textId="77777777" w:rsidR="00B35516" w:rsidRPr="001B3F92" w:rsidRDefault="00B35516" w:rsidP="00101A24">
            <w:pPr>
              <w:jc w:val="both"/>
              <w:rPr>
                <w:rFonts w:ascii="Arial" w:hAnsi="Arial" w:cs="Arial"/>
              </w:rPr>
            </w:pPr>
            <w:r w:rsidRPr="001B3F92">
              <w:rPr>
                <w:rFonts w:ascii="Arial" w:hAnsi="Arial" w:cs="Arial"/>
              </w:rPr>
              <w:t>Objective 1</w:t>
            </w:r>
          </w:p>
        </w:tc>
        <w:tc>
          <w:tcPr>
            <w:tcW w:w="4365" w:type="dxa"/>
            <w:tcMar>
              <w:top w:w="80" w:type="dxa"/>
              <w:left w:w="100" w:type="dxa"/>
              <w:bottom w:w="80" w:type="dxa"/>
              <w:right w:w="100" w:type="dxa"/>
            </w:tcMar>
            <w:vAlign w:val="center"/>
          </w:tcPr>
          <w:p w14:paraId="184EDD40" w14:textId="77777777" w:rsidR="00B35516" w:rsidRPr="001B3F92" w:rsidRDefault="00B35516" w:rsidP="00101A24">
            <w:pPr>
              <w:jc w:val="both"/>
              <w:rPr>
                <w:rFonts w:ascii="Arial" w:hAnsi="Arial" w:cs="Arial"/>
              </w:rPr>
            </w:pPr>
            <w:r w:rsidRPr="001B3F92">
              <w:rPr>
                <w:rFonts w:ascii="Arial" w:hAnsi="Arial" w:cs="Arial"/>
              </w:rPr>
              <w:t>Quantify workflow performance using operational metrics.</w:t>
            </w:r>
          </w:p>
        </w:tc>
        <w:tc>
          <w:tcPr>
            <w:tcW w:w="3572" w:type="dxa"/>
            <w:tcMar>
              <w:top w:w="80" w:type="dxa"/>
              <w:left w:w="100" w:type="dxa"/>
              <w:bottom w:w="80" w:type="dxa"/>
              <w:right w:w="100" w:type="dxa"/>
            </w:tcMar>
            <w:vAlign w:val="center"/>
          </w:tcPr>
          <w:p w14:paraId="248A9E7B" w14:textId="77777777" w:rsidR="00B35516" w:rsidRPr="001B3F92" w:rsidRDefault="00B35516" w:rsidP="00101A24">
            <w:pPr>
              <w:jc w:val="both"/>
              <w:rPr>
                <w:rFonts w:ascii="Arial" w:hAnsi="Arial" w:cs="Arial"/>
              </w:rPr>
            </w:pPr>
            <w:r w:rsidRPr="001B3F92">
              <w:rPr>
                <w:rFonts w:ascii="Arial" w:hAnsi="Arial" w:cs="Arial"/>
              </w:rPr>
              <w:t>Establishes a descriptive baseline and comparative profile.</w:t>
            </w:r>
          </w:p>
        </w:tc>
      </w:tr>
      <w:tr w:rsidR="00B35516" w:rsidRPr="001B3F92" w14:paraId="534E4FFB" w14:textId="77777777" w:rsidTr="00101A24">
        <w:trPr>
          <w:jc w:val="center"/>
        </w:trPr>
        <w:tc>
          <w:tcPr>
            <w:tcW w:w="1701" w:type="dxa"/>
            <w:tcMar>
              <w:top w:w="80" w:type="dxa"/>
              <w:left w:w="100" w:type="dxa"/>
              <w:bottom w:w="80" w:type="dxa"/>
              <w:right w:w="100" w:type="dxa"/>
            </w:tcMar>
            <w:vAlign w:val="center"/>
          </w:tcPr>
          <w:p w14:paraId="7FF13738" w14:textId="77777777" w:rsidR="00B35516" w:rsidRPr="001B3F92" w:rsidRDefault="00B35516" w:rsidP="00101A24">
            <w:pPr>
              <w:jc w:val="both"/>
              <w:rPr>
                <w:rFonts w:ascii="Arial" w:hAnsi="Arial" w:cs="Arial"/>
              </w:rPr>
            </w:pPr>
            <w:r w:rsidRPr="001B3F92">
              <w:rPr>
                <w:rFonts w:ascii="Arial" w:hAnsi="Arial" w:cs="Arial"/>
              </w:rPr>
              <w:t>Objective 2</w:t>
            </w:r>
          </w:p>
        </w:tc>
        <w:tc>
          <w:tcPr>
            <w:tcW w:w="4365" w:type="dxa"/>
            <w:tcMar>
              <w:top w:w="80" w:type="dxa"/>
              <w:left w:w="100" w:type="dxa"/>
              <w:bottom w:w="80" w:type="dxa"/>
              <w:right w:w="100" w:type="dxa"/>
            </w:tcMar>
            <w:vAlign w:val="center"/>
          </w:tcPr>
          <w:p w14:paraId="63E06371" w14:textId="77777777" w:rsidR="00B35516" w:rsidRPr="001B3F92" w:rsidRDefault="00B35516" w:rsidP="00101A24">
            <w:pPr>
              <w:jc w:val="both"/>
              <w:rPr>
                <w:rFonts w:ascii="Arial" w:hAnsi="Arial" w:cs="Arial"/>
              </w:rPr>
            </w:pPr>
            <w:r w:rsidRPr="001B3F92">
              <w:rPr>
                <w:rFonts w:ascii="Arial" w:hAnsi="Arial" w:cs="Arial"/>
              </w:rPr>
              <w:t>Determine statistical and operational significance.</w:t>
            </w:r>
          </w:p>
        </w:tc>
        <w:tc>
          <w:tcPr>
            <w:tcW w:w="3572" w:type="dxa"/>
            <w:tcMar>
              <w:top w:w="80" w:type="dxa"/>
              <w:left w:w="100" w:type="dxa"/>
              <w:bottom w:w="80" w:type="dxa"/>
              <w:right w:w="100" w:type="dxa"/>
            </w:tcMar>
            <w:vAlign w:val="center"/>
          </w:tcPr>
          <w:p w14:paraId="3253C8E2" w14:textId="77777777" w:rsidR="00B35516" w:rsidRPr="001B3F92" w:rsidRDefault="00B35516" w:rsidP="00101A24">
            <w:pPr>
              <w:jc w:val="both"/>
              <w:rPr>
                <w:rFonts w:ascii="Arial" w:hAnsi="Arial" w:cs="Arial"/>
              </w:rPr>
            </w:pPr>
            <w:r w:rsidRPr="001B3F92">
              <w:rPr>
                <w:rFonts w:ascii="Arial" w:hAnsi="Arial" w:cs="Arial"/>
              </w:rPr>
              <w:t>Prevents over-interpretation of trivial numerical change.</w:t>
            </w:r>
          </w:p>
        </w:tc>
      </w:tr>
      <w:tr w:rsidR="00B35516" w:rsidRPr="001B3F92" w14:paraId="36B767DB" w14:textId="77777777" w:rsidTr="00101A24">
        <w:trPr>
          <w:jc w:val="center"/>
        </w:trPr>
        <w:tc>
          <w:tcPr>
            <w:tcW w:w="1701" w:type="dxa"/>
            <w:tcMar>
              <w:top w:w="80" w:type="dxa"/>
              <w:left w:w="100" w:type="dxa"/>
              <w:bottom w:w="80" w:type="dxa"/>
              <w:right w:w="100" w:type="dxa"/>
            </w:tcMar>
            <w:vAlign w:val="center"/>
          </w:tcPr>
          <w:p w14:paraId="7E5F2DC4" w14:textId="77777777" w:rsidR="00B35516" w:rsidRPr="001B3F92" w:rsidRDefault="00B35516" w:rsidP="00101A24">
            <w:pPr>
              <w:jc w:val="both"/>
              <w:rPr>
                <w:rFonts w:ascii="Arial" w:hAnsi="Arial" w:cs="Arial"/>
              </w:rPr>
            </w:pPr>
            <w:r w:rsidRPr="001B3F92">
              <w:rPr>
                <w:rFonts w:ascii="Arial" w:hAnsi="Arial" w:cs="Arial"/>
              </w:rPr>
              <w:t>Objective 3</w:t>
            </w:r>
          </w:p>
        </w:tc>
        <w:tc>
          <w:tcPr>
            <w:tcW w:w="4365" w:type="dxa"/>
            <w:tcMar>
              <w:top w:w="80" w:type="dxa"/>
              <w:left w:w="100" w:type="dxa"/>
              <w:bottom w:w="80" w:type="dxa"/>
              <w:right w:w="100" w:type="dxa"/>
            </w:tcMar>
            <w:vAlign w:val="center"/>
          </w:tcPr>
          <w:p w14:paraId="246BB363" w14:textId="77777777" w:rsidR="00B35516" w:rsidRPr="001B3F92" w:rsidRDefault="00B35516" w:rsidP="00101A24">
            <w:pPr>
              <w:jc w:val="both"/>
              <w:rPr>
                <w:rFonts w:ascii="Arial" w:hAnsi="Arial" w:cs="Arial"/>
              </w:rPr>
            </w:pPr>
            <w:r w:rsidRPr="001B3F92">
              <w:rPr>
                <w:rFonts w:ascii="Arial" w:hAnsi="Arial" w:cs="Arial"/>
              </w:rPr>
              <w:t>Model predictors of delay, breach and backlog risk.</w:t>
            </w:r>
          </w:p>
        </w:tc>
        <w:tc>
          <w:tcPr>
            <w:tcW w:w="3572" w:type="dxa"/>
            <w:tcMar>
              <w:top w:w="80" w:type="dxa"/>
              <w:left w:w="100" w:type="dxa"/>
              <w:bottom w:w="80" w:type="dxa"/>
              <w:right w:w="100" w:type="dxa"/>
            </w:tcMar>
            <w:vAlign w:val="center"/>
          </w:tcPr>
          <w:p w14:paraId="52CDA81E" w14:textId="77777777" w:rsidR="00B35516" w:rsidRPr="001B3F92" w:rsidRDefault="00B35516" w:rsidP="00101A24">
            <w:pPr>
              <w:jc w:val="both"/>
              <w:rPr>
                <w:rFonts w:ascii="Arial" w:hAnsi="Arial" w:cs="Arial"/>
              </w:rPr>
            </w:pPr>
            <w:r w:rsidRPr="001B3F92">
              <w:rPr>
                <w:rFonts w:ascii="Arial" w:hAnsi="Arial" w:cs="Arial"/>
              </w:rPr>
              <w:t>Supports explanation and prospective management of risk.</w:t>
            </w:r>
          </w:p>
        </w:tc>
      </w:tr>
      <w:tr w:rsidR="00B35516" w:rsidRPr="001B3F92" w14:paraId="37C64021" w14:textId="77777777" w:rsidTr="00101A24">
        <w:trPr>
          <w:jc w:val="center"/>
        </w:trPr>
        <w:tc>
          <w:tcPr>
            <w:tcW w:w="1701" w:type="dxa"/>
            <w:tcMar>
              <w:top w:w="80" w:type="dxa"/>
              <w:left w:w="100" w:type="dxa"/>
              <w:bottom w:w="80" w:type="dxa"/>
              <w:right w:w="100" w:type="dxa"/>
            </w:tcMar>
            <w:vAlign w:val="center"/>
          </w:tcPr>
          <w:p w14:paraId="3518180C" w14:textId="77777777" w:rsidR="00B35516" w:rsidRPr="001B3F92" w:rsidRDefault="00B35516" w:rsidP="00101A24">
            <w:pPr>
              <w:jc w:val="both"/>
              <w:rPr>
                <w:rFonts w:ascii="Arial" w:hAnsi="Arial" w:cs="Arial"/>
              </w:rPr>
            </w:pPr>
            <w:r w:rsidRPr="001B3F92">
              <w:rPr>
                <w:rFonts w:ascii="Arial" w:hAnsi="Arial" w:cs="Arial"/>
              </w:rPr>
              <w:t>Objective 4</w:t>
            </w:r>
          </w:p>
        </w:tc>
        <w:tc>
          <w:tcPr>
            <w:tcW w:w="4365" w:type="dxa"/>
            <w:tcMar>
              <w:top w:w="80" w:type="dxa"/>
              <w:left w:w="100" w:type="dxa"/>
              <w:bottom w:w="80" w:type="dxa"/>
              <w:right w:w="100" w:type="dxa"/>
            </w:tcMar>
            <w:vAlign w:val="center"/>
          </w:tcPr>
          <w:p w14:paraId="785F55E1" w14:textId="77777777" w:rsidR="00B35516" w:rsidRPr="001B3F92" w:rsidRDefault="00B35516" w:rsidP="00101A24">
            <w:pPr>
              <w:jc w:val="both"/>
              <w:rPr>
                <w:rFonts w:ascii="Arial" w:hAnsi="Arial" w:cs="Arial"/>
              </w:rPr>
            </w:pPr>
            <w:r w:rsidRPr="001B3F92">
              <w:rPr>
                <w:rFonts w:ascii="Arial" w:hAnsi="Arial" w:cs="Arial"/>
              </w:rPr>
              <w:t>Explore staff perceptions of usability, burden and unintended consequences.</w:t>
            </w:r>
          </w:p>
        </w:tc>
        <w:tc>
          <w:tcPr>
            <w:tcW w:w="3572" w:type="dxa"/>
            <w:tcMar>
              <w:top w:w="80" w:type="dxa"/>
              <w:left w:w="100" w:type="dxa"/>
              <w:bottom w:w="80" w:type="dxa"/>
              <w:right w:w="100" w:type="dxa"/>
            </w:tcMar>
            <w:vAlign w:val="center"/>
          </w:tcPr>
          <w:p w14:paraId="7C6E8A8D" w14:textId="77777777" w:rsidR="00B35516" w:rsidRPr="001B3F92" w:rsidRDefault="00B35516" w:rsidP="00101A24">
            <w:pPr>
              <w:jc w:val="both"/>
              <w:rPr>
                <w:rFonts w:ascii="Arial" w:hAnsi="Arial" w:cs="Arial"/>
              </w:rPr>
            </w:pPr>
            <w:r w:rsidRPr="001B3F92">
              <w:rPr>
                <w:rFonts w:ascii="Arial" w:hAnsi="Arial" w:cs="Arial"/>
              </w:rPr>
              <w:t>Explains mechanisms and sustainability of change.</w:t>
            </w:r>
          </w:p>
        </w:tc>
      </w:tr>
      <w:tr w:rsidR="00B35516" w:rsidRPr="001B3F92" w14:paraId="2A1981BB" w14:textId="77777777" w:rsidTr="00101A24">
        <w:trPr>
          <w:jc w:val="center"/>
        </w:trPr>
        <w:tc>
          <w:tcPr>
            <w:tcW w:w="1701" w:type="dxa"/>
            <w:tcMar>
              <w:top w:w="80" w:type="dxa"/>
              <w:left w:w="100" w:type="dxa"/>
              <w:bottom w:w="80" w:type="dxa"/>
              <w:right w:w="100" w:type="dxa"/>
            </w:tcMar>
            <w:vAlign w:val="center"/>
          </w:tcPr>
          <w:p w14:paraId="4B970409" w14:textId="77777777" w:rsidR="00B35516" w:rsidRPr="001B3F92" w:rsidRDefault="00B35516" w:rsidP="00101A24">
            <w:pPr>
              <w:jc w:val="both"/>
              <w:rPr>
                <w:rFonts w:ascii="Arial" w:hAnsi="Arial" w:cs="Arial"/>
              </w:rPr>
            </w:pPr>
            <w:r w:rsidRPr="001B3F92">
              <w:rPr>
                <w:rFonts w:ascii="Arial" w:hAnsi="Arial" w:cs="Arial"/>
              </w:rPr>
              <w:t>Objective 5</w:t>
            </w:r>
          </w:p>
        </w:tc>
        <w:tc>
          <w:tcPr>
            <w:tcW w:w="4365" w:type="dxa"/>
            <w:tcMar>
              <w:top w:w="80" w:type="dxa"/>
              <w:left w:w="100" w:type="dxa"/>
              <w:bottom w:w="80" w:type="dxa"/>
              <w:right w:w="100" w:type="dxa"/>
            </w:tcMar>
            <w:vAlign w:val="center"/>
          </w:tcPr>
          <w:p w14:paraId="7B82A322" w14:textId="77777777" w:rsidR="00B35516" w:rsidRPr="001B3F92" w:rsidRDefault="00B35516" w:rsidP="00101A24">
            <w:pPr>
              <w:jc w:val="both"/>
              <w:rPr>
                <w:rFonts w:ascii="Arial" w:hAnsi="Arial" w:cs="Arial"/>
              </w:rPr>
            </w:pPr>
            <w:r w:rsidRPr="001B3F92">
              <w:rPr>
                <w:rFonts w:ascii="Arial" w:hAnsi="Arial" w:cs="Arial"/>
              </w:rPr>
              <w:t>Integrate quantitative and qualitative findings.</w:t>
            </w:r>
          </w:p>
        </w:tc>
        <w:tc>
          <w:tcPr>
            <w:tcW w:w="3572" w:type="dxa"/>
            <w:tcMar>
              <w:top w:w="80" w:type="dxa"/>
              <w:left w:w="100" w:type="dxa"/>
              <w:bottom w:w="80" w:type="dxa"/>
              <w:right w:w="100" w:type="dxa"/>
            </w:tcMar>
            <w:vAlign w:val="center"/>
          </w:tcPr>
          <w:p w14:paraId="5DB955B2" w14:textId="77777777" w:rsidR="00B35516" w:rsidRPr="001B3F92" w:rsidRDefault="00B35516" w:rsidP="00101A24">
            <w:pPr>
              <w:jc w:val="both"/>
              <w:rPr>
                <w:rFonts w:ascii="Arial" w:hAnsi="Arial" w:cs="Arial"/>
              </w:rPr>
            </w:pPr>
            <w:r w:rsidRPr="001B3F92">
              <w:rPr>
                <w:rFonts w:ascii="Arial" w:hAnsi="Arial" w:cs="Arial"/>
              </w:rPr>
              <w:t>Produces a coherent mixed-methods judgement.</w:t>
            </w:r>
          </w:p>
        </w:tc>
      </w:tr>
    </w:tbl>
    <w:p w14:paraId="2F92A446" w14:textId="77777777" w:rsidR="00B35516" w:rsidRPr="001B3F92" w:rsidRDefault="00B35516" w:rsidP="00B35516">
      <w:pPr>
        <w:jc w:val="both"/>
        <w:rPr>
          <w:rFonts w:ascii="Arial" w:hAnsi="Arial" w:cs="Arial"/>
        </w:rPr>
      </w:pPr>
    </w:p>
    <w:p w14:paraId="27B4D3E5" w14:textId="77777777" w:rsidR="00B35516" w:rsidRPr="00692BD2" w:rsidRDefault="00B35516" w:rsidP="005105CA">
      <w:pPr>
        <w:jc w:val="both"/>
        <w:rPr>
          <w:rFonts w:ascii="Arial" w:hAnsi="Arial" w:cs="Arial"/>
          <w:b/>
          <w:bCs/>
        </w:rPr>
      </w:pPr>
      <w:r w:rsidRPr="00692BD2">
        <w:rPr>
          <w:rFonts w:ascii="Arial" w:hAnsi="Arial" w:cs="Arial"/>
          <w:b/>
          <w:bCs/>
        </w:rPr>
        <w:t>Select and justify data collection that is relevant and itemise the analysis methods needed to meet the research objectives</w:t>
      </w:r>
    </w:p>
    <w:p w14:paraId="5A0C97A4" w14:textId="59F16183" w:rsidR="00105DF5" w:rsidRDefault="00B35516" w:rsidP="00B35516">
      <w:pPr>
        <w:jc w:val="both"/>
        <w:rPr>
          <w:rFonts w:ascii="Arial" w:hAnsi="Arial" w:cs="Arial"/>
          <w:lang w:val="en-GB"/>
        </w:rPr>
      </w:pPr>
      <w:r w:rsidRPr="00345553">
        <w:rPr>
          <w:rFonts w:ascii="Arial" w:hAnsi="Arial" w:cs="Arial"/>
          <w:lang w:val="en-GB"/>
        </w:rPr>
        <w:t xml:space="preserve">A mixed-methods design is appropriate because the research objectives require both quantitative measurement and qualitative explanation. Quantitative data </w:t>
      </w:r>
      <w:r>
        <w:rPr>
          <w:rFonts w:ascii="Arial" w:hAnsi="Arial" w:cs="Arial"/>
          <w:lang w:val="en-GB"/>
        </w:rPr>
        <w:t>is</w:t>
      </w:r>
      <w:r w:rsidRPr="00345553">
        <w:rPr>
          <w:rFonts w:ascii="Arial" w:hAnsi="Arial" w:cs="Arial"/>
          <w:lang w:val="en-GB"/>
        </w:rPr>
        <w:t xml:space="preserve"> necessary to establish whether workflow performance changes in measurable ways, while qualitative data </w:t>
      </w:r>
      <w:r w:rsidR="00515D36">
        <w:rPr>
          <w:rFonts w:ascii="Arial" w:hAnsi="Arial" w:cs="Arial"/>
          <w:lang w:val="en-GB"/>
        </w:rPr>
        <w:t>is</w:t>
      </w:r>
      <w:r w:rsidRPr="00345553">
        <w:rPr>
          <w:rFonts w:ascii="Arial" w:hAnsi="Arial" w:cs="Arial"/>
          <w:lang w:val="en-GB"/>
        </w:rPr>
        <w:t xml:space="preserve"> necessary to explain how those patterns arise within real organisational settings. Th</w:t>
      </w:r>
      <w:r>
        <w:rPr>
          <w:rFonts w:ascii="Arial" w:hAnsi="Arial" w:cs="Arial"/>
          <w:lang w:val="en-GB"/>
        </w:rPr>
        <w:t>is</w:t>
      </w:r>
      <w:r w:rsidRPr="00345553">
        <w:rPr>
          <w:rFonts w:ascii="Arial" w:hAnsi="Arial" w:cs="Arial"/>
          <w:lang w:val="en-GB"/>
        </w:rPr>
        <w:t xml:space="preserve"> project is therefore designed as a </w:t>
      </w:r>
      <w:r w:rsidRPr="005465FF">
        <w:rPr>
          <w:rFonts w:ascii="Arial" w:hAnsi="Arial" w:cs="Arial"/>
          <w:lang w:val="en-GB"/>
        </w:rPr>
        <w:t>convergent mixed-methods service evaluation</w:t>
      </w:r>
      <w:r w:rsidRPr="00345553">
        <w:rPr>
          <w:rFonts w:ascii="Arial" w:hAnsi="Arial" w:cs="Arial"/>
          <w:lang w:val="en-GB"/>
        </w:rPr>
        <w:t xml:space="preserve"> in which the two strands are collected and analysed separately before being integrated through interpretive comparison</w:t>
      </w:r>
      <w:r>
        <w:rPr>
          <w:rFonts w:ascii="Arial" w:hAnsi="Arial" w:cs="Arial"/>
          <w:lang w:val="en-GB"/>
        </w:rPr>
        <w:t xml:space="preserve"> </w:t>
      </w:r>
      <w:r w:rsidRPr="00310193">
        <w:rPr>
          <w:rFonts w:ascii="Arial" w:hAnsi="Arial" w:cs="Arial"/>
          <w:lang w:val="en-GB"/>
        </w:rPr>
        <w:t>(Ahmed, Pereira and Jane, 2024)</w:t>
      </w:r>
      <w:r w:rsidRPr="00345553">
        <w:rPr>
          <w:rFonts w:ascii="Arial" w:hAnsi="Arial" w:cs="Arial"/>
          <w:lang w:val="en-GB"/>
        </w:rPr>
        <w:t>. This design is justified because it supports comparison, complementarity and triangulation, rather than</w:t>
      </w:r>
      <w:r>
        <w:rPr>
          <w:rFonts w:ascii="Arial" w:hAnsi="Arial" w:cs="Arial"/>
          <w:lang w:val="en-GB"/>
        </w:rPr>
        <w:t xml:space="preserve"> relying on</w:t>
      </w:r>
      <w:r w:rsidRPr="00345553">
        <w:rPr>
          <w:rFonts w:ascii="Arial" w:hAnsi="Arial" w:cs="Arial"/>
          <w:lang w:val="en-GB"/>
        </w:rPr>
        <w:t xml:space="preserve"> one form of evidence adequately answer</w:t>
      </w:r>
      <w:r>
        <w:rPr>
          <w:rFonts w:ascii="Arial" w:hAnsi="Arial" w:cs="Arial"/>
          <w:lang w:val="en-GB"/>
        </w:rPr>
        <w:t>ing</w:t>
      </w:r>
      <w:r w:rsidRPr="00345553">
        <w:rPr>
          <w:rFonts w:ascii="Arial" w:hAnsi="Arial" w:cs="Arial"/>
          <w:lang w:val="en-GB"/>
        </w:rPr>
        <w:t xml:space="preserve"> every evaluative question. In health services research, convergent designs are especially appropriate where the same phenomenon must be understood both as a set of measurable process outcomes and as an enacted social practice shaped by context, judgement and local adaptation </w:t>
      </w:r>
      <w:r w:rsidRPr="00B95E74">
        <w:rPr>
          <w:rFonts w:ascii="Arial" w:hAnsi="Arial" w:cs="Arial"/>
          <w:lang w:val="en-GB"/>
        </w:rPr>
        <w:t>(Fetters, Curry and Creswell, 2013)</w:t>
      </w:r>
      <w:r w:rsidRPr="00345553">
        <w:rPr>
          <w:rFonts w:ascii="Arial" w:hAnsi="Arial" w:cs="Arial"/>
          <w:lang w:val="en-GB"/>
        </w:rPr>
        <w:t>.</w:t>
      </w:r>
    </w:p>
    <w:p w14:paraId="1028F8B2" w14:textId="2C7643AE" w:rsidR="00105DF5" w:rsidRPr="00105DF5" w:rsidRDefault="00105DF5" w:rsidP="00105DF5">
      <w:pPr>
        <w:jc w:val="both"/>
        <w:rPr>
          <w:rFonts w:ascii="Arial" w:hAnsi="Arial" w:cs="Arial"/>
          <w:lang w:val="en-GB"/>
        </w:rPr>
      </w:pPr>
      <w:r w:rsidRPr="00105DF5">
        <w:rPr>
          <w:rFonts w:ascii="Arial" w:hAnsi="Arial" w:cs="Arial"/>
          <w:lang w:val="en-GB"/>
        </w:rPr>
        <w:t xml:space="preserve">The primary unit of quantitative analysis will be the workflow episode, defined as one document moving from receipt to closure within the platform. This is preferable to using only aggregate monthly totals because episode-level data preserve temporal ordering, permit stage-by-stage delay analysis, and support modelling of breach risk at the level where operational decisions are </w:t>
      </w:r>
      <w:r w:rsidR="00FF24D7" w:rsidRPr="00105DF5">
        <w:rPr>
          <w:rFonts w:ascii="Arial" w:hAnsi="Arial" w:cs="Arial"/>
          <w:lang w:val="en-GB"/>
        </w:rPr>
        <w:t>made</w:t>
      </w:r>
      <w:r w:rsidRPr="00105DF5">
        <w:rPr>
          <w:rFonts w:ascii="Arial" w:hAnsi="Arial" w:cs="Arial"/>
          <w:lang w:val="en-GB"/>
        </w:rPr>
        <w:t xml:space="preserve">. The minimum dataset will include document type, priority, source, receipt time, indexing time, allocation time, action time, closure time, handling role, </w:t>
      </w:r>
      <w:r w:rsidRPr="00105DF5">
        <w:rPr>
          <w:rFonts w:ascii="Arial" w:hAnsi="Arial" w:cs="Arial"/>
          <w:lang w:val="en-GB"/>
        </w:rPr>
        <w:lastRenderedPageBreak/>
        <w:t>reassignment count and overdue status, with linkage to contextual variables such as staffing level, absence, site configuration and day of week. Inclusion criteria will be all workflow episodes processed within the agreed evaluation period; exclusions will include test records, duplicate system artefacts and episodes with irretrievable timestamp error after data cleaning.</w:t>
      </w:r>
    </w:p>
    <w:p w14:paraId="49559E11" w14:textId="5E12BAC0" w:rsidR="00105DF5" w:rsidRPr="00105DF5" w:rsidRDefault="0035771B" w:rsidP="00105DF5">
      <w:pPr>
        <w:jc w:val="both"/>
        <w:rPr>
          <w:rFonts w:ascii="Arial" w:hAnsi="Arial" w:cs="Arial"/>
          <w:lang w:val="en-GB"/>
        </w:rPr>
      </w:pPr>
      <w:r>
        <w:rPr>
          <w:rFonts w:ascii="Arial" w:hAnsi="Arial" w:cs="Arial"/>
          <w:lang w:val="en-GB"/>
        </w:rPr>
        <w:t>If</w:t>
      </w:r>
      <w:r w:rsidR="00105DF5" w:rsidRPr="00105DF5">
        <w:rPr>
          <w:rFonts w:ascii="Arial" w:hAnsi="Arial" w:cs="Arial"/>
          <w:lang w:val="en-GB"/>
        </w:rPr>
        <w:t xml:space="preserve"> a pre</w:t>
      </w:r>
      <w:r w:rsidR="000633D7">
        <w:rPr>
          <w:rFonts w:ascii="Arial" w:hAnsi="Arial" w:cs="Arial"/>
          <w:lang w:val="en-GB"/>
        </w:rPr>
        <w:t xml:space="preserve"> and </w:t>
      </w:r>
      <w:r w:rsidR="00105DF5" w:rsidRPr="00105DF5">
        <w:rPr>
          <w:rFonts w:ascii="Arial" w:hAnsi="Arial" w:cs="Arial"/>
          <w:lang w:val="en-GB"/>
        </w:rPr>
        <w:t xml:space="preserve">post implementation </w:t>
      </w:r>
      <w:r w:rsidR="00E85266">
        <w:rPr>
          <w:rFonts w:ascii="Arial" w:hAnsi="Arial" w:cs="Arial"/>
          <w:lang w:val="en-GB"/>
        </w:rPr>
        <w:t xml:space="preserve">of Documan10x </w:t>
      </w:r>
      <w:r w:rsidR="00105DF5" w:rsidRPr="00105DF5">
        <w:rPr>
          <w:rFonts w:ascii="Arial" w:hAnsi="Arial" w:cs="Arial"/>
          <w:lang w:val="en-GB"/>
        </w:rPr>
        <w:t>comparison is feasible</w:t>
      </w:r>
      <w:r w:rsidR="00301462">
        <w:rPr>
          <w:rFonts w:ascii="Arial" w:hAnsi="Arial" w:cs="Arial"/>
          <w:lang w:val="en-GB"/>
        </w:rPr>
        <w:t xml:space="preserve"> (as some NHS general practices don’t have the </w:t>
      </w:r>
      <w:r w:rsidR="00C56A43">
        <w:rPr>
          <w:rFonts w:ascii="Arial" w:hAnsi="Arial" w:cs="Arial"/>
          <w:lang w:val="en-GB"/>
        </w:rPr>
        <w:t>system installed)</w:t>
      </w:r>
      <w:r w:rsidR="00D36603">
        <w:rPr>
          <w:rFonts w:ascii="Arial" w:hAnsi="Arial" w:cs="Arial"/>
          <w:lang w:val="en-GB"/>
        </w:rPr>
        <w:t>;</w:t>
      </w:r>
      <w:r w:rsidR="00105DF5" w:rsidRPr="00105DF5">
        <w:rPr>
          <w:rFonts w:ascii="Arial" w:hAnsi="Arial" w:cs="Arial"/>
          <w:lang w:val="en-GB"/>
        </w:rPr>
        <w:t xml:space="preserve"> th</w:t>
      </w:r>
      <w:r w:rsidR="00910446">
        <w:rPr>
          <w:rFonts w:ascii="Arial" w:hAnsi="Arial" w:cs="Arial"/>
          <w:lang w:val="en-GB"/>
        </w:rPr>
        <w:t>is</w:t>
      </w:r>
      <w:r w:rsidR="00105DF5" w:rsidRPr="00105DF5">
        <w:rPr>
          <w:rFonts w:ascii="Arial" w:hAnsi="Arial" w:cs="Arial"/>
          <w:lang w:val="en-GB"/>
        </w:rPr>
        <w:t xml:space="preserve"> preferred design w</w:t>
      </w:r>
      <w:r w:rsidR="00D36603">
        <w:rPr>
          <w:rFonts w:ascii="Arial" w:hAnsi="Arial" w:cs="Arial"/>
          <w:lang w:val="en-GB"/>
        </w:rPr>
        <w:t>ould</w:t>
      </w:r>
      <w:r w:rsidR="00105DF5" w:rsidRPr="00105DF5">
        <w:rPr>
          <w:rFonts w:ascii="Arial" w:hAnsi="Arial" w:cs="Arial"/>
          <w:lang w:val="en-GB"/>
        </w:rPr>
        <w:t xml:space="preserve"> compare equivalent periods before and after implementation, for example </w:t>
      </w:r>
      <w:r w:rsidR="000D5A4F">
        <w:rPr>
          <w:rFonts w:ascii="Arial" w:hAnsi="Arial" w:cs="Arial"/>
          <w:lang w:val="en-GB"/>
        </w:rPr>
        <w:t>3</w:t>
      </w:r>
      <w:r w:rsidR="00E643DF">
        <w:rPr>
          <w:rFonts w:ascii="Arial" w:hAnsi="Arial" w:cs="Arial"/>
          <w:lang w:val="en-GB"/>
        </w:rPr>
        <w:t>-6</w:t>
      </w:r>
      <w:r w:rsidR="00105DF5" w:rsidRPr="00105DF5">
        <w:rPr>
          <w:rFonts w:ascii="Arial" w:hAnsi="Arial" w:cs="Arial"/>
          <w:lang w:val="en-GB"/>
        </w:rPr>
        <w:t xml:space="preserve"> months on each side, to reduce the risk of seasonal distortion. Where no valid pre-implementation data exist, the evaluation will</w:t>
      </w:r>
      <w:r w:rsidR="00DD245F">
        <w:rPr>
          <w:rFonts w:ascii="Arial" w:hAnsi="Arial" w:cs="Arial"/>
          <w:lang w:val="en-GB"/>
        </w:rPr>
        <w:t xml:space="preserve"> need to</w:t>
      </w:r>
      <w:r w:rsidR="00105DF5" w:rsidRPr="00105DF5">
        <w:rPr>
          <w:rFonts w:ascii="Arial" w:hAnsi="Arial" w:cs="Arial"/>
          <w:lang w:val="en-GB"/>
        </w:rPr>
        <w:t xml:space="preserve"> adopt a cross-sectional multi-site design comparing practices at different stages of maturity. In both cases, the analysis will explicitly account for clustering by practice and repeated observations over time, because workflow episodes within the same site are unlikely to be independent. This is important methodologically</w:t>
      </w:r>
      <w:r w:rsidR="00FE22FE">
        <w:rPr>
          <w:rFonts w:ascii="Arial" w:hAnsi="Arial" w:cs="Arial"/>
          <w:lang w:val="en-GB"/>
        </w:rPr>
        <w:t>;</w:t>
      </w:r>
      <w:r w:rsidR="00105DF5" w:rsidRPr="00105DF5">
        <w:rPr>
          <w:rFonts w:ascii="Arial" w:hAnsi="Arial" w:cs="Arial"/>
          <w:lang w:val="en-GB"/>
        </w:rPr>
        <w:t xml:space="preserve"> without allowing for site-level clustering, apparent differences may be overstated and standard errors artificially reduced. The analysis plan will therefore align method choice to data structure rather than choosing tests on convenience grounds alone.</w:t>
      </w:r>
    </w:p>
    <w:p w14:paraId="65884770" w14:textId="358338EE" w:rsidR="00C04066" w:rsidRPr="00345553" w:rsidRDefault="00105DF5" w:rsidP="00B35516">
      <w:pPr>
        <w:jc w:val="both"/>
        <w:rPr>
          <w:rFonts w:ascii="Arial" w:hAnsi="Arial" w:cs="Arial"/>
          <w:lang w:val="en-GB"/>
        </w:rPr>
      </w:pPr>
      <w:r w:rsidRPr="00105DF5">
        <w:rPr>
          <w:rFonts w:ascii="Arial" w:hAnsi="Arial" w:cs="Arial"/>
          <w:lang w:val="en-GB"/>
        </w:rPr>
        <w:t xml:space="preserve">Missing or implausible timestamps will </w:t>
      </w:r>
      <w:r w:rsidR="008651C5">
        <w:rPr>
          <w:rFonts w:ascii="Arial" w:hAnsi="Arial" w:cs="Arial"/>
          <w:lang w:val="en-GB"/>
        </w:rPr>
        <w:t>need to</w:t>
      </w:r>
      <w:r w:rsidRPr="00105DF5">
        <w:rPr>
          <w:rFonts w:ascii="Arial" w:hAnsi="Arial" w:cs="Arial"/>
          <w:lang w:val="en-GB"/>
        </w:rPr>
        <w:t xml:space="preserve"> be profiled</w:t>
      </w:r>
      <w:r w:rsidR="008651C5">
        <w:rPr>
          <w:rFonts w:ascii="Arial" w:hAnsi="Arial" w:cs="Arial"/>
          <w:lang w:val="en-GB"/>
        </w:rPr>
        <w:t xml:space="preserve"> first to</w:t>
      </w:r>
      <w:r w:rsidRPr="00105DF5">
        <w:rPr>
          <w:rFonts w:ascii="Arial" w:hAnsi="Arial" w:cs="Arial"/>
          <w:lang w:val="en-GB"/>
        </w:rPr>
        <w:t xml:space="preserve"> determine whether they are random, systematic or linked to </w:t>
      </w:r>
      <w:r w:rsidR="000E3A00" w:rsidRPr="00105DF5">
        <w:rPr>
          <w:rFonts w:ascii="Arial" w:hAnsi="Arial" w:cs="Arial"/>
          <w:lang w:val="en-GB"/>
        </w:rPr>
        <w:t>sites</w:t>
      </w:r>
      <w:r w:rsidRPr="00105DF5">
        <w:rPr>
          <w:rFonts w:ascii="Arial" w:hAnsi="Arial" w:cs="Arial"/>
          <w:lang w:val="en-GB"/>
        </w:rPr>
        <w:t>, roles or document types. Complete-case analysis will only be used where missing</w:t>
      </w:r>
      <w:r w:rsidR="000E3A00">
        <w:rPr>
          <w:rFonts w:ascii="Arial" w:hAnsi="Arial" w:cs="Arial"/>
          <w:lang w:val="en-GB"/>
        </w:rPr>
        <w:t xml:space="preserve"> data</w:t>
      </w:r>
      <w:r w:rsidRPr="00105DF5">
        <w:rPr>
          <w:rFonts w:ascii="Arial" w:hAnsi="Arial" w:cs="Arial"/>
          <w:lang w:val="en-GB"/>
        </w:rPr>
        <w:t xml:space="preserve"> is minimal and unlikely to bias inference; otherwise, sensitivity analyses will compare results with and without problematic episodes. Continuous outcomes such as turnaround time are likely to be right-skewed, so medians, interquartile ranges and high-percentile measures will be prioritised alongside means. Binary outcomes such as overdue versus not overdue will be examined using multivariable logistic regression, while time-to-closure outcomes are better suited to survival analysis because they retain information about censored open cases. This makes the analysis demonstrably fit for purpose rather than </w:t>
      </w:r>
      <w:r w:rsidR="005728F7" w:rsidRPr="00105DF5">
        <w:rPr>
          <w:rFonts w:ascii="Arial" w:hAnsi="Arial" w:cs="Arial"/>
          <w:lang w:val="en-GB"/>
        </w:rPr>
        <w:t>just</w:t>
      </w:r>
      <w:r w:rsidRPr="00105DF5">
        <w:rPr>
          <w:rFonts w:ascii="Arial" w:hAnsi="Arial" w:cs="Arial"/>
          <w:lang w:val="en-GB"/>
        </w:rPr>
        <w:t xml:space="preserve"> </w:t>
      </w:r>
      <w:r w:rsidR="005728F7" w:rsidRPr="00105DF5">
        <w:rPr>
          <w:rFonts w:ascii="Arial" w:hAnsi="Arial" w:cs="Arial"/>
          <w:lang w:val="en-GB"/>
        </w:rPr>
        <w:t>method</w:t>
      </w:r>
      <w:r w:rsidR="005728F7">
        <w:rPr>
          <w:rFonts w:ascii="Arial" w:hAnsi="Arial" w:cs="Arial"/>
          <w:lang w:val="en-GB"/>
        </w:rPr>
        <w:t>ically</w:t>
      </w:r>
      <w:r w:rsidR="000E3A00" w:rsidRPr="00105DF5">
        <w:rPr>
          <w:rFonts w:ascii="Arial" w:hAnsi="Arial" w:cs="Arial"/>
          <w:lang w:val="en-GB"/>
        </w:rPr>
        <w:t xml:space="preserve"> rich</w:t>
      </w:r>
      <w:r w:rsidR="00711E6F">
        <w:rPr>
          <w:rFonts w:ascii="Arial" w:hAnsi="Arial" w:cs="Arial"/>
          <w:lang w:val="en-GB"/>
        </w:rPr>
        <w:t xml:space="preserve"> </w:t>
      </w:r>
      <w:r w:rsidR="00711E6F" w:rsidRPr="00711E6F">
        <w:rPr>
          <w:rFonts w:ascii="Arial" w:hAnsi="Arial" w:cs="Arial"/>
          <w:lang w:val="en-GB"/>
        </w:rPr>
        <w:t>(Ranganathan, Pramesh and Aggarwal, 2017)</w:t>
      </w:r>
      <w:r w:rsidRPr="00105DF5">
        <w:rPr>
          <w:rFonts w:ascii="Arial" w:hAnsi="Arial" w:cs="Arial"/>
          <w:lang w:val="en-GB"/>
        </w:rPr>
        <w:t>.</w:t>
      </w:r>
    </w:p>
    <w:p w14:paraId="103D292A" w14:textId="6AE40C29" w:rsidR="00B35516" w:rsidRPr="00345553" w:rsidRDefault="00B35516" w:rsidP="00B35516">
      <w:pPr>
        <w:jc w:val="both"/>
        <w:rPr>
          <w:rFonts w:ascii="Arial" w:hAnsi="Arial" w:cs="Arial"/>
          <w:lang w:val="en-GB"/>
        </w:rPr>
      </w:pPr>
      <w:r w:rsidRPr="00345553">
        <w:rPr>
          <w:rFonts w:ascii="Arial" w:hAnsi="Arial" w:cs="Arial"/>
          <w:lang w:val="en-GB"/>
        </w:rPr>
        <w:t xml:space="preserve">The decision to use a convergent design </w:t>
      </w:r>
      <w:r w:rsidR="005F5DDB">
        <w:rPr>
          <w:rFonts w:ascii="Arial" w:hAnsi="Arial" w:cs="Arial"/>
          <w:lang w:val="en-GB"/>
        </w:rPr>
        <w:t>originates from the idea that c</w:t>
      </w:r>
      <w:r w:rsidRPr="00345553">
        <w:rPr>
          <w:rFonts w:ascii="Arial" w:hAnsi="Arial" w:cs="Arial"/>
          <w:lang w:val="en-GB"/>
        </w:rPr>
        <w:t>loud-based workflow platforms are not discrete technical interventions that can be appraised solely through pre</w:t>
      </w:r>
      <w:r>
        <w:rPr>
          <w:rFonts w:ascii="Arial" w:hAnsi="Arial" w:cs="Arial"/>
          <w:lang w:val="en-GB"/>
        </w:rPr>
        <w:t xml:space="preserve"> and </w:t>
      </w:r>
      <w:r w:rsidRPr="00345553">
        <w:rPr>
          <w:rFonts w:ascii="Arial" w:hAnsi="Arial" w:cs="Arial"/>
          <w:lang w:val="en-GB"/>
        </w:rPr>
        <w:t xml:space="preserve">post metrics. </w:t>
      </w:r>
      <w:r>
        <w:rPr>
          <w:rFonts w:ascii="Arial" w:hAnsi="Arial" w:cs="Arial"/>
          <w:lang w:val="en-GB"/>
        </w:rPr>
        <w:t>T</w:t>
      </w:r>
      <w:r w:rsidRPr="00345553">
        <w:rPr>
          <w:rFonts w:ascii="Arial" w:hAnsi="Arial" w:cs="Arial"/>
          <w:lang w:val="en-GB"/>
        </w:rPr>
        <w:t>hey operate within a complex sociotechnical environment in which software functionality, staff role boundaries, interruption patterns, tacit workarounds and organisational rules interact to shape outcomes</w:t>
      </w:r>
      <w:r>
        <w:rPr>
          <w:rFonts w:ascii="Arial" w:hAnsi="Arial" w:cs="Arial"/>
          <w:lang w:val="en-GB"/>
        </w:rPr>
        <w:t xml:space="preserve"> (</w:t>
      </w:r>
      <w:r w:rsidRPr="00427730">
        <w:rPr>
          <w:rFonts w:ascii="Arial" w:hAnsi="Arial" w:cs="Arial"/>
          <w:lang w:val="en-GB"/>
        </w:rPr>
        <w:t>Sittig and Singh</w:t>
      </w:r>
      <w:r>
        <w:rPr>
          <w:rFonts w:ascii="Arial" w:hAnsi="Arial" w:cs="Arial"/>
          <w:lang w:val="en-GB"/>
        </w:rPr>
        <w:t xml:space="preserve">, </w:t>
      </w:r>
      <w:r w:rsidRPr="00427730">
        <w:rPr>
          <w:rFonts w:ascii="Arial" w:hAnsi="Arial" w:cs="Arial"/>
          <w:lang w:val="en-GB"/>
        </w:rPr>
        <w:t>2010)</w:t>
      </w:r>
      <w:r w:rsidRPr="00345553">
        <w:rPr>
          <w:rFonts w:ascii="Arial" w:hAnsi="Arial" w:cs="Arial"/>
          <w:lang w:val="en-GB"/>
        </w:rPr>
        <w:t>. For that reason, a</w:t>
      </w:r>
      <w:r>
        <w:rPr>
          <w:rFonts w:ascii="Arial" w:hAnsi="Arial" w:cs="Arial"/>
          <w:lang w:val="en-GB"/>
        </w:rPr>
        <w:t xml:space="preserve"> </w:t>
      </w:r>
      <w:r w:rsidRPr="00345553">
        <w:rPr>
          <w:rFonts w:ascii="Arial" w:hAnsi="Arial" w:cs="Arial"/>
          <w:lang w:val="en-GB"/>
        </w:rPr>
        <w:t>quantitative design</w:t>
      </w:r>
      <w:r>
        <w:rPr>
          <w:rFonts w:ascii="Arial" w:hAnsi="Arial" w:cs="Arial"/>
          <w:lang w:val="en-GB"/>
        </w:rPr>
        <w:t xml:space="preserve"> only</w:t>
      </w:r>
      <w:r w:rsidRPr="00345553">
        <w:rPr>
          <w:rFonts w:ascii="Arial" w:hAnsi="Arial" w:cs="Arial"/>
          <w:lang w:val="en-GB"/>
        </w:rPr>
        <w:t xml:space="preserve"> would risk mistaking measurement for explanation, whereas a purely qualitative design would risk rich description without robust estimation of effect. </w:t>
      </w:r>
      <w:r>
        <w:rPr>
          <w:rFonts w:ascii="Arial" w:hAnsi="Arial" w:cs="Arial"/>
          <w:lang w:val="en-GB"/>
        </w:rPr>
        <w:t>A mixed method</w:t>
      </w:r>
      <w:r w:rsidRPr="00345553">
        <w:rPr>
          <w:rFonts w:ascii="Arial" w:hAnsi="Arial" w:cs="Arial"/>
          <w:lang w:val="en-GB"/>
        </w:rPr>
        <w:t xml:space="preserve"> evaluation </w:t>
      </w:r>
      <w:r>
        <w:rPr>
          <w:rFonts w:ascii="Arial" w:hAnsi="Arial" w:cs="Arial"/>
          <w:lang w:val="en-GB"/>
        </w:rPr>
        <w:t>would</w:t>
      </w:r>
      <w:r w:rsidRPr="00345553">
        <w:rPr>
          <w:rFonts w:ascii="Arial" w:hAnsi="Arial" w:cs="Arial"/>
          <w:lang w:val="en-GB"/>
        </w:rPr>
        <w:t xml:space="preserve"> establish whether service change is detectable, and then to interrogate how, why and under what conditions that change appears to occur</w:t>
      </w:r>
      <w:r>
        <w:rPr>
          <w:rFonts w:ascii="Arial" w:hAnsi="Arial" w:cs="Arial"/>
          <w:lang w:val="en-GB"/>
        </w:rPr>
        <w:t xml:space="preserve"> </w:t>
      </w:r>
      <w:r w:rsidRPr="00CD046F">
        <w:rPr>
          <w:rFonts w:ascii="Arial" w:hAnsi="Arial" w:cs="Arial"/>
          <w:lang w:val="en-GB"/>
        </w:rPr>
        <w:t>(Valencia, 2022)</w:t>
      </w:r>
      <w:r w:rsidRPr="00345553">
        <w:rPr>
          <w:rFonts w:ascii="Arial" w:hAnsi="Arial" w:cs="Arial"/>
          <w:lang w:val="en-GB"/>
        </w:rPr>
        <w:t>. This is methodologically</w:t>
      </w:r>
      <w:r>
        <w:rPr>
          <w:rFonts w:ascii="Arial" w:hAnsi="Arial" w:cs="Arial"/>
          <w:lang w:val="en-GB"/>
        </w:rPr>
        <w:t xml:space="preserve"> more robust</w:t>
      </w:r>
      <w:r w:rsidRPr="00345553">
        <w:rPr>
          <w:rFonts w:ascii="Arial" w:hAnsi="Arial" w:cs="Arial"/>
          <w:lang w:val="en-GB"/>
        </w:rPr>
        <w:t xml:space="preserve"> than parallel descriptive strands because the purpose </w:t>
      </w:r>
      <w:r>
        <w:rPr>
          <w:rFonts w:ascii="Arial" w:hAnsi="Arial" w:cs="Arial"/>
          <w:lang w:val="en-GB"/>
        </w:rPr>
        <w:t xml:space="preserve">of this project </w:t>
      </w:r>
      <w:r w:rsidRPr="00345553">
        <w:rPr>
          <w:rFonts w:ascii="Arial" w:hAnsi="Arial" w:cs="Arial"/>
          <w:lang w:val="en-GB"/>
        </w:rPr>
        <w:t xml:space="preserve">is not </w:t>
      </w:r>
      <w:r>
        <w:rPr>
          <w:rFonts w:ascii="Arial" w:hAnsi="Arial" w:cs="Arial"/>
          <w:lang w:val="en-GB"/>
        </w:rPr>
        <w:t>only</w:t>
      </w:r>
      <w:r w:rsidRPr="00345553">
        <w:rPr>
          <w:rFonts w:ascii="Arial" w:hAnsi="Arial" w:cs="Arial"/>
          <w:lang w:val="en-GB"/>
        </w:rPr>
        <w:t xml:space="preserve"> to present two datasets, but to produce an integrated judgement about performance, implementation and sustainability. </w:t>
      </w:r>
    </w:p>
    <w:p w14:paraId="1560FCB0" w14:textId="63897EF7" w:rsidR="00B35516" w:rsidRDefault="00B35516" w:rsidP="00B35516">
      <w:pPr>
        <w:jc w:val="both"/>
        <w:rPr>
          <w:rFonts w:ascii="Arial" w:hAnsi="Arial" w:cs="Arial"/>
          <w:lang w:val="en-GB"/>
        </w:rPr>
      </w:pPr>
      <w:r w:rsidRPr="00345553">
        <w:rPr>
          <w:rFonts w:ascii="Arial" w:hAnsi="Arial" w:cs="Arial"/>
          <w:lang w:val="en-GB"/>
        </w:rPr>
        <w:t xml:space="preserve">The quantitative element should draw predominantly on routinely generated workflow data extracted from the platform and associated practice systems. </w:t>
      </w:r>
      <w:r>
        <w:rPr>
          <w:rFonts w:ascii="Arial" w:hAnsi="Arial" w:cs="Arial"/>
          <w:lang w:val="en-GB"/>
        </w:rPr>
        <w:t xml:space="preserve">As shown in </w:t>
      </w:r>
      <w:r w:rsidR="00923E4A">
        <w:rPr>
          <w:rFonts w:ascii="Arial" w:hAnsi="Arial" w:cs="Arial"/>
          <w:lang w:val="en-GB"/>
        </w:rPr>
        <w:t>figure</w:t>
      </w:r>
      <w:r>
        <w:rPr>
          <w:rFonts w:ascii="Arial" w:hAnsi="Arial" w:cs="Arial"/>
          <w:lang w:val="en-GB"/>
        </w:rPr>
        <w:t xml:space="preserve"> 1. e</w:t>
      </w:r>
      <w:r w:rsidRPr="00345553">
        <w:rPr>
          <w:rFonts w:ascii="Arial" w:hAnsi="Arial" w:cs="Arial"/>
          <w:lang w:val="en-GB"/>
        </w:rPr>
        <w:t xml:space="preserve">ach </w:t>
      </w:r>
      <w:r>
        <w:rPr>
          <w:rFonts w:ascii="Arial" w:hAnsi="Arial" w:cs="Arial"/>
          <w:lang w:val="en-GB"/>
        </w:rPr>
        <w:t xml:space="preserve">platform </w:t>
      </w:r>
      <w:r w:rsidRPr="00345553">
        <w:rPr>
          <w:rFonts w:ascii="Arial" w:hAnsi="Arial" w:cs="Arial"/>
          <w:lang w:val="en-GB"/>
        </w:rPr>
        <w:t xml:space="preserve">workflow episode should include a unique identifier, document type, priority status, source, receipt timestamp, indexing timestamp, allocation timestamp, action timestamp, closure timestamp, handling role, reassignment count and overdue indicator. These variables are directly relevant to the first three objectives </w:t>
      </w:r>
      <w:r w:rsidR="001B51BE">
        <w:rPr>
          <w:rFonts w:ascii="Arial" w:hAnsi="Arial" w:cs="Arial"/>
          <w:lang w:val="en-GB"/>
        </w:rPr>
        <w:t xml:space="preserve">of this </w:t>
      </w:r>
      <w:r w:rsidR="00781C8C">
        <w:rPr>
          <w:rFonts w:ascii="Arial" w:hAnsi="Arial" w:cs="Arial"/>
          <w:lang w:val="en-GB"/>
        </w:rPr>
        <w:t>evaluation</w:t>
      </w:r>
      <w:r w:rsidR="001B51BE">
        <w:rPr>
          <w:rFonts w:ascii="Arial" w:hAnsi="Arial" w:cs="Arial"/>
          <w:lang w:val="en-GB"/>
        </w:rPr>
        <w:t xml:space="preserve"> </w:t>
      </w:r>
      <w:r w:rsidRPr="00345553">
        <w:rPr>
          <w:rFonts w:ascii="Arial" w:hAnsi="Arial" w:cs="Arial"/>
          <w:lang w:val="en-GB"/>
        </w:rPr>
        <w:t xml:space="preserve">because they permit calculation of turnaround intervals, stage-specific delays, breach probabilities and backlog characteristics. </w:t>
      </w:r>
    </w:p>
    <w:p w14:paraId="44CAA9E7" w14:textId="788CFD00" w:rsidR="00B35516" w:rsidRPr="00E55A76" w:rsidRDefault="00923E4A" w:rsidP="00B35516">
      <w:pPr>
        <w:jc w:val="both"/>
        <w:rPr>
          <w:rFonts w:ascii="Arial" w:hAnsi="Arial" w:cs="Arial"/>
          <w:b/>
          <w:bCs/>
          <w:lang w:val="en-GB"/>
        </w:rPr>
      </w:pPr>
      <w:r>
        <w:rPr>
          <w:rFonts w:ascii="Arial" w:hAnsi="Arial" w:cs="Arial"/>
          <w:b/>
          <w:bCs/>
          <w:lang w:val="en-GB"/>
        </w:rPr>
        <w:lastRenderedPageBreak/>
        <w:t>Figure</w:t>
      </w:r>
      <w:r w:rsidR="00B35516" w:rsidRPr="00E72982">
        <w:rPr>
          <w:rFonts w:ascii="Arial" w:hAnsi="Arial" w:cs="Arial"/>
          <w:b/>
          <w:bCs/>
          <w:lang w:val="en-GB"/>
        </w:rPr>
        <w:t xml:space="preserve"> 1. Platform Workflow Episode Exampl</w:t>
      </w:r>
      <w:r w:rsidR="00B35516">
        <w:rPr>
          <w:rFonts w:ascii="Arial" w:hAnsi="Arial" w:cs="Arial"/>
          <w:b/>
          <w:bCs/>
          <w:lang w:val="en-GB"/>
        </w:rPr>
        <w:t>e</w:t>
      </w:r>
    </w:p>
    <w:p w14:paraId="2DE4E513" w14:textId="77777777" w:rsidR="00B35516" w:rsidRDefault="00B35516" w:rsidP="00B35516">
      <w:pPr>
        <w:jc w:val="both"/>
        <w:rPr>
          <w:rFonts w:ascii="Arial" w:hAnsi="Arial" w:cs="Arial"/>
          <w:lang w:val="en-GB"/>
        </w:rPr>
      </w:pPr>
      <w:r>
        <w:rPr>
          <w:noProof/>
        </w:rPr>
        <w:drawing>
          <wp:inline distT="0" distB="0" distL="0" distR="0" wp14:anchorId="33035961" wp14:editId="2288B575">
            <wp:extent cx="6188710" cy="4125595"/>
            <wp:effectExtent l="0" t="0" r="2540" b="8255"/>
            <wp:docPr id="756329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329927" name=""/>
                    <pic:cNvPicPr/>
                  </pic:nvPicPr>
                  <pic:blipFill>
                    <a:blip r:embed="rId6"/>
                    <a:stretch>
                      <a:fillRect/>
                    </a:stretch>
                  </pic:blipFill>
                  <pic:spPr>
                    <a:xfrm>
                      <a:off x="0" y="0"/>
                      <a:ext cx="6188710" cy="4125595"/>
                    </a:xfrm>
                    <a:prstGeom prst="rect">
                      <a:avLst/>
                    </a:prstGeom>
                  </pic:spPr>
                </pic:pic>
              </a:graphicData>
            </a:graphic>
          </wp:inline>
        </w:drawing>
      </w:r>
    </w:p>
    <w:p w14:paraId="4134E1CB" w14:textId="77777777" w:rsidR="00B35516" w:rsidRPr="00345553" w:rsidRDefault="00B35516" w:rsidP="00B35516">
      <w:pPr>
        <w:jc w:val="both"/>
        <w:rPr>
          <w:rFonts w:ascii="Arial" w:hAnsi="Arial" w:cs="Arial"/>
          <w:lang w:val="en-GB"/>
        </w:rPr>
      </w:pPr>
      <w:r w:rsidRPr="00345553">
        <w:rPr>
          <w:rFonts w:ascii="Arial" w:hAnsi="Arial" w:cs="Arial"/>
          <w:lang w:val="en-GB"/>
        </w:rPr>
        <w:t>The collection of staffing-related contextual variables, such as whole-time equivalent administrative resource, shift patterns, absence periods, role mix and shared-hub arrangements, is also justified because observed platform performance may otherwise be confounded by organisational conditions rather than platform effects</w:t>
      </w:r>
      <w:r>
        <w:rPr>
          <w:rFonts w:ascii="Arial" w:hAnsi="Arial" w:cs="Arial"/>
          <w:lang w:val="en-GB"/>
        </w:rPr>
        <w:t xml:space="preserve"> </w:t>
      </w:r>
      <w:r w:rsidRPr="00B23D7A">
        <w:rPr>
          <w:rFonts w:ascii="Arial" w:hAnsi="Arial" w:cs="Arial"/>
          <w:lang w:val="en-GB"/>
        </w:rPr>
        <w:t xml:space="preserve">(Mahar </w:t>
      </w:r>
      <w:r w:rsidRPr="00B23D7A">
        <w:rPr>
          <w:rFonts w:ascii="Arial" w:hAnsi="Arial" w:cs="Arial"/>
          <w:i/>
          <w:iCs/>
          <w:lang w:val="en-GB"/>
        </w:rPr>
        <w:t>et al</w:t>
      </w:r>
      <w:r w:rsidRPr="00B23D7A">
        <w:rPr>
          <w:rFonts w:ascii="Arial" w:hAnsi="Arial" w:cs="Arial"/>
          <w:lang w:val="en-GB"/>
        </w:rPr>
        <w:t>., 2025)</w:t>
      </w:r>
      <w:r w:rsidRPr="00345553">
        <w:rPr>
          <w:rFonts w:ascii="Arial" w:hAnsi="Arial" w:cs="Arial"/>
          <w:lang w:val="en-GB"/>
        </w:rPr>
        <w:t xml:space="preserve">. </w:t>
      </w:r>
    </w:p>
    <w:p w14:paraId="24C7050F" w14:textId="1730E22A" w:rsidR="00B35516" w:rsidRPr="00466EE0" w:rsidRDefault="00037BA7" w:rsidP="00E02D3F">
      <w:pPr>
        <w:jc w:val="both"/>
        <w:rPr>
          <w:lang w:val="en-GB"/>
        </w:rPr>
      </w:pPr>
      <w:r w:rsidRPr="00037BA7">
        <w:rPr>
          <w:rFonts w:ascii="Arial" w:hAnsi="Arial" w:cs="Arial"/>
          <w:color w:val="000000"/>
        </w:rPr>
        <w:t xml:space="preserve">Quantitative designs should include balancing and contextual measures, not just efficiency indicators (Kaboli and Mosher, 2014; Toma </w:t>
      </w:r>
      <w:r w:rsidRPr="00037BA7">
        <w:rPr>
          <w:rFonts w:ascii="Arial" w:hAnsi="Arial" w:cs="Arial"/>
          <w:i/>
          <w:color w:val="000000"/>
          <w:lang w:val="en-GB"/>
        </w:rPr>
        <w:t>et al</w:t>
      </w:r>
      <w:r w:rsidRPr="00037BA7">
        <w:rPr>
          <w:rFonts w:ascii="Arial" w:hAnsi="Arial" w:cs="Arial"/>
          <w:color w:val="000000"/>
          <w:lang w:val="en-GB"/>
        </w:rPr>
        <w:t>., 2017). Assessing workflow platforms on turnaround speed alone is inadequate, as gains may come from burden transfer, duplication, or reduced review time. Useful balancing metrics include reassignment rates, unresolved urgent items, backlog age, and workload-normali</w:t>
      </w:r>
      <w:r w:rsidR="00E02D3F">
        <w:rPr>
          <w:rFonts w:ascii="Arial" w:hAnsi="Arial" w:cs="Arial"/>
          <w:color w:val="000000"/>
          <w:lang w:val="en-GB"/>
        </w:rPr>
        <w:t>s</w:t>
      </w:r>
      <w:r w:rsidRPr="00037BA7">
        <w:rPr>
          <w:rFonts w:ascii="Arial" w:hAnsi="Arial" w:cs="Arial"/>
          <w:color w:val="000000"/>
          <w:lang w:val="en-GB"/>
        </w:rPr>
        <w:t xml:space="preserve">ed throughput. Fehlberg </w:t>
      </w:r>
      <w:r w:rsidRPr="00037BA7">
        <w:rPr>
          <w:rFonts w:ascii="Arial" w:hAnsi="Arial" w:cs="Arial"/>
          <w:i/>
          <w:color w:val="000000"/>
          <w:lang w:val="en-GB"/>
        </w:rPr>
        <w:t>et al</w:t>
      </w:r>
      <w:r w:rsidRPr="00037BA7">
        <w:rPr>
          <w:rFonts w:ascii="Arial" w:hAnsi="Arial" w:cs="Arial"/>
          <w:color w:val="000000"/>
          <w:lang w:val="en-GB"/>
        </w:rPr>
        <w:t>. (2024) note that interventions often seem operationally effective but can be unacceptable or unsustainable</w:t>
      </w:r>
      <w:r w:rsidR="00814F47">
        <w:rPr>
          <w:rFonts w:ascii="Arial" w:hAnsi="Arial" w:cs="Arial"/>
          <w:color w:val="000000"/>
          <w:lang w:val="en-GB"/>
        </w:rPr>
        <w:t>;</w:t>
      </w:r>
      <w:r w:rsidR="006F3D44">
        <w:rPr>
          <w:rFonts w:ascii="Arial" w:hAnsi="Arial" w:cs="Arial"/>
          <w:color w:val="000000"/>
          <w:lang w:val="en-GB"/>
        </w:rPr>
        <w:t xml:space="preserve"> so</w:t>
      </w:r>
      <w:r w:rsidRPr="00037BA7">
        <w:rPr>
          <w:rFonts w:ascii="Arial" w:hAnsi="Arial" w:cs="Arial"/>
          <w:color w:val="000000"/>
          <w:lang w:val="en-GB"/>
        </w:rPr>
        <w:t xml:space="preserve"> </w:t>
      </w:r>
      <w:r w:rsidR="006F3D44">
        <w:rPr>
          <w:rFonts w:ascii="Arial" w:hAnsi="Arial" w:cs="Arial"/>
          <w:color w:val="000000"/>
          <w:lang w:val="en-GB"/>
        </w:rPr>
        <w:t>a</w:t>
      </w:r>
      <w:r w:rsidRPr="00037BA7">
        <w:rPr>
          <w:rFonts w:ascii="Arial" w:hAnsi="Arial" w:cs="Arial"/>
          <w:color w:val="000000"/>
          <w:lang w:val="en-GB"/>
        </w:rPr>
        <w:t xml:space="preserve">cceptability, appropriateness, and feasibility measures </w:t>
      </w:r>
      <w:r w:rsidR="006F3D44">
        <w:rPr>
          <w:rFonts w:ascii="Arial" w:hAnsi="Arial" w:cs="Arial"/>
          <w:color w:val="000000"/>
          <w:lang w:val="en-GB"/>
        </w:rPr>
        <w:t xml:space="preserve">will need to be </w:t>
      </w:r>
      <w:r w:rsidRPr="00037BA7">
        <w:rPr>
          <w:rFonts w:ascii="Arial" w:hAnsi="Arial" w:cs="Arial"/>
          <w:color w:val="000000"/>
          <w:lang w:val="en-GB"/>
        </w:rPr>
        <w:t>link</w:t>
      </w:r>
      <w:r w:rsidR="006F3D44">
        <w:rPr>
          <w:rFonts w:ascii="Arial" w:hAnsi="Arial" w:cs="Arial"/>
          <w:color w:val="000000"/>
          <w:lang w:val="en-GB"/>
        </w:rPr>
        <w:t>ed</w:t>
      </w:r>
      <w:r w:rsidRPr="00037BA7">
        <w:rPr>
          <w:rFonts w:ascii="Arial" w:hAnsi="Arial" w:cs="Arial"/>
          <w:color w:val="000000"/>
          <w:lang w:val="en-GB"/>
        </w:rPr>
        <w:t xml:space="preserve"> process performance with implementation quality.</w:t>
      </w:r>
    </w:p>
    <w:p w14:paraId="0219E1E6" w14:textId="73692258" w:rsidR="00B35516" w:rsidRPr="00345553" w:rsidRDefault="00B35516" w:rsidP="00B35516">
      <w:pPr>
        <w:jc w:val="both"/>
        <w:rPr>
          <w:rFonts w:ascii="Arial" w:hAnsi="Arial" w:cs="Arial"/>
          <w:lang w:val="en-GB"/>
        </w:rPr>
      </w:pPr>
      <w:r w:rsidRPr="00466EE0">
        <w:rPr>
          <w:rFonts w:ascii="Arial" w:hAnsi="Arial" w:cs="Arial"/>
          <w:lang w:val="en-GB"/>
        </w:rPr>
        <w:t xml:space="preserve">Before analysis, the quantitative dataset will require cleaning, harmonisation and derivation. </w:t>
      </w:r>
      <w:r>
        <w:rPr>
          <w:rFonts w:ascii="Arial" w:hAnsi="Arial" w:cs="Arial"/>
          <w:lang w:val="en-GB"/>
        </w:rPr>
        <w:t>In this instance, t</w:t>
      </w:r>
      <w:r w:rsidRPr="00466EE0">
        <w:rPr>
          <w:rFonts w:ascii="Arial" w:hAnsi="Arial" w:cs="Arial"/>
          <w:lang w:val="en-GB"/>
        </w:rPr>
        <w:t>imestamp sequences must be checked for plausibility, duplicates removed, missing states identified,</w:t>
      </w:r>
      <w:r w:rsidRPr="00345553">
        <w:rPr>
          <w:rFonts w:ascii="Arial" w:hAnsi="Arial" w:cs="Arial"/>
          <w:lang w:val="en-GB"/>
        </w:rPr>
        <w:t xml:space="preserve"> and derived variables created for total turnaround time, delay by stage, age of open items, urgent-item compliance and handling intensity. This stage is methodologically necessary because routine service data </w:t>
      </w:r>
      <w:r w:rsidR="0061641D">
        <w:rPr>
          <w:rFonts w:ascii="Arial" w:hAnsi="Arial" w:cs="Arial"/>
          <w:lang w:val="en-GB"/>
        </w:rPr>
        <w:t>is</w:t>
      </w:r>
      <w:r w:rsidRPr="00345553">
        <w:rPr>
          <w:rFonts w:ascii="Arial" w:hAnsi="Arial" w:cs="Arial"/>
          <w:lang w:val="en-GB"/>
        </w:rPr>
        <w:t xml:space="preserve"> not generated for research purposes and may contain structural inconsistencies, platform artefacts or local coding differences</w:t>
      </w:r>
      <w:r>
        <w:rPr>
          <w:rFonts w:ascii="Arial" w:hAnsi="Arial" w:cs="Arial"/>
          <w:lang w:val="en-GB"/>
        </w:rPr>
        <w:t xml:space="preserve"> </w:t>
      </w:r>
      <w:r w:rsidRPr="00FB491B">
        <w:rPr>
          <w:rFonts w:ascii="Arial" w:hAnsi="Arial" w:cs="Arial"/>
          <w:lang w:val="en-GB"/>
        </w:rPr>
        <w:t xml:space="preserve">(Sharifnia </w:t>
      </w:r>
      <w:r w:rsidRPr="00FB491B">
        <w:rPr>
          <w:rFonts w:ascii="Arial" w:hAnsi="Arial" w:cs="Arial"/>
          <w:i/>
          <w:iCs/>
          <w:lang w:val="en-GB"/>
        </w:rPr>
        <w:t>et al</w:t>
      </w:r>
      <w:r w:rsidRPr="00FB491B">
        <w:rPr>
          <w:rFonts w:ascii="Arial" w:hAnsi="Arial" w:cs="Arial"/>
          <w:lang w:val="en-GB"/>
        </w:rPr>
        <w:t>., 2025)</w:t>
      </w:r>
      <w:r w:rsidRPr="00345553">
        <w:rPr>
          <w:rFonts w:ascii="Arial" w:hAnsi="Arial" w:cs="Arial"/>
          <w:lang w:val="en-GB"/>
        </w:rPr>
        <w:t xml:space="preserve">. </w:t>
      </w:r>
      <w:r>
        <w:rPr>
          <w:rFonts w:ascii="Arial" w:hAnsi="Arial" w:cs="Arial"/>
          <w:lang w:val="en-GB"/>
        </w:rPr>
        <w:t>A</w:t>
      </w:r>
      <w:r w:rsidRPr="00345553">
        <w:rPr>
          <w:rFonts w:ascii="Arial" w:hAnsi="Arial" w:cs="Arial"/>
          <w:lang w:val="en-GB"/>
        </w:rPr>
        <w:t xml:space="preserve">nalytical credibility depends not only on the sophistication of statistical methods but also on transparency regarding how raw service data </w:t>
      </w:r>
      <w:r w:rsidR="00D96929">
        <w:rPr>
          <w:rFonts w:ascii="Arial" w:hAnsi="Arial" w:cs="Arial"/>
          <w:lang w:val="en-GB"/>
        </w:rPr>
        <w:t>is</w:t>
      </w:r>
      <w:r w:rsidRPr="00345553">
        <w:rPr>
          <w:rFonts w:ascii="Arial" w:hAnsi="Arial" w:cs="Arial"/>
          <w:lang w:val="en-GB"/>
        </w:rPr>
        <w:t xml:space="preserve"> made usable. </w:t>
      </w:r>
      <w:r>
        <w:rPr>
          <w:rFonts w:ascii="Arial" w:hAnsi="Arial" w:cs="Arial"/>
          <w:lang w:val="en-GB"/>
        </w:rPr>
        <w:t xml:space="preserve">According to </w:t>
      </w:r>
      <w:r w:rsidRPr="00E54718">
        <w:rPr>
          <w:rFonts w:ascii="Arial" w:hAnsi="Arial" w:cs="Arial"/>
          <w:lang w:val="en-GB"/>
        </w:rPr>
        <w:t>Kahnke</w:t>
      </w:r>
      <w:r>
        <w:rPr>
          <w:rFonts w:ascii="Arial" w:hAnsi="Arial" w:cs="Arial"/>
          <w:lang w:val="en-GB"/>
        </w:rPr>
        <w:t xml:space="preserve"> (</w:t>
      </w:r>
      <w:r w:rsidRPr="00E54718">
        <w:rPr>
          <w:rFonts w:ascii="Arial" w:hAnsi="Arial" w:cs="Arial"/>
          <w:lang w:val="en-GB"/>
        </w:rPr>
        <w:t>2020)</w:t>
      </w:r>
      <w:r>
        <w:rPr>
          <w:rFonts w:ascii="Arial" w:hAnsi="Arial" w:cs="Arial"/>
          <w:lang w:val="en-GB"/>
        </w:rPr>
        <w:t xml:space="preserve"> f</w:t>
      </w:r>
      <w:r w:rsidRPr="00345553">
        <w:rPr>
          <w:rFonts w:ascii="Arial" w:hAnsi="Arial" w:cs="Arial"/>
          <w:lang w:val="en-GB"/>
        </w:rPr>
        <w:t xml:space="preserve">alse precision is a particular risk in digital workflow evaluations because very large routine datasets can create a misleading </w:t>
      </w:r>
      <w:r w:rsidRPr="00345553">
        <w:rPr>
          <w:rFonts w:ascii="Arial" w:hAnsi="Arial" w:cs="Arial"/>
          <w:lang w:val="en-GB"/>
        </w:rPr>
        <w:lastRenderedPageBreak/>
        <w:t>impression of objectivity while concealing basic data quality weaknesses. Th</w:t>
      </w:r>
      <w:r>
        <w:rPr>
          <w:rFonts w:ascii="Arial" w:hAnsi="Arial" w:cs="Arial"/>
          <w:lang w:val="en-GB"/>
        </w:rPr>
        <w:t>is</w:t>
      </w:r>
      <w:r w:rsidRPr="00345553">
        <w:rPr>
          <w:rFonts w:ascii="Arial" w:hAnsi="Arial" w:cs="Arial"/>
          <w:lang w:val="en-GB"/>
        </w:rPr>
        <w:t xml:space="preserve"> project should therefore maintain a clear data dictionary, derivation log and rationale for inclusion, exclusion and transformation decisions</w:t>
      </w:r>
      <w:r w:rsidR="001409B2" w:rsidRPr="001409B2">
        <w:t xml:space="preserve"> </w:t>
      </w:r>
      <w:r w:rsidR="001409B2">
        <w:t>(</w:t>
      </w:r>
      <w:r w:rsidR="001409B2" w:rsidRPr="001409B2">
        <w:rPr>
          <w:rFonts w:ascii="Arial" w:hAnsi="Arial" w:cs="Arial"/>
          <w:lang w:val="en-GB"/>
        </w:rPr>
        <w:t>Kahnke</w:t>
      </w:r>
      <w:r w:rsidR="001409B2">
        <w:rPr>
          <w:rFonts w:ascii="Arial" w:hAnsi="Arial" w:cs="Arial"/>
          <w:lang w:val="en-GB"/>
        </w:rPr>
        <w:t xml:space="preserve">, </w:t>
      </w:r>
      <w:r w:rsidR="001409B2" w:rsidRPr="001409B2">
        <w:rPr>
          <w:rFonts w:ascii="Arial" w:hAnsi="Arial" w:cs="Arial"/>
          <w:lang w:val="en-GB"/>
        </w:rPr>
        <w:t>2020)</w:t>
      </w:r>
      <w:r w:rsidRPr="00345553">
        <w:rPr>
          <w:rFonts w:ascii="Arial" w:hAnsi="Arial" w:cs="Arial"/>
          <w:lang w:val="en-GB"/>
        </w:rPr>
        <w:t>.</w:t>
      </w:r>
    </w:p>
    <w:p w14:paraId="35FBF90A" w14:textId="79566F1E" w:rsidR="00B35516" w:rsidRPr="00345553" w:rsidRDefault="00B35516" w:rsidP="00B35516">
      <w:pPr>
        <w:jc w:val="both"/>
        <w:rPr>
          <w:rFonts w:ascii="Arial" w:hAnsi="Arial" w:cs="Arial"/>
          <w:lang w:val="en-GB"/>
        </w:rPr>
      </w:pPr>
      <w:r w:rsidRPr="00345553">
        <w:rPr>
          <w:rFonts w:ascii="Arial" w:hAnsi="Arial" w:cs="Arial"/>
          <w:lang w:val="en-GB"/>
        </w:rPr>
        <w:t>Descriptive statistics will form the first analytic layer</w:t>
      </w:r>
      <w:r w:rsidR="001409B2">
        <w:rPr>
          <w:rFonts w:ascii="Arial" w:hAnsi="Arial" w:cs="Arial"/>
          <w:lang w:val="en-GB"/>
        </w:rPr>
        <w:t xml:space="preserve"> as</w:t>
      </w:r>
      <w:r w:rsidRPr="00345553">
        <w:rPr>
          <w:rFonts w:ascii="Arial" w:hAnsi="Arial" w:cs="Arial"/>
          <w:lang w:val="en-GB"/>
        </w:rPr>
        <w:t xml:space="preserve"> </w:t>
      </w:r>
      <w:r w:rsidR="001409B2">
        <w:rPr>
          <w:rFonts w:ascii="Arial" w:hAnsi="Arial" w:cs="Arial"/>
          <w:lang w:val="en-GB"/>
        </w:rPr>
        <w:t>w</w:t>
      </w:r>
      <w:r w:rsidRPr="00345553">
        <w:rPr>
          <w:rFonts w:ascii="Arial" w:hAnsi="Arial" w:cs="Arial"/>
          <w:lang w:val="en-GB"/>
        </w:rPr>
        <w:t>orkflow data in health services are commonly non-normal, operationally volatile and shaped by peaks, troughs and outlier episodes</w:t>
      </w:r>
      <w:r>
        <w:rPr>
          <w:rFonts w:ascii="Arial" w:hAnsi="Arial" w:cs="Arial"/>
          <w:lang w:val="en-GB"/>
        </w:rPr>
        <w:t xml:space="preserve"> </w:t>
      </w:r>
      <w:r w:rsidRPr="00CF3A1F">
        <w:rPr>
          <w:rFonts w:ascii="Arial" w:hAnsi="Arial" w:cs="Arial"/>
          <w:lang w:val="en-GB"/>
        </w:rPr>
        <w:t>(Zhang, Callaghan-Koru and Koru, 2024)</w:t>
      </w:r>
      <w:r w:rsidRPr="00345553">
        <w:rPr>
          <w:rFonts w:ascii="Arial" w:hAnsi="Arial" w:cs="Arial"/>
          <w:lang w:val="en-GB"/>
        </w:rPr>
        <w:t xml:space="preserve">. For that reason, medians, interquartile ranges and selected percentiles will often be more informative than means alone, particularly where risk is concentrated in delay at the upper tail rather than in the centre of the distribution. Frequency tables </w:t>
      </w:r>
      <w:r>
        <w:rPr>
          <w:rFonts w:ascii="Arial" w:hAnsi="Arial" w:cs="Arial"/>
          <w:lang w:val="en-GB"/>
        </w:rPr>
        <w:t xml:space="preserve">will be used to </w:t>
      </w:r>
      <w:r w:rsidRPr="00345553">
        <w:rPr>
          <w:rFonts w:ascii="Arial" w:hAnsi="Arial" w:cs="Arial"/>
          <w:lang w:val="en-GB"/>
        </w:rPr>
        <w:t>summarise document categories, priority classes and overdue rates, while stratified analysis by practice, role, document type and time</w:t>
      </w:r>
      <w:r>
        <w:rPr>
          <w:rFonts w:ascii="Arial" w:hAnsi="Arial" w:cs="Arial"/>
          <w:lang w:val="en-GB"/>
        </w:rPr>
        <w:t>-</w:t>
      </w:r>
      <w:r w:rsidRPr="00345553">
        <w:rPr>
          <w:rFonts w:ascii="Arial" w:hAnsi="Arial" w:cs="Arial"/>
          <w:lang w:val="en-GB"/>
        </w:rPr>
        <w:t xml:space="preserve">period will be used to identify variation that aggregate summaries may obscure. In service evaluation, description is analytically substantive because it establishes the operational shape of the problem before model-based inference is attempted. The project should also use run charts and, where feasible, </w:t>
      </w:r>
      <w:r>
        <w:rPr>
          <w:rFonts w:ascii="Arial" w:hAnsi="Arial" w:cs="Arial"/>
          <w:lang w:val="en-GB"/>
        </w:rPr>
        <w:t>S</w:t>
      </w:r>
      <w:r w:rsidRPr="00345553">
        <w:rPr>
          <w:rFonts w:ascii="Arial" w:hAnsi="Arial" w:cs="Arial"/>
          <w:lang w:val="en-GB"/>
        </w:rPr>
        <w:t xml:space="preserve">tatistical </w:t>
      </w:r>
      <w:r>
        <w:rPr>
          <w:rFonts w:ascii="Arial" w:hAnsi="Arial" w:cs="Arial"/>
          <w:lang w:val="en-GB"/>
        </w:rPr>
        <w:t>P</w:t>
      </w:r>
      <w:r w:rsidRPr="00345553">
        <w:rPr>
          <w:rFonts w:ascii="Arial" w:hAnsi="Arial" w:cs="Arial"/>
          <w:lang w:val="en-GB"/>
        </w:rPr>
        <w:t xml:space="preserve">rocess </w:t>
      </w:r>
      <w:r>
        <w:rPr>
          <w:rFonts w:ascii="Arial" w:hAnsi="Arial" w:cs="Arial"/>
          <w:lang w:val="en-GB"/>
        </w:rPr>
        <w:t>C</w:t>
      </w:r>
      <w:r w:rsidRPr="00345553">
        <w:rPr>
          <w:rFonts w:ascii="Arial" w:hAnsi="Arial" w:cs="Arial"/>
          <w:lang w:val="en-GB"/>
        </w:rPr>
        <w:t>ontrol (SPC) charts to assess whether observed change is stable over time or merely reflects temporary fluctuation</w:t>
      </w:r>
      <w:r>
        <w:rPr>
          <w:rFonts w:ascii="Arial" w:hAnsi="Arial" w:cs="Arial"/>
          <w:lang w:val="en-GB"/>
        </w:rPr>
        <w:t xml:space="preserve"> </w:t>
      </w:r>
      <w:r w:rsidRPr="00BE6E5B">
        <w:rPr>
          <w:rFonts w:ascii="Arial" w:hAnsi="Arial" w:cs="Arial"/>
          <w:lang w:val="en-GB"/>
        </w:rPr>
        <w:t xml:space="preserve">(Moule </w:t>
      </w:r>
      <w:r w:rsidRPr="00BE6E5B">
        <w:rPr>
          <w:rFonts w:ascii="Arial" w:hAnsi="Arial" w:cs="Arial"/>
          <w:i/>
          <w:iCs/>
          <w:lang w:val="en-GB"/>
        </w:rPr>
        <w:t>et al</w:t>
      </w:r>
      <w:r w:rsidRPr="00BE6E5B">
        <w:rPr>
          <w:rFonts w:ascii="Arial" w:hAnsi="Arial" w:cs="Arial"/>
          <w:lang w:val="en-GB"/>
        </w:rPr>
        <w:t>., 2016)</w:t>
      </w:r>
      <w:r w:rsidRPr="00345553">
        <w:rPr>
          <w:rFonts w:ascii="Arial" w:hAnsi="Arial" w:cs="Arial"/>
          <w:lang w:val="en-GB"/>
        </w:rPr>
        <w:t xml:space="preserve">. NHS England explicitly supports SPC as a way of understanding variation over time rather than relying on misleading point comparisons </w:t>
      </w:r>
      <w:r w:rsidRPr="00610A80">
        <w:rPr>
          <w:rFonts w:ascii="Arial" w:hAnsi="Arial" w:cs="Arial"/>
          <w:lang w:val="en-GB"/>
        </w:rPr>
        <w:t>(NHS England, 2024b)</w:t>
      </w:r>
      <w:r w:rsidRPr="00345553">
        <w:rPr>
          <w:rFonts w:ascii="Arial" w:hAnsi="Arial" w:cs="Arial"/>
          <w:lang w:val="en-GB"/>
        </w:rPr>
        <w:t xml:space="preserve">. </w:t>
      </w:r>
    </w:p>
    <w:p w14:paraId="1E8DCF3A" w14:textId="6E2D9E72" w:rsidR="00B35516" w:rsidRDefault="00B35516" w:rsidP="00B35516">
      <w:pPr>
        <w:jc w:val="both"/>
        <w:rPr>
          <w:rFonts w:ascii="Arial" w:hAnsi="Arial" w:cs="Arial"/>
          <w:lang w:val="en-GB"/>
        </w:rPr>
      </w:pPr>
      <w:r>
        <w:rPr>
          <w:rFonts w:ascii="Arial" w:hAnsi="Arial" w:cs="Arial"/>
          <w:lang w:val="en-GB"/>
        </w:rPr>
        <w:t xml:space="preserve">As recommended by </w:t>
      </w:r>
      <w:r w:rsidRPr="00E74858">
        <w:rPr>
          <w:rFonts w:ascii="Arial" w:hAnsi="Arial" w:cs="Arial"/>
          <w:lang w:val="en-GB"/>
        </w:rPr>
        <w:t>NHS England</w:t>
      </w:r>
      <w:r>
        <w:rPr>
          <w:rFonts w:ascii="Arial" w:hAnsi="Arial" w:cs="Arial"/>
          <w:lang w:val="en-GB"/>
        </w:rPr>
        <w:t xml:space="preserve"> (</w:t>
      </w:r>
      <w:r w:rsidRPr="00E74858">
        <w:rPr>
          <w:rFonts w:ascii="Arial" w:hAnsi="Arial" w:cs="Arial"/>
          <w:lang w:val="en-GB"/>
        </w:rPr>
        <w:t xml:space="preserve">2024b) </w:t>
      </w:r>
      <w:r>
        <w:rPr>
          <w:rFonts w:ascii="Arial" w:hAnsi="Arial" w:cs="Arial"/>
          <w:lang w:val="en-GB"/>
        </w:rPr>
        <w:t>t</w:t>
      </w:r>
      <w:r w:rsidRPr="00345553">
        <w:rPr>
          <w:rFonts w:ascii="Arial" w:hAnsi="Arial" w:cs="Arial"/>
          <w:lang w:val="en-GB"/>
        </w:rPr>
        <w:t>o meet the requirement for systematic and comparative understanding of metrics, the project should compare different classes of indicators rather than relying on a single headline measure. Turnaround time</w:t>
      </w:r>
      <w:r>
        <w:rPr>
          <w:rFonts w:ascii="Arial" w:hAnsi="Arial" w:cs="Arial"/>
          <w:lang w:val="en-GB"/>
        </w:rPr>
        <w:t xml:space="preserve"> can</w:t>
      </w:r>
      <w:r w:rsidRPr="00345553">
        <w:rPr>
          <w:rFonts w:ascii="Arial" w:hAnsi="Arial" w:cs="Arial"/>
          <w:lang w:val="en-GB"/>
        </w:rPr>
        <w:t xml:space="preserve"> capture speed but not necessarily risk concentration. Backlog size captures workload accumulation, but not the age distribution or urgency profile of outstanding items. Reallocation rate may indicate inefficiency, role ambiguity or weak triage design, while throughput per staffing resource provides a more context-sensitive indication of productivity than crude counts alone. The comparative use of these indicators is justified because workflow quality is multidimensional. Improvement in one metric may coexist with deterioration in another, and an analytically mature evaluation must therefore examine patterns of tension rather than assume that all measures move in the same direction</w:t>
      </w:r>
      <w:r>
        <w:rPr>
          <w:rFonts w:ascii="Arial" w:hAnsi="Arial" w:cs="Arial"/>
          <w:lang w:val="en-GB"/>
        </w:rPr>
        <w:t xml:space="preserve"> </w:t>
      </w:r>
      <w:r w:rsidRPr="001D473F">
        <w:rPr>
          <w:rFonts w:ascii="Arial" w:hAnsi="Arial" w:cs="Arial"/>
          <w:lang w:val="en-GB"/>
        </w:rPr>
        <w:t xml:space="preserve">(Moule </w:t>
      </w:r>
      <w:r w:rsidRPr="001D473F">
        <w:rPr>
          <w:rFonts w:ascii="Arial" w:hAnsi="Arial" w:cs="Arial"/>
          <w:i/>
          <w:iCs/>
          <w:lang w:val="en-GB"/>
        </w:rPr>
        <w:t>et al</w:t>
      </w:r>
      <w:r w:rsidRPr="001D473F">
        <w:rPr>
          <w:rFonts w:ascii="Arial" w:hAnsi="Arial" w:cs="Arial"/>
          <w:lang w:val="en-GB"/>
        </w:rPr>
        <w:t>., 2016)</w:t>
      </w:r>
      <w:r w:rsidRPr="00345553">
        <w:rPr>
          <w:rFonts w:ascii="Arial" w:hAnsi="Arial" w:cs="Arial"/>
          <w:lang w:val="en-GB"/>
        </w:rPr>
        <w:t>. This comparative logic is consistent with the idea of balancing measures in quality improvement, where the question is not simply whether change occurred, but whether it occurred without creating new problems elsewhere. Inferential analysis will then be used to assess whether observed differences are statistically significant</w:t>
      </w:r>
      <w:r>
        <w:rPr>
          <w:rFonts w:ascii="Arial" w:hAnsi="Arial" w:cs="Arial"/>
          <w:lang w:val="en-GB"/>
        </w:rPr>
        <w:t xml:space="preserve"> </w:t>
      </w:r>
      <w:r w:rsidRPr="00345553">
        <w:rPr>
          <w:rFonts w:ascii="Arial" w:hAnsi="Arial" w:cs="Arial"/>
          <w:lang w:val="en-GB"/>
        </w:rPr>
        <w:t>(</w:t>
      </w:r>
      <w:r w:rsidRPr="00BD14DF">
        <w:rPr>
          <w:rFonts w:ascii="Arial" w:hAnsi="Arial" w:cs="Arial"/>
          <w:lang w:val="en-GB"/>
        </w:rPr>
        <w:t>Kahnke</w:t>
      </w:r>
      <w:r>
        <w:rPr>
          <w:rFonts w:ascii="Arial" w:hAnsi="Arial" w:cs="Arial"/>
          <w:lang w:val="en-GB"/>
        </w:rPr>
        <w:t xml:space="preserve">, </w:t>
      </w:r>
      <w:r w:rsidRPr="00BD14DF">
        <w:rPr>
          <w:rFonts w:ascii="Arial" w:hAnsi="Arial" w:cs="Arial"/>
          <w:lang w:val="en-GB"/>
        </w:rPr>
        <w:t>2020)</w:t>
      </w:r>
      <w:r w:rsidRPr="00345553">
        <w:rPr>
          <w:rFonts w:ascii="Arial" w:hAnsi="Arial" w:cs="Arial"/>
          <w:lang w:val="en-GB"/>
        </w:rPr>
        <w:t xml:space="preserve">. </w:t>
      </w:r>
    </w:p>
    <w:p w14:paraId="41539F57" w14:textId="71084FDD" w:rsidR="00B35516" w:rsidRPr="00345553" w:rsidRDefault="009E3325" w:rsidP="009E3325">
      <w:pPr>
        <w:jc w:val="both"/>
        <w:rPr>
          <w:rFonts w:ascii="Arial" w:hAnsi="Arial" w:cs="Arial"/>
          <w:lang w:val="en-GB"/>
        </w:rPr>
      </w:pPr>
      <w:r w:rsidRPr="009E3325">
        <w:rPr>
          <w:rFonts w:ascii="Arial" w:hAnsi="Arial" w:cs="Arial"/>
          <w:color w:val="000000"/>
        </w:rPr>
        <w:t>Fetters, Curry, and Creswell (2013) note that methods should be chosen based on data structure, not convenience. For skewed continuous outcomes, non-parametric approaches are recommended when parametric model assumptions do not hold.</w:t>
      </w:r>
      <w:r>
        <w:rPr>
          <w:rFonts w:ascii="Arial" w:hAnsi="Arial" w:cs="Arial"/>
          <w:color w:val="000000"/>
        </w:rPr>
        <w:t xml:space="preserve"> </w:t>
      </w:r>
      <w:r w:rsidR="00B35516" w:rsidRPr="00345553">
        <w:rPr>
          <w:rFonts w:ascii="Arial" w:hAnsi="Arial" w:cs="Arial"/>
          <w:lang w:val="en-GB"/>
        </w:rPr>
        <w:t>For outcomes observed repeatedly across practices and time periods, regression approaches that account for clustering or hierarchy are more defensible than isolated comparisons because service data</w:t>
      </w:r>
      <w:r w:rsidR="00680B1A">
        <w:rPr>
          <w:rFonts w:ascii="Arial" w:hAnsi="Arial" w:cs="Arial"/>
          <w:lang w:val="en-GB"/>
        </w:rPr>
        <w:t xml:space="preserve"> is </w:t>
      </w:r>
      <w:r w:rsidR="00B35516" w:rsidRPr="00345553">
        <w:rPr>
          <w:rFonts w:ascii="Arial" w:hAnsi="Arial" w:cs="Arial"/>
          <w:lang w:val="en-GB"/>
        </w:rPr>
        <w:t>nested rather than independent. For binary outcomes such as overdue versus not overdue, logistic regression can estimate the adjusted association between candidate predictors and breach risk. For time-to-completion outcomes, survival analysis may be especially valuable because it preserves temporal information and can accommodate censored cases where documents remain unresolved at the point of extraction.</w:t>
      </w:r>
      <w:r w:rsidR="00201A30">
        <w:rPr>
          <w:rFonts w:ascii="Arial" w:hAnsi="Arial" w:cs="Arial"/>
          <w:lang w:val="en-GB"/>
        </w:rPr>
        <w:t xml:space="preserve"> </w:t>
      </w:r>
      <w:r w:rsidR="00B35516" w:rsidRPr="00345553">
        <w:rPr>
          <w:rFonts w:ascii="Arial" w:hAnsi="Arial" w:cs="Arial"/>
          <w:lang w:val="en-GB"/>
        </w:rPr>
        <w:t>These methods are justified because they move the evaluation beyond description toward probability-based explanation while remaining interpretable to service stakeholders (</w:t>
      </w:r>
      <w:r w:rsidR="00B35516" w:rsidRPr="00925E57">
        <w:rPr>
          <w:rFonts w:ascii="Arial" w:hAnsi="Arial" w:cs="Arial"/>
          <w:lang w:val="en-GB"/>
        </w:rPr>
        <w:t xml:space="preserve">Moule </w:t>
      </w:r>
      <w:r w:rsidR="00B35516" w:rsidRPr="0037076E">
        <w:rPr>
          <w:rFonts w:ascii="Arial" w:hAnsi="Arial" w:cs="Arial"/>
          <w:i/>
          <w:iCs/>
          <w:lang w:val="en-GB"/>
        </w:rPr>
        <w:t>et al</w:t>
      </w:r>
      <w:r w:rsidR="00B35516" w:rsidRPr="00925E57">
        <w:rPr>
          <w:rFonts w:ascii="Arial" w:hAnsi="Arial" w:cs="Arial"/>
          <w:lang w:val="en-GB"/>
        </w:rPr>
        <w:t>., 2016</w:t>
      </w:r>
      <w:r w:rsidR="00B35516" w:rsidRPr="00345553">
        <w:rPr>
          <w:rFonts w:ascii="Arial" w:hAnsi="Arial" w:cs="Arial"/>
          <w:lang w:val="en-GB"/>
        </w:rPr>
        <w:t xml:space="preserve">; </w:t>
      </w:r>
      <w:r w:rsidR="00B35516" w:rsidRPr="0037076E">
        <w:rPr>
          <w:rFonts w:ascii="Arial" w:hAnsi="Arial" w:cs="Arial"/>
          <w:lang w:val="en-GB"/>
        </w:rPr>
        <w:t>Langer, 2017)</w:t>
      </w:r>
      <w:r w:rsidR="00B35516" w:rsidRPr="00345553">
        <w:rPr>
          <w:rFonts w:ascii="Arial" w:hAnsi="Arial" w:cs="Arial"/>
          <w:lang w:val="en-GB"/>
        </w:rPr>
        <w:t xml:space="preserve">. </w:t>
      </w:r>
    </w:p>
    <w:p w14:paraId="42D5C7B7" w14:textId="2A7AEB1F" w:rsidR="002A1A99" w:rsidRPr="002A1A99" w:rsidRDefault="002A1A99" w:rsidP="002A1A99">
      <w:pPr>
        <w:jc w:val="both"/>
        <w:rPr>
          <w:lang w:val="en-GB"/>
        </w:rPr>
      </w:pPr>
      <w:r w:rsidRPr="002A1A99">
        <w:rPr>
          <w:rFonts w:ascii="Arial" w:hAnsi="Arial" w:cs="Arial"/>
          <w:color w:val="000000"/>
        </w:rPr>
        <w:lastRenderedPageBreak/>
        <w:t>Statistical significance will not be treated as sufficient evidence of improvement in isolation. For each core outcome, the evaluation will report effect sizes and confidence intervals alongside p-values, with interpretation grounded in service consequences rather than binary thresholds alone</w:t>
      </w:r>
      <w:r w:rsidRPr="00E46A38">
        <w:rPr>
          <w:rFonts w:ascii="Arial" w:hAnsi="Arial" w:cs="Arial"/>
          <w:color w:val="000000"/>
        </w:rPr>
        <w:t xml:space="preserve"> </w:t>
      </w:r>
      <w:r w:rsidRPr="00576A0A">
        <w:rPr>
          <w:rFonts w:ascii="Arial" w:hAnsi="Arial" w:cs="Arial"/>
          <w:color w:val="000000"/>
        </w:rPr>
        <w:t xml:space="preserve">(McShane </w:t>
      </w:r>
      <w:r w:rsidRPr="00576A0A">
        <w:rPr>
          <w:rFonts w:ascii="Arial" w:hAnsi="Arial" w:cs="Arial"/>
          <w:i/>
          <w:iCs/>
          <w:color w:val="000000"/>
        </w:rPr>
        <w:t>et al</w:t>
      </w:r>
      <w:r w:rsidRPr="00576A0A">
        <w:rPr>
          <w:rFonts w:ascii="Arial" w:hAnsi="Arial" w:cs="Arial"/>
          <w:color w:val="000000"/>
        </w:rPr>
        <w:t>., 2023)</w:t>
      </w:r>
      <w:r w:rsidRPr="002A1A99">
        <w:rPr>
          <w:rFonts w:ascii="Arial" w:hAnsi="Arial" w:cs="Arial"/>
          <w:color w:val="000000"/>
        </w:rPr>
        <w:t xml:space="preserve">. Operational significance will be defined a priori using practice-relevant criteria for example, a meaningful improvement might be evidenced by a sustained reduction in median turnaround time, a reduction in the proportion of urgent items breaching target times, a fall in the age of the oldest open items, or a lower reassignment rate without deterioration in safety-related balancing measures. These thresholds should be agreed with participating practices before analysis so that the evaluation </w:t>
      </w:r>
      <w:r w:rsidR="000A3C5C">
        <w:rPr>
          <w:rFonts w:ascii="Arial" w:hAnsi="Arial" w:cs="Arial"/>
          <w:color w:val="000000"/>
        </w:rPr>
        <w:t>assesses</w:t>
      </w:r>
      <w:r w:rsidRPr="002A1A99">
        <w:rPr>
          <w:rFonts w:ascii="Arial" w:hAnsi="Arial" w:cs="Arial"/>
          <w:color w:val="000000"/>
        </w:rPr>
        <w:t xml:space="preserve"> improvement against service value, not only statistical detectability</w:t>
      </w:r>
      <w:r w:rsidR="00EF3FCD">
        <w:rPr>
          <w:rFonts w:ascii="Arial" w:hAnsi="Arial" w:cs="Arial"/>
          <w:color w:val="000000"/>
        </w:rPr>
        <w:t xml:space="preserve"> </w:t>
      </w:r>
      <w:r w:rsidR="00EF3FCD">
        <w:t>(</w:t>
      </w:r>
      <w:r w:rsidR="00EF3FCD" w:rsidRPr="00153A11">
        <w:rPr>
          <w:rFonts w:ascii="Arial" w:hAnsi="Arial" w:cs="Arial"/>
          <w:color w:val="000000"/>
        </w:rPr>
        <w:t xml:space="preserve">Moule </w:t>
      </w:r>
      <w:r w:rsidR="00EF3FCD" w:rsidRPr="00153A11">
        <w:rPr>
          <w:rFonts w:ascii="Arial" w:hAnsi="Arial" w:cs="Arial"/>
          <w:i/>
          <w:iCs/>
          <w:color w:val="000000"/>
        </w:rPr>
        <w:t>et al</w:t>
      </w:r>
      <w:r w:rsidR="00EF3FCD" w:rsidRPr="00153A11">
        <w:rPr>
          <w:rFonts w:ascii="Arial" w:hAnsi="Arial" w:cs="Arial"/>
          <w:color w:val="000000"/>
        </w:rPr>
        <w:t>., 2016</w:t>
      </w:r>
      <w:r w:rsidR="00EF3FCD">
        <w:rPr>
          <w:rFonts w:ascii="Arial" w:hAnsi="Arial" w:cs="Arial"/>
          <w:color w:val="000000"/>
        </w:rPr>
        <w:t>)</w:t>
      </w:r>
      <w:r w:rsidRPr="002A1A99">
        <w:rPr>
          <w:rFonts w:ascii="Arial" w:hAnsi="Arial" w:cs="Arial"/>
          <w:color w:val="000000"/>
        </w:rPr>
        <w:t>.</w:t>
      </w:r>
    </w:p>
    <w:p w14:paraId="10F639F7" w14:textId="72F9A44A" w:rsidR="000A3C5C" w:rsidRPr="00345553" w:rsidRDefault="000A3C5C" w:rsidP="000A3C5C">
      <w:pPr>
        <w:jc w:val="both"/>
        <w:rPr>
          <w:rFonts w:ascii="Arial" w:hAnsi="Arial" w:cs="Arial"/>
          <w:lang w:val="en-GB"/>
        </w:rPr>
      </w:pPr>
      <w:r w:rsidRPr="00345553">
        <w:rPr>
          <w:rFonts w:ascii="Arial" w:hAnsi="Arial" w:cs="Arial"/>
          <w:lang w:val="en-GB"/>
        </w:rPr>
        <w:t>Predictive modelling will be used selectively to meet the third objective</w:t>
      </w:r>
      <w:r w:rsidR="0011092F">
        <w:rPr>
          <w:rFonts w:ascii="Arial" w:hAnsi="Arial" w:cs="Arial"/>
          <w:lang w:val="en-GB"/>
        </w:rPr>
        <w:t xml:space="preserve"> with</w:t>
      </w:r>
      <w:r w:rsidRPr="00345553">
        <w:rPr>
          <w:rFonts w:ascii="Arial" w:hAnsi="Arial" w:cs="Arial"/>
          <w:lang w:val="en-GB"/>
        </w:rPr>
        <w:t xml:space="preserve"> </w:t>
      </w:r>
      <w:r w:rsidR="0011092F">
        <w:rPr>
          <w:rFonts w:ascii="Arial" w:hAnsi="Arial" w:cs="Arial"/>
          <w:color w:val="000000"/>
        </w:rPr>
        <w:t>i</w:t>
      </w:r>
      <w:r w:rsidRPr="00D83EAF">
        <w:rPr>
          <w:rFonts w:ascii="Arial" w:hAnsi="Arial" w:cs="Arial"/>
          <w:color w:val="000000"/>
        </w:rPr>
        <w:t>nterpretable models like logistic regression for breach risk and regression or time-series analysis for backlog should be prioriti</w:t>
      </w:r>
      <w:r>
        <w:rPr>
          <w:rFonts w:ascii="Arial" w:hAnsi="Arial" w:cs="Arial"/>
          <w:color w:val="000000"/>
        </w:rPr>
        <w:t>s</w:t>
      </w:r>
      <w:r w:rsidRPr="00D83EAF">
        <w:rPr>
          <w:rFonts w:ascii="Arial" w:hAnsi="Arial" w:cs="Arial"/>
          <w:color w:val="000000"/>
        </w:rPr>
        <w:t>ed,</w:t>
      </w:r>
      <w:r w:rsidR="00905379">
        <w:rPr>
          <w:rFonts w:ascii="Arial" w:hAnsi="Arial" w:cs="Arial"/>
          <w:color w:val="000000"/>
        </w:rPr>
        <w:t xml:space="preserve"> can</w:t>
      </w:r>
      <w:r w:rsidRPr="00D83EAF">
        <w:rPr>
          <w:rFonts w:ascii="Arial" w:hAnsi="Arial" w:cs="Arial"/>
          <w:color w:val="000000"/>
        </w:rPr>
        <w:t xml:space="preserve"> provide actionable insights and eas</w:t>
      </w:r>
      <w:r w:rsidR="00905379">
        <w:rPr>
          <w:rFonts w:ascii="Arial" w:hAnsi="Arial" w:cs="Arial"/>
          <w:color w:val="000000"/>
        </w:rPr>
        <w:t>e of</w:t>
      </w:r>
      <w:r w:rsidRPr="00D83EAF">
        <w:rPr>
          <w:rFonts w:ascii="Arial" w:hAnsi="Arial" w:cs="Arial"/>
          <w:color w:val="000000"/>
        </w:rPr>
        <w:t xml:space="preserve"> underst</w:t>
      </w:r>
      <w:r w:rsidR="00905379">
        <w:rPr>
          <w:rFonts w:ascii="Arial" w:hAnsi="Arial" w:cs="Arial"/>
          <w:color w:val="000000"/>
        </w:rPr>
        <w:t>anding</w:t>
      </w:r>
      <w:r w:rsidRPr="00D83EAF">
        <w:rPr>
          <w:rFonts w:ascii="Arial" w:hAnsi="Arial" w:cs="Arial"/>
          <w:color w:val="000000"/>
        </w:rPr>
        <w:t xml:space="preserve"> by stakeholders. Advanced machine learning should only be used if it clearly improves predictions and meets standards of calibration, transparency, fairness, and feasibility</w:t>
      </w:r>
      <w:r>
        <w:rPr>
          <w:rFonts w:ascii="Arial" w:hAnsi="Arial" w:cs="Arial"/>
          <w:color w:val="000000"/>
        </w:rPr>
        <w:t xml:space="preserve"> </w:t>
      </w:r>
      <w:r w:rsidRPr="008D1F17">
        <w:rPr>
          <w:rFonts w:ascii="Arial" w:hAnsi="Arial" w:cs="Arial"/>
          <w:color w:val="000000"/>
        </w:rPr>
        <w:t>(Sarker, 2021)</w:t>
      </w:r>
      <w:r w:rsidRPr="00D83EAF">
        <w:rPr>
          <w:rFonts w:ascii="Arial" w:hAnsi="Arial" w:cs="Arial"/>
          <w:color w:val="000000"/>
        </w:rPr>
        <w:t>.</w:t>
      </w:r>
      <w:r>
        <w:rPr>
          <w:rFonts w:ascii="Arial" w:hAnsi="Arial" w:cs="Arial"/>
          <w:color w:val="000000"/>
        </w:rPr>
        <w:t xml:space="preserve"> According to </w:t>
      </w:r>
      <w:r w:rsidRPr="00FB74FB">
        <w:rPr>
          <w:rFonts w:ascii="Arial" w:hAnsi="Arial" w:cs="Arial"/>
          <w:color w:val="000000"/>
        </w:rPr>
        <w:t>NHS England</w:t>
      </w:r>
      <w:r>
        <w:rPr>
          <w:rFonts w:ascii="Arial" w:hAnsi="Arial" w:cs="Arial"/>
          <w:color w:val="000000"/>
        </w:rPr>
        <w:t xml:space="preserve"> (</w:t>
      </w:r>
      <w:r w:rsidRPr="00FB74FB">
        <w:rPr>
          <w:rFonts w:ascii="Arial" w:hAnsi="Arial" w:cs="Arial"/>
          <w:color w:val="000000"/>
        </w:rPr>
        <w:t>2014)</w:t>
      </w:r>
      <w:r w:rsidRPr="00D83EAF">
        <w:rPr>
          <w:rFonts w:ascii="Arial" w:hAnsi="Arial" w:cs="Arial"/>
          <w:color w:val="000000"/>
        </w:rPr>
        <w:t xml:space="preserve"> </w:t>
      </w:r>
      <w:r>
        <w:rPr>
          <w:rFonts w:ascii="Arial" w:hAnsi="Arial" w:cs="Arial"/>
          <w:color w:val="000000"/>
        </w:rPr>
        <w:t>i</w:t>
      </w:r>
      <w:r w:rsidRPr="00D83EAF">
        <w:rPr>
          <w:rFonts w:ascii="Arial" w:hAnsi="Arial" w:cs="Arial"/>
          <w:color w:val="000000"/>
        </w:rPr>
        <w:t>n workflow evaluations, the best model is the one that effectively supports decisions, not necessarily the most complex.</w:t>
      </w:r>
      <w:r>
        <w:rPr>
          <w:rFonts w:ascii="Arial" w:hAnsi="Arial" w:cs="Arial"/>
          <w:color w:val="000000"/>
        </w:rPr>
        <w:t xml:space="preserve"> </w:t>
      </w:r>
      <w:r w:rsidRPr="00D83EAF">
        <w:rPr>
          <w:rFonts w:ascii="Arial" w:hAnsi="Arial" w:cs="Arial"/>
          <w:color w:val="000000"/>
        </w:rPr>
        <w:t>This distinction helps avoid technological solutionism while maintaining technical competence.</w:t>
      </w:r>
    </w:p>
    <w:p w14:paraId="20A8F81C" w14:textId="78ADFE69" w:rsidR="00093D1B" w:rsidRPr="00345553" w:rsidRDefault="00B35516" w:rsidP="00B35516">
      <w:pPr>
        <w:jc w:val="both"/>
        <w:rPr>
          <w:rFonts w:ascii="Arial" w:hAnsi="Arial" w:cs="Arial"/>
          <w:lang w:val="en-GB"/>
        </w:rPr>
      </w:pPr>
      <w:r w:rsidRPr="00345553">
        <w:rPr>
          <w:rFonts w:ascii="Arial" w:hAnsi="Arial" w:cs="Arial"/>
          <w:lang w:val="en-GB"/>
        </w:rPr>
        <w:t>The qualitative element will consist of semi-structured interviews with purposively sampled staff involved in document handling, supported where feasible by brief observational workflow walkthroughs. Interviews are justified because they permit exploration of usability, confidence, burden, interruption, ambiguity over responsibility, trust in automation and adaptation to system constraints. The sampling strategy should seek informational variation across role groups, sites and levels of experience so that the qualitative dataset captures the range of ways in which the platform is enacted in practice. This is important because digital workflow systems are often experienced differently by administrative staff, clinicians and managers, and a superficially homogeneous sample would weaken explanatory depth</w:t>
      </w:r>
      <w:r w:rsidR="00CD6CE6">
        <w:rPr>
          <w:rFonts w:ascii="Arial" w:hAnsi="Arial" w:cs="Arial"/>
          <w:lang w:val="en-GB"/>
        </w:rPr>
        <w:t xml:space="preserve"> </w:t>
      </w:r>
      <w:r w:rsidR="00CD6CE6" w:rsidRPr="009670ED">
        <w:rPr>
          <w:rFonts w:ascii="Arial" w:hAnsi="Arial" w:cs="Arial"/>
          <w:lang w:val="en-GB"/>
        </w:rPr>
        <w:t>(Xu, Wang and Qian, 2025)</w:t>
      </w:r>
      <w:r w:rsidRPr="00345553">
        <w:rPr>
          <w:rFonts w:ascii="Arial" w:hAnsi="Arial" w:cs="Arial"/>
          <w:lang w:val="en-GB"/>
        </w:rPr>
        <w:t xml:space="preserve">. </w:t>
      </w:r>
    </w:p>
    <w:p w14:paraId="31BD3FE3" w14:textId="4DD72080" w:rsidR="00B35516" w:rsidRPr="006E7E1F" w:rsidRDefault="00B35516" w:rsidP="009A56D6">
      <w:pPr>
        <w:jc w:val="both"/>
        <w:rPr>
          <w:rFonts w:ascii="Arial" w:hAnsi="Arial" w:cs="Arial"/>
          <w:color w:val="000000"/>
        </w:rPr>
      </w:pPr>
      <w:r w:rsidRPr="00345553">
        <w:rPr>
          <w:rFonts w:ascii="Arial" w:hAnsi="Arial" w:cs="Arial"/>
          <w:lang w:val="en-GB"/>
        </w:rPr>
        <w:t>Qualitative analysis will use reflexive thematic analysis or an equivalent systematic interpretive approach</w:t>
      </w:r>
      <w:r w:rsidR="0089374E">
        <w:rPr>
          <w:rFonts w:ascii="Arial" w:hAnsi="Arial" w:cs="Arial"/>
          <w:lang w:val="en-GB"/>
        </w:rPr>
        <w:t xml:space="preserve"> </w:t>
      </w:r>
      <w:r w:rsidR="0089374E" w:rsidRPr="009A56D6">
        <w:rPr>
          <w:rFonts w:ascii="Arial" w:hAnsi="Arial" w:cs="Arial"/>
          <w:color w:val="000000"/>
        </w:rPr>
        <w:t>(Demirci, 2023)</w:t>
      </w:r>
      <w:r w:rsidRPr="00345553">
        <w:rPr>
          <w:rFonts w:ascii="Arial" w:hAnsi="Arial" w:cs="Arial"/>
          <w:lang w:val="en-GB"/>
        </w:rPr>
        <w:t xml:space="preserve">. Transcripts will be coded iteratively, candidate themes developed, and the analysis refined in relation to the research objectives. </w:t>
      </w:r>
      <w:r w:rsidR="009A56D6" w:rsidRPr="009A56D6">
        <w:rPr>
          <w:rFonts w:ascii="Arial" w:hAnsi="Arial" w:cs="Arial"/>
          <w:color w:val="000000"/>
        </w:rPr>
        <w:t>This approach enables thorough analysis of explicit and implicit meanings in participants’ accounts and is especially effective in health services, where technical processes are influenced by trust, uncertainty, professional standards, and local adaptation.</w:t>
      </w:r>
      <w:r w:rsidR="009A56D6">
        <w:rPr>
          <w:rFonts w:ascii="Arial" w:hAnsi="Arial" w:cs="Arial"/>
          <w:color w:val="000000"/>
        </w:rPr>
        <w:t xml:space="preserve"> </w:t>
      </w:r>
      <w:r w:rsidR="00F43D89">
        <w:rPr>
          <w:rFonts w:ascii="Arial" w:hAnsi="Arial" w:cs="Arial"/>
          <w:color w:val="000000"/>
        </w:rPr>
        <w:t xml:space="preserve">Additionally </w:t>
      </w:r>
      <w:r w:rsidR="00F43D89">
        <w:rPr>
          <w:rFonts w:ascii="Arial" w:hAnsi="Arial" w:cs="Arial"/>
          <w:lang w:val="en-GB"/>
        </w:rPr>
        <w:t>t</w:t>
      </w:r>
      <w:r w:rsidRPr="00345553">
        <w:rPr>
          <w:rFonts w:ascii="Arial" w:hAnsi="Arial" w:cs="Arial"/>
          <w:lang w:val="en-GB"/>
        </w:rPr>
        <w:t xml:space="preserve">hematic analysis allows cross-role and cross-site comparison without losing sensitivity to contextual detail. </w:t>
      </w:r>
      <w:r w:rsidRPr="00237EB1">
        <w:rPr>
          <w:rFonts w:ascii="Arial" w:hAnsi="Arial" w:cs="Arial"/>
          <w:color w:val="000000"/>
        </w:rPr>
        <w:t>However, Ng and Zhou (2025) note that qualitative rigor depends on thoughtful interpretation, reflexivity, and theoretical insight, rather than simply coding themes without analytic judgment.</w:t>
      </w:r>
      <w:r>
        <w:rPr>
          <w:rFonts w:ascii="Arial" w:hAnsi="Arial" w:cs="Arial"/>
        </w:rPr>
        <w:t xml:space="preserve"> Theme</w:t>
      </w:r>
      <w:r>
        <w:rPr>
          <w:rFonts w:ascii="Arial" w:hAnsi="Arial" w:cs="Arial"/>
          <w:lang w:val="en-GB"/>
        </w:rPr>
        <w:t xml:space="preserve"> </w:t>
      </w:r>
      <w:r>
        <w:rPr>
          <w:rFonts w:ascii="Arial" w:hAnsi="Arial" w:cs="Arial"/>
          <w:color w:val="000000"/>
        </w:rPr>
        <w:t>s</w:t>
      </w:r>
      <w:r w:rsidRPr="00A34E3F">
        <w:rPr>
          <w:rFonts w:ascii="Arial" w:hAnsi="Arial" w:cs="Arial"/>
          <w:color w:val="000000"/>
        </w:rPr>
        <w:t>aturation will be assessed by tracking informational redundancy, code stability, and conceptual depth, rather than relying on a set number of interviews. Tools like a saturation grid should be recorded when new interviews no longer produce substantive categories</w:t>
      </w:r>
      <w:r>
        <w:rPr>
          <w:rFonts w:ascii="Arial" w:hAnsi="Arial" w:cs="Arial"/>
          <w:color w:val="000000"/>
        </w:rPr>
        <w:t>; i</w:t>
      </w:r>
      <w:r w:rsidRPr="00A34E3F">
        <w:rPr>
          <w:rFonts w:ascii="Arial" w:hAnsi="Arial" w:cs="Arial"/>
          <w:color w:val="000000"/>
        </w:rPr>
        <w:t xml:space="preserve">t's important to distinguish between </w:t>
      </w:r>
      <w:r w:rsidRPr="00BB7905">
        <w:rPr>
          <w:rFonts w:ascii="Arial" w:hAnsi="Arial" w:cs="Arial"/>
          <w:bCs/>
          <w:color w:val="000000"/>
          <w:lang w:val="en-GB"/>
        </w:rPr>
        <w:t>code saturation</w:t>
      </w:r>
      <w:r w:rsidRPr="00A34E3F">
        <w:rPr>
          <w:rFonts w:ascii="Arial" w:hAnsi="Arial" w:cs="Arial"/>
          <w:color w:val="000000"/>
        </w:rPr>
        <w:t xml:space="preserve"> (identifying issues) and </w:t>
      </w:r>
      <w:r w:rsidRPr="00BB7905">
        <w:rPr>
          <w:rFonts w:ascii="Arial" w:hAnsi="Arial" w:cs="Arial"/>
          <w:bCs/>
          <w:color w:val="000000"/>
          <w:lang w:val="en-GB"/>
        </w:rPr>
        <w:t>meaning saturation</w:t>
      </w:r>
      <w:r w:rsidRPr="00A34E3F">
        <w:rPr>
          <w:rFonts w:ascii="Arial" w:hAnsi="Arial" w:cs="Arial"/>
          <w:color w:val="000000"/>
        </w:rPr>
        <w:t xml:space="preserve"> (developing explanations), as more data may be needed for deeper understanding</w:t>
      </w:r>
      <w:r>
        <w:rPr>
          <w:rFonts w:ascii="Arial" w:hAnsi="Arial" w:cs="Arial"/>
          <w:color w:val="000000"/>
        </w:rPr>
        <w:t xml:space="preserve"> </w:t>
      </w:r>
      <w:r w:rsidRPr="006E7E1F">
        <w:rPr>
          <w:rFonts w:ascii="Arial" w:hAnsi="Arial" w:cs="Arial"/>
          <w:color w:val="000000"/>
        </w:rPr>
        <w:t>(Hennink, Kaiser and Marconi, 2017)</w:t>
      </w:r>
      <w:r>
        <w:rPr>
          <w:rFonts w:ascii="Arial" w:hAnsi="Arial" w:cs="Arial"/>
          <w:color w:val="000000"/>
        </w:rPr>
        <w:t>.</w:t>
      </w:r>
    </w:p>
    <w:p w14:paraId="4448A4FB" w14:textId="77777777" w:rsidR="00B35516" w:rsidRPr="00345553" w:rsidRDefault="00B35516" w:rsidP="00B35516">
      <w:pPr>
        <w:jc w:val="both"/>
        <w:rPr>
          <w:rFonts w:ascii="Arial" w:hAnsi="Arial" w:cs="Arial"/>
          <w:lang w:val="en-GB"/>
        </w:rPr>
      </w:pPr>
      <w:r w:rsidRPr="00345553">
        <w:rPr>
          <w:rFonts w:ascii="Arial" w:hAnsi="Arial" w:cs="Arial"/>
          <w:lang w:val="en-GB"/>
        </w:rPr>
        <w:t xml:space="preserve">Transferability will be established through </w:t>
      </w:r>
      <w:r>
        <w:rPr>
          <w:rFonts w:ascii="Arial" w:hAnsi="Arial" w:cs="Arial"/>
          <w:lang w:val="en-GB"/>
        </w:rPr>
        <w:t>in-depth</w:t>
      </w:r>
      <w:r w:rsidRPr="00345553">
        <w:rPr>
          <w:rFonts w:ascii="Arial" w:hAnsi="Arial" w:cs="Arial"/>
          <w:lang w:val="en-GB"/>
        </w:rPr>
        <w:t xml:space="preserve"> description of context rather than through statistical generalisation. Detailed reporting of practice setting, staffing model, workflow </w:t>
      </w:r>
      <w:r w:rsidRPr="00345553">
        <w:rPr>
          <w:rFonts w:ascii="Arial" w:hAnsi="Arial" w:cs="Arial"/>
          <w:lang w:val="en-GB"/>
        </w:rPr>
        <w:lastRenderedPageBreak/>
        <w:t>rules, implementation stage, document volume and participant role will allow readers to judge the extent to which the findings may apply to other GP practices or primary care networks. The responsibility of the researcher is therefore to describe the context with sufficient richness that others can make an informed judgement of relevance</w:t>
      </w:r>
      <w:r>
        <w:rPr>
          <w:rFonts w:ascii="Arial" w:hAnsi="Arial" w:cs="Arial"/>
          <w:lang w:val="en-GB"/>
        </w:rPr>
        <w:t xml:space="preserve"> </w:t>
      </w:r>
      <w:r w:rsidRPr="0008394B">
        <w:rPr>
          <w:rFonts w:ascii="Arial" w:hAnsi="Arial" w:cs="Arial"/>
          <w:lang w:val="en-GB"/>
        </w:rPr>
        <w:t>(Korstjens and Moser, 2017)</w:t>
      </w:r>
      <w:r w:rsidRPr="00345553">
        <w:rPr>
          <w:rFonts w:ascii="Arial" w:hAnsi="Arial" w:cs="Arial"/>
          <w:lang w:val="en-GB"/>
        </w:rPr>
        <w:t xml:space="preserve">. If more than one site is included, cross-site comparison will further strengthen transferability by distinguishing local contingencies from more recurrent patterns. The aim is not to claim universal applicability, but to provide analytically rich contextual detail so that findings become useful beyond the immediate site without pretending to be universally generalisable </w:t>
      </w:r>
      <w:r w:rsidRPr="005633CC">
        <w:rPr>
          <w:rFonts w:ascii="Arial" w:hAnsi="Arial" w:cs="Arial"/>
          <w:lang w:val="en-GB"/>
        </w:rPr>
        <w:t>(Drisko, 2024</w:t>
      </w:r>
      <w:r>
        <w:rPr>
          <w:rFonts w:ascii="Arial" w:hAnsi="Arial" w:cs="Arial"/>
          <w:lang w:val="en-GB"/>
        </w:rPr>
        <w:t>;</w:t>
      </w:r>
      <w:r w:rsidRPr="00026858">
        <w:t xml:space="preserve"> </w:t>
      </w:r>
      <w:r w:rsidRPr="00026858">
        <w:rPr>
          <w:rFonts w:ascii="Arial" w:hAnsi="Arial" w:cs="Arial"/>
          <w:lang w:val="en-GB"/>
        </w:rPr>
        <w:t>Ng and Zhou</w:t>
      </w:r>
      <w:r>
        <w:rPr>
          <w:rFonts w:ascii="Arial" w:hAnsi="Arial" w:cs="Arial"/>
          <w:lang w:val="en-GB"/>
        </w:rPr>
        <w:t>,</w:t>
      </w:r>
      <w:r w:rsidRPr="00026858">
        <w:rPr>
          <w:rFonts w:ascii="Arial" w:hAnsi="Arial" w:cs="Arial"/>
          <w:lang w:val="en-GB"/>
        </w:rPr>
        <w:t xml:space="preserve"> 2025</w:t>
      </w:r>
      <w:r w:rsidRPr="005633CC">
        <w:rPr>
          <w:rFonts w:ascii="Arial" w:hAnsi="Arial" w:cs="Arial"/>
          <w:lang w:val="en-GB"/>
        </w:rPr>
        <w:t>)</w:t>
      </w:r>
      <w:r w:rsidRPr="00345553">
        <w:rPr>
          <w:rFonts w:ascii="Arial" w:hAnsi="Arial" w:cs="Arial"/>
          <w:lang w:val="en-GB"/>
        </w:rPr>
        <w:t xml:space="preserve">. </w:t>
      </w:r>
    </w:p>
    <w:p w14:paraId="31EE0FE5" w14:textId="5D875652" w:rsidR="00B35516" w:rsidRPr="004E1CA9" w:rsidRDefault="00B35516" w:rsidP="00AD4C83">
      <w:pPr>
        <w:jc w:val="both"/>
        <w:rPr>
          <w:rFonts w:ascii="Arial" w:hAnsi="Arial" w:cs="Arial"/>
          <w:b/>
          <w:bCs/>
        </w:rPr>
      </w:pPr>
      <w:r>
        <w:rPr>
          <w:rFonts w:ascii="Arial" w:hAnsi="Arial" w:cs="Arial"/>
          <w:lang w:val="en-GB"/>
        </w:rPr>
        <w:t>In summary, q</w:t>
      </w:r>
      <w:r w:rsidRPr="00345553">
        <w:rPr>
          <w:rFonts w:ascii="Arial" w:hAnsi="Arial" w:cs="Arial"/>
          <w:lang w:val="en-GB"/>
        </w:rPr>
        <w:t>uantitative findings may show where delay, variation or apparent improvement occurs, while qualitative findings can explain whether these patterns reflect genuine redesign, hidden burden, compensatory work or temporary adaptation. Joint displays</w:t>
      </w:r>
      <w:r>
        <w:rPr>
          <w:rFonts w:ascii="Arial" w:hAnsi="Arial" w:cs="Arial"/>
          <w:lang w:val="en-GB"/>
        </w:rPr>
        <w:t xml:space="preserve"> of triangulation</w:t>
      </w:r>
      <w:r w:rsidRPr="00345553">
        <w:rPr>
          <w:rFonts w:ascii="Arial" w:hAnsi="Arial" w:cs="Arial"/>
          <w:lang w:val="en-GB"/>
        </w:rPr>
        <w:t xml:space="preserve"> are especially useful because they </w:t>
      </w:r>
      <w:r>
        <w:rPr>
          <w:rFonts w:ascii="Arial" w:hAnsi="Arial" w:cs="Arial"/>
          <w:lang w:val="en-GB"/>
        </w:rPr>
        <w:t>introduce</w:t>
      </w:r>
      <w:r w:rsidRPr="00345553">
        <w:rPr>
          <w:rFonts w:ascii="Arial" w:hAnsi="Arial" w:cs="Arial"/>
          <w:lang w:val="en-GB"/>
        </w:rPr>
        <w:t xml:space="preserve"> </w:t>
      </w:r>
      <w:r>
        <w:rPr>
          <w:rFonts w:ascii="Arial" w:hAnsi="Arial" w:cs="Arial"/>
          <w:lang w:val="en-GB"/>
        </w:rPr>
        <w:t>an</w:t>
      </w:r>
      <w:r w:rsidRPr="00345553">
        <w:rPr>
          <w:rFonts w:ascii="Arial" w:hAnsi="Arial" w:cs="Arial"/>
          <w:lang w:val="en-GB"/>
        </w:rPr>
        <w:t xml:space="preserve"> analytic encounter between numerical and narrative evidence rather than leaving integration to impressionistic discussion</w:t>
      </w:r>
      <w:r>
        <w:rPr>
          <w:rFonts w:ascii="Arial" w:hAnsi="Arial" w:cs="Arial"/>
          <w:lang w:val="en-GB"/>
        </w:rPr>
        <w:t xml:space="preserve"> </w:t>
      </w:r>
      <w:r w:rsidRPr="00CA764F">
        <w:rPr>
          <w:rFonts w:ascii="Arial" w:hAnsi="Arial" w:cs="Arial"/>
          <w:lang w:val="en-GB"/>
        </w:rPr>
        <w:t>(Fetters, Curry and Creswell, 2013</w:t>
      </w:r>
      <w:r>
        <w:t xml:space="preserve">; </w:t>
      </w:r>
      <w:r w:rsidRPr="008266DC">
        <w:rPr>
          <w:rFonts w:ascii="Arial" w:hAnsi="Arial" w:cs="Arial"/>
          <w:lang w:val="en-GB"/>
        </w:rPr>
        <w:t>Ahmed, Pereira and Jane, 2024</w:t>
      </w:r>
      <w:r w:rsidRPr="00CA764F">
        <w:rPr>
          <w:rFonts w:ascii="Arial" w:hAnsi="Arial" w:cs="Arial"/>
          <w:lang w:val="en-GB"/>
        </w:rPr>
        <w:t>)</w:t>
      </w:r>
      <w:r w:rsidRPr="00345553">
        <w:rPr>
          <w:rFonts w:ascii="Arial" w:hAnsi="Arial" w:cs="Arial"/>
          <w:lang w:val="en-GB"/>
        </w:rPr>
        <w:t xml:space="preserve">. </w:t>
      </w:r>
      <w:r w:rsidRPr="00630C66">
        <w:rPr>
          <w:rFonts w:ascii="Arial" w:hAnsi="Arial" w:cs="Arial"/>
          <w:lang w:val="en-GB"/>
        </w:rPr>
        <w:t>Fetters and Molina-Azorin</w:t>
      </w:r>
      <w:r>
        <w:rPr>
          <w:rFonts w:ascii="Arial" w:hAnsi="Arial" w:cs="Arial"/>
          <w:lang w:val="en-GB"/>
        </w:rPr>
        <w:t xml:space="preserve"> (</w:t>
      </w:r>
      <w:r w:rsidRPr="00630C66">
        <w:rPr>
          <w:rFonts w:ascii="Arial" w:hAnsi="Arial" w:cs="Arial"/>
          <w:lang w:val="en-GB"/>
        </w:rPr>
        <w:t>2020)</w:t>
      </w:r>
      <w:r>
        <w:rPr>
          <w:rFonts w:ascii="Arial" w:hAnsi="Arial" w:cs="Arial"/>
          <w:lang w:val="en-GB"/>
        </w:rPr>
        <w:t xml:space="preserve"> contend that w</w:t>
      </w:r>
      <w:r w:rsidRPr="00345553">
        <w:rPr>
          <w:rFonts w:ascii="Arial" w:hAnsi="Arial" w:cs="Arial"/>
          <w:lang w:val="en-GB"/>
        </w:rPr>
        <w:t>here the two strands converge, the overall judgement becomes stronger</w:t>
      </w:r>
      <w:r>
        <w:rPr>
          <w:rFonts w:ascii="Arial" w:hAnsi="Arial" w:cs="Arial"/>
          <w:lang w:val="en-GB"/>
        </w:rPr>
        <w:t xml:space="preserve"> and</w:t>
      </w:r>
      <w:r w:rsidRPr="00345553">
        <w:rPr>
          <w:rFonts w:ascii="Arial" w:hAnsi="Arial" w:cs="Arial"/>
          <w:lang w:val="en-GB"/>
        </w:rPr>
        <w:t xml:space="preserve"> </w:t>
      </w:r>
      <w:r>
        <w:rPr>
          <w:rFonts w:ascii="Arial" w:hAnsi="Arial" w:cs="Arial"/>
          <w:lang w:val="en-GB"/>
        </w:rPr>
        <w:t>w</w:t>
      </w:r>
      <w:r w:rsidRPr="00345553">
        <w:rPr>
          <w:rFonts w:ascii="Arial" w:hAnsi="Arial" w:cs="Arial"/>
          <w:lang w:val="en-GB"/>
        </w:rPr>
        <w:t xml:space="preserve">here they diverge, the mixed-methods design becomes especially valuable because it reveals tensions that would be invisible in a single-method study. In that sense, divergence should be treated not as methodological failure but as an important analytical signal requiring explanation. This integrative approach ensures that the final evaluation addresses all objectives coherently rather than presenting parallel statistical and thematic outputs with no cumulative inference </w:t>
      </w:r>
      <w:r w:rsidRPr="002F49B8">
        <w:rPr>
          <w:rFonts w:ascii="Arial" w:hAnsi="Arial" w:cs="Arial"/>
          <w:lang w:val="en-GB"/>
        </w:rPr>
        <w:t>(Fetters and Tajima, 2022)</w:t>
      </w:r>
      <w:r>
        <w:rPr>
          <w:rFonts w:ascii="Arial" w:hAnsi="Arial" w:cs="Arial"/>
          <w:lang w:val="en-GB"/>
        </w:rPr>
        <w:t>.</w:t>
      </w:r>
      <w:r w:rsidR="002F313C">
        <w:rPr>
          <w:rFonts w:ascii="Arial" w:hAnsi="Arial" w:cs="Arial"/>
          <w:lang w:val="en-GB"/>
        </w:rPr>
        <w:t xml:space="preserve"> </w:t>
      </w:r>
      <w:r w:rsidR="00AD4C83" w:rsidRPr="00AD4C83">
        <w:rPr>
          <w:rFonts w:ascii="Arial" w:hAnsi="Arial" w:cs="Arial"/>
          <w:color w:val="000000"/>
        </w:rPr>
        <w:t>Table 2</w:t>
      </w:r>
      <w:r w:rsidR="00AD4C83">
        <w:rPr>
          <w:rFonts w:ascii="Arial" w:hAnsi="Arial" w:cs="Arial"/>
          <w:color w:val="000000"/>
        </w:rPr>
        <w:t>.</w:t>
      </w:r>
      <w:r w:rsidR="00AD4C83" w:rsidRPr="00AD4C83">
        <w:rPr>
          <w:rFonts w:ascii="Arial" w:hAnsi="Arial" w:cs="Arial"/>
          <w:color w:val="000000"/>
        </w:rPr>
        <w:t xml:space="preserve"> lists data sources relevant to research goals</w:t>
      </w:r>
      <w:r w:rsidR="00AD4C83">
        <w:rPr>
          <w:rFonts w:ascii="Arial" w:hAnsi="Arial" w:cs="Arial"/>
          <w:color w:val="000000"/>
        </w:rPr>
        <w:t xml:space="preserve"> and </w:t>
      </w:r>
      <w:r w:rsidR="00923E4A">
        <w:rPr>
          <w:rFonts w:ascii="Arial" w:hAnsi="Arial" w:cs="Arial"/>
          <w:color w:val="000000"/>
        </w:rPr>
        <w:t>t</w:t>
      </w:r>
      <w:r w:rsidR="00AD4C83" w:rsidRPr="00AD4C83">
        <w:rPr>
          <w:rFonts w:ascii="Arial" w:hAnsi="Arial" w:cs="Arial"/>
          <w:color w:val="000000"/>
        </w:rPr>
        <w:t>able 3</w:t>
      </w:r>
      <w:r w:rsidR="00E82E06">
        <w:rPr>
          <w:rFonts w:ascii="Arial" w:hAnsi="Arial" w:cs="Arial"/>
          <w:color w:val="000000"/>
        </w:rPr>
        <w:t>.</w:t>
      </w:r>
      <w:r w:rsidR="00AD4C83" w:rsidRPr="00AD4C83">
        <w:rPr>
          <w:rFonts w:ascii="Arial" w:hAnsi="Arial" w:cs="Arial"/>
          <w:color w:val="000000"/>
        </w:rPr>
        <w:t xml:space="preserve"> describes analysis methods tied to those objectives,</w:t>
      </w:r>
      <w:r w:rsidR="00E82E06">
        <w:rPr>
          <w:rFonts w:ascii="Arial" w:hAnsi="Arial" w:cs="Arial"/>
          <w:color w:val="000000"/>
        </w:rPr>
        <w:t xml:space="preserve"> thus</w:t>
      </w:r>
      <w:r w:rsidR="00AD4C83" w:rsidRPr="00AD4C83">
        <w:rPr>
          <w:rFonts w:ascii="Arial" w:hAnsi="Arial" w:cs="Arial"/>
          <w:color w:val="000000"/>
        </w:rPr>
        <w:t xml:space="preserve"> summarising th</w:t>
      </w:r>
      <w:r w:rsidR="00923E4A">
        <w:rPr>
          <w:rFonts w:ascii="Arial" w:hAnsi="Arial" w:cs="Arial"/>
          <w:color w:val="000000"/>
        </w:rPr>
        <w:t>is</w:t>
      </w:r>
      <w:r w:rsidR="00AD4C83" w:rsidRPr="00AD4C83">
        <w:rPr>
          <w:rFonts w:ascii="Arial" w:hAnsi="Arial" w:cs="Arial"/>
          <w:color w:val="000000"/>
        </w:rPr>
        <w:t xml:space="preserve"> project's research strategy.</w:t>
      </w:r>
    </w:p>
    <w:p w14:paraId="14E48E73" w14:textId="676682CC" w:rsidR="00B35516" w:rsidRPr="00E4537B" w:rsidRDefault="00B35516" w:rsidP="00B35516">
      <w:pPr>
        <w:rPr>
          <w:rFonts w:ascii="Arial" w:hAnsi="Arial" w:cs="Arial"/>
          <w:b/>
          <w:bCs/>
        </w:rPr>
      </w:pPr>
      <w:r w:rsidRPr="00E4537B">
        <w:rPr>
          <w:rFonts w:ascii="Arial" w:hAnsi="Arial" w:cs="Arial"/>
          <w:b/>
          <w:bCs/>
        </w:rPr>
        <w:t xml:space="preserve">Table 2. Proposed </w:t>
      </w:r>
      <w:r w:rsidR="00C71792">
        <w:rPr>
          <w:rFonts w:ascii="Arial" w:hAnsi="Arial" w:cs="Arial"/>
          <w:b/>
          <w:bCs/>
        </w:rPr>
        <w:t>Da</w:t>
      </w:r>
      <w:r w:rsidRPr="00E4537B">
        <w:rPr>
          <w:rFonts w:ascii="Arial" w:hAnsi="Arial" w:cs="Arial"/>
          <w:b/>
          <w:bCs/>
        </w:rPr>
        <w:t xml:space="preserve">ta </w:t>
      </w:r>
      <w:r w:rsidR="00C71792">
        <w:rPr>
          <w:rFonts w:ascii="Arial" w:hAnsi="Arial" w:cs="Arial"/>
          <w:b/>
          <w:bCs/>
        </w:rPr>
        <w:t>S</w:t>
      </w:r>
      <w:r w:rsidRPr="00E4537B">
        <w:rPr>
          <w:rFonts w:ascii="Arial" w:hAnsi="Arial" w:cs="Arial"/>
          <w:b/>
          <w:bCs/>
        </w:rPr>
        <w:t xml:space="preserve">ources and </w:t>
      </w:r>
      <w:r w:rsidR="00C71792">
        <w:rPr>
          <w:rFonts w:ascii="Arial" w:hAnsi="Arial" w:cs="Arial"/>
          <w:b/>
          <w:bCs/>
        </w:rPr>
        <w:t>C</w:t>
      </w:r>
      <w:r w:rsidRPr="00E4537B">
        <w:rPr>
          <w:rFonts w:ascii="Arial" w:hAnsi="Arial" w:cs="Arial"/>
          <w:b/>
          <w:bCs/>
        </w:rPr>
        <w:t xml:space="preserve">ontribution to </w:t>
      </w:r>
      <w:r w:rsidR="002F313C" w:rsidRPr="00E4537B">
        <w:rPr>
          <w:rFonts w:ascii="Arial" w:hAnsi="Arial" w:cs="Arial"/>
          <w:b/>
          <w:bCs/>
        </w:rPr>
        <w:t>Research</w:t>
      </w:r>
      <w:r w:rsidRPr="00E4537B">
        <w:rPr>
          <w:rFonts w:ascii="Arial" w:hAnsi="Arial" w:cs="Arial"/>
          <w:b/>
          <w:bCs/>
        </w:rPr>
        <w:t xml:space="preserve"> </w:t>
      </w:r>
      <w:r w:rsidR="00C71792">
        <w:rPr>
          <w:rFonts w:ascii="Arial" w:hAnsi="Arial" w:cs="Arial"/>
          <w:b/>
          <w:bCs/>
        </w:rPr>
        <w:t>O</w:t>
      </w:r>
      <w:r w:rsidRPr="00E4537B">
        <w:rPr>
          <w:rFonts w:ascii="Arial" w:hAnsi="Arial" w:cs="Arial"/>
          <w:b/>
          <w:bCs/>
        </w:rPr>
        <w:t>bjectives</w:t>
      </w:r>
    </w:p>
    <w:tbl>
      <w:tblPr>
        <w:tblStyle w:val="TableGrid"/>
        <w:tblW w:w="0" w:type="auto"/>
        <w:jc w:val="center"/>
        <w:tblLook w:val="04A0" w:firstRow="1" w:lastRow="0" w:firstColumn="1" w:lastColumn="0" w:noHBand="0" w:noVBand="1"/>
      </w:tblPr>
      <w:tblGrid>
        <w:gridCol w:w="2362"/>
        <w:gridCol w:w="3569"/>
        <w:gridCol w:w="3295"/>
      </w:tblGrid>
      <w:tr w:rsidR="00B35516" w:rsidRPr="001B3F92" w14:paraId="4CDF8E7A" w14:textId="77777777" w:rsidTr="00101A24">
        <w:trPr>
          <w:jc w:val="center"/>
        </w:trPr>
        <w:tc>
          <w:tcPr>
            <w:tcW w:w="2381" w:type="dxa"/>
            <w:tcMar>
              <w:top w:w="80" w:type="dxa"/>
              <w:left w:w="100" w:type="dxa"/>
              <w:bottom w:w="80" w:type="dxa"/>
              <w:right w:w="100" w:type="dxa"/>
            </w:tcMar>
            <w:vAlign w:val="center"/>
          </w:tcPr>
          <w:p w14:paraId="1F39857B" w14:textId="77777777" w:rsidR="00B35516" w:rsidRPr="001B3F92" w:rsidRDefault="00B35516" w:rsidP="00101A24">
            <w:pPr>
              <w:jc w:val="both"/>
              <w:rPr>
                <w:rFonts w:ascii="Arial" w:hAnsi="Arial" w:cs="Arial"/>
              </w:rPr>
            </w:pPr>
            <w:r w:rsidRPr="001B3F92">
              <w:rPr>
                <w:rFonts w:ascii="Arial" w:hAnsi="Arial" w:cs="Arial"/>
                <w:b/>
              </w:rPr>
              <w:t>Data source</w:t>
            </w:r>
          </w:p>
        </w:tc>
        <w:tc>
          <w:tcPr>
            <w:tcW w:w="3628" w:type="dxa"/>
            <w:tcMar>
              <w:top w:w="80" w:type="dxa"/>
              <w:left w:w="100" w:type="dxa"/>
              <w:bottom w:w="80" w:type="dxa"/>
              <w:right w:w="100" w:type="dxa"/>
            </w:tcMar>
            <w:vAlign w:val="center"/>
          </w:tcPr>
          <w:p w14:paraId="7CC27FE5" w14:textId="0FF54B2B" w:rsidR="00B35516" w:rsidRPr="001B3F92" w:rsidRDefault="00B35516" w:rsidP="00101A24">
            <w:pPr>
              <w:jc w:val="both"/>
              <w:rPr>
                <w:rFonts w:ascii="Arial" w:hAnsi="Arial" w:cs="Arial"/>
              </w:rPr>
            </w:pPr>
            <w:r w:rsidRPr="001B3F92">
              <w:rPr>
                <w:rFonts w:ascii="Arial" w:hAnsi="Arial" w:cs="Arial"/>
                <w:b/>
              </w:rPr>
              <w:t xml:space="preserve">Examples of </w:t>
            </w:r>
            <w:r w:rsidR="00C74AD3">
              <w:rPr>
                <w:rFonts w:ascii="Arial" w:hAnsi="Arial" w:cs="Arial"/>
                <w:b/>
              </w:rPr>
              <w:t>V</w:t>
            </w:r>
            <w:r w:rsidRPr="001B3F92">
              <w:rPr>
                <w:rFonts w:ascii="Arial" w:hAnsi="Arial" w:cs="Arial"/>
                <w:b/>
              </w:rPr>
              <w:t>ariables</w:t>
            </w:r>
          </w:p>
        </w:tc>
        <w:tc>
          <w:tcPr>
            <w:tcW w:w="3345" w:type="dxa"/>
            <w:tcMar>
              <w:top w:w="80" w:type="dxa"/>
              <w:left w:w="100" w:type="dxa"/>
              <w:bottom w:w="80" w:type="dxa"/>
              <w:right w:w="100" w:type="dxa"/>
            </w:tcMar>
            <w:vAlign w:val="center"/>
          </w:tcPr>
          <w:p w14:paraId="4CB16795" w14:textId="5BB3B930" w:rsidR="00B35516" w:rsidRPr="001B3F92" w:rsidRDefault="00B35516" w:rsidP="00101A24">
            <w:pPr>
              <w:jc w:val="both"/>
              <w:rPr>
                <w:rFonts w:ascii="Arial" w:hAnsi="Arial" w:cs="Arial"/>
              </w:rPr>
            </w:pPr>
            <w:r w:rsidRPr="001B3F92">
              <w:rPr>
                <w:rFonts w:ascii="Arial" w:hAnsi="Arial" w:cs="Arial"/>
                <w:b/>
              </w:rPr>
              <w:t xml:space="preserve">Contribution to </w:t>
            </w:r>
            <w:r w:rsidR="00C74AD3">
              <w:rPr>
                <w:rFonts w:ascii="Arial" w:hAnsi="Arial" w:cs="Arial"/>
                <w:b/>
              </w:rPr>
              <w:t>O</w:t>
            </w:r>
            <w:r w:rsidRPr="001B3F92">
              <w:rPr>
                <w:rFonts w:ascii="Arial" w:hAnsi="Arial" w:cs="Arial"/>
                <w:b/>
              </w:rPr>
              <w:t>bjectives</w:t>
            </w:r>
          </w:p>
        </w:tc>
      </w:tr>
      <w:tr w:rsidR="00B35516" w:rsidRPr="001B3F92" w14:paraId="14763183" w14:textId="77777777" w:rsidTr="00101A24">
        <w:trPr>
          <w:jc w:val="center"/>
        </w:trPr>
        <w:tc>
          <w:tcPr>
            <w:tcW w:w="2381" w:type="dxa"/>
            <w:tcMar>
              <w:top w:w="80" w:type="dxa"/>
              <w:left w:w="100" w:type="dxa"/>
              <w:bottom w:w="80" w:type="dxa"/>
              <w:right w:w="100" w:type="dxa"/>
            </w:tcMar>
            <w:vAlign w:val="center"/>
          </w:tcPr>
          <w:p w14:paraId="3769C5DF" w14:textId="293F0E63" w:rsidR="00B35516" w:rsidRPr="001B3F92" w:rsidRDefault="00B35516" w:rsidP="00101A24">
            <w:pPr>
              <w:jc w:val="both"/>
              <w:rPr>
                <w:rFonts w:ascii="Arial" w:hAnsi="Arial" w:cs="Arial"/>
              </w:rPr>
            </w:pPr>
            <w:r w:rsidRPr="001B3F92">
              <w:rPr>
                <w:rFonts w:ascii="Arial" w:hAnsi="Arial" w:cs="Arial"/>
              </w:rPr>
              <w:t>Workflow platform audit logs</w:t>
            </w:r>
            <w:r w:rsidR="00E82E06">
              <w:rPr>
                <w:rFonts w:ascii="Arial" w:hAnsi="Arial" w:cs="Arial"/>
              </w:rPr>
              <w:t>.</w:t>
            </w:r>
          </w:p>
        </w:tc>
        <w:tc>
          <w:tcPr>
            <w:tcW w:w="3628" w:type="dxa"/>
            <w:tcMar>
              <w:top w:w="80" w:type="dxa"/>
              <w:left w:w="100" w:type="dxa"/>
              <w:bottom w:w="80" w:type="dxa"/>
              <w:right w:w="100" w:type="dxa"/>
            </w:tcMar>
            <w:vAlign w:val="center"/>
          </w:tcPr>
          <w:p w14:paraId="6FD8D6E6" w14:textId="74B18919" w:rsidR="00B35516" w:rsidRPr="001B3F92" w:rsidRDefault="00B35516" w:rsidP="00101A24">
            <w:pPr>
              <w:jc w:val="both"/>
              <w:rPr>
                <w:rFonts w:ascii="Arial" w:hAnsi="Arial" w:cs="Arial"/>
              </w:rPr>
            </w:pPr>
            <w:r w:rsidRPr="001B3F92">
              <w:rPr>
                <w:rFonts w:ascii="Arial" w:hAnsi="Arial" w:cs="Arial"/>
              </w:rPr>
              <w:t>Receipt, allocation, action and closure timestamps; reassignment count</w:t>
            </w:r>
            <w:r w:rsidR="00552472">
              <w:rPr>
                <w:rFonts w:ascii="Arial" w:hAnsi="Arial" w:cs="Arial"/>
              </w:rPr>
              <w:t xml:space="preserve"> and</w:t>
            </w:r>
            <w:r w:rsidRPr="001B3F92">
              <w:rPr>
                <w:rFonts w:ascii="Arial" w:hAnsi="Arial" w:cs="Arial"/>
              </w:rPr>
              <w:t xml:space="preserve"> overdue flag</w:t>
            </w:r>
            <w:r w:rsidR="00382E88">
              <w:rPr>
                <w:rFonts w:ascii="Arial" w:hAnsi="Arial" w:cs="Arial"/>
              </w:rPr>
              <w:t>ging</w:t>
            </w:r>
            <w:r>
              <w:rPr>
                <w:rFonts w:ascii="Arial" w:hAnsi="Arial" w:cs="Arial"/>
              </w:rPr>
              <w:t>.</w:t>
            </w:r>
          </w:p>
        </w:tc>
        <w:tc>
          <w:tcPr>
            <w:tcW w:w="3345" w:type="dxa"/>
            <w:tcMar>
              <w:top w:w="80" w:type="dxa"/>
              <w:left w:w="100" w:type="dxa"/>
              <w:bottom w:w="80" w:type="dxa"/>
              <w:right w:w="100" w:type="dxa"/>
            </w:tcMar>
            <w:vAlign w:val="center"/>
          </w:tcPr>
          <w:p w14:paraId="6CB91C0E" w14:textId="51BA0270" w:rsidR="00B35516" w:rsidRPr="001B3F92" w:rsidRDefault="00B35516" w:rsidP="00101A24">
            <w:pPr>
              <w:jc w:val="both"/>
              <w:rPr>
                <w:rFonts w:ascii="Arial" w:hAnsi="Arial" w:cs="Arial"/>
              </w:rPr>
            </w:pPr>
            <w:r w:rsidRPr="001B3F92">
              <w:rPr>
                <w:rFonts w:ascii="Arial" w:hAnsi="Arial" w:cs="Arial"/>
              </w:rPr>
              <w:t xml:space="preserve">Supports </w:t>
            </w:r>
            <w:r w:rsidR="00E82E06">
              <w:rPr>
                <w:rFonts w:ascii="Arial" w:hAnsi="Arial" w:cs="Arial"/>
              </w:rPr>
              <w:t>o</w:t>
            </w:r>
            <w:r w:rsidRPr="001B3F92">
              <w:rPr>
                <w:rFonts w:ascii="Arial" w:hAnsi="Arial" w:cs="Arial"/>
              </w:rPr>
              <w:t>bjectives 1-3 by quantifying process performance and modelling risk.</w:t>
            </w:r>
          </w:p>
        </w:tc>
      </w:tr>
      <w:tr w:rsidR="00B35516" w:rsidRPr="001B3F92" w14:paraId="5671DCE6" w14:textId="77777777" w:rsidTr="00101A24">
        <w:trPr>
          <w:jc w:val="center"/>
        </w:trPr>
        <w:tc>
          <w:tcPr>
            <w:tcW w:w="2381" w:type="dxa"/>
            <w:tcMar>
              <w:top w:w="80" w:type="dxa"/>
              <w:left w:w="100" w:type="dxa"/>
              <w:bottom w:w="80" w:type="dxa"/>
              <w:right w:w="100" w:type="dxa"/>
            </w:tcMar>
            <w:vAlign w:val="center"/>
          </w:tcPr>
          <w:p w14:paraId="15561BC6" w14:textId="7317C5BA" w:rsidR="00B35516" w:rsidRPr="001B3F92" w:rsidRDefault="00B35516" w:rsidP="00101A24">
            <w:pPr>
              <w:jc w:val="both"/>
              <w:rPr>
                <w:rFonts w:ascii="Arial" w:hAnsi="Arial" w:cs="Arial"/>
              </w:rPr>
            </w:pPr>
            <w:r w:rsidRPr="001B3F92">
              <w:rPr>
                <w:rFonts w:ascii="Arial" w:hAnsi="Arial" w:cs="Arial"/>
              </w:rPr>
              <w:t>Practice operational context data</w:t>
            </w:r>
            <w:r w:rsidR="00E82E06">
              <w:rPr>
                <w:rFonts w:ascii="Arial" w:hAnsi="Arial" w:cs="Arial"/>
              </w:rPr>
              <w:t>.</w:t>
            </w:r>
          </w:p>
        </w:tc>
        <w:tc>
          <w:tcPr>
            <w:tcW w:w="3628" w:type="dxa"/>
            <w:tcMar>
              <w:top w:w="80" w:type="dxa"/>
              <w:left w:w="100" w:type="dxa"/>
              <w:bottom w:w="80" w:type="dxa"/>
              <w:right w:w="100" w:type="dxa"/>
            </w:tcMar>
            <w:vAlign w:val="center"/>
          </w:tcPr>
          <w:p w14:paraId="237442B7" w14:textId="74FBEF78" w:rsidR="00B35516" w:rsidRPr="001B3F92" w:rsidRDefault="00B35516" w:rsidP="00101A24">
            <w:pPr>
              <w:jc w:val="both"/>
              <w:rPr>
                <w:rFonts w:ascii="Arial" w:hAnsi="Arial" w:cs="Arial"/>
              </w:rPr>
            </w:pPr>
            <w:r w:rsidRPr="001B3F92">
              <w:rPr>
                <w:rFonts w:ascii="Arial" w:hAnsi="Arial" w:cs="Arial"/>
              </w:rPr>
              <w:t>List size, staffing capacity, absence, site arrangement</w:t>
            </w:r>
            <w:r w:rsidR="00B30789">
              <w:rPr>
                <w:rFonts w:ascii="Arial" w:hAnsi="Arial" w:cs="Arial"/>
              </w:rPr>
              <w:t xml:space="preserve"> and</w:t>
            </w:r>
            <w:r w:rsidRPr="001B3F92">
              <w:rPr>
                <w:rFonts w:ascii="Arial" w:hAnsi="Arial" w:cs="Arial"/>
              </w:rPr>
              <w:t xml:space="preserve"> configuration changes</w:t>
            </w:r>
            <w:r>
              <w:rPr>
                <w:rFonts w:ascii="Arial" w:hAnsi="Arial" w:cs="Arial"/>
              </w:rPr>
              <w:t>.</w:t>
            </w:r>
          </w:p>
        </w:tc>
        <w:tc>
          <w:tcPr>
            <w:tcW w:w="3345" w:type="dxa"/>
            <w:tcMar>
              <w:top w:w="80" w:type="dxa"/>
              <w:left w:w="100" w:type="dxa"/>
              <w:bottom w:w="80" w:type="dxa"/>
              <w:right w:w="100" w:type="dxa"/>
            </w:tcMar>
            <w:vAlign w:val="center"/>
          </w:tcPr>
          <w:p w14:paraId="3E301A68" w14:textId="77777777" w:rsidR="00B35516" w:rsidRPr="001B3F92" w:rsidRDefault="00B35516" w:rsidP="00101A24">
            <w:pPr>
              <w:jc w:val="both"/>
              <w:rPr>
                <w:rFonts w:ascii="Arial" w:hAnsi="Arial" w:cs="Arial"/>
              </w:rPr>
            </w:pPr>
            <w:r w:rsidRPr="001B3F92">
              <w:rPr>
                <w:rFonts w:ascii="Arial" w:hAnsi="Arial" w:cs="Arial"/>
              </w:rPr>
              <w:t>Supports interpretation of organisational variation and possible confounding.</w:t>
            </w:r>
          </w:p>
        </w:tc>
      </w:tr>
      <w:tr w:rsidR="00B35516" w:rsidRPr="001B3F92" w14:paraId="4EDF7A42" w14:textId="77777777" w:rsidTr="00101A24">
        <w:trPr>
          <w:jc w:val="center"/>
        </w:trPr>
        <w:tc>
          <w:tcPr>
            <w:tcW w:w="2381" w:type="dxa"/>
            <w:tcMar>
              <w:top w:w="80" w:type="dxa"/>
              <w:left w:w="100" w:type="dxa"/>
              <w:bottom w:w="80" w:type="dxa"/>
              <w:right w:w="100" w:type="dxa"/>
            </w:tcMar>
            <w:vAlign w:val="center"/>
          </w:tcPr>
          <w:p w14:paraId="69344A94" w14:textId="720961A2" w:rsidR="00B35516" w:rsidRPr="001B3F92" w:rsidRDefault="00B35516" w:rsidP="00101A24">
            <w:pPr>
              <w:jc w:val="both"/>
              <w:rPr>
                <w:rFonts w:ascii="Arial" w:hAnsi="Arial" w:cs="Arial"/>
              </w:rPr>
            </w:pPr>
            <w:r w:rsidRPr="001B3F92">
              <w:rPr>
                <w:rFonts w:ascii="Arial" w:hAnsi="Arial" w:cs="Arial"/>
              </w:rPr>
              <w:t>Semi-structured staff interviews</w:t>
            </w:r>
            <w:r w:rsidR="00E82E06">
              <w:rPr>
                <w:rFonts w:ascii="Arial" w:hAnsi="Arial" w:cs="Arial"/>
              </w:rPr>
              <w:t>.</w:t>
            </w:r>
          </w:p>
        </w:tc>
        <w:tc>
          <w:tcPr>
            <w:tcW w:w="3628" w:type="dxa"/>
            <w:tcMar>
              <w:top w:w="80" w:type="dxa"/>
              <w:left w:w="100" w:type="dxa"/>
              <w:bottom w:w="80" w:type="dxa"/>
              <w:right w:w="100" w:type="dxa"/>
            </w:tcMar>
            <w:vAlign w:val="center"/>
          </w:tcPr>
          <w:p w14:paraId="161E069B" w14:textId="77777777" w:rsidR="00B35516" w:rsidRPr="001B3F92" w:rsidRDefault="00B35516" w:rsidP="00101A24">
            <w:pPr>
              <w:jc w:val="both"/>
              <w:rPr>
                <w:rFonts w:ascii="Arial" w:hAnsi="Arial" w:cs="Arial"/>
              </w:rPr>
            </w:pPr>
            <w:r w:rsidRPr="001B3F92">
              <w:rPr>
                <w:rFonts w:ascii="Arial" w:hAnsi="Arial" w:cs="Arial"/>
              </w:rPr>
              <w:t>Usability, burden, trust, workarounds, escalation</w:t>
            </w:r>
            <w:r>
              <w:rPr>
                <w:rFonts w:ascii="Arial" w:hAnsi="Arial" w:cs="Arial"/>
              </w:rPr>
              <w:t xml:space="preserve"> and</w:t>
            </w:r>
            <w:r w:rsidRPr="001B3F92">
              <w:rPr>
                <w:rFonts w:ascii="Arial" w:hAnsi="Arial" w:cs="Arial"/>
              </w:rPr>
              <w:t xml:space="preserve"> role clarity</w:t>
            </w:r>
            <w:r>
              <w:rPr>
                <w:rFonts w:ascii="Arial" w:hAnsi="Arial" w:cs="Arial"/>
              </w:rPr>
              <w:t>.</w:t>
            </w:r>
          </w:p>
        </w:tc>
        <w:tc>
          <w:tcPr>
            <w:tcW w:w="3345" w:type="dxa"/>
            <w:tcMar>
              <w:top w:w="80" w:type="dxa"/>
              <w:left w:w="100" w:type="dxa"/>
              <w:bottom w:w="80" w:type="dxa"/>
              <w:right w:w="100" w:type="dxa"/>
            </w:tcMar>
            <w:vAlign w:val="center"/>
          </w:tcPr>
          <w:p w14:paraId="18F01EEF" w14:textId="516C87CE" w:rsidR="00B35516" w:rsidRPr="001B3F92" w:rsidRDefault="00B35516" w:rsidP="00101A24">
            <w:pPr>
              <w:jc w:val="both"/>
              <w:rPr>
                <w:rFonts w:ascii="Arial" w:hAnsi="Arial" w:cs="Arial"/>
              </w:rPr>
            </w:pPr>
            <w:r w:rsidRPr="001B3F92">
              <w:rPr>
                <w:rFonts w:ascii="Arial" w:hAnsi="Arial" w:cs="Arial"/>
              </w:rPr>
              <w:t xml:space="preserve">Supports </w:t>
            </w:r>
            <w:r w:rsidR="00AE3DD3">
              <w:rPr>
                <w:rFonts w:ascii="Arial" w:hAnsi="Arial" w:cs="Arial"/>
              </w:rPr>
              <w:t>o</w:t>
            </w:r>
            <w:r w:rsidRPr="001B3F92">
              <w:rPr>
                <w:rFonts w:ascii="Arial" w:hAnsi="Arial" w:cs="Arial"/>
              </w:rPr>
              <w:t>bjective 4 and mixed-methods integration.</w:t>
            </w:r>
          </w:p>
        </w:tc>
      </w:tr>
      <w:tr w:rsidR="00B35516" w:rsidRPr="001B3F92" w14:paraId="147803E7" w14:textId="77777777" w:rsidTr="00101A24">
        <w:trPr>
          <w:jc w:val="center"/>
        </w:trPr>
        <w:tc>
          <w:tcPr>
            <w:tcW w:w="2381" w:type="dxa"/>
            <w:tcMar>
              <w:top w:w="80" w:type="dxa"/>
              <w:left w:w="100" w:type="dxa"/>
              <w:bottom w:w="80" w:type="dxa"/>
              <w:right w:w="100" w:type="dxa"/>
            </w:tcMar>
            <w:vAlign w:val="center"/>
          </w:tcPr>
          <w:p w14:paraId="6E622218" w14:textId="6CF387CC" w:rsidR="00B35516" w:rsidRPr="001B3F92" w:rsidRDefault="00B35516" w:rsidP="00101A24">
            <w:pPr>
              <w:jc w:val="both"/>
              <w:rPr>
                <w:rFonts w:ascii="Arial" w:hAnsi="Arial" w:cs="Arial"/>
              </w:rPr>
            </w:pPr>
            <w:r w:rsidRPr="001B3F92">
              <w:rPr>
                <w:rFonts w:ascii="Arial" w:hAnsi="Arial" w:cs="Arial"/>
              </w:rPr>
              <w:t>Observational workflow notes</w:t>
            </w:r>
            <w:r w:rsidR="00E82E06">
              <w:rPr>
                <w:rFonts w:ascii="Arial" w:hAnsi="Arial" w:cs="Arial"/>
              </w:rPr>
              <w:t>.</w:t>
            </w:r>
          </w:p>
        </w:tc>
        <w:tc>
          <w:tcPr>
            <w:tcW w:w="3628" w:type="dxa"/>
            <w:tcMar>
              <w:top w:w="80" w:type="dxa"/>
              <w:left w:w="100" w:type="dxa"/>
              <w:bottom w:w="80" w:type="dxa"/>
              <w:right w:w="100" w:type="dxa"/>
            </w:tcMar>
            <w:vAlign w:val="center"/>
          </w:tcPr>
          <w:p w14:paraId="45C2F70B" w14:textId="77777777" w:rsidR="00B35516" w:rsidRPr="001B3F92" w:rsidRDefault="00B35516" w:rsidP="00101A24">
            <w:pPr>
              <w:jc w:val="both"/>
              <w:rPr>
                <w:rFonts w:ascii="Arial" w:hAnsi="Arial" w:cs="Arial"/>
              </w:rPr>
            </w:pPr>
            <w:r w:rsidRPr="001B3F92">
              <w:rPr>
                <w:rFonts w:ascii="Arial" w:hAnsi="Arial" w:cs="Arial"/>
              </w:rPr>
              <w:t>Handoffs, interruptions</w:t>
            </w:r>
            <w:r>
              <w:rPr>
                <w:rFonts w:ascii="Arial" w:hAnsi="Arial" w:cs="Arial"/>
              </w:rPr>
              <w:t xml:space="preserve"> and</w:t>
            </w:r>
            <w:r w:rsidRPr="001B3F92">
              <w:rPr>
                <w:rFonts w:ascii="Arial" w:hAnsi="Arial" w:cs="Arial"/>
              </w:rPr>
              <w:t xml:space="preserve"> informal routines</w:t>
            </w:r>
            <w:r>
              <w:rPr>
                <w:rFonts w:ascii="Arial" w:hAnsi="Arial" w:cs="Arial"/>
              </w:rPr>
              <w:t>.</w:t>
            </w:r>
          </w:p>
        </w:tc>
        <w:tc>
          <w:tcPr>
            <w:tcW w:w="3345" w:type="dxa"/>
            <w:tcMar>
              <w:top w:w="80" w:type="dxa"/>
              <w:left w:w="100" w:type="dxa"/>
              <w:bottom w:w="80" w:type="dxa"/>
              <w:right w:w="100" w:type="dxa"/>
            </w:tcMar>
            <w:vAlign w:val="center"/>
          </w:tcPr>
          <w:p w14:paraId="638C3271" w14:textId="568707B6" w:rsidR="00B35516" w:rsidRPr="001B3F92" w:rsidRDefault="00B35516" w:rsidP="00101A24">
            <w:pPr>
              <w:jc w:val="both"/>
              <w:rPr>
                <w:rFonts w:ascii="Arial" w:hAnsi="Arial" w:cs="Arial"/>
              </w:rPr>
            </w:pPr>
            <w:r w:rsidRPr="001B3F92">
              <w:rPr>
                <w:rFonts w:ascii="Arial" w:hAnsi="Arial" w:cs="Arial"/>
              </w:rPr>
              <w:t>Improves explanatory depth and triangulation</w:t>
            </w:r>
            <w:r w:rsidR="00380F2E">
              <w:rPr>
                <w:rFonts w:ascii="Arial" w:hAnsi="Arial" w:cs="Arial"/>
              </w:rPr>
              <w:t xml:space="preserve"> to achieve objective</w:t>
            </w:r>
            <w:r w:rsidR="006F4710">
              <w:rPr>
                <w:rFonts w:ascii="Arial" w:hAnsi="Arial" w:cs="Arial"/>
              </w:rPr>
              <w:t>s 4-</w:t>
            </w:r>
            <w:r w:rsidR="00380F2E">
              <w:rPr>
                <w:rFonts w:ascii="Arial" w:hAnsi="Arial" w:cs="Arial"/>
              </w:rPr>
              <w:t>5</w:t>
            </w:r>
            <w:r w:rsidRPr="001B3F92">
              <w:rPr>
                <w:rFonts w:ascii="Arial" w:hAnsi="Arial" w:cs="Arial"/>
              </w:rPr>
              <w:t>.</w:t>
            </w:r>
          </w:p>
        </w:tc>
      </w:tr>
      <w:tr w:rsidR="00B35516" w:rsidRPr="001B3F92" w14:paraId="281A4FAD" w14:textId="77777777" w:rsidTr="00101A24">
        <w:trPr>
          <w:jc w:val="center"/>
        </w:trPr>
        <w:tc>
          <w:tcPr>
            <w:tcW w:w="2381" w:type="dxa"/>
            <w:tcMar>
              <w:top w:w="80" w:type="dxa"/>
              <w:left w:w="100" w:type="dxa"/>
              <w:bottom w:w="80" w:type="dxa"/>
              <w:right w:w="100" w:type="dxa"/>
            </w:tcMar>
            <w:vAlign w:val="center"/>
          </w:tcPr>
          <w:p w14:paraId="5B3A6924" w14:textId="55AD985E" w:rsidR="00B35516" w:rsidRPr="001B3F92" w:rsidRDefault="00B35516" w:rsidP="00101A24">
            <w:pPr>
              <w:jc w:val="both"/>
              <w:rPr>
                <w:rFonts w:ascii="Arial" w:hAnsi="Arial" w:cs="Arial"/>
              </w:rPr>
            </w:pPr>
            <w:r w:rsidRPr="001B3F92">
              <w:rPr>
                <w:rFonts w:ascii="Arial" w:hAnsi="Arial" w:cs="Arial"/>
              </w:rPr>
              <w:t xml:space="preserve">Implementation </w:t>
            </w:r>
            <w:r w:rsidRPr="001B3F92">
              <w:rPr>
                <w:rFonts w:ascii="Arial" w:hAnsi="Arial" w:cs="Arial"/>
              </w:rPr>
              <w:lastRenderedPageBreak/>
              <w:t>documents</w:t>
            </w:r>
            <w:r w:rsidR="00E82E06">
              <w:rPr>
                <w:rFonts w:ascii="Arial" w:hAnsi="Arial" w:cs="Arial"/>
              </w:rPr>
              <w:t>.</w:t>
            </w:r>
          </w:p>
        </w:tc>
        <w:tc>
          <w:tcPr>
            <w:tcW w:w="3628" w:type="dxa"/>
            <w:tcMar>
              <w:top w:w="80" w:type="dxa"/>
              <w:left w:w="100" w:type="dxa"/>
              <w:bottom w:w="80" w:type="dxa"/>
              <w:right w:w="100" w:type="dxa"/>
            </w:tcMar>
            <w:vAlign w:val="center"/>
          </w:tcPr>
          <w:p w14:paraId="6AE07B11" w14:textId="77777777" w:rsidR="00B35516" w:rsidRPr="001B3F92" w:rsidRDefault="00B35516" w:rsidP="00101A24">
            <w:pPr>
              <w:jc w:val="both"/>
              <w:rPr>
                <w:rFonts w:ascii="Arial" w:hAnsi="Arial" w:cs="Arial"/>
              </w:rPr>
            </w:pPr>
            <w:r w:rsidRPr="001B3F92">
              <w:rPr>
                <w:rFonts w:ascii="Arial" w:hAnsi="Arial" w:cs="Arial"/>
              </w:rPr>
              <w:lastRenderedPageBreak/>
              <w:t>S</w:t>
            </w:r>
            <w:r>
              <w:rPr>
                <w:rFonts w:ascii="Arial" w:hAnsi="Arial" w:cs="Arial"/>
              </w:rPr>
              <w:t>tandard operating procedures</w:t>
            </w:r>
            <w:r w:rsidRPr="001B3F92">
              <w:rPr>
                <w:rFonts w:ascii="Arial" w:hAnsi="Arial" w:cs="Arial"/>
              </w:rPr>
              <w:t>, training materials</w:t>
            </w:r>
            <w:r>
              <w:rPr>
                <w:rFonts w:ascii="Arial" w:hAnsi="Arial" w:cs="Arial"/>
              </w:rPr>
              <w:t xml:space="preserve"> and</w:t>
            </w:r>
            <w:r w:rsidRPr="001B3F92">
              <w:rPr>
                <w:rFonts w:ascii="Arial" w:hAnsi="Arial" w:cs="Arial"/>
              </w:rPr>
              <w:t xml:space="preserve"> governance </w:t>
            </w:r>
            <w:r w:rsidRPr="001B3F92">
              <w:rPr>
                <w:rFonts w:ascii="Arial" w:hAnsi="Arial" w:cs="Arial"/>
              </w:rPr>
              <w:lastRenderedPageBreak/>
              <w:t>documents</w:t>
            </w:r>
            <w:r>
              <w:rPr>
                <w:rFonts w:ascii="Arial" w:hAnsi="Arial" w:cs="Arial"/>
              </w:rPr>
              <w:t>.</w:t>
            </w:r>
          </w:p>
        </w:tc>
        <w:tc>
          <w:tcPr>
            <w:tcW w:w="3345" w:type="dxa"/>
            <w:tcMar>
              <w:top w:w="80" w:type="dxa"/>
              <w:left w:w="100" w:type="dxa"/>
              <w:bottom w:w="80" w:type="dxa"/>
              <w:right w:w="100" w:type="dxa"/>
            </w:tcMar>
            <w:vAlign w:val="center"/>
          </w:tcPr>
          <w:p w14:paraId="40DE3815" w14:textId="77777777" w:rsidR="00B35516" w:rsidRPr="001B3F92" w:rsidRDefault="00B35516" w:rsidP="00101A24">
            <w:pPr>
              <w:jc w:val="both"/>
              <w:rPr>
                <w:rFonts w:ascii="Arial" w:hAnsi="Arial" w:cs="Arial"/>
              </w:rPr>
            </w:pPr>
            <w:r w:rsidRPr="001B3F92">
              <w:rPr>
                <w:rFonts w:ascii="Arial" w:hAnsi="Arial" w:cs="Arial"/>
              </w:rPr>
              <w:lastRenderedPageBreak/>
              <w:t xml:space="preserve">Clarifies the intended model of </w:t>
            </w:r>
            <w:r w:rsidRPr="001B3F92">
              <w:rPr>
                <w:rFonts w:ascii="Arial" w:hAnsi="Arial" w:cs="Arial"/>
              </w:rPr>
              <w:lastRenderedPageBreak/>
              <w:t>workflow and change.</w:t>
            </w:r>
          </w:p>
        </w:tc>
      </w:tr>
    </w:tbl>
    <w:p w14:paraId="146F75B8" w14:textId="77777777" w:rsidR="00B35516" w:rsidRPr="001B3F92" w:rsidRDefault="00B35516" w:rsidP="00B35516">
      <w:pPr>
        <w:jc w:val="both"/>
        <w:rPr>
          <w:rFonts w:ascii="Arial" w:hAnsi="Arial" w:cs="Arial"/>
        </w:rPr>
      </w:pPr>
    </w:p>
    <w:p w14:paraId="1303CD77" w14:textId="57C7D8A8" w:rsidR="00B35516" w:rsidRPr="00E4537B" w:rsidRDefault="00B35516" w:rsidP="00B35516">
      <w:pPr>
        <w:rPr>
          <w:rFonts w:ascii="Arial" w:hAnsi="Arial" w:cs="Arial"/>
          <w:b/>
          <w:bCs/>
        </w:rPr>
      </w:pPr>
      <w:r w:rsidRPr="00E4537B">
        <w:rPr>
          <w:rFonts w:ascii="Arial" w:hAnsi="Arial" w:cs="Arial"/>
          <w:b/>
          <w:bCs/>
        </w:rPr>
        <w:t xml:space="preserve">Table 3. Itemised </w:t>
      </w:r>
      <w:r w:rsidR="002F313C">
        <w:rPr>
          <w:rFonts w:ascii="Arial" w:hAnsi="Arial" w:cs="Arial"/>
          <w:b/>
          <w:bCs/>
        </w:rPr>
        <w:t>A</w:t>
      </w:r>
      <w:r w:rsidRPr="00E4537B">
        <w:rPr>
          <w:rFonts w:ascii="Arial" w:hAnsi="Arial" w:cs="Arial"/>
          <w:b/>
          <w:bCs/>
        </w:rPr>
        <w:t xml:space="preserve">nalysis </w:t>
      </w:r>
      <w:r w:rsidR="002F313C">
        <w:rPr>
          <w:rFonts w:ascii="Arial" w:hAnsi="Arial" w:cs="Arial"/>
          <w:b/>
          <w:bCs/>
        </w:rPr>
        <w:t>M</w:t>
      </w:r>
      <w:r w:rsidRPr="00E4537B">
        <w:rPr>
          <w:rFonts w:ascii="Arial" w:hAnsi="Arial" w:cs="Arial"/>
          <w:b/>
          <w:bCs/>
        </w:rPr>
        <w:t xml:space="preserve">ethods </w:t>
      </w:r>
      <w:r w:rsidR="002F313C">
        <w:rPr>
          <w:rFonts w:ascii="Arial" w:hAnsi="Arial" w:cs="Arial"/>
          <w:b/>
          <w:bCs/>
        </w:rPr>
        <w:t>L</w:t>
      </w:r>
      <w:r w:rsidRPr="00E4537B">
        <w:rPr>
          <w:rFonts w:ascii="Arial" w:hAnsi="Arial" w:cs="Arial"/>
          <w:b/>
          <w:bCs/>
        </w:rPr>
        <w:t xml:space="preserve">inked to </w:t>
      </w:r>
      <w:r w:rsidR="002F313C">
        <w:rPr>
          <w:rFonts w:ascii="Arial" w:hAnsi="Arial" w:cs="Arial"/>
          <w:b/>
          <w:bCs/>
        </w:rPr>
        <w:t>R</w:t>
      </w:r>
      <w:r w:rsidRPr="00E4537B">
        <w:rPr>
          <w:rFonts w:ascii="Arial" w:hAnsi="Arial" w:cs="Arial"/>
          <w:b/>
          <w:bCs/>
        </w:rPr>
        <w:t xml:space="preserve">esearch </w:t>
      </w:r>
      <w:r w:rsidR="002F313C">
        <w:rPr>
          <w:rFonts w:ascii="Arial" w:hAnsi="Arial" w:cs="Arial"/>
          <w:b/>
          <w:bCs/>
        </w:rPr>
        <w:t>O</w:t>
      </w:r>
      <w:r w:rsidRPr="00E4537B">
        <w:rPr>
          <w:rFonts w:ascii="Arial" w:hAnsi="Arial" w:cs="Arial"/>
          <w:b/>
          <w:bCs/>
        </w:rPr>
        <w:t>bjectives</w:t>
      </w:r>
    </w:p>
    <w:tbl>
      <w:tblPr>
        <w:tblStyle w:val="TableGrid"/>
        <w:tblW w:w="0" w:type="auto"/>
        <w:jc w:val="center"/>
        <w:tblLook w:val="04A0" w:firstRow="1" w:lastRow="0" w:firstColumn="1" w:lastColumn="0" w:noHBand="0" w:noVBand="1"/>
      </w:tblPr>
      <w:tblGrid>
        <w:gridCol w:w="1789"/>
        <w:gridCol w:w="4483"/>
        <w:gridCol w:w="2954"/>
      </w:tblGrid>
      <w:tr w:rsidR="00B35516" w:rsidRPr="001B3F92" w14:paraId="0E6102E7" w14:textId="77777777" w:rsidTr="00101A24">
        <w:trPr>
          <w:jc w:val="center"/>
        </w:trPr>
        <w:tc>
          <w:tcPr>
            <w:tcW w:w="1814" w:type="dxa"/>
            <w:tcMar>
              <w:top w:w="80" w:type="dxa"/>
              <w:left w:w="100" w:type="dxa"/>
              <w:bottom w:w="80" w:type="dxa"/>
              <w:right w:w="100" w:type="dxa"/>
            </w:tcMar>
            <w:vAlign w:val="center"/>
          </w:tcPr>
          <w:p w14:paraId="13EE1BDC" w14:textId="77777777" w:rsidR="00B35516" w:rsidRPr="001B3F92" w:rsidRDefault="00B35516" w:rsidP="00101A24">
            <w:pPr>
              <w:jc w:val="both"/>
              <w:rPr>
                <w:rFonts w:ascii="Arial" w:hAnsi="Arial" w:cs="Arial"/>
              </w:rPr>
            </w:pPr>
            <w:r w:rsidRPr="001B3F92">
              <w:rPr>
                <w:rFonts w:ascii="Arial" w:hAnsi="Arial" w:cs="Arial"/>
                <w:b/>
              </w:rPr>
              <w:t>Objective</w:t>
            </w:r>
          </w:p>
        </w:tc>
        <w:tc>
          <w:tcPr>
            <w:tcW w:w="4592" w:type="dxa"/>
            <w:tcMar>
              <w:top w:w="80" w:type="dxa"/>
              <w:left w:w="100" w:type="dxa"/>
              <w:bottom w:w="80" w:type="dxa"/>
              <w:right w:w="100" w:type="dxa"/>
            </w:tcMar>
            <w:vAlign w:val="center"/>
          </w:tcPr>
          <w:p w14:paraId="30AF814B" w14:textId="77777777" w:rsidR="00B35516" w:rsidRPr="001B3F92" w:rsidRDefault="00B35516" w:rsidP="00101A24">
            <w:pPr>
              <w:jc w:val="both"/>
              <w:rPr>
                <w:rFonts w:ascii="Arial" w:hAnsi="Arial" w:cs="Arial"/>
              </w:rPr>
            </w:pPr>
            <w:r w:rsidRPr="001B3F92">
              <w:rPr>
                <w:rFonts w:ascii="Arial" w:hAnsi="Arial" w:cs="Arial"/>
                <w:b/>
              </w:rPr>
              <w:t>Analysis methods</w:t>
            </w:r>
          </w:p>
        </w:tc>
        <w:tc>
          <w:tcPr>
            <w:tcW w:w="3005" w:type="dxa"/>
            <w:tcMar>
              <w:top w:w="80" w:type="dxa"/>
              <w:left w:w="100" w:type="dxa"/>
              <w:bottom w:w="80" w:type="dxa"/>
              <w:right w:w="100" w:type="dxa"/>
            </w:tcMar>
            <w:vAlign w:val="center"/>
          </w:tcPr>
          <w:p w14:paraId="57FFE0D4" w14:textId="77777777" w:rsidR="00B35516" w:rsidRPr="001B3F92" w:rsidRDefault="00B35516" w:rsidP="00101A24">
            <w:pPr>
              <w:jc w:val="both"/>
              <w:rPr>
                <w:rFonts w:ascii="Arial" w:hAnsi="Arial" w:cs="Arial"/>
              </w:rPr>
            </w:pPr>
            <w:r w:rsidRPr="001B3F92">
              <w:rPr>
                <w:rFonts w:ascii="Arial" w:hAnsi="Arial" w:cs="Arial"/>
                <w:b/>
              </w:rPr>
              <w:t>Rationale</w:t>
            </w:r>
          </w:p>
        </w:tc>
      </w:tr>
      <w:tr w:rsidR="00B35516" w:rsidRPr="001B3F92" w14:paraId="1ADBEA92" w14:textId="77777777" w:rsidTr="00101A24">
        <w:trPr>
          <w:jc w:val="center"/>
        </w:trPr>
        <w:tc>
          <w:tcPr>
            <w:tcW w:w="1814" w:type="dxa"/>
            <w:tcMar>
              <w:top w:w="80" w:type="dxa"/>
              <w:left w:w="100" w:type="dxa"/>
              <w:bottom w:w="80" w:type="dxa"/>
              <w:right w:w="100" w:type="dxa"/>
            </w:tcMar>
            <w:vAlign w:val="center"/>
          </w:tcPr>
          <w:p w14:paraId="3AB9223F" w14:textId="77777777" w:rsidR="00B35516" w:rsidRPr="001B3F92" w:rsidRDefault="00B35516" w:rsidP="00101A24">
            <w:pPr>
              <w:jc w:val="both"/>
              <w:rPr>
                <w:rFonts w:ascii="Arial" w:hAnsi="Arial" w:cs="Arial"/>
              </w:rPr>
            </w:pPr>
            <w:r w:rsidRPr="001B3F92">
              <w:rPr>
                <w:rFonts w:ascii="Arial" w:hAnsi="Arial" w:cs="Arial"/>
              </w:rPr>
              <w:t>Objective 1</w:t>
            </w:r>
          </w:p>
        </w:tc>
        <w:tc>
          <w:tcPr>
            <w:tcW w:w="4592" w:type="dxa"/>
            <w:tcMar>
              <w:top w:w="80" w:type="dxa"/>
              <w:left w:w="100" w:type="dxa"/>
              <w:bottom w:w="80" w:type="dxa"/>
              <w:right w:w="100" w:type="dxa"/>
            </w:tcMar>
            <w:vAlign w:val="center"/>
          </w:tcPr>
          <w:p w14:paraId="6B63ABEB" w14:textId="77777777" w:rsidR="00B35516" w:rsidRPr="001B3F92" w:rsidRDefault="00B35516" w:rsidP="00101A24">
            <w:pPr>
              <w:jc w:val="both"/>
              <w:rPr>
                <w:rFonts w:ascii="Arial" w:hAnsi="Arial" w:cs="Arial"/>
              </w:rPr>
            </w:pPr>
            <w:r w:rsidRPr="001B3F92">
              <w:rPr>
                <w:rFonts w:ascii="Arial" w:hAnsi="Arial" w:cs="Arial"/>
              </w:rPr>
              <w:t>Descriptive statistics</w:t>
            </w:r>
            <w:r>
              <w:rPr>
                <w:rFonts w:ascii="Arial" w:hAnsi="Arial" w:cs="Arial"/>
              </w:rPr>
              <w:t>,</w:t>
            </w:r>
            <w:r w:rsidRPr="001B3F92">
              <w:rPr>
                <w:rFonts w:ascii="Arial" w:hAnsi="Arial" w:cs="Arial"/>
              </w:rPr>
              <w:t xml:space="preserve"> stratified summaries</w:t>
            </w:r>
            <w:r>
              <w:rPr>
                <w:rFonts w:ascii="Arial" w:hAnsi="Arial" w:cs="Arial"/>
              </w:rPr>
              <w:t>,</w:t>
            </w:r>
            <w:r w:rsidRPr="001B3F92">
              <w:rPr>
                <w:rFonts w:ascii="Arial" w:hAnsi="Arial" w:cs="Arial"/>
              </w:rPr>
              <w:t xml:space="preserve"> run charts</w:t>
            </w:r>
            <w:r>
              <w:rPr>
                <w:rFonts w:ascii="Arial" w:hAnsi="Arial" w:cs="Arial"/>
              </w:rPr>
              <w:t xml:space="preserve"> and</w:t>
            </w:r>
            <w:r w:rsidRPr="001B3F92">
              <w:rPr>
                <w:rFonts w:ascii="Arial" w:hAnsi="Arial" w:cs="Arial"/>
              </w:rPr>
              <w:t xml:space="preserve"> SPC charts</w:t>
            </w:r>
            <w:r>
              <w:rPr>
                <w:rFonts w:ascii="Arial" w:hAnsi="Arial" w:cs="Arial"/>
              </w:rPr>
              <w:t>.</w:t>
            </w:r>
          </w:p>
        </w:tc>
        <w:tc>
          <w:tcPr>
            <w:tcW w:w="3005" w:type="dxa"/>
            <w:tcMar>
              <w:top w:w="80" w:type="dxa"/>
              <w:left w:w="100" w:type="dxa"/>
              <w:bottom w:w="80" w:type="dxa"/>
              <w:right w:w="100" w:type="dxa"/>
            </w:tcMar>
            <w:vAlign w:val="center"/>
          </w:tcPr>
          <w:p w14:paraId="69C738D3" w14:textId="77777777" w:rsidR="00B35516" w:rsidRPr="001B3F92" w:rsidRDefault="00B35516" w:rsidP="00101A24">
            <w:pPr>
              <w:jc w:val="both"/>
              <w:rPr>
                <w:rFonts w:ascii="Arial" w:hAnsi="Arial" w:cs="Arial"/>
              </w:rPr>
            </w:pPr>
            <w:r w:rsidRPr="001B3F92">
              <w:rPr>
                <w:rFonts w:ascii="Arial" w:hAnsi="Arial" w:cs="Arial"/>
              </w:rPr>
              <w:t>Characterises workflow distributions, variation and trends.</w:t>
            </w:r>
          </w:p>
        </w:tc>
      </w:tr>
      <w:tr w:rsidR="00B35516" w:rsidRPr="001B3F92" w14:paraId="201112FB" w14:textId="77777777" w:rsidTr="00101A24">
        <w:trPr>
          <w:jc w:val="center"/>
        </w:trPr>
        <w:tc>
          <w:tcPr>
            <w:tcW w:w="1814" w:type="dxa"/>
            <w:tcMar>
              <w:top w:w="80" w:type="dxa"/>
              <w:left w:w="100" w:type="dxa"/>
              <w:bottom w:w="80" w:type="dxa"/>
              <w:right w:w="100" w:type="dxa"/>
            </w:tcMar>
            <w:vAlign w:val="center"/>
          </w:tcPr>
          <w:p w14:paraId="01C29672" w14:textId="77777777" w:rsidR="00B35516" w:rsidRPr="001B3F92" w:rsidRDefault="00B35516" w:rsidP="00101A24">
            <w:pPr>
              <w:jc w:val="both"/>
              <w:rPr>
                <w:rFonts w:ascii="Arial" w:hAnsi="Arial" w:cs="Arial"/>
              </w:rPr>
            </w:pPr>
            <w:r w:rsidRPr="001B3F92">
              <w:rPr>
                <w:rFonts w:ascii="Arial" w:hAnsi="Arial" w:cs="Arial"/>
              </w:rPr>
              <w:t>Objective 2</w:t>
            </w:r>
          </w:p>
        </w:tc>
        <w:tc>
          <w:tcPr>
            <w:tcW w:w="4592" w:type="dxa"/>
            <w:tcMar>
              <w:top w:w="80" w:type="dxa"/>
              <w:left w:w="100" w:type="dxa"/>
              <w:bottom w:w="80" w:type="dxa"/>
              <w:right w:w="100" w:type="dxa"/>
            </w:tcMar>
            <w:vAlign w:val="center"/>
          </w:tcPr>
          <w:p w14:paraId="211237C2" w14:textId="77777777" w:rsidR="00B35516" w:rsidRPr="001B3F92" w:rsidRDefault="00B35516" w:rsidP="00101A24">
            <w:pPr>
              <w:jc w:val="both"/>
              <w:rPr>
                <w:rFonts w:ascii="Arial" w:hAnsi="Arial" w:cs="Arial"/>
              </w:rPr>
            </w:pPr>
            <w:r w:rsidRPr="001B3F92">
              <w:rPr>
                <w:rFonts w:ascii="Arial" w:hAnsi="Arial" w:cs="Arial"/>
              </w:rPr>
              <w:t>Inferential tests/regression with confidence intervals plus service-defined operational thresholds</w:t>
            </w:r>
            <w:r>
              <w:rPr>
                <w:rFonts w:ascii="Arial" w:hAnsi="Arial" w:cs="Arial"/>
              </w:rPr>
              <w:t>.</w:t>
            </w:r>
          </w:p>
        </w:tc>
        <w:tc>
          <w:tcPr>
            <w:tcW w:w="3005" w:type="dxa"/>
            <w:tcMar>
              <w:top w:w="80" w:type="dxa"/>
              <w:left w:w="100" w:type="dxa"/>
              <w:bottom w:w="80" w:type="dxa"/>
              <w:right w:w="100" w:type="dxa"/>
            </w:tcMar>
            <w:vAlign w:val="center"/>
          </w:tcPr>
          <w:p w14:paraId="52F1C4A0" w14:textId="77777777" w:rsidR="00B35516" w:rsidRPr="001B3F92" w:rsidRDefault="00B35516" w:rsidP="00101A24">
            <w:pPr>
              <w:jc w:val="both"/>
              <w:rPr>
                <w:rFonts w:ascii="Arial" w:hAnsi="Arial" w:cs="Arial"/>
              </w:rPr>
            </w:pPr>
            <w:r w:rsidRPr="001B3F92">
              <w:rPr>
                <w:rFonts w:ascii="Arial" w:hAnsi="Arial" w:cs="Arial"/>
              </w:rPr>
              <w:t>Assesses both statistical and practical importance.</w:t>
            </w:r>
          </w:p>
        </w:tc>
      </w:tr>
      <w:tr w:rsidR="00B35516" w:rsidRPr="001B3F92" w14:paraId="192BDB98" w14:textId="77777777" w:rsidTr="00101A24">
        <w:trPr>
          <w:jc w:val="center"/>
        </w:trPr>
        <w:tc>
          <w:tcPr>
            <w:tcW w:w="1814" w:type="dxa"/>
            <w:tcMar>
              <w:top w:w="80" w:type="dxa"/>
              <w:left w:w="100" w:type="dxa"/>
              <w:bottom w:w="80" w:type="dxa"/>
              <w:right w:w="100" w:type="dxa"/>
            </w:tcMar>
            <w:vAlign w:val="center"/>
          </w:tcPr>
          <w:p w14:paraId="4A11ED64" w14:textId="77777777" w:rsidR="00B35516" w:rsidRPr="001B3F92" w:rsidRDefault="00B35516" w:rsidP="00101A24">
            <w:pPr>
              <w:jc w:val="both"/>
              <w:rPr>
                <w:rFonts w:ascii="Arial" w:hAnsi="Arial" w:cs="Arial"/>
              </w:rPr>
            </w:pPr>
            <w:r w:rsidRPr="001B3F92">
              <w:rPr>
                <w:rFonts w:ascii="Arial" w:hAnsi="Arial" w:cs="Arial"/>
              </w:rPr>
              <w:t>Objective 3</w:t>
            </w:r>
          </w:p>
        </w:tc>
        <w:tc>
          <w:tcPr>
            <w:tcW w:w="4592" w:type="dxa"/>
            <w:tcMar>
              <w:top w:w="80" w:type="dxa"/>
              <w:left w:w="100" w:type="dxa"/>
              <w:bottom w:w="80" w:type="dxa"/>
              <w:right w:w="100" w:type="dxa"/>
            </w:tcMar>
            <w:vAlign w:val="center"/>
          </w:tcPr>
          <w:p w14:paraId="2CCCF6BD" w14:textId="77777777" w:rsidR="00B35516" w:rsidRPr="001B3F92" w:rsidRDefault="00B35516" w:rsidP="00101A24">
            <w:pPr>
              <w:jc w:val="both"/>
              <w:rPr>
                <w:rFonts w:ascii="Arial" w:hAnsi="Arial" w:cs="Arial"/>
              </w:rPr>
            </w:pPr>
            <w:r w:rsidRPr="001B3F92">
              <w:rPr>
                <w:rFonts w:ascii="Arial" w:hAnsi="Arial" w:cs="Arial"/>
              </w:rPr>
              <w:t>Logistic regression</w:t>
            </w:r>
            <w:r>
              <w:rPr>
                <w:rFonts w:ascii="Arial" w:hAnsi="Arial" w:cs="Arial"/>
              </w:rPr>
              <w:t>,</w:t>
            </w:r>
            <w:r w:rsidRPr="001B3F92">
              <w:rPr>
                <w:rFonts w:ascii="Arial" w:hAnsi="Arial" w:cs="Arial"/>
              </w:rPr>
              <w:t xml:space="preserve"> survival analysis</w:t>
            </w:r>
            <w:r>
              <w:rPr>
                <w:rFonts w:ascii="Arial" w:hAnsi="Arial" w:cs="Arial"/>
              </w:rPr>
              <w:t xml:space="preserve"> and</w:t>
            </w:r>
            <w:r w:rsidRPr="001B3F92">
              <w:rPr>
                <w:rFonts w:ascii="Arial" w:hAnsi="Arial" w:cs="Arial"/>
              </w:rPr>
              <w:t xml:space="preserve"> regression/time-series forecasting</w:t>
            </w:r>
            <w:r>
              <w:rPr>
                <w:rFonts w:ascii="Arial" w:hAnsi="Arial" w:cs="Arial"/>
              </w:rPr>
              <w:t>.</w:t>
            </w:r>
          </w:p>
        </w:tc>
        <w:tc>
          <w:tcPr>
            <w:tcW w:w="3005" w:type="dxa"/>
            <w:tcMar>
              <w:top w:w="80" w:type="dxa"/>
              <w:left w:w="100" w:type="dxa"/>
              <w:bottom w:w="80" w:type="dxa"/>
              <w:right w:w="100" w:type="dxa"/>
            </w:tcMar>
            <w:vAlign w:val="center"/>
          </w:tcPr>
          <w:p w14:paraId="4E22693B" w14:textId="13B3EBCD" w:rsidR="00B35516" w:rsidRPr="001B3F92" w:rsidRDefault="00B35516" w:rsidP="00101A24">
            <w:pPr>
              <w:jc w:val="both"/>
              <w:rPr>
                <w:rFonts w:ascii="Arial" w:hAnsi="Arial" w:cs="Arial"/>
              </w:rPr>
            </w:pPr>
            <w:r w:rsidRPr="001B3F92">
              <w:rPr>
                <w:rFonts w:ascii="Arial" w:hAnsi="Arial" w:cs="Arial"/>
              </w:rPr>
              <w:t xml:space="preserve">Estimates delay risk and </w:t>
            </w:r>
            <w:r w:rsidR="006974D2" w:rsidRPr="001B3F92">
              <w:rPr>
                <w:rFonts w:ascii="Arial" w:hAnsi="Arial" w:cs="Arial"/>
              </w:rPr>
              <w:t>predict</w:t>
            </w:r>
            <w:r w:rsidRPr="001B3F92">
              <w:rPr>
                <w:rFonts w:ascii="Arial" w:hAnsi="Arial" w:cs="Arial"/>
              </w:rPr>
              <w:t xml:space="preserve"> backlog or breach probability.</w:t>
            </w:r>
          </w:p>
        </w:tc>
      </w:tr>
      <w:tr w:rsidR="00B35516" w:rsidRPr="001B3F92" w14:paraId="22B0230C" w14:textId="77777777" w:rsidTr="00101A24">
        <w:trPr>
          <w:jc w:val="center"/>
        </w:trPr>
        <w:tc>
          <w:tcPr>
            <w:tcW w:w="1814" w:type="dxa"/>
            <w:tcMar>
              <w:top w:w="80" w:type="dxa"/>
              <w:left w:w="100" w:type="dxa"/>
              <w:bottom w:w="80" w:type="dxa"/>
              <w:right w:w="100" w:type="dxa"/>
            </w:tcMar>
            <w:vAlign w:val="center"/>
          </w:tcPr>
          <w:p w14:paraId="429423EB" w14:textId="77777777" w:rsidR="00B35516" w:rsidRPr="001B3F92" w:rsidRDefault="00B35516" w:rsidP="00101A24">
            <w:pPr>
              <w:jc w:val="both"/>
              <w:rPr>
                <w:rFonts w:ascii="Arial" w:hAnsi="Arial" w:cs="Arial"/>
              </w:rPr>
            </w:pPr>
            <w:r w:rsidRPr="001B3F92">
              <w:rPr>
                <w:rFonts w:ascii="Arial" w:hAnsi="Arial" w:cs="Arial"/>
              </w:rPr>
              <w:t>Objective 4</w:t>
            </w:r>
          </w:p>
        </w:tc>
        <w:tc>
          <w:tcPr>
            <w:tcW w:w="4592" w:type="dxa"/>
            <w:tcMar>
              <w:top w:w="80" w:type="dxa"/>
              <w:left w:w="100" w:type="dxa"/>
              <w:bottom w:w="80" w:type="dxa"/>
              <w:right w:w="100" w:type="dxa"/>
            </w:tcMar>
            <w:vAlign w:val="center"/>
          </w:tcPr>
          <w:p w14:paraId="4832D612" w14:textId="77777777" w:rsidR="00B35516" w:rsidRPr="001B3F92" w:rsidRDefault="00B35516" w:rsidP="00101A24">
            <w:pPr>
              <w:jc w:val="both"/>
              <w:rPr>
                <w:rFonts w:ascii="Arial" w:hAnsi="Arial" w:cs="Arial"/>
              </w:rPr>
            </w:pPr>
            <w:r w:rsidRPr="001B3F92">
              <w:rPr>
                <w:rFonts w:ascii="Arial" w:hAnsi="Arial" w:cs="Arial"/>
              </w:rPr>
              <w:t>Reflexive thematic analysis of interviews and observational notes</w:t>
            </w:r>
          </w:p>
        </w:tc>
        <w:tc>
          <w:tcPr>
            <w:tcW w:w="3005" w:type="dxa"/>
            <w:tcMar>
              <w:top w:w="80" w:type="dxa"/>
              <w:left w:w="100" w:type="dxa"/>
              <w:bottom w:w="80" w:type="dxa"/>
              <w:right w:w="100" w:type="dxa"/>
            </w:tcMar>
            <w:vAlign w:val="center"/>
          </w:tcPr>
          <w:p w14:paraId="614B595D" w14:textId="77777777" w:rsidR="00B35516" w:rsidRPr="001B3F92" w:rsidRDefault="00B35516" w:rsidP="00101A24">
            <w:pPr>
              <w:jc w:val="both"/>
              <w:rPr>
                <w:rFonts w:ascii="Arial" w:hAnsi="Arial" w:cs="Arial"/>
              </w:rPr>
            </w:pPr>
            <w:r w:rsidRPr="001B3F92">
              <w:rPr>
                <w:rFonts w:ascii="Arial" w:hAnsi="Arial" w:cs="Arial"/>
              </w:rPr>
              <w:t>Explains usability, burden, trust and unintended consequences.</w:t>
            </w:r>
          </w:p>
        </w:tc>
      </w:tr>
      <w:tr w:rsidR="00B35516" w:rsidRPr="001B3F92" w14:paraId="7981522A" w14:textId="77777777" w:rsidTr="00101A24">
        <w:trPr>
          <w:jc w:val="center"/>
        </w:trPr>
        <w:tc>
          <w:tcPr>
            <w:tcW w:w="1814" w:type="dxa"/>
            <w:tcMar>
              <w:top w:w="80" w:type="dxa"/>
              <w:left w:w="100" w:type="dxa"/>
              <w:bottom w:w="80" w:type="dxa"/>
              <w:right w:w="100" w:type="dxa"/>
            </w:tcMar>
            <w:vAlign w:val="center"/>
          </w:tcPr>
          <w:p w14:paraId="5A3D4A2A" w14:textId="77777777" w:rsidR="00B35516" w:rsidRPr="001B3F92" w:rsidRDefault="00B35516" w:rsidP="00101A24">
            <w:pPr>
              <w:jc w:val="both"/>
              <w:rPr>
                <w:rFonts w:ascii="Arial" w:hAnsi="Arial" w:cs="Arial"/>
              </w:rPr>
            </w:pPr>
            <w:r w:rsidRPr="001B3F92">
              <w:rPr>
                <w:rFonts w:ascii="Arial" w:hAnsi="Arial" w:cs="Arial"/>
              </w:rPr>
              <w:t>Objective 5</w:t>
            </w:r>
          </w:p>
        </w:tc>
        <w:tc>
          <w:tcPr>
            <w:tcW w:w="4592" w:type="dxa"/>
            <w:tcMar>
              <w:top w:w="80" w:type="dxa"/>
              <w:left w:w="100" w:type="dxa"/>
              <w:bottom w:w="80" w:type="dxa"/>
              <w:right w:w="100" w:type="dxa"/>
            </w:tcMar>
            <w:vAlign w:val="center"/>
          </w:tcPr>
          <w:p w14:paraId="7C53200B" w14:textId="77777777" w:rsidR="00B35516" w:rsidRPr="001B3F92" w:rsidRDefault="00B35516" w:rsidP="00101A24">
            <w:pPr>
              <w:jc w:val="both"/>
              <w:rPr>
                <w:rFonts w:ascii="Arial" w:hAnsi="Arial" w:cs="Arial"/>
              </w:rPr>
            </w:pPr>
            <w:r w:rsidRPr="001B3F92">
              <w:rPr>
                <w:rFonts w:ascii="Arial" w:hAnsi="Arial" w:cs="Arial"/>
              </w:rPr>
              <w:t>Triangulation matrix</w:t>
            </w:r>
            <w:r>
              <w:rPr>
                <w:rFonts w:ascii="Arial" w:hAnsi="Arial" w:cs="Arial"/>
              </w:rPr>
              <w:t>,</w:t>
            </w:r>
            <w:r w:rsidRPr="001B3F92">
              <w:rPr>
                <w:rFonts w:ascii="Arial" w:hAnsi="Arial" w:cs="Arial"/>
              </w:rPr>
              <w:t xml:space="preserve"> joint displays</w:t>
            </w:r>
            <w:r>
              <w:rPr>
                <w:rFonts w:ascii="Arial" w:hAnsi="Arial" w:cs="Arial"/>
              </w:rPr>
              <w:t xml:space="preserve"> and</w:t>
            </w:r>
            <w:r w:rsidRPr="001B3F92">
              <w:rPr>
                <w:rFonts w:ascii="Arial" w:hAnsi="Arial" w:cs="Arial"/>
              </w:rPr>
              <w:t xml:space="preserve"> integrative interpretation</w:t>
            </w:r>
            <w:r>
              <w:rPr>
                <w:rFonts w:ascii="Arial" w:hAnsi="Arial" w:cs="Arial"/>
              </w:rPr>
              <w:t>.</w:t>
            </w:r>
          </w:p>
        </w:tc>
        <w:tc>
          <w:tcPr>
            <w:tcW w:w="3005" w:type="dxa"/>
            <w:tcMar>
              <w:top w:w="80" w:type="dxa"/>
              <w:left w:w="100" w:type="dxa"/>
              <w:bottom w:w="80" w:type="dxa"/>
              <w:right w:w="100" w:type="dxa"/>
            </w:tcMar>
            <w:vAlign w:val="center"/>
          </w:tcPr>
          <w:p w14:paraId="1C0150B1" w14:textId="77777777" w:rsidR="00B35516" w:rsidRPr="001B3F92" w:rsidRDefault="00B35516" w:rsidP="00101A24">
            <w:pPr>
              <w:jc w:val="both"/>
              <w:rPr>
                <w:rFonts w:ascii="Arial" w:hAnsi="Arial" w:cs="Arial"/>
              </w:rPr>
            </w:pPr>
            <w:r w:rsidRPr="001B3F92">
              <w:rPr>
                <w:rFonts w:ascii="Arial" w:hAnsi="Arial" w:cs="Arial"/>
              </w:rPr>
              <w:t>Synthesises mixed-methods evidence into an overall judgement.</w:t>
            </w:r>
          </w:p>
        </w:tc>
      </w:tr>
    </w:tbl>
    <w:p w14:paraId="713A1A7A" w14:textId="77777777" w:rsidR="00B35516" w:rsidRDefault="00B35516" w:rsidP="00B35516">
      <w:pPr>
        <w:jc w:val="both"/>
      </w:pPr>
    </w:p>
    <w:p w14:paraId="5D16B906" w14:textId="77777777" w:rsidR="00B35516" w:rsidRPr="00221437" w:rsidRDefault="00B35516" w:rsidP="00B35516">
      <w:pPr>
        <w:jc w:val="both"/>
        <w:rPr>
          <w:rFonts w:ascii="Arial" w:hAnsi="Arial" w:cs="Arial"/>
          <w:b/>
          <w:bCs/>
        </w:rPr>
      </w:pPr>
      <w:r w:rsidRPr="00221437">
        <w:rPr>
          <w:rFonts w:ascii="Arial" w:hAnsi="Arial" w:cs="Arial"/>
          <w:b/>
          <w:bCs/>
        </w:rPr>
        <w:t xml:space="preserve">Ethical and </w:t>
      </w:r>
      <w:r>
        <w:rPr>
          <w:rFonts w:ascii="Arial" w:hAnsi="Arial" w:cs="Arial"/>
          <w:b/>
          <w:bCs/>
        </w:rPr>
        <w:t>I</w:t>
      </w:r>
      <w:r w:rsidRPr="00221437">
        <w:rPr>
          <w:rFonts w:ascii="Arial" w:hAnsi="Arial" w:cs="Arial"/>
          <w:b/>
          <w:bCs/>
        </w:rPr>
        <w:t xml:space="preserve">nformation </w:t>
      </w:r>
      <w:r>
        <w:rPr>
          <w:rFonts w:ascii="Arial" w:hAnsi="Arial" w:cs="Arial"/>
          <w:b/>
          <w:bCs/>
        </w:rPr>
        <w:t>G</w:t>
      </w:r>
      <w:r w:rsidRPr="00221437">
        <w:rPr>
          <w:rFonts w:ascii="Arial" w:hAnsi="Arial" w:cs="Arial"/>
          <w:b/>
          <w:bCs/>
        </w:rPr>
        <w:t xml:space="preserve">overnance </w:t>
      </w:r>
      <w:r>
        <w:rPr>
          <w:rFonts w:ascii="Arial" w:hAnsi="Arial" w:cs="Arial"/>
          <w:b/>
          <w:bCs/>
        </w:rPr>
        <w:t>I</w:t>
      </w:r>
      <w:r w:rsidRPr="00221437">
        <w:rPr>
          <w:rFonts w:ascii="Arial" w:hAnsi="Arial" w:cs="Arial"/>
          <w:b/>
          <w:bCs/>
        </w:rPr>
        <w:t>ssues</w:t>
      </w:r>
    </w:p>
    <w:p w14:paraId="4BC4FB03" w14:textId="18FC9E47" w:rsidR="00B35516" w:rsidRPr="00F148B0" w:rsidRDefault="00B35516" w:rsidP="00B35516">
      <w:pPr>
        <w:jc w:val="both"/>
        <w:rPr>
          <w:rFonts w:ascii="Arial" w:hAnsi="Arial" w:cs="Arial"/>
        </w:rPr>
      </w:pPr>
      <w:r w:rsidRPr="00F148B0">
        <w:rPr>
          <w:rFonts w:ascii="Arial" w:hAnsi="Arial" w:cs="Arial"/>
        </w:rPr>
        <w:t xml:space="preserve">Ethical and information governance issues are central to the design of </w:t>
      </w:r>
      <w:r>
        <w:rPr>
          <w:rFonts w:ascii="Arial" w:hAnsi="Arial" w:cs="Arial"/>
        </w:rPr>
        <w:t xml:space="preserve">this project </w:t>
      </w:r>
      <w:r w:rsidRPr="00F148B0">
        <w:rPr>
          <w:rFonts w:ascii="Arial" w:hAnsi="Arial" w:cs="Arial"/>
        </w:rPr>
        <w:t>because the project involves routine healthcare workflow data and staff participation in a live organisational setting. Even where the activity is classified as service evaluation rather than research, the project still carries obligations relating to confidentiality, lawful data use, fairness, minimisation of burden and responsible reporting</w:t>
      </w:r>
      <w:r>
        <w:rPr>
          <w:rFonts w:ascii="Arial" w:hAnsi="Arial" w:cs="Arial"/>
        </w:rPr>
        <w:t xml:space="preserve"> </w:t>
      </w:r>
      <w:r w:rsidRPr="00066954">
        <w:rPr>
          <w:rFonts w:ascii="Arial" w:hAnsi="Arial" w:cs="Arial"/>
        </w:rPr>
        <w:t>(Chen and Fawcett, 2017)</w:t>
      </w:r>
      <w:r w:rsidRPr="00F148B0">
        <w:rPr>
          <w:rFonts w:ascii="Arial" w:hAnsi="Arial" w:cs="Arial"/>
        </w:rPr>
        <w:t xml:space="preserve">. </w:t>
      </w:r>
      <w:r>
        <w:rPr>
          <w:rFonts w:ascii="Arial" w:hAnsi="Arial" w:cs="Arial"/>
        </w:rPr>
        <w:t xml:space="preserve">As argued by </w:t>
      </w:r>
      <w:r w:rsidRPr="00DF7099">
        <w:rPr>
          <w:rFonts w:ascii="Arial" w:hAnsi="Arial" w:cs="Arial"/>
        </w:rPr>
        <w:t xml:space="preserve">Anneloek Rauwerdink </w:t>
      </w:r>
      <w:r w:rsidRPr="00DF7099">
        <w:rPr>
          <w:rFonts w:ascii="Arial" w:hAnsi="Arial" w:cs="Arial"/>
          <w:i/>
          <w:iCs/>
        </w:rPr>
        <w:t>et al</w:t>
      </w:r>
      <w:r w:rsidR="00F02DD9">
        <w:rPr>
          <w:rFonts w:ascii="Arial" w:hAnsi="Arial" w:cs="Arial"/>
        </w:rPr>
        <w:t xml:space="preserve"> (</w:t>
      </w:r>
      <w:r w:rsidRPr="00DF7099">
        <w:rPr>
          <w:rFonts w:ascii="Arial" w:hAnsi="Arial" w:cs="Arial"/>
        </w:rPr>
        <w:t>2023)</w:t>
      </w:r>
      <w:r>
        <w:rPr>
          <w:rFonts w:ascii="Arial" w:hAnsi="Arial" w:cs="Arial"/>
        </w:rPr>
        <w:t xml:space="preserve"> i</w:t>
      </w:r>
      <w:r w:rsidRPr="00F148B0">
        <w:rPr>
          <w:rFonts w:ascii="Arial" w:hAnsi="Arial" w:cs="Arial"/>
        </w:rPr>
        <w:t>n digital health evaluation, methodological rigour cannot be separated from governance quality</w:t>
      </w:r>
      <w:r>
        <w:rPr>
          <w:rFonts w:ascii="Arial" w:hAnsi="Arial" w:cs="Arial"/>
        </w:rPr>
        <w:t>; a</w:t>
      </w:r>
      <w:r w:rsidRPr="00F148B0">
        <w:rPr>
          <w:rFonts w:ascii="Arial" w:hAnsi="Arial" w:cs="Arial"/>
        </w:rPr>
        <w:t xml:space="preserve"> technically sophisticated analysis based on poorly justified access or weak confidentiality controls would be analytically and ethically deficient. </w:t>
      </w:r>
      <w:r w:rsidRPr="006178B0">
        <w:rPr>
          <w:rFonts w:ascii="Arial" w:hAnsi="Arial" w:cs="Arial"/>
        </w:rPr>
        <w:t>NHS Health Research Authority</w:t>
      </w:r>
      <w:r>
        <w:rPr>
          <w:rFonts w:ascii="Arial" w:hAnsi="Arial" w:cs="Arial"/>
        </w:rPr>
        <w:t xml:space="preserve"> (</w:t>
      </w:r>
      <w:r w:rsidRPr="006178B0">
        <w:rPr>
          <w:rFonts w:ascii="Arial" w:hAnsi="Arial" w:cs="Arial"/>
        </w:rPr>
        <w:t>2017)</w:t>
      </w:r>
      <w:r w:rsidRPr="00F148B0">
        <w:rPr>
          <w:rFonts w:ascii="Arial" w:hAnsi="Arial" w:cs="Arial"/>
        </w:rPr>
        <w:t xml:space="preserve"> guidance is clear that where a project is not managed as research there is no requirement for </w:t>
      </w:r>
      <w:r w:rsidRPr="00A02EB2">
        <w:rPr>
          <w:rFonts w:ascii="Arial" w:hAnsi="Arial" w:cs="Arial"/>
        </w:rPr>
        <w:t xml:space="preserve">Health Research Authority </w:t>
      </w:r>
      <w:r>
        <w:rPr>
          <w:rFonts w:ascii="Arial" w:hAnsi="Arial" w:cs="Arial"/>
        </w:rPr>
        <w:t>(</w:t>
      </w:r>
      <w:r w:rsidRPr="00F148B0">
        <w:rPr>
          <w:rFonts w:ascii="Arial" w:hAnsi="Arial" w:cs="Arial"/>
        </w:rPr>
        <w:t>HRA</w:t>
      </w:r>
      <w:r>
        <w:rPr>
          <w:rFonts w:ascii="Arial" w:hAnsi="Arial" w:cs="Arial"/>
        </w:rPr>
        <w:t>)</w:t>
      </w:r>
      <w:r w:rsidRPr="00F148B0">
        <w:rPr>
          <w:rFonts w:ascii="Arial" w:hAnsi="Arial" w:cs="Arial"/>
        </w:rPr>
        <w:t xml:space="preserve"> </w:t>
      </w:r>
      <w:r>
        <w:rPr>
          <w:rFonts w:ascii="Arial" w:hAnsi="Arial" w:cs="Arial"/>
        </w:rPr>
        <w:t>a</w:t>
      </w:r>
      <w:r w:rsidRPr="00F148B0">
        <w:rPr>
          <w:rFonts w:ascii="Arial" w:hAnsi="Arial" w:cs="Arial"/>
        </w:rPr>
        <w:t xml:space="preserve">pproval or NHS REC review, but local governance and R&amp;D arrangements still apply, which means classification does not remove the need for proportionate ethical scrutiny. </w:t>
      </w:r>
    </w:p>
    <w:p w14:paraId="5EDE8824" w14:textId="617B70D1" w:rsidR="00B35516" w:rsidRPr="00F148B0" w:rsidRDefault="00B35516" w:rsidP="0027052C">
      <w:pPr>
        <w:jc w:val="both"/>
        <w:rPr>
          <w:rFonts w:ascii="Arial" w:hAnsi="Arial" w:cs="Arial"/>
        </w:rPr>
      </w:pPr>
      <w:r w:rsidRPr="00F148B0">
        <w:rPr>
          <w:rFonts w:ascii="Arial" w:hAnsi="Arial" w:cs="Arial"/>
        </w:rPr>
        <w:t>The first consideration is lawful and proportionate data use</w:t>
      </w:r>
      <w:r>
        <w:rPr>
          <w:rFonts w:ascii="Arial" w:hAnsi="Arial" w:cs="Arial"/>
        </w:rPr>
        <w:t xml:space="preserve"> </w:t>
      </w:r>
      <w:r w:rsidRPr="00B64D1B">
        <w:rPr>
          <w:rFonts w:ascii="Arial" w:hAnsi="Arial" w:cs="Arial"/>
        </w:rPr>
        <w:t xml:space="preserve">(Anneloek Rauwerdink </w:t>
      </w:r>
      <w:r w:rsidRPr="00B64D1B">
        <w:rPr>
          <w:rFonts w:ascii="Arial" w:hAnsi="Arial" w:cs="Arial"/>
          <w:i/>
          <w:iCs/>
        </w:rPr>
        <w:t>et al</w:t>
      </w:r>
      <w:r w:rsidRPr="00B64D1B">
        <w:rPr>
          <w:rFonts w:ascii="Arial" w:hAnsi="Arial" w:cs="Arial"/>
        </w:rPr>
        <w:t>., 2023)</w:t>
      </w:r>
      <w:r w:rsidRPr="00F148B0">
        <w:rPr>
          <w:rFonts w:ascii="Arial" w:hAnsi="Arial" w:cs="Arial"/>
        </w:rPr>
        <w:t xml:space="preserve">. Routine workflow datasets may contain direct identifiers, indirect identifiers or metadata derived from patient records and staff activity. Data minimisation must therefore shape extraction design from the outset. Only variables required to answer the stated </w:t>
      </w:r>
      <w:r w:rsidRPr="00F148B0">
        <w:rPr>
          <w:rFonts w:ascii="Arial" w:hAnsi="Arial" w:cs="Arial"/>
        </w:rPr>
        <w:lastRenderedPageBreak/>
        <w:t xml:space="preserve">objectives should be processed, and wherever possible the dataset should be pseudonymised or aggregated before analysis. Secure storage, access control, retention periods and responsibilities for handling extracts should be specified clearly. These steps are necessary not only for compliance but also for maintaining trust in the legitimacy of the evaluation. </w:t>
      </w:r>
      <w:r w:rsidR="0027052C" w:rsidRPr="0027052C">
        <w:rPr>
          <w:rFonts w:ascii="Arial" w:hAnsi="Arial" w:cs="Arial"/>
          <w:color w:val="000000"/>
        </w:rPr>
        <w:t>The Information Commissioner's Office (2024) defines data minimisation as collecting only personal data that is adequate, relevant, and necessary. Projects must justify each variable and show how extra data will be excluded or removed, ensuring accountability.</w:t>
      </w:r>
    </w:p>
    <w:p w14:paraId="1A19B60E" w14:textId="0103BB20" w:rsidR="00B35516" w:rsidRPr="00F148B0" w:rsidRDefault="00B35516" w:rsidP="00B35516">
      <w:pPr>
        <w:jc w:val="both"/>
        <w:rPr>
          <w:rFonts w:ascii="Arial" w:hAnsi="Arial" w:cs="Arial"/>
        </w:rPr>
      </w:pPr>
      <w:r w:rsidRPr="00C96A94">
        <w:rPr>
          <w:rFonts w:ascii="Arial" w:hAnsi="Arial" w:cs="Arial"/>
        </w:rPr>
        <w:t>A further governance issue concerns organisational roles in data handling</w:t>
      </w:r>
      <w:r w:rsidR="008F2B24">
        <w:rPr>
          <w:rFonts w:ascii="Arial" w:hAnsi="Arial" w:cs="Arial"/>
        </w:rPr>
        <w:t>, particularly</w:t>
      </w:r>
      <w:r w:rsidRPr="00C96A94">
        <w:rPr>
          <w:rFonts w:ascii="Arial" w:hAnsi="Arial" w:cs="Arial"/>
        </w:rPr>
        <w:t xml:space="preserve"> </w:t>
      </w:r>
      <w:r w:rsidR="008F2B24">
        <w:rPr>
          <w:rFonts w:ascii="Arial" w:hAnsi="Arial" w:cs="Arial"/>
        </w:rPr>
        <w:t>i</w:t>
      </w:r>
      <w:r w:rsidRPr="00C96A94">
        <w:rPr>
          <w:rFonts w:ascii="Arial" w:hAnsi="Arial" w:cs="Arial"/>
        </w:rPr>
        <w:t>n evaluations involving cloud platforms, there must be clarity about whether the GP practice, ICB or supplier is acting as controller, joint controller or processor for each activity.</w:t>
      </w:r>
      <w:r w:rsidRPr="00F148B0">
        <w:rPr>
          <w:rFonts w:ascii="Arial" w:hAnsi="Arial" w:cs="Arial"/>
        </w:rPr>
        <w:t xml:space="preserve"> NHS </w:t>
      </w:r>
      <w:r w:rsidR="00FB7DCA">
        <w:rPr>
          <w:rFonts w:ascii="Arial" w:hAnsi="Arial" w:cs="Arial"/>
        </w:rPr>
        <w:t xml:space="preserve">England </w:t>
      </w:r>
      <w:r w:rsidR="00FB7DCA" w:rsidRPr="004F1C74">
        <w:rPr>
          <w:rFonts w:ascii="Arial" w:hAnsi="Arial" w:cs="Arial"/>
        </w:rPr>
        <w:t>(2026)</w:t>
      </w:r>
      <w:r w:rsidR="00FB7DCA" w:rsidRPr="00F148B0">
        <w:rPr>
          <w:rFonts w:ascii="Arial" w:hAnsi="Arial" w:cs="Arial"/>
        </w:rPr>
        <w:t xml:space="preserve"> </w:t>
      </w:r>
      <w:r w:rsidR="00A86FB1">
        <w:rPr>
          <w:rFonts w:ascii="Arial" w:hAnsi="Arial" w:cs="Arial"/>
        </w:rPr>
        <w:t>t</w:t>
      </w:r>
      <w:r w:rsidRPr="00F148B0">
        <w:rPr>
          <w:rFonts w:ascii="Arial" w:hAnsi="Arial" w:cs="Arial"/>
        </w:rPr>
        <w:t xml:space="preserve">ransformation </w:t>
      </w:r>
      <w:r w:rsidR="00A86FB1">
        <w:rPr>
          <w:rFonts w:ascii="Arial" w:hAnsi="Arial" w:cs="Arial"/>
        </w:rPr>
        <w:t>d</w:t>
      </w:r>
      <w:r w:rsidRPr="00F148B0">
        <w:rPr>
          <w:rFonts w:ascii="Arial" w:hAnsi="Arial" w:cs="Arial"/>
        </w:rPr>
        <w:t>irectorate guidance</w:t>
      </w:r>
      <w:r>
        <w:rPr>
          <w:rFonts w:ascii="Arial" w:hAnsi="Arial" w:cs="Arial"/>
        </w:rPr>
        <w:t xml:space="preserve"> </w:t>
      </w:r>
      <w:r w:rsidRPr="00F148B0">
        <w:rPr>
          <w:rFonts w:ascii="Arial" w:hAnsi="Arial" w:cs="Arial"/>
        </w:rPr>
        <w:t xml:space="preserve">makes clear that controllers determine the purposes and means of processing and are responsible for appropriate documentation such as DPIAs, data sharing agreements and data processing agreements, while IT suppliers commonly act as processors when they process data on the instruction of the health organisation. </w:t>
      </w:r>
      <w:r w:rsidRPr="006E6A19">
        <w:rPr>
          <w:rFonts w:ascii="Arial" w:hAnsi="Arial" w:cs="Arial"/>
          <w:color w:val="000000"/>
        </w:rPr>
        <w:t>Ambiguity about roles in cloud evaluations can lead to poor contracts and unclear accountability for violations or misuse.</w:t>
      </w:r>
    </w:p>
    <w:p w14:paraId="6769FCEB" w14:textId="7C479B6D" w:rsidR="00B35516" w:rsidRPr="00F148B0" w:rsidRDefault="00B35516" w:rsidP="00B35516">
      <w:pPr>
        <w:jc w:val="both"/>
        <w:rPr>
          <w:rFonts w:ascii="Arial" w:hAnsi="Arial" w:cs="Arial"/>
        </w:rPr>
      </w:pPr>
      <w:r w:rsidRPr="00F148B0">
        <w:rPr>
          <w:rFonts w:ascii="Arial" w:hAnsi="Arial" w:cs="Arial"/>
        </w:rPr>
        <w:t xml:space="preserve">The second consideration concerns staff participation in interviews and observations. </w:t>
      </w:r>
      <w:r w:rsidR="007A1FD0">
        <w:rPr>
          <w:rFonts w:ascii="Arial" w:hAnsi="Arial" w:cs="Arial"/>
        </w:rPr>
        <w:t>This is b</w:t>
      </w:r>
      <w:r w:rsidRPr="00F148B0">
        <w:rPr>
          <w:rFonts w:ascii="Arial" w:hAnsi="Arial" w:cs="Arial"/>
        </w:rPr>
        <w:t>ecause participants are being asked to discuss workflow reliability, burden and local implementation challenges, there is a risk that they may perceive participation as linked to managerial scrutiny or performance judgement</w:t>
      </w:r>
      <w:r w:rsidRPr="00575887">
        <w:t xml:space="preserve"> </w:t>
      </w:r>
      <w:r w:rsidRPr="00575887">
        <w:rPr>
          <w:rFonts w:ascii="Arial" w:hAnsi="Arial" w:cs="Arial"/>
        </w:rPr>
        <w:t xml:space="preserve">(Surawy-Stepney </w:t>
      </w:r>
      <w:r w:rsidRPr="00575887">
        <w:rPr>
          <w:rFonts w:ascii="Arial" w:hAnsi="Arial" w:cs="Arial"/>
          <w:i/>
          <w:iCs/>
        </w:rPr>
        <w:t>et al</w:t>
      </w:r>
      <w:r w:rsidRPr="00575887">
        <w:rPr>
          <w:rFonts w:ascii="Arial" w:hAnsi="Arial" w:cs="Arial"/>
        </w:rPr>
        <w:t>., 2023)</w:t>
      </w:r>
      <w:r>
        <w:rPr>
          <w:rFonts w:ascii="Arial" w:hAnsi="Arial" w:cs="Arial"/>
        </w:rPr>
        <w:t>.</w:t>
      </w:r>
      <w:r w:rsidRPr="00F148B0">
        <w:rPr>
          <w:rFonts w:ascii="Arial" w:hAnsi="Arial" w:cs="Arial"/>
        </w:rPr>
        <w:t xml:space="preserve"> </w:t>
      </w:r>
      <w:r>
        <w:rPr>
          <w:rFonts w:ascii="Arial" w:hAnsi="Arial" w:cs="Arial"/>
        </w:rPr>
        <w:t>Participant i</w:t>
      </w:r>
      <w:r w:rsidRPr="00F148B0">
        <w:rPr>
          <w:rFonts w:ascii="Arial" w:hAnsi="Arial" w:cs="Arial"/>
        </w:rPr>
        <w:t xml:space="preserve">nformation sheets and consent processes must therefore emphasise voluntariness, the absence of employment consequences for non-participation and the intention to de-identify quotations and examples in reporting. Scheduling should </w:t>
      </w:r>
      <w:r w:rsidR="00183FA9" w:rsidRPr="00F148B0">
        <w:rPr>
          <w:rFonts w:ascii="Arial" w:hAnsi="Arial" w:cs="Arial"/>
        </w:rPr>
        <w:t>furthermore</w:t>
      </w:r>
      <w:r w:rsidRPr="00F148B0">
        <w:rPr>
          <w:rFonts w:ascii="Arial" w:hAnsi="Arial" w:cs="Arial"/>
        </w:rPr>
        <w:t xml:space="preserve"> be sensitive to workload so that participation does not impose additional strain on already pressured teams. Attention to power relations is especially important where managers and frontline staff are sampled within the same organisation. In practical terms, this means the evaluation should separate recruitment from line management as far as possible and avoid presenting interview findings in ways that could be read as individual performance assessment rather than service learning. This is ethically important because staff are participating within an employment hierarchy rather than socially detached research subjects. </w:t>
      </w:r>
    </w:p>
    <w:p w14:paraId="14FD5F27" w14:textId="4312464E" w:rsidR="00B35516" w:rsidRPr="00F148B0" w:rsidRDefault="00B35516" w:rsidP="00B35516">
      <w:pPr>
        <w:jc w:val="both"/>
        <w:rPr>
          <w:rFonts w:ascii="Arial" w:hAnsi="Arial" w:cs="Arial"/>
        </w:rPr>
      </w:pPr>
      <w:r w:rsidRPr="00F148B0">
        <w:rPr>
          <w:rFonts w:ascii="Arial" w:hAnsi="Arial" w:cs="Arial"/>
        </w:rPr>
        <w:t>A third issue is disclosure risk</w:t>
      </w:r>
      <w:r w:rsidR="00EB616A">
        <w:rPr>
          <w:rFonts w:ascii="Arial" w:hAnsi="Arial" w:cs="Arial"/>
        </w:rPr>
        <w:t xml:space="preserve"> since</w:t>
      </w:r>
      <w:r w:rsidRPr="00F148B0">
        <w:rPr>
          <w:rFonts w:ascii="Arial" w:hAnsi="Arial" w:cs="Arial"/>
        </w:rPr>
        <w:t xml:space="preserve"> </w:t>
      </w:r>
      <w:r w:rsidR="00EB616A">
        <w:rPr>
          <w:rFonts w:ascii="Arial" w:hAnsi="Arial" w:cs="Arial"/>
        </w:rPr>
        <w:t>m</w:t>
      </w:r>
      <w:r w:rsidRPr="00F148B0">
        <w:rPr>
          <w:rFonts w:ascii="Arial" w:hAnsi="Arial" w:cs="Arial"/>
        </w:rPr>
        <w:t xml:space="preserve">ixed-methods service evaluations can produce rich contextual accounts that are analytically </w:t>
      </w:r>
      <w:r w:rsidR="00906549" w:rsidRPr="00F148B0">
        <w:rPr>
          <w:rFonts w:ascii="Arial" w:hAnsi="Arial" w:cs="Arial"/>
        </w:rPr>
        <w:t>valuable,</w:t>
      </w:r>
      <w:r w:rsidRPr="00F148B0">
        <w:rPr>
          <w:rFonts w:ascii="Arial" w:hAnsi="Arial" w:cs="Arial"/>
        </w:rPr>
        <w:t xml:space="preserve"> </w:t>
      </w:r>
      <w:r w:rsidR="00843824">
        <w:rPr>
          <w:rFonts w:ascii="Arial" w:hAnsi="Arial" w:cs="Arial"/>
        </w:rPr>
        <w:t>with the risk that</w:t>
      </w:r>
      <w:r w:rsidRPr="00F148B0">
        <w:rPr>
          <w:rFonts w:ascii="Arial" w:hAnsi="Arial" w:cs="Arial"/>
        </w:rPr>
        <w:t xml:space="preserve"> </w:t>
      </w:r>
      <w:r w:rsidR="00906549">
        <w:rPr>
          <w:rFonts w:ascii="Arial" w:hAnsi="Arial" w:cs="Arial"/>
        </w:rPr>
        <w:t xml:space="preserve">participants are </w:t>
      </w:r>
      <w:r w:rsidRPr="00F148B0">
        <w:rPr>
          <w:rFonts w:ascii="Arial" w:hAnsi="Arial" w:cs="Arial"/>
        </w:rPr>
        <w:t>potentially identifiable in small settings</w:t>
      </w:r>
      <w:r>
        <w:rPr>
          <w:rFonts w:ascii="Arial" w:hAnsi="Arial" w:cs="Arial"/>
        </w:rPr>
        <w:t xml:space="preserve"> </w:t>
      </w:r>
      <w:r w:rsidRPr="005D0975">
        <w:rPr>
          <w:rFonts w:ascii="Arial" w:hAnsi="Arial" w:cs="Arial"/>
        </w:rPr>
        <w:t xml:space="preserve">(Moule </w:t>
      </w:r>
      <w:r w:rsidRPr="005D0975">
        <w:rPr>
          <w:rFonts w:ascii="Arial" w:hAnsi="Arial" w:cs="Arial"/>
          <w:i/>
          <w:iCs/>
        </w:rPr>
        <w:t>et al</w:t>
      </w:r>
      <w:r w:rsidRPr="005D0975">
        <w:rPr>
          <w:rFonts w:ascii="Arial" w:hAnsi="Arial" w:cs="Arial"/>
        </w:rPr>
        <w:t>., 2016</w:t>
      </w:r>
      <w:r>
        <w:t xml:space="preserve">; </w:t>
      </w:r>
      <w:r w:rsidRPr="009F6BFD">
        <w:rPr>
          <w:rFonts w:ascii="Arial" w:hAnsi="Arial" w:cs="Arial"/>
        </w:rPr>
        <w:t>Fetters and Molina-Azorin, 2020)</w:t>
      </w:r>
      <w:r w:rsidRPr="00F148B0">
        <w:rPr>
          <w:rFonts w:ascii="Arial" w:hAnsi="Arial" w:cs="Arial"/>
        </w:rPr>
        <w:t>. Even where names are removed, a combination of role, site, event history or unusual implementation detail may allow deduction of identity. Th</w:t>
      </w:r>
      <w:r w:rsidR="00520D9A">
        <w:rPr>
          <w:rFonts w:ascii="Arial" w:hAnsi="Arial" w:cs="Arial"/>
        </w:rPr>
        <w:t>is</w:t>
      </w:r>
      <w:r w:rsidRPr="00F148B0">
        <w:rPr>
          <w:rFonts w:ascii="Arial" w:hAnsi="Arial" w:cs="Arial"/>
        </w:rPr>
        <w:t xml:space="preserve"> project should therefore employ careful disclosure control in both quantitative and qualitative reporting. Small</w:t>
      </w:r>
      <w:r>
        <w:rPr>
          <w:rFonts w:ascii="Arial" w:hAnsi="Arial" w:cs="Arial"/>
        </w:rPr>
        <w:t xml:space="preserve"> sampling</w:t>
      </w:r>
      <w:r w:rsidRPr="00F148B0">
        <w:rPr>
          <w:rFonts w:ascii="Arial" w:hAnsi="Arial" w:cs="Arial"/>
        </w:rPr>
        <w:t xml:space="preserve"> may require suppression, quotations may require selective editing to remove identifying cues, and </w:t>
      </w:r>
      <w:r w:rsidR="00935009">
        <w:rPr>
          <w:rFonts w:ascii="Arial" w:hAnsi="Arial" w:cs="Arial"/>
        </w:rPr>
        <w:t xml:space="preserve">in </w:t>
      </w:r>
      <w:r w:rsidR="00824AEA">
        <w:rPr>
          <w:rFonts w:ascii="Arial" w:hAnsi="Arial" w:cs="Arial"/>
        </w:rPr>
        <w:t xml:space="preserve">some </w:t>
      </w:r>
      <w:r w:rsidRPr="00F148B0">
        <w:rPr>
          <w:rFonts w:ascii="Arial" w:hAnsi="Arial" w:cs="Arial"/>
        </w:rPr>
        <w:t xml:space="preserve">cases presented with caution. The ethical aim is to preserve analytic </w:t>
      </w:r>
      <w:r w:rsidR="001434C0" w:rsidRPr="00F148B0">
        <w:rPr>
          <w:rFonts w:ascii="Arial" w:hAnsi="Arial" w:cs="Arial"/>
        </w:rPr>
        <w:t>value</w:t>
      </w:r>
      <w:r w:rsidRPr="00F148B0">
        <w:rPr>
          <w:rFonts w:ascii="Arial" w:hAnsi="Arial" w:cs="Arial"/>
        </w:rPr>
        <w:t xml:space="preserve"> without exposing individuals or organisations to unnecessary risk</w:t>
      </w:r>
      <w:r w:rsidRPr="008B6E48">
        <w:t xml:space="preserve"> </w:t>
      </w:r>
      <w:r w:rsidRPr="008B6E48">
        <w:rPr>
          <w:rFonts w:ascii="Arial" w:hAnsi="Arial" w:cs="Arial"/>
        </w:rPr>
        <w:t>(Watson and Jackson, 2024)</w:t>
      </w:r>
      <w:r w:rsidRPr="00F148B0">
        <w:rPr>
          <w:rFonts w:ascii="Arial" w:hAnsi="Arial" w:cs="Arial"/>
        </w:rPr>
        <w:t xml:space="preserve">. This is particularly important in primary care, where a small number of staff may occupy distinctive hybrid roles that make indirect identification more likely than in larger hospital settings. </w:t>
      </w:r>
    </w:p>
    <w:p w14:paraId="57381217" w14:textId="09C972F5" w:rsidR="00B35516" w:rsidRPr="00F148B0" w:rsidRDefault="00B35516" w:rsidP="00B35516">
      <w:pPr>
        <w:jc w:val="both"/>
        <w:rPr>
          <w:rFonts w:ascii="Arial" w:hAnsi="Arial" w:cs="Arial"/>
        </w:rPr>
      </w:pPr>
      <w:r w:rsidRPr="00F148B0">
        <w:rPr>
          <w:rFonts w:ascii="Arial" w:hAnsi="Arial" w:cs="Arial"/>
        </w:rPr>
        <w:t>A fourth consideration is the handling of safety-relevant findings</w:t>
      </w:r>
      <w:r w:rsidR="00691D6F">
        <w:rPr>
          <w:rFonts w:ascii="Arial" w:hAnsi="Arial" w:cs="Arial"/>
        </w:rPr>
        <w:t xml:space="preserve"> since</w:t>
      </w:r>
      <w:r w:rsidRPr="00F148B0">
        <w:rPr>
          <w:rFonts w:ascii="Arial" w:hAnsi="Arial" w:cs="Arial"/>
        </w:rPr>
        <w:t xml:space="preserve"> </w:t>
      </w:r>
      <w:r w:rsidR="00691D6F">
        <w:rPr>
          <w:rFonts w:ascii="Arial" w:hAnsi="Arial" w:cs="Arial"/>
        </w:rPr>
        <w:t>t</w:t>
      </w:r>
      <w:r w:rsidRPr="00F148B0">
        <w:rPr>
          <w:rFonts w:ascii="Arial" w:hAnsi="Arial" w:cs="Arial"/>
        </w:rPr>
        <w:t>he evaluation may identify serious delay points, unsafe workarounds or platform configuration issues with immediate implications for patient care</w:t>
      </w:r>
      <w:r w:rsidRPr="00D12F0E">
        <w:t xml:space="preserve"> </w:t>
      </w:r>
      <w:r w:rsidRPr="00D12F0E">
        <w:rPr>
          <w:rFonts w:ascii="Arial" w:hAnsi="Arial" w:cs="Arial"/>
        </w:rPr>
        <w:t>(Bianchi and Ghirotto, 2021)</w:t>
      </w:r>
      <w:r w:rsidRPr="00F148B0">
        <w:rPr>
          <w:rFonts w:ascii="Arial" w:hAnsi="Arial" w:cs="Arial"/>
        </w:rPr>
        <w:t xml:space="preserve">. A prospective agreement is therefore needed regarding how material concerns will be escalated through </w:t>
      </w:r>
      <w:r w:rsidRPr="00F148B0">
        <w:rPr>
          <w:rFonts w:ascii="Arial" w:hAnsi="Arial" w:cs="Arial"/>
        </w:rPr>
        <w:lastRenderedPageBreak/>
        <w:t xml:space="preserve">local governance channels. Confidentiality cannot be treated as absolute where there is evidence of significant safety risk. Ethical evaluation practice requires a clear escalation pathway so that urgent problems are addressed appropriately while maintaining transparency with participants about the limits of confidentiality. This point is reinforced by NHS digital clinical safety standards DCB0160 </w:t>
      </w:r>
      <w:r w:rsidR="00C60B3A">
        <w:rPr>
          <w:rFonts w:ascii="Arial" w:hAnsi="Arial" w:cs="Arial"/>
        </w:rPr>
        <w:t xml:space="preserve">which </w:t>
      </w:r>
      <w:r w:rsidRPr="00F148B0">
        <w:rPr>
          <w:rFonts w:ascii="Arial" w:hAnsi="Arial" w:cs="Arial"/>
        </w:rPr>
        <w:t>places responsibility on deploying organisations to manage clinical risks associated with the use of health IT systems, while DCB0129 places corresponding duties on manufacturers regarding system safety</w:t>
      </w:r>
      <w:r>
        <w:rPr>
          <w:rFonts w:ascii="Arial" w:hAnsi="Arial" w:cs="Arial"/>
        </w:rPr>
        <w:t xml:space="preserve"> </w:t>
      </w:r>
      <w:r w:rsidRPr="00C05B81">
        <w:rPr>
          <w:rFonts w:ascii="Arial" w:hAnsi="Arial" w:cs="Arial"/>
        </w:rPr>
        <w:t>(NHS England, 2023)</w:t>
      </w:r>
      <w:r w:rsidRPr="00F148B0">
        <w:rPr>
          <w:rFonts w:ascii="Arial" w:hAnsi="Arial" w:cs="Arial"/>
        </w:rPr>
        <w:t>.</w:t>
      </w:r>
    </w:p>
    <w:p w14:paraId="1D1ADBAB" w14:textId="5400CDD1" w:rsidR="00B35516" w:rsidRPr="00F148B0" w:rsidRDefault="00B35516" w:rsidP="00B35516">
      <w:pPr>
        <w:jc w:val="both"/>
        <w:rPr>
          <w:rFonts w:ascii="Arial" w:hAnsi="Arial" w:cs="Arial"/>
        </w:rPr>
      </w:pPr>
      <w:r w:rsidRPr="00F148B0">
        <w:rPr>
          <w:rFonts w:ascii="Arial" w:hAnsi="Arial" w:cs="Arial"/>
        </w:rPr>
        <w:t>The fifth issue relates to predictive modelling and machine learning</w:t>
      </w:r>
      <w:r>
        <w:rPr>
          <w:rFonts w:ascii="Arial" w:hAnsi="Arial" w:cs="Arial"/>
        </w:rPr>
        <w:t xml:space="preserve"> </w:t>
      </w:r>
      <w:r w:rsidRPr="007F56AB">
        <w:rPr>
          <w:rFonts w:ascii="Arial" w:hAnsi="Arial" w:cs="Arial"/>
        </w:rPr>
        <w:t>(Sarker, 2021)</w:t>
      </w:r>
      <w:r w:rsidRPr="00F148B0">
        <w:rPr>
          <w:rFonts w:ascii="Arial" w:hAnsi="Arial" w:cs="Arial"/>
        </w:rPr>
        <w:t>. Historical</w:t>
      </w:r>
      <w:r w:rsidR="00913E84">
        <w:rPr>
          <w:rFonts w:ascii="Arial" w:hAnsi="Arial" w:cs="Arial"/>
        </w:rPr>
        <w:t>ly</w:t>
      </w:r>
      <w:r w:rsidRPr="00F148B0">
        <w:rPr>
          <w:rFonts w:ascii="Arial" w:hAnsi="Arial" w:cs="Arial"/>
        </w:rPr>
        <w:t xml:space="preserve"> workflow data may embed local biases, legacy triage behaviour or differential treatment of tasks across practices and staff groups. Any predictive model developed within the project must therefore be assessed for calibration, fairness and interpretability, rather than judged solely on accuracy metrics. Automated outputs should remain decision-support tools rather than autonomous decision-makers. </w:t>
      </w:r>
      <w:r w:rsidR="00BE5DD7">
        <w:rPr>
          <w:rFonts w:ascii="Arial" w:hAnsi="Arial" w:cs="Arial"/>
        </w:rPr>
        <w:t xml:space="preserve">As argued by </w:t>
      </w:r>
      <w:r w:rsidR="00906EAF" w:rsidRPr="006F3331">
        <w:rPr>
          <w:rFonts w:ascii="Arial" w:hAnsi="Arial" w:cs="Arial"/>
        </w:rPr>
        <w:t xml:space="preserve">Hunt </w:t>
      </w:r>
      <w:r w:rsidR="00906EAF" w:rsidRPr="006F3331">
        <w:rPr>
          <w:rFonts w:ascii="Arial" w:hAnsi="Arial" w:cs="Arial"/>
          <w:i/>
          <w:iCs/>
        </w:rPr>
        <w:t>et al</w:t>
      </w:r>
      <w:r w:rsidR="00906EAF" w:rsidRPr="006F3331">
        <w:rPr>
          <w:rFonts w:ascii="Arial" w:hAnsi="Arial" w:cs="Arial"/>
        </w:rPr>
        <w:t>.</w:t>
      </w:r>
      <w:r w:rsidR="00906EAF">
        <w:rPr>
          <w:rFonts w:ascii="Arial" w:hAnsi="Arial" w:cs="Arial"/>
        </w:rPr>
        <w:t xml:space="preserve"> (</w:t>
      </w:r>
      <w:r w:rsidR="00906EAF" w:rsidRPr="006F3331">
        <w:rPr>
          <w:rFonts w:ascii="Arial" w:hAnsi="Arial" w:cs="Arial"/>
        </w:rPr>
        <w:t>2021)</w:t>
      </w:r>
      <w:r w:rsidR="00906EAF">
        <w:rPr>
          <w:rFonts w:ascii="Arial" w:hAnsi="Arial" w:cs="Arial"/>
        </w:rPr>
        <w:t xml:space="preserve"> h</w:t>
      </w:r>
      <w:r w:rsidRPr="00F148B0">
        <w:rPr>
          <w:rFonts w:ascii="Arial" w:hAnsi="Arial" w:cs="Arial"/>
        </w:rPr>
        <w:t>uman oversight, contestability and documentation of model assumptions are essential if predictive analytics are to be used responsibly in a safety-relevant environment. From an ethical perspective, this is not a technical matter of model quality</w:t>
      </w:r>
      <w:r>
        <w:rPr>
          <w:rFonts w:ascii="Arial" w:hAnsi="Arial" w:cs="Arial"/>
        </w:rPr>
        <w:t>,</w:t>
      </w:r>
      <w:r w:rsidRPr="00F148B0">
        <w:rPr>
          <w:rFonts w:ascii="Arial" w:hAnsi="Arial" w:cs="Arial"/>
        </w:rPr>
        <w:t xml:space="preserve"> it is a question of whether the logic of automation remains open to professional challenge and organisational accountability. </w:t>
      </w:r>
    </w:p>
    <w:p w14:paraId="2A69E466" w14:textId="044B880E" w:rsidR="00B35516" w:rsidRPr="00F148B0" w:rsidRDefault="00B35516" w:rsidP="00B35516">
      <w:pPr>
        <w:jc w:val="both"/>
        <w:rPr>
          <w:rFonts w:ascii="Arial" w:hAnsi="Arial" w:cs="Arial"/>
        </w:rPr>
      </w:pPr>
      <w:r w:rsidRPr="00F148B0">
        <w:rPr>
          <w:rFonts w:ascii="Arial" w:hAnsi="Arial" w:cs="Arial"/>
        </w:rPr>
        <w:t xml:space="preserve">Finally, the project must address data security and records management as ongoing obligations rather than end-stage administrative tasks. </w:t>
      </w:r>
      <w:r>
        <w:rPr>
          <w:rFonts w:ascii="Arial" w:hAnsi="Arial" w:cs="Arial"/>
        </w:rPr>
        <w:t>According to NHS England (2019) i</w:t>
      </w:r>
      <w:r w:rsidRPr="00F148B0">
        <w:rPr>
          <w:rFonts w:ascii="Arial" w:hAnsi="Arial" w:cs="Arial"/>
        </w:rPr>
        <w:t xml:space="preserve">f the organisation has access to NHS patient data and systems, the Data Security and Protection Toolkit is </w:t>
      </w:r>
      <w:r w:rsidR="00EF5880" w:rsidRPr="00F148B0">
        <w:rPr>
          <w:rFonts w:ascii="Arial" w:hAnsi="Arial" w:cs="Arial"/>
        </w:rPr>
        <w:t>mandatory,</w:t>
      </w:r>
      <w:r w:rsidRPr="00F148B0">
        <w:rPr>
          <w:rFonts w:ascii="Arial" w:hAnsi="Arial" w:cs="Arial"/>
        </w:rPr>
        <w:t xml:space="preserve"> and </w:t>
      </w:r>
      <w:r w:rsidR="00EF5880" w:rsidRPr="00F148B0">
        <w:rPr>
          <w:rFonts w:ascii="Arial" w:hAnsi="Arial" w:cs="Arial"/>
        </w:rPr>
        <w:t>compliance</w:t>
      </w:r>
      <w:r w:rsidR="00EF5880">
        <w:rPr>
          <w:rFonts w:ascii="Arial" w:hAnsi="Arial" w:cs="Arial"/>
        </w:rPr>
        <w:t xml:space="preserve"> </w:t>
      </w:r>
      <w:r w:rsidR="00F47BC6">
        <w:rPr>
          <w:rFonts w:ascii="Arial" w:hAnsi="Arial" w:cs="Arial"/>
        </w:rPr>
        <w:t>needs</w:t>
      </w:r>
      <w:r w:rsidRPr="00F148B0">
        <w:rPr>
          <w:rFonts w:ascii="Arial" w:hAnsi="Arial" w:cs="Arial"/>
        </w:rPr>
        <w:t xml:space="preserve"> </w:t>
      </w:r>
      <w:r w:rsidR="00F47BC6">
        <w:rPr>
          <w:rFonts w:ascii="Arial" w:hAnsi="Arial" w:cs="Arial"/>
        </w:rPr>
        <w:t>to be</w:t>
      </w:r>
      <w:r w:rsidRPr="00F148B0">
        <w:rPr>
          <w:rFonts w:ascii="Arial" w:hAnsi="Arial" w:cs="Arial"/>
        </w:rPr>
        <w:t xml:space="preserve"> evidence</w:t>
      </w:r>
      <w:r w:rsidR="00F47BC6">
        <w:rPr>
          <w:rFonts w:ascii="Arial" w:hAnsi="Arial" w:cs="Arial"/>
        </w:rPr>
        <w:t>d against</w:t>
      </w:r>
      <w:r w:rsidRPr="00F148B0">
        <w:rPr>
          <w:rFonts w:ascii="Arial" w:hAnsi="Arial" w:cs="Arial"/>
        </w:rPr>
        <w:t xml:space="preserve"> the National Data Guardian’s ten data security standards</w:t>
      </w:r>
      <w:r w:rsidRPr="008A51DB">
        <w:t xml:space="preserve"> </w:t>
      </w:r>
      <w:r w:rsidRPr="008A51DB">
        <w:rPr>
          <w:rFonts w:ascii="Arial" w:hAnsi="Arial" w:cs="Arial"/>
        </w:rPr>
        <w:t>(Digital Care Hub, 2024)</w:t>
      </w:r>
      <w:r w:rsidRPr="00F148B0">
        <w:rPr>
          <w:rFonts w:ascii="Arial" w:hAnsi="Arial" w:cs="Arial"/>
        </w:rPr>
        <w:t>. Likewise, records management responsibilities extend to evaluation extracts, transcripts and derived outputs, which should be retained only for justified periods and disposed of securely in line with the NHS Records Management Code of Practice</w:t>
      </w:r>
      <w:r>
        <w:rPr>
          <w:rFonts w:ascii="Arial" w:hAnsi="Arial" w:cs="Arial"/>
        </w:rPr>
        <w:t xml:space="preserve"> </w:t>
      </w:r>
      <w:r w:rsidRPr="003247AB">
        <w:rPr>
          <w:rFonts w:ascii="Arial" w:hAnsi="Arial" w:cs="Arial"/>
        </w:rPr>
        <w:t>(NHS Digital, 2022)</w:t>
      </w:r>
      <w:r w:rsidRPr="00F148B0">
        <w:rPr>
          <w:rFonts w:ascii="Arial" w:hAnsi="Arial" w:cs="Arial"/>
        </w:rPr>
        <w:t xml:space="preserve">. These requirements matter because ethical stewardship includes the full information lifecycle, from extraction and access to retention and destruction. </w:t>
      </w:r>
    </w:p>
    <w:p w14:paraId="34074B9A" w14:textId="56983CEE" w:rsidR="0097345D" w:rsidRDefault="00B35516" w:rsidP="00B35516">
      <w:pPr>
        <w:jc w:val="both"/>
        <w:rPr>
          <w:rFonts w:ascii="Arial" w:hAnsi="Arial" w:cs="Arial"/>
        </w:rPr>
      </w:pPr>
      <w:r w:rsidRPr="00F148B0">
        <w:rPr>
          <w:rFonts w:ascii="Arial" w:hAnsi="Arial" w:cs="Arial"/>
        </w:rPr>
        <w:t xml:space="preserve">Overall, ethical and information governance considerations </w:t>
      </w:r>
      <w:r>
        <w:rPr>
          <w:rFonts w:ascii="Arial" w:hAnsi="Arial" w:cs="Arial"/>
        </w:rPr>
        <w:t xml:space="preserve">will </w:t>
      </w:r>
      <w:r w:rsidRPr="00F148B0">
        <w:rPr>
          <w:rFonts w:ascii="Arial" w:hAnsi="Arial" w:cs="Arial"/>
        </w:rPr>
        <w:t>shape every stage of the project, from variable selection and recruitment to analysis, interpretation and reporting. Th</w:t>
      </w:r>
      <w:r w:rsidR="00A4177F">
        <w:rPr>
          <w:rFonts w:ascii="Arial" w:hAnsi="Arial" w:cs="Arial"/>
        </w:rPr>
        <w:t>is</w:t>
      </w:r>
      <w:r w:rsidRPr="00F148B0">
        <w:rPr>
          <w:rFonts w:ascii="Arial" w:hAnsi="Arial" w:cs="Arial"/>
        </w:rPr>
        <w:t xml:space="preserve"> project should secure appropriate approvals, clarify its status as</w:t>
      </w:r>
      <w:r>
        <w:rPr>
          <w:rFonts w:ascii="Arial" w:hAnsi="Arial" w:cs="Arial"/>
        </w:rPr>
        <w:t xml:space="preserve"> a</w:t>
      </w:r>
      <w:r w:rsidRPr="00F148B0">
        <w:rPr>
          <w:rFonts w:ascii="Arial" w:hAnsi="Arial" w:cs="Arial"/>
        </w:rPr>
        <w:t xml:space="preserve"> service evaluation, define robust data handling procedures and ensure proportionate protection for staff participants. Such measures do not constrain analytical </w:t>
      </w:r>
      <w:r>
        <w:rPr>
          <w:rFonts w:ascii="Arial" w:hAnsi="Arial" w:cs="Arial"/>
        </w:rPr>
        <w:t>focus,</w:t>
      </w:r>
      <w:r w:rsidRPr="00F148B0">
        <w:rPr>
          <w:rFonts w:ascii="Arial" w:hAnsi="Arial" w:cs="Arial"/>
        </w:rPr>
        <w:t xml:space="preserve"> they</w:t>
      </w:r>
      <w:r>
        <w:rPr>
          <w:rFonts w:ascii="Arial" w:hAnsi="Arial" w:cs="Arial"/>
        </w:rPr>
        <w:t xml:space="preserve"> can</w:t>
      </w:r>
      <w:r w:rsidRPr="00F148B0">
        <w:rPr>
          <w:rFonts w:ascii="Arial" w:hAnsi="Arial" w:cs="Arial"/>
        </w:rPr>
        <w:t xml:space="preserve"> make the resulting conclusions more credible because they demonstrate that the evaluation is technically sound, ethically defensible and accountable to the healthcare context in which it is undertaken</w:t>
      </w:r>
      <w:r w:rsidR="00C46CA7">
        <w:rPr>
          <w:rFonts w:ascii="Arial" w:hAnsi="Arial" w:cs="Arial"/>
        </w:rPr>
        <w:t xml:space="preserve">. </w:t>
      </w:r>
      <w:r w:rsidR="006264D7">
        <w:rPr>
          <w:rFonts w:ascii="Arial" w:hAnsi="Arial" w:cs="Arial"/>
        </w:rPr>
        <w:t>G</w:t>
      </w:r>
      <w:r w:rsidR="006264D7" w:rsidRPr="005C06CF">
        <w:rPr>
          <w:rFonts w:ascii="Arial" w:hAnsi="Arial" w:cs="Arial"/>
        </w:rPr>
        <w:t>enerative AI was not used to produce any of the text as defined in the specification.</w:t>
      </w:r>
    </w:p>
    <w:p w14:paraId="05985CB8" w14:textId="1A36C87F" w:rsidR="00C46CA7" w:rsidRPr="006264D7" w:rsidRDefault="00C46CA7" w:rsidP="00B35516">
      <w:pPr>
        <w:jc w:val="both"/>
        <w:rPr>
          <w:rFonts w:ascii="Arial" w:hAnsi="Arial" w:cs="Arial"/>
          <w:lang w:val="en-GB"/>
        </w:rPr>
      </w:pPr>
      <w:r>
        <w:rPr>
          <w:rFonts w:ascii="Arial" w:hAnsi="Arial" w:cs="Arial"/>
        </w:rPr>
        <w:t xml:space="preserve">Please see </w:t>
      </w:r>
      <w:r w:rsidR="00EB57FF">
        <w:rPr>
          <w:rFonts w:ascii="Arial" w:hAnsi="Arial" w:cs="Arial"/>
        </w:rPr>
        <w:t>the following</w:t>
      </w:r>
      <w:r w:rsidR="006264D7">
        <w:rPr>
          <w:rFonts w:ascii="Arial" w:hAnsi="Arial" w:cs="Arial"/>
        </w:rPr>
        <w:t xml:space="preserve"> link</w:t>
      </w:r>
      <w:r w:rsidR="00EA0377">
        <w:rPr>
          <w:rFonts w:ascii="Arial" w:hAnsi="Arial" w:cs="Arial"/>
        </w:rPr>
        <w:t xml:space="preserve"> for the</w:t>
      </w:r>
      <w:r w:rsidR="00D92A1F">
        <w:rPr>
          <w:rFonts w:ascii="Arial" w:hAnsi="Arial" w:cs="Arial"/>
        </w:rPr>
        <w:t xml:space="preserve"> draft UWTSD ethics form</w:t>
      </w:r>
      <w:r w:rsidR="00976432">
        <w:rPr>
          <w:rFonts w:ascii="Arial" w:hAnsi="Arial" w:cs="Arial"/>
        </w:rPr>
        <w:t xml:space="preserve"> </w:t>
      </w:r>
      <w:r w:rsidR="006818AF">
        <w:rPr>
          <w:rFonts w:ascii="Arial" w:hAnsi="Arial" w:cs="Arial"/>
        </w:rPr>
        <w:t>related to</w:t>
      </w:r>
      <w:r w:rsidR="00976432">
        <w:rPr>
          <w:rFonts w:ascii="Arial" w:hAnsi="Arial" w:cs="Arial"/>
        </w:rPr>
        <w:t xml:space="preserve"> this project</w:t>
      </w:r>
      <w:r w:rsidR="00EA0377">
        <w:rPr>
          <w:rFonts w:ascii="Arial" w:hAnsi="Arial" w:cs="Arial"/>
        </w:rPr>
        <w:t>:</w:t>
      </w:r>
      <w:r w:rsidR="009B334B">
        <w:rPr>
          <w:rFonts w:ascii="Arial" w:hAnsi="Arial" w:cs="Arial"/>
        </w:rPr>
        <w:t xml:space="preserve"> </w:t>
      </w:r>
      <w:hyperlink r:id="rId7" w:history="1">
        <w:r w:rsidR="00DE6166" w:rsidRPr="00DE6166">
          <w:rPr>
            <w:rStyle w:val="Hyperlink"/>
            <w:rFonts w:ascii="Arial" w:hAnsi="Arial" w:cs="Arial"/>
            <w:lang w:val="en-GB"/>
          </w:rPr>
          <w:t>Gallagher-Read_Mark_ 2408630-BMDS7010_PG2 Application for Ethical Approval.docx</w:t>
        </w:r>
      </w:hyperlink>
    </w:p>
    <w:p w14:paraId="45855F9F" w14:textId="25716866" w:rsidR="005701F7" w:rsidRPr="005701F7" w:rsidRDefault="005701F7" w:rsidP="005701F7">
      <w:pPr>
        <w:jc w:val="both"/>
        <w:rPr>
          <w:rFonts w:ascii="Arial" w:hAnsi="Arial" w:cs="Arial"/>
          <w:b/>
          <w:bCs/>
          <w:lang w:val="en-GB" w:eastAsia="zh-CN"/>
        </w:rPr>
      </w:pPr>
      <w:r w:rsidRPr="005701F7">
        <w:rPr>
          <w:rFonts w:ascii="Arial" w:hAnsi="Arial" w:cs="Arial"/>
          <w:b/>
          <w:bCs/>
          <w:lang w:val="en-GB" w:eastAsia="zh-CN"/>
        </w:rPr>
        <w:t xml:space="preserve">Reference </w:t>
      </w:r>
      <w:r>
        <w:rPr>
          <w:rFonts w:ascii="Arial" w:hAnsi="Arial" w:cs="Arial"/>
          <w:b/>
          <w:bCs/>
          <w:lang w:val="en-GB" w:eastAsia="zh-CN"/>
        </w:rPr>
        <w:t>L</w:t>
      </w:r>
      <w:r w:rsidRPr="005701F7">
        <w:rPr>
          <w:rFonts w:ascii="Arial" w:hAnsi="Arial" w:cs="Arial"/>
          <w:b/>
          <w:bCs/>
          <w:lang w:val="en-GB" w:eastAsia="zh-CN"/>
        </w:rPr>
        <w:t>ist</w:t>
      </w:r>
    </w:p>
    <w:p w14:paraId="28B22DFB"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Ahmed, A., Pereira, L. and Jane, K. (2024). </w:t>
      </w:r>
      <w:r w:rsidRPr="005701F7">
        <w:rPr>
          <w:rFonts w:ascii="Arial" w:eastAsia="Times New Roman" w:hAnsi="Arial" w:cs="Arial"/>
          <w:i/>
          <w:iCs/>
          <w:lang w:val="en-GB" w:eastAsia="zh-CN"/>
          <w14:ligatures w14:val="none"/>
        </w:rPr>
        <w:t>Mixed Methods Research: Combining Both Qualitative and Quantitative Approaches</w:t>
      </w:r>
      <w:r w:rsidRPr="005701F7">
        <w:rPr>
          <w:rFonts w:ascii="Arial" w:eastAsia="Times New Roman" w:hAnsi="Arial" w:cs="Arial"/>
          <w:lang w:val="en-GB" w:eastAsia="zh-CN"/>
          <w14:ligatures w14:val="none"/>
        </w:rPr>
        <w:t>. [online] ResearchGate. Available at: https://www.researchgate.net/publication/384402328_Mixed_Methods_Research_Combining_both_qualitative_and_quantitative_approaches [Accessed 16 Apr. 2026].</w:t>
      </w:r>
    </w:p>
    <w:p w14:paraId="569ABA24"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lastRenderedPageBreak/>
        <w:t xml:space="preserve">Anneloek Rauwerdink, Pier Spinazze, Harm Gijsbers, Juul Molendijk, Zwolsman, S., Schijven, M.P., Chavannes, N.H. and Kasteleyn, M.J. (2023). Evaluation Approaches of Digital Health Technologies: A Scoping Review (Preprint). </w:t>
      </w:r>
      <w:r w:rsidRPr="005701F7">
        <w:rPr>
          <w:rFonts w:ascii="Arial" w:eastAsia="Times New Roman" w:hAnsi="Arial" w:cs="Arial"/>
          <w:i/>
          <w:iCs/>
          <w:lang w:val="en-GB" w:eastAsia="zh-CN"/>
          <w14:ligatures w14:val="none"/>
        </w:rPr>
        <w:t>Journal of Medical Internet Research</w:t>
      </w:r>
      <w:r w:rsidRPr="005701F7">
        <w:rPr>
          <w:rFonts w:ascii="Arial" w:eastAsia="Times New Roman" w:hAnsi="Arial" w:cs="Arial"/>
          <w:lang w:val="en-GB" w:eastAsia="zh-CN"/>
          <w14:ligatures w14:val="none"/>
        </w:rPr>
        <w:t>. [online] doi:https://doi.org/10.2196/50251.</w:t>
      </w:r>
    </w:p>
    <w:p w14:paraId="08E3ED9E"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Bauer, M.S. and Kirchner, J. (2020). Implementation science: What is it and why should I care? </w:t>
      </w:r>
      <w:r w:rsidRPr="005701F7">
        <w:rPr>
          <w:rFonts w:ascii="Arial" w:eastAsia="Times New Roman" w:hAnsi="Arial" w:cs="Arial"/>
          <w:i/>
          <w:iCs/>
          <w:lang w:val="en-GB" w:eastAsia="zh-CN"/>
          <w14:ligatures w14:val="none"/>
        </w:rPr>
        <w:t>Psychiatry Research</w:t>
      </w:r>
      <w:r w:rsidRPr="005701F7">
        <w:rPr>
          <w:rFonts w:ascii="Arial" w:eastAsia="Times New Roman" w:hAnsi="Arial" w:cs="Arial"/>
          <w:lang w:val="en-GB" w:eastAsia="zh-CN"/>
          <w14:ligatures w14:val="none"/>
        </w:rPr>
        <w:t>, [online] 283, pp.1–6. doi:https://doi.org/10.1016/j.psychres.2019.04.025.</w:t>
      </w:r>
    </w:p>
    <w:p w14:paraId="2B1F8783"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Bianchi, M. and Ghirotto, L. (2021). Nurses’ perspectives on workarounds in clinical practice: A phenomenological analysis. </w:t>
      </w:r>
      <w:r w:rsidRPr="005701F7">
        <w:rPr>
          <w:rFonts w:ascii="Arial" w:eastAsia="Times New Roman" w:hAnsi="Arial" w:cs="Arial"/>
          <w:i/>
          <w:iCs/>
          <w:lang w:val="en-GB" w:eastAsia="zh-CN"/>
          <w14:ligatures w14:val="none"/>
        </w:rPr>
        <w:t>Journal of Clinical Nursing</w:t>
      </w:r>
      <w:r w:rsidRPr="005701F7">
        <w:rPr>
          <w:rFonts w:ascii="Arial" w:eastAsia="Times New Roman" w:hAnsi="Arial" w:cs="Arial"/>
          <w:lang w:val="en-GB" w:eastAsia="zh-CN"/>
          <w14:ligatures w14:val="none"/>
        </w:rPr>
        <w:t>, [online] 31(19-20). doi:https://doi.org/10.1111/jocn.16110.</w:t>
      </w:r>
    </w:p>
    <w:p w14:paraId="739E8082"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Chen, L.-Y.A. and Fawcett, T.N. (2017). Service evaluation: a Grey Area of research? </w:t>
      </w:r>
      <w:r w:rsidRPr="005701F7">
        <w:rPr>
          <w:rFonts w:ascii="Arial" w:eastAsia="Times New Roman" w:hAnsi="Arial" w:cs="Arial"/>
          <w:i/>
          <w:iCs/>
          <w:lang w:val="en-GB" w:eastAsia="zh-CN"/>
          <w14:ligatures w14:val="none"/>
        </w:rPr>
        <w:t>Nursing Ethics</w:t>
      </w:r>
      <w:r w:rsidRPr="005701F7">
        <w:rPr>
          <w:rFonts w:ascii="Arial" w:eastAsia="Times New Roman" w:hAnsi="Arial" w:cs="Arial"/>
          <w:lang w:val="en-GB" w:eastAsia="zh-CN"/>
          <w14:ligatures w14:val="none"/>
        </w:rPr>
        <w:t>, [online] 26(4), pp.1172–1185. doi:https://doi.org/10.1177/0969733017742961.</w:t>
      </w:r>
    </w:p>
    <w:p w14:paraId="22B4E5DA"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CQC (2024). </w:t>
      </w:r>
      <w:r w:rsidRPr="005701F7">
        <w:rPr>
          <w:rFonts w:ascii="Arial" w:eastAsia="Times New Roman" w:hAnsi="Arial" w:cs="Arial"/>
          <w:i/>
          <w:iCs/>
          <w:lang w:val="en-GB" w:eastAsia="zh-CN"/>
          <w14:ligatures w14:val="none"/>
        </w:rPr>
        <w:t>Safe environments - Care Quality Commission</w:t>
      </w:r>
      <w:r w:rsidRPr="005701F7">
        <w:rPr>
          <w:rFonts w:ascii="Arial" w:eastAsia="Times New Roman" w:hAnsi="Arial" w:cs="Arial"/>
          <w:lang w:val="en-GB" w:eastAsia="zh-CN"/>
          <w14:ligatures w14:val="none"/>
        </w:rPr>
        <w:t>. [online] www.cqc.org.uk. Available at: https://www.cqc.org.uk/guidance-regulation/providers/assessment/single-assessment-framework/safe/safe-environments [Accessed 10 Apr. 2026].</w:t>
      </w:r>
    </w:p>
    <w:p w14:paraId="10E2A1F5"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CQC (2025). </w:t>
      </w:r>
      <w:r w:rsidRPr="005701F7">
        <w:rPr>
          <w:rFonts w:ascii="Arial" w:eastAsia="Times New Roman" w:hAnsi="Arial" w:cs="Arial"/>
          <w:i/>
          <w:iCs/>
          <w:lang w:val="en-GB" w:eastAsia="zh-CN"/>
          <w14:ligatures w14:val="none"/>
        </w:rPr>
        <w:t>Governance, management and sustainability - Care Quality Commission</w:t>
      </w:r>
      <w:r w:rsidRPr="005701F7">
        <w:rPr>
          <w:rFonts w:ascii="Arial" w:eastAsia="Times New Roman" w:hAnsi="Arial" w:cs="Arial"/>
          <w:lang w:val="en-GB" w:eastAsia="zh-CN"/>
          <w14:ligatures w14:val="none"/>
        </w:rPr>
        <w:t>. [online] www.cqc.org.uk. Available at: https://www.cqc.org.uk/guidance-regulation/providers/assessment/single-assessment-framework/well-led/governance-management-sustainability [Accessed 10 Apr. 2026].</w:t>
      </w:r>
    </w:p>
    <w:p w14:paraId="616BEB99"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Demirci, J. (2023). About Research: Conducting Better Qualitative Interviews. </w:t>
      </w:r>
      <w:r w:rsidRPr="005701F7">
        <w:rPr>
          <w:rFonts w:ascii="Arial" w:eastAsia="Times New Roman" w:hAnsi="Arial" w:cs="Arial"/>
          <w:i/>
          <w:iCs/>
          <w:lang w:val="en-GB" w:eastAsia="zh-CN"/>
          <w14:ligatures w14:val="none"/>
        </w:rPr>
        <w:t>Journal of Human Lactation</w:t>
      </w:r>
      <w:r w:rsidRPr="005701F7">
        <w:rPr>
          <w:rFonts w:ascii="Arial" w:eastAsia="Times New Roman" w:hAnsi="Arial" w:cs="Arial"/>
          <w:lang w:val="en-GB" w:eastAsia="zh-CN"/>
          <w14:ligatures w14:val="none"/>
        </w:rPr>
        <w:t>, [online] 40(1), pp.21–24. doi:https://doi.org/10.1177/08903344231213651.</w:t>
      </w:r>
    </w:p>
    <w:p w14:paraId="043A443F"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Digital Care Hub (2024). </w:t>
      </w:r>
      <w:r w:rsidRPr="005701F7">
        <w:rPr>
          <w:rFonts w:ascii="Arial" w:eastAsia="Times New Roman" w:hAnsi="Arial" w:cs="Arial"/>
          <w:i/>
          <w:iCs/>
          <w:lang w:val="en-GB" w:eastAsia="zh-CN"/>
          <w14:ligatures w14:val="none"/>
        </w:rPr>
        <w:t>10 Data Security Standards | Digital Care Hub</w:t>
      </w:r>
      <w:r w:rsidRPr="005701F7">
        <w:rPr>
          <w:rFonts w:ascii="Arial" w:eastAsia="Times New Roman" w:hAnsi="Arial" w:cs="Arial"/>
          <w:lang w:val="en-GB" w:eastAsia="zh-CN"/>
          <w14:ligatures w14:val="none"/>
        </w:rPr>
        <w:t>. [online] Digital Care Hub. Available at: https://www.digitalcarehub.co.uk/data-protection-and-cyber-security/national-policy/ [Accessed 18 Apr. 2026].</w:t>
      </w:r>
    </w:p>
    <w:p w14:paraId="4A58DB6F"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Drisko, J.W. (2024). Transferability and Generalization in Qualitative Research. </w:t>
      </w:r>
      <w:r w:rsidRPr="005701F7">
        <w:rPr>
          <w:rFonts w:ascii="Arial" w:eastAsia="Times New Roman" w:hAnsi="Arial" w:cs="Arial"/>
          <w:i/>
          <w:iCs/>
          <w:lang w:val="en-GB" w:eastAsia="zh-CN"/>
          <w14:ligatures w14:val="none"/>
        </w:rPr>
        <w:t>Research on Social Work Practice</w:t>
      </w:r>
      <w:r w:rsidRPr="005701F7">
        <w:rPr>
          <w:rFonts w:ascii="Arial" w:eastAsia="Times New Roman" w:hAnsi="Arial" w:cs="Arial"/>
          <w:lang w:val="en-GB" w:eastAsia="zh-CN"/>
          <w14:ligatures w14:val="none"/>
        </w:rPr>
        <w:t>, [online] 35(1), pp.102–110. doi:https://doi.org/10.1177/10497315241256560.</w:t>
      </w:r>
    </w:p>
    <w:p w14:paraId="4DE71427"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Fehlberg, Z., Stark, Z., Klaic, M. and Best, S. (2024). Blurring the lines: an empirical examination of the interrelationships among acceptability, appropriateness, and feasibility. </w:t>
      </w:r>
      <w:r w:rsidRPr="005701F7">
        <w:rPr>
          <w:rFonts w:ascii="Arial" w:eastAsia="Times New Roman" w:hAnsi="Arial" w:cs="Arial"/>
          <w:i/>
          <w:iCs/>
          <w:lang w:val="en-GB" w:eastAsia="zh-CN"/>
          <w14:ligatures w14:val="none"/>
        </w:rPr>
        <w:lastRenderedPageBreak/>
        <w:t>Implementation Science Communications</w:t>
      </w:r>
      <w:r w:rsidRPr="005701F7">
        <w:rPr>
          <w:rFonts w:ascii="Arial" w:eastAsia="Times New Roman" w:hAnsi="Arial" w:cs="Arial"/>
          <w:lang w:val="en-GB" w:eastAsia="zh-CN"/>
          <w14:ligatures w14:val="none"/>
        </w:rPr>
        <w:t>, [online] 5(1). doi:https://doi.org/10.1186/s43058-024-00675-9.</w:t>
      </w:r>
    </w:p>
    <w:p w14:paraId="34FD0C69"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Fetters, M.D., Curry, L.A. and Creswell, J.W. (2013). Achieving Integration in Mixed Methods designs-principles and Practices. </w:t>
      </w:r>
      <w:r w:rsidRPr="005701F7">
        <w:rPr>
          <w:rFonts w:ascii="Arial" w:eastAsia="Times New Roman" w:hAnsi="Arial" w:cs="Arial"/>
          <w:i/>
          <w:iCs/>
          <w:lang w:val="en-GB" w:eastAsia="zh-CN"/>
          <w14:ligatures w14:val="none"/>
        </w:rPr>
        <w:t>Health Services Research</w:t>
      </w:r>
      <w:r w:rsidRPr="005701F7">
        <w:rPr>
          <w:rFonts w:ascii="Arial" w:eastAsia="Times New Roman" w:hAnsi="Arial" w:cs="Arial"/>
          <w:lang w:val="en-GB" w:eastAsia="zh-CN"/>
          <w14:ligatures w14:val="none"/>
        </w:rPr>
        <w:t>, [online] 48(6), pp.2134–2156. doi:https://doi.org/10.1111/1475-6773.12117.</w:t>
      </w:r>
    </w:p>
    <w:p w14:paraId="6AD1F5BA"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Fetters, M.D. and Molina-Azorin, J.F. (2020). Utilizing a Mixed Methods Approach for Conducting Interventional Evaluations. </w:t>
      </w:r>
      <w:r w:rsidRPr="005701F7">
        <w:rPr>
          <w:rFonts w:ascii="Arial" w:eastAsia="Times New Roman" w:hAnsi="Arial" w:cs="Arial"/>
          <w:i/>
          <w:iCs/>
          <w:lang w:val="en-GB" w:eastAsia="zh-CN"/>
          <w14:ligatures w14:val="none"/>
        </w:rPr>
        <w:t>Journal of Mixed Methods Research</w:t>
      </w:r>
      <w:r w:rsidRPr="005701F7">
        <w:rPr>
          <w:rFonts w:ascii="Arial" w:eastAsia="Times New Roman" w:hAnsi="Arial" w:cs="Arial"/>
          <w:lang w:val="en-GB" w:eastAsia="zh-CN"/>
          <w14:ligatures w14:val="none"/>
        </w:rPr>
        <w:t>, 14(2), pp.131–144. doi:https://doi.org/10.1177/1558689820912856.</w:t>
      </w:r>
    </w:p>
    <w:p w14:paraId="13CCDBC1"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Fetters, M.D. and Tajima, C. (2022). Joint Displays of Integrated Data Collection in Mixed Methods Research. </w:t>
      </w:r>
      <w:r w:rsidRPr="005701F7">
        <w:rPr>
          <w:rFonts w:ascii="Arial" w:eastAsia="Times New Roman" w:hAnsi="Arial" w:cs="Arial"/>
          <w:i/>
          <w:iCs/>
          <w:lang w:val="en-GB" w:eastAsia="zh-CN"/>
          <w14:ligatures w14:val="none"/>
        </w:rPr>
        <w:t>International Journal of Qualitative Methods</w:t>
      </w:r>
      <w:r w:rsidRPr="005701F7">
        <w:rPr>
          <w:rFonts w:ascii="Arial" w:eastAsia="Times New Roman" w:hAnsi="Arial" w:cs="Arial"/>
          <w:lang w:val="en-GB" w:eastAsia="zh-CN"/>
          <w14:ligatures w14:val="none"/>
        </w:rPr>
        <w:t>, [online] 21(1), p.160940692211045. doi:https://doi.org/10.1177/16094069221104564.</w:t>
      </w:r>
    </w:p>
    <w:p w14:paraId="35174644"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Govers, M. and Amelsvoort, P. van (2023). A theoretical essay on socio-technical systems design thinking in the era of digital transformation. </w:t>
      </w:r>
      <w:r w:rsidRPr="005701F7">
        <w:rPr>
          <w:rFonts w:ascii="Arial" w:eastAsia="Times New Roman" w:hAnsi="Arial" w:cs="Arial"/>
          <w:i/>
          <w:iCs/>
          <w:lang w:val="en-GB" w:eastAsia="zh-CN"/>
          <w14:ligatures w14:val="none"/>
        </w:rPr>
        <w:t>Gruppe. Interaktion. Organisation. Zeitschrift für Angewandte Organisationspsychologie (GIO)</w:t>
      </w:r>
      <w:r w:rsidRPr="005701F7">
        <w:rPr>
          <w:rFonts w:ascii="Arial" w:eastAsia="Times New Roman" w:hAnsi="Arial" w:cs="Arial"/>
          <w:lang w:val="en-GB" w:eastAsia="zh-CN"/>
          <w14:ligatures w14:val="none"/>
        </w:rPr>
        <w:t>, [online] 54(1), pp.27–40. doi:https://doi.org/10.1007/s11612-023-00675-8.</w:t>
      </w:r>
    </w:p>
    <w:p w14:paraId="58EF7FA9"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Grigore, G., Molesworth, M., Miles, C. and Glozer, S. (2020). (Un)resolving digital technology paradoxes through the rhetoric of balance. </w:t>
      </w:r>
      <w:r w:rsidRPr="005701F7">
        <w:rPr>
          <w:rFonts w:ascii="Arial" w:eastAsia="Times New Roman" w:hAnsi="Arial" w:cs="Arial"/>
          <w:i/>
          <w:iCs/>
          <w:lang w:val="en-GB" w:eastAsia="zh-CN"/>
          <w14:ligatures w14:val="none"/>
        </w:rPr>
        <w:t>Organization</w:t>
      </w:r>
      <w:r w:rsidRPr="005701F7">
        <w:rPr>
          <w:rFonts w:ascii="Arial" w:eastAsia="Times New Roman" w:hAnsi="Arial" w:cs="Arial"/>
          <w:lang w:val="en-GB" w:eastAsia="zh-CN"/>
          <w14:ligatures w14:val="none"/>
        </w:rPr>
        <w:t>, [online] p.135050842096819. doi:https://doi.org/10.1177/1350508420968196.</w:t>
      </w:r>
    </w:p>
    <w:p w14:paraId="770151E1"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Gulati, S. and Smith, J.A. (2024). Evaluation of the first 5 years of the Next Generation GP leadership programme: balancing autonomy and accountability. </w:t>
      </w:r>
      <w:r w:rsidRPr="005701F7">
        <w:rPr>
          <w:rFonts w:ascii="Arial" w:eastAsia="Times New Roman" w:hAnsi="Arial" w:cs="Arial"/>
          <w:i/>
          <w:iCs/>
          <w:lang w:val="en-GB" w:eastAsia="zh-CN"/>
          <w14:ligatures w14:val="none"/>
        </w:rPr>
        <w:t>BMJ Leader</w:t>
      </w:r>
      <w:r w:rsidRPr="005701F7">
        <w:rPr>
          <w:rFonts w:ascii="Arial" w:eastAsia="Times New Roman" w:hAnsi="Arial" w:cs="Arial"/>
          <w:lang w:val="en-GB" w:eastAsia="zh-CN"/>
          <w14:ligatures w14:val="none"/>
        </w:rPr>
        <w:t>, [online] p.leader-2024-000985. doi:https://doi.org/10.1136/leader-2024-000985.</w:t>
      </w:r>
    </w:p>
    <w:p w14:paraId="08AF1CA1"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Hassan, M. (2023). </w:t>
      </w:r>
      <w:r w:rsidRPr="005701F7">
        <w:rPr>
          <w:rFonts w:ascii="Arial" w:eastAsia="Times New Roman" w:hAnsi="Arial" w:cs="Arial"/>
          <w:i/>
          <w:iCs/>
          <w:lang w:val="en-GB" w:eastAsia="zh-CN"/>
          <w14:ligatures w14:val="none"/>
        </w:rPr>
        <w:t>Descriptive Analytics - Methods, Tools and Examples</w:t>
      </w:r>
      <w:r w:rsidRPr="005701F7">
        <w:rPr>
          <w:rFonts w:ascii="Arial" w:eastAsia="Times New Roman" w:hAnsi="Arial" w:cs="Arial"/>
          <w:lang w:val="en-GB" w:eastAsia="zh-CN"/>
          <w14:ligatures w14:val="none"/>
        </w:rPr>
        <w:t>. [online] Research Method. Available at: https://researchmethod.net/descriptive-analytics/ [Accessed 10 Apr. 2026].</w:t>
      </w:r>
    </w:p>
    <w:p w14:paraId="40E9F194"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Hassan, M. (2024). </w:t>
      </w:r>
      <w:r w:rsidRPr="005701F7">
        <w:rPr>
          <w:rFonts w:ascii="Arial" w:eastAsia="Times New Roman" w:hAnsi="Arial" w:cs="Arial"/>
          <w:i/>
          <w:iCs/>
          <w:lang w:val="en-GB" w:eastAsia="zh-CN"/>
          <w14:ligatures w14:val="none"/>
        </w:rPr>
        <w:t>Reliability - Types, Examples and Guide</w:t>
      </w:r>
      <w:r w:rsidRPr="005701F7">
        <w:rPr>
          <w:rFonts w:ascii="Arial" w:eastAsia="Times New Roman" w:hAnsi="Arial" w:cs="Arial"/>
          <w:lang w:val="en-GB" w:eastAsia="zh-CN"/>
          <w14:ligatures w14:val="none"/>
        </w:rPr>
        <w:t>. [online] Research Method. Available at: https://researchmethod.net/reliability/ [Accessed 10 Apr. 2026].</w:t>
      </w:r>
    </w:p>
    <w:p w14:paraId="69E5913B"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Hennink, M.M., Kaiser, B.N. and Marconi, V.C. (2017). Code Saturation versus Meaning Saturation: How many Interviews are enough? </w:t>
      </w:r>
      <w:r w:rsidRPr="005701F7">
        <w:rPr>
          <w:rFonts w:ascii="Arial" w:eastAsia="Times New Roman" w:hAnsi="Arial" w:cs="Arial"/>
          <w:i/>
          <w:iCs/>
          <w:lang w:val="en-GB" w:eastAsia="zh-CN"/>
          <w14:ligatures w14:val="none"/>
        </w:rPr>
        <w:t>Qualitative Health Research</w:t>
      </w:r>
      <w:r w:rsidRPr="005701F7">
        <w:rPr>
          <w:rFonts w:ascii="Arial" w:eastAsia="Times New Roman" w:hAnsi="Arial" w:cs="Arial"/>
          <w:lang w:val="en-GB" w:eastAsia="zh-CN"/>
          <w14:ligatures w14:val="none"/>
        </w:rPr>
        <w:t>, [online] 27(4), pp.591–608. doi:https://doi.org/10.1177/1049732316665344.</w:t>
      </w:r>
    </w:p>
    <w:p w14:paraId="270175CD"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lastRenderedPageBreak/>
        <w:t xml:space="preserve">Hunt, D.F., Dunn, M., Harrison, G. and Bailey, J. (2021). Ethical considerations in quality improvement: Key questions and a practical guide. </w:t>
      </w:r>
      <w:r w:rsidRPr="005701F7">
        <w:rPr>
          <w:rFonts w:ascii="Arial" w:eastAsia="Times New Roman" w:hAnsi="Arial" w:cs="Arial"/>
          <w:i/>
          <w:iCs/>
          <w:lang w:val="en-GB" w:eastAsia="zh-CN"/>
          <w14:ligatures w14:val="none"/>
        </w:rPr>
        <w:t>BMJ Open Quality</w:t>
      </w:r>
      <w:r w:rsidRPr="005701F7">
        <w:rPr>
          <w:rFonts w:ascii="Arial" w:eastAsia="Times New Roman" w:hAnsi="Arial" w:cs="Arial"/>
          <w:lang w:val="en-GB" w:eastAsia="zh-CN"/>
          <w14:ligatures w14:val="none"/>
        </w:rPr>
        <w:t>, [online] 10(3), pp.1–9. doi:https://doi.org/10.1136/bmjoq-2021-001497.</w:t>
      </w:r>
    </w:p>
    <w:p w14:paraId="7E110C7D"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ICO (2024). </w:t>
      </w:r>
      <w:r w:rsidRPr="005701F7">
        <w:rPr>
          <w:rFonts w:ascii="Arial" w:eastAsia="Times New Roman" w:hAnsi="Arial" w:cs="Arial"/>
          <w:i/>
          <w:iCs/>
          <w:lang w:val="en-GB" w:eastAsia="zh-CN"/>
          <w14:ligatures w14:val="none"/>
        </w:rPr>
        <w:t>Principle (c): Data Minimisation</w:t>
      </w:r>
      <w:r w:rsidRPr="005701F7">
        <w:rPr>
          <w:rFonts w:ascii="Arial" w:eastAsia="Times New Roman" w:hAnsi="Arial" w:cs="Arial"/>
          <w:lang w:val="en-GB" w:eastAsia="zh-CN"/>
          <w14:ligatures w14:val="none"/>
        </w:rPr>
        <w:t>. [online] Ico.org.uk. Available at: https://ico.org.uk/for-organisations/uk-gdpr-guidance-and-resources/data-protection-principles/a-guide-to-the-data-protection-principles/data-minimisation/ [Accessed 18 Apr. 2026].</w:t>
      </w:r>
    </w:p>
    <w:p w14:paraId="6F192180"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Kaboli, P.J. and Mosher, H.J. (2014). Using balanced metrics and mixed methods to better understand QI interventions. </w:t>
      </w:r>
      <w:r w:rsidRPr="005701F7">
        <w:rPr>
          <w:rFonts w:ascii="Arial" w:eastAsia="Times New Roman" w:hAnsi="Arial" w:cs="Arial"/>
          <w:i/>
          <w:iCs/>
          <w:lang w:val="en-GB" w:eastAsia="zh-CN"/>
          <w14:ligatures w14:val="none"/>
        </w:rPr>
        <w:t>BMJ Quality &amp; Safety</w:t>
      </w:r>
      <w:r w:rsidRPr="005701F7">
        <w:rPr>
          <w:rFonts w:ascii="Arial" w:eastAsia="Times New Roman" w:hAnsi="Arial" w:cs="Arial"/>
          <w:lang w:val="en-GB" w:eastAsia="zh-CN"/>
          <w14:ligatures w14:val="none"/>
        </w:rPr>
        <w:t>, [online] 23(6), pp.437–439. doi:https://doi.org/10.1136/bmjqs-2014-002829.</w:t>
      </w:r>
    </w:p>
    <w:p w14:paraId="322722B6"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Kahnke, B. (2020). </w:t>
      </w:r>
      <w:r w:rsidRPr="005701F7">
        <w:rPr>
          <w:rFonts w:ascii="Arial" w:eastAsia="Times New Roman" w:hAnsi="Arial" w:cs="Arial"/>
          <w:i/>
          <w:iCs/>
          <w:lang w:val="en-GB" w:eastAsia="zh-CN"/>
          <w14:ligatures w14:val="none"/>
        </w:rPr>
        <w:t>Beware False Precision In Your Analytics</w:t>
      </w:r>
      <w:r w:rsidRPr="005701F7">
        <w:rPr>
          <w:rFonts w:ascii="Arial" w:eastAsia="Times New Roman" w:hAnsi="Arial" w:cs="Arial"/>
          <w:lang w:val="en-GB" w:eastAsia="zh-CN"/>
          <w14:ligatures w14:val="none"/>
        </w:rPr>
        <w:t>. [online] Forrester. Available at: https://www.forrester.com/blogs/beware-false-precision-in-your-analytics/ [Accessed 13 Apr. 2026].</w:t>
      </w:r>
    </w:p>
    <w:p w14:paraId="226B79A9"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Korstjens, I. and Moser, A. (2017). Series: Practical Guidance to Qualitative research. Part 2: Context, Research Questions and Designs. </w:t>
      </w:r>
      <w:r w:rsidRPr="005701F7">
        <w:rPr>
          <w:rFonts w:ascii="Arial" w:eastAsia="Times New Roman" w:hAnsi="Arial" w:cs="Arial"/>
          <w:i/>
          <w:iCs/>
          <w:lang w:val="en-GB" w:eastAsia="zh-CN"/>
          <w14:ligatures w14:val="none"/>
        </w:rPr>
        <w:t>European Journal of General Practice</w:t>
      </w:r>
      <w:r w:rsidRPr="005701F7">
        <w:rPr>
          <w:rFonts w:ascii="Arial" w:eastAsia="Times New Roman" w:hAnsi="Arial" w:cs="Arial"/>
          <w:lang w:val="en-GB" w:eastAsia="zh-CN"/>
          <w14:ligatures w14:val="none"/>
        </w:rPr>
        <w:t>, 23(1), pp.274–279. doi:https://doi.org/10.1080/13814788.2017.1375090.</w:t>
      </w:r>
    </w:p>
    <w:p w14:paraId="1026FE32"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Langer, G. (2017). The Importance of Probability-Based Sampling Methods for Drawing Valid Inferences. </w:t>
      </w:r>
      <w:r w:rsidRPr="005701F7">
        <w:rPr>
          <w:rFonts w:ascii="Arial" w:eastAsia="Times New Roman" w:hAnsi="Arial" w:cs="Arial"/>
          <w:i/>
          <w:iCs/>
          <w:lang w:val="en-GB" w:eastAsia="zh-CN"/>
          <w14:ligatures w14:val="none"/>
        </w:rPr>
        <w:t>The Palgrave Handbook of Survey Research</w:t>
      </w:r>
      <w:r w:rsidRPr="005701F7">
        <w:rPr>
          <w:rFonts w:ascii="Arial" w:eastAsia="Times New Roman" w:hAnsi="Arial" w:cs="Arial"/>
          <w:lang w:val="en-GB" w:eastAsia="zh-CN"/>
          <w14:ligatures w14:val="none"/>
        </w:rPr>
        <w:t>, [online] pp.7–12. doi:https://doi.org/10.1007/978-3-319-54395-6_2.</w:t>
      </w:r>
    </w:p>
    <w:p w14:paraId="42F287AD"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Mahar, R., Webb, S., Marschner, I., Forbes, A.B. and Lee, K.J. (2025). Platform trials: key features, when to use them and methodological challenges. </w:t>
      </w:r>
      <w:r w:rsidRPr="005701F7">
        <w:rPr>
          <w:rFonts w:ascii="Arial" w:eastAsia="Times New Roman" w:hAnsi="Arial" w:cs="Arial"/>
          <w:i/>
          <w:iCs/>
          <w:lang w:val="en-GB" w:eastAsia="zh-CN"/>
          <w14:ligatures w14:val="none"/>
        </w:rPr>
        <w:t>Medical Journal of Australia</w:t>
      </w:r>
      <w:r w:rsidRPr="005701F7">
        <w:rPr>
          <w:rFonts w:ascii="Arial" w:eastAsia="Times New Roman" w:hAnsi="Arial" w:cs="Arial"/>
          <w:lang w:val="en-GB" w:eastAsia="zh-CN"/>
          <w14:ligatures w14:val="none"/>
        </w:rPr>
        <w:t>, [online] 223(3), pp.120–122. doi:https://doi.org/10.5694/mja2.52711.</w:t>
      </w:r>
    </w:p>
    <w:p w14:paraId="6D4BC492"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McShane, B.B., Bradlow, E.T., Lynch, J.G. and Meyer, R.J. (2023). EXPRESS: ‘Statistical Significance’ and Statistical Reporting: Moving Beyond Binary. </w:t>
      </w:r>
      <w:r w:rsidRPr="005701F7">
        <w:rPr>
          <w:rFonts w:ascii="Arial" w:eastAsia="Times New Roman" w:hAnsi="Arial" w:cs="Arial"/>
          <w:i/>
          <w:iCs/>
          <w:lang w:val="en-GB" w:eastAsia="zh-CN"/>
          <w14:ligatures w14:val="none"/>
        </w:rPr>
        <w:t>Journal of Marketing</w:t>
      </w:r>
      <w:r w:rsidRPr="005701F7">
        <w:rPr>
          <w:rFonts w:ascii="Arial" w:eastAsia="Times New Roman" w:hAnsi="Arial" w:cs="Arial"/>
          <w:lang w:val="en-GB" w:eastAsia="zh-CN"/>
          <w14:ligatures w14:val="none"/>
        </w:rPr>
        <w:t>, 88(3). doi:https://doi.org/10.1177/00222429231216910.</w:t>
      </w:r>
    </w:p>
    <w:p w14:paraId="0EC1153F"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Moule, P., Armoogum, J., Dodd, E. and Turton, P. (2016). </w:t>
      </w:r>
      <w:r w:rsidRPr="005701F7">
        <w:rPr>
          <w:rFonts w:ascii="Arial" w:eastAsia="Times New Roman" w:hAnsi="Arial" w:cs="Arial"/>
          <w:i/>
          <w:iCs/>
          <w:lang w:val="en-GB" w:eastAsia="zh-CN"/>
          <w14:ligatures w14:val="none"/>
        </w:rPr>
        <w:t>Practical guidance on undertaking a service evaluation</w:t>
      </w:r>
      <w:r w:rsidRPr="005701F7">
        <w:rPr>
          <w:rFonts w:ascii="Arial" w:eastAsia="Times New Roman" w:hAnsi="Arial" w:cs="Arial"/>
          <w:lang w:val="en-GB" w:eastAsia="zh-CN"/>
          <w14:ligatures w14:val="none"/>
        </w:rPr>
        <w:t>. [online] ResearchGate. Available at: https://www.researchgate.net/publication/304991202_Practical_guidance_on_undertaking_a_service_evaluation [Accessed 17 Apr. 2026].</w:t>
      </w:r>
    </w:p>
    <w:p w14:paraId="2058BD46"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lastRenderedPageBreak/>
        <w:t xml:space="preserve">Ng, Q.X. and Zhou, K.X. (2025). Rethinking reflexivity, replicability and rigour in qualitative research. </w:t>
      </w:r>
      <w:r w:rsidRPr="005701F7">
        <w:rPr>
          <w:rFonts w:ascii="Arial" w:eastAsia="Times New Roman" w:hAnsi="Arial" w:cs="Arial"/>
          <w:i/>
          <w:iCs/>
          <w:lang w:val="en-GB" w:eastAsia="zh-CN"/>
          <w14:ligatures w14:val="none"/>
        </w:rPr>
        <w:t>Medical Humanities</w:t>
      </w:r>
      <w:r w:rsidRPr="005701F7">
        <w:rPr>
          <w:rFonts w:ascii="Arial" w:eastAsia="Times New Roman" w:hAnsi="Arial" w:cs="Arial"/>
          <w:lang w:val="en-GB" w:eastAsia="zh-CN"/>
          <w14:ligatures w14:val="none"/>
        </w:rPr>
        <w:t>, [online] p.medhum-2025-013293. doi:https://doi.org/10.1136/medhum-2025-013293.</w:t>
      </w:r>
    </w:p>
    <w:p w14:paraId="0761E06E"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Digital (2022). </w:t>
      </w:r>
      <w:r w:rsidRPr="005701F7">
        <w:rPr>
          <w:rFonts w:ascii="Arial" w:eastAsia="Times New Roman" w:hAnsi="Arial" w:cs="Arial"/>
          <w:i/>
          <w:iCs/>
          <w:lang w:val="en-GB" w:eastAsia="zh-CN"/>
          <w14:ligatures w14:val="none"/>
        </w:rPr>
        <w:t>Codes of practice for handling information in health and care - NHS Digital</w:t>
      </w:r>
      <w:r w:rsidRPr="005701F7">
        <w:rPr>
          <w:rFonts w:ascii="Arial" w:eastAsia="Times New Roman" w:hAnsi="Arial" w:cs="Arial"/>
          <w:lang w:val="en-GB" w:eastAsia="zh-CN"/>
          <w14:ligatures w14:val="none"/>
        </w:rPr>
        <w:t>. [online] NHS Digital. Available at: https://digital.nhs.uk/data-and-information/looking-after-information/data-security-and-information-governance/codes-of-practice-for-handling-information-in-health-and-care [Accessed 18 Apr. 2026].</w:t>
      </w:r>
    </w:p>
    <w:p w14:paraId="50EB7FB3"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England (2014). </w:t>
      </w:r>
      <w:r w:rsidRPr="005701F7">
        <w:rPr>
          <w:rFonts w:ascii="Arial" w:eastAsia="Times New Roman" w:hAnsi="Arial" w:cs="Arial"/>
          <w:i/>
          <w:iCs/>
          <w:lang w:val="en-GB" w:eastAsia="zh-CN"/>
          <w14:ligatures w14:val="none"/>
        </w:rPr>
        <w:t>A Simple Guide to Improving Services First Steps Towards Quality improvement: Improving Quality NHS E</w:t>
      </w:r>
      <w:r w:rsidRPr="005701F7">
        <w:rPr>
          <w:rFonts w:ascii="Arial" w:eastAsia="Times New Roman" w:hAnsi="Arial" w:cs="Arial"/>
          <w:lang w:val="en-GB" w:eastAsia="zh-CN"/>
          <w14:ligatures w14:val="none"/>
        </w:rPr>
        <w:t>. [online] NHS England. Available at: https://www.england.nhs.uk/improvement-hub/wp-content/uploads/sites/44/2011/06/service_improvement_guide_2014.pdf [Accessed 17 Apr. 2026].</w:t>
      </w:r>
    </w:p>
    <w:p w14:paraId="758EE884"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England (2019). </w:t>
      </w:r>
      <w:r w:rsidRPr="005701F7">
        <w:rPr>
          <w:rFonts w:ascii="Arial" w:eastAsia="Times New Roman" w:hAnsi="Arial" w:cs="Arial"/>
          <w:i/>
          <w:iCs/>
          <w:lang w:val="en-GB" w:eastAsia="zh-CN"/>
          <w14:ligatures w14:val="none"/>
        </w:rPr>
        <w:t>Data Security and Protection Toolkit</w:t>
      </w:r>
      <w:r w:rsidRPr="005701F7">
        <w:rPr>
          <w:rFonts w:ascii="Arial" w:eastAsia="Times New Roman" w:hAnsi="Arial" w:cs="Arial"/>
          <w:lang w:val="en-GB" w:eastAsia="zh-CN"/>
          <w14:ligatures w14:val="none"/>
        </w:rPr>
        <w:t>. [online] Dsptoolkit.nhs.uk. Available at: https://www.dsptoolkit.nhs.uk/ [Accessed 18 Apr. 2026].</w:t>
      </w:r>
    </w:p>
    <w:p w14:paraId="067AFEC7"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England (2021). </w:t>
      </w:r>
      <w:r w:rsidRPr="005701F7">
        <w:rPr>
          <w:rFonts w:ascii="Arial" w:eastAsia="Times New Roman" w:hAnsi="Arial" w:cs="Arial"/>
          <w:i/>
          <w:iCs/>
          <w:lang w:val="en-GB" w:eastAsia="zh-CN"/>
          <w14:ligatures w14:val="none"/>
        </w:rPr>
        <w:t>Digital Technology Assessment Criteria (DTAC)</w:t>
      </w:r>
      <w:r w:rsidRPr="005701F7">
        <w:rPr>
          <w:rFonts w:ascii="Arial" w:eastAsia="Times New Roman" w:hAnsi="Arial" w:cs="Arial"/>
          <w:lang w:val="en-GB" w:eastAsia="zh-CN"/>
          <w14:ligatures w14:val="none"/>
        </w:rPr>
        <w:t>. [online] NHS Transformation Directorate. Available at: https://transform.england.nhs.uk/key-tools-and-info/digital-technology-assessment-criteria-dtac/ [Accessed 10 Apr. 2026].</w:t>
      </w:r>
    </w:p>
    <w:p w14:paraId="378CBE48"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England (2023). </w:t>
      </w:r>
      <w:r w:rsidRPr="005701F7">
        <w:rPr>
          <w:rFonts w:ascii="Arial" w:eastAsia="Times New Roman" w:hAnsi="Arial" w:cs="Arial"/>
          <w:i/>
          <w:iCs/>
          <w:lang w:val="en-GB" w:eastAsia="zh-CN"/>
          <w14:ligatures w14:val="none"/>
        </w:rPr>
        <w:t>Complying with NHS Digital clinical risk management standards - AI and Digital Regulations Service for health and social care</w:t>
      </w:r>
      <w:r w:rsidRPr="005701F7">
        <w:rPr>
          <w:rFonts w:ascii="Arial" w:eastAsia="Times New Roman" w:hAnsi="Arial" w:cs="Arial"/>
          <w:lang w:val="en-GB" w:eastAsia="zh-CN"/>
          <w14:ligatures w14:val="none"/>
        </w:rPr>
        <w:t>. [online] AI and Digital Regulations Service for health and social care. Available at: https://digitalregulations.innovation.nhs.uk/regulations-and-guidance-for-adopters/all-adopters-guidance/complying-with-nhs-digital-clinical-risk-management-standards/ [Accessed 18 Apr. 2026].</w:t>
      </w:r>
    </w:p>
    <w:p w14:paraId="2D6CAD85"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England (2024a). </w:t>
      </w:r>
      <w:r w:rsidRPr="005701F7">
        <w:rPr>
          <w:rFonts w:ascii="Arial" w:eastAsia="Times New Roman" w:hAnsi="Arial" w:cs="Arial"/>
          <w:i/>
          <w:iCs/>
          <w:lang w:val="en-GB" w:eastAsia="zh-CN"/>
          <w14:ligatures w14:val="none"/>
        </w:rPr>
        <w:t>NHS England» Preparing the NHS for digital-by-default</w:t>
      </w:r>
      <w:r w:rsidRPr="005701F7">
        <w:rPr>
          <w:rFonts w:ascii="Arial" w:eastAsia="Times New Roman" w:hAnsi="Arial" w:cs="Arial"/>
          <w:lang w:val="en-GB" w:eastAsia="zh-CN"/>
          <w14:ligatures w14:val="none"/>
        </w:rPr>
        <w:t>. [online] England.nhs.uk. Available at: https://www.england.nhs.uk/digitaltechnology/digitising-the-frontline/preparing-the-nhs-for-digital-by-default/ [Accessed 10 Apr. 2026].</w:t>
      </w:r>
    </w:p>
    <w:p w14:paraId="3D49873B"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England (2024b). </w:t>
      </w:r>
      <w:r w:rsidRPr="005701F7">
        <w:rPr>
          <w:rFonts w:ascii="Arial" w:eastAsia="Times New Roman" w:hAnsi="Arial" w:cs="Arial"/>
          <w:i/>
          <w:iCs/>
          <w:lang w:val="en-GB" w:eastAsia="zh-CN"/>
          <w14:ligatures w14:val="none"/>
        </w:rPr>
        <w:t>NHS England» Statistical process control tool</w:t>
      </w:r>
      <w:r w:rsidRPr="005701F7">
        <w:rPr>
          <w:rFonts w:ascii="Arial" w:eastAsia="Times New Roman" w:hAnsi="Arial" w:cs="Arial"/>
          <w:lang w:val="en-GB" w:eastAsia="zh-CN"/>
          <w14:ligatures w14:val="none"/>
        </w:rPr>
        <w:t>. [online] www.england.nhs.uk. Available at: https://www.england.nhs.uk/statistical-process-control-tool/ [Accessed 17 Apr. 2026].</w:t>
      </w:r>
    </w:p>
    <w:p w14:paraId="48D5B9F3"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England (2026). </w:t>
      </w:r>
      <w:r w:rsidRPr="005701F7">
        <w:rPr>
          <w:rFonts w:ascii="Arial" w:eastAsia="Times New Roman" w:hAnsi="Arial" w:cs="Arial"/>
          <w:i/>
          <w:iCs/>
          <w:lang w:val="en-GB" w:eastAsia="zh-CN"/>
          <w14:ligatures w14:val="none"/>
        </w:rPr>
        <w:t>Identifying controllers and processors in health and care</w:t>
      </w:r>
      <w:r w:rsidRPr="005701F7">
        <w:rPr>
          <w:rFonts w:ascii="Arial" w:eastAsia="Times New Roman" w:hAnsi="Arial" w:cs="Arial"/>
          <w:lang w:val="en-GB" w:eastAsia="zh-CN"/>
          <w14:ligatures w14:val="none"/>
        </w:rPr>
        <w:t>. [online] NHS Transformation Directorate. Available at: https://transform.england.nhs.uk/information-</w:t>
      </w:r>
      <w:r w:rsidRPr="005701F7">
        <w:rPr>
          <w:rFonts w:ascii="Arial" w:eastAsia="Times New Roman" w:hAnsi="Arial" w:cs="Arial"/>
          <w:lang w:val="en-GB" w:eastAsia="zh-CN"/>
          <w14:ligatures w14:val="none"/>
        </w:rPr>
        <w:lastRenderedPageBreak/>
        <w:t>governance/guidance/identifying-controllers-and-processors-in-health-and-care/ [Accessed 18 Apr. 2026].</w:t>
      </w:r>
    </w:p>
    <w:p w14:paraId="4A4B7F1C"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NHS Health Research Authority (2017). </w:t>
      </w:r>
      <w:r w:rsidRPr="005701F7">
        <w:rPr>
          <w:rFonts w:ascii="Arial" w:eastAsia="Times New Roman" w:hAnsi="Arial" w:cs="Arial"/>
          <w:i/>
          <w:iCs/>
          <w:lang w:val="en-GB" w:eastAsia="zh-CN"/>
          <w14:ligatures w14:val="none"/>
        </w:rPr>
        <w:t>What approvals and decisions do I need?</w:t>
      </w:r>
      <w:r w:rsidRPr="005701F7">
        <w:rPr>
          <w:rFonts w:ascii="Arial" w:eastAsia="Times New Roman" w:hAnsi="Arial" w:cs="Arial"/>
          <w:lang w:val="en-GB" w:eastAsia="zh-CN"/>
          <w14:ligatures w14:val="none"/>
        </w:rPr>
        <w:t xml:space="preserve"> [online] Health Research Authority. Available at: https://www.hra.nhs.uk/approvals-amendments/what-approvals-do-i-need/ [Accessed 18 Apr. 2026].</w:t>
      </w:r>
    </w:p>
    <w:p w14:paraId="4D583B39"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OneAdvanced (2025). </w:t>
      </w:r>
      <w:r w:rsidRPr="005701F7">
        <w:rPr>
          <w:rFonts w:ascii="Arial" w:eastAsia="Times New Roman" w:hAnsi="Arial" w:cs="Arial"/>
          <w:i/>
          <w:iCs/>
          <w:lang w:val="en-GB" w:eastAsia="zh-CN"/>
          <w14:ligatures w14:val="none"/>
        </w:rPr>
        <w:t>GP Document Workflow | Formerly Docman10X</w:t>
      </w:r>
      <w:r w:rsidRPr="005701F7">
        <w:rPr>
          <w:rFonts w:ascii="Arial" w:eastAsia="Times New Roman" w:hAnsi="Arial" w:cs="Arial"/>
          <w:lang w:val="en-GB" w:eastAsia="zh-CN"/>
          <w14:ligatures w14:val="none"/>
        </w:rPr>
        <w:t>. [online] Oneadvanced.com. Available at: https://www.oneadvanced.com/products/gp-document-workflow/ [Accessed 10 Apr. 2026].</w:t>
      </w:r>
    </w:p>
    <w:p w14:paraId="5D13F4BA" w14:textId="4B1B8BFE" w:rsidR="00DF77CA" w:rsidRDefault="00DF77CA" w:rsidP="005701F7">
      <w:pPr>
        <w:spacing w:after="240" w:line="360" w:lineRule="auto"/>
        <w:jc w:val="both"/>
        <w:rPr>
          <w:rFonts w:ascii="Arial" w:eastAsia="Times New Roman" w:hAnsi="Arial" w:cs="Arial"/>
          <w:lang w:val="en-GB" w:eastAsia="zh-CN"/>
          <w14:ligatures w14:val="none"/>
        </w:rPr>
      </w:pPr>
      <w:r w:rsidRPr="00DF77CA">
        <w:rPr>
          <w:rFonts w:ascii="Arial" w:eastAsia="Times New Roman" w:hAnsi="Arial" w:cs="Arial"/>
          <w:lang w:val="en-GB" w:eastAsia="zh-CN"/>
          <w14:ligatures w14:val="none"/>
        </w:rPr>
        <w:t>Ranganathan, P., Pramesh, C.S. and Aggarwal, R. (2017). Common pitfalls in statistical analysis: Logistic regression. Perspectives in Clinical Research, [online] 8(3), pp.148–151. doi:https://doi.org/10.4103/picr.PICR_87_17.</w:t>
      </w:r>
    </w:p>
    <w:p w14:paraId="4CE4E2AE" w14:textId="1DF863A8"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Sachdeva, S. and Bhatia, S. (2024). Unraveling the role of cloud computing in health care system and biomedical sciences. </w:t>
      </w:r>
      <w:r w:rsidRPr="005701F7">
        <w:rPr>
          <w:rFonts w:ascii="Arial" w:eastAsia="Times New Roman" w:hAnsi="Arial" w:cs="Arial"/>
          <w:i/>
          <w:iCs/>
          <w:lang w:val="en-GB" w:eastAsia="zh-CN"/>
          <w14:ligatures w14:val="none"/>
        </w:rPr>
        <w:t>Heliyon</w:t>
      </w:r>
      <w:r w:rsidRPr="005701F7">
        <w:rPr>
          <w:rFonts w:ascii="Arial" w:eastAsia="Times New Roman" w:hAnsi="Arial" w:cs="Arial"/>
          <w:lang w:val="en-GB" w:eastAsia="zh-CN"/>
          <w14:ligatures w14:val="none"/>
        </w:rPr>
        <w:t>, [online] 10(7), pp.e29044–e29044. doi:https://doi.org/10.1016/j.heliyon.2024.e29044.</w:t>
      </w:r>
    </w:p>
    <w:p w14:paraId="03D91969"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Sarker, I.H. (2021). Machine Learning: Algorithms, Real-World Applications and Research Directions. </w:t>
      </w:r>
      <w:r w:rsidRPr="005701F7">
        <w:rPr>
          <w:rFonts w:ascii="Arial" w:eastAsia="Times New Roman" w:hAnsi="Arial" w:cs="Arial"/>
          <w:i/>
          <w:iCs/>
          <w:lang w:val="en-GB" w:eastAsia="zh-CN"/>
          <w14:ligatures w14:val="none"/>
        </w:rPr>
        <w:t>SN Computer Science</w:t>
      </w:r>
      <w:r w:rsidRPr="005701F7">
        <w:rPr>
          <w:rFonts w:ascii="Arial" w:eastAsia="Times New Roman" w:hAnsi="Arial" w:cs="Arial"/>
          <w:lang w:val="en-GB" w:eastAsia="zh-CN"/>
          <w14:ligatures w14:val="none"/>
        </w:rPr>
        <w:t>, [online] 2(3), pp.1–21. Available at: https://link.springer.com/article/10.1007/s42979-021-00592-x [Accessed 18 Apr. 2026].</w:t>
      </w:r>
    </w:p>
    <w:p w14:paraId="3AB08FB6"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Sharifnia, A.M., Kpormegbey, D.E., Thapa, D.K. and Cleary, M. (2025). A Primer of Data Cleaning in Quantitative Research: Handling Missing Values and Outliers. </w:t>
      </w:r>
      <w:r w:rsidRPr="005701F7">
        <w:rPr>
          <w:rFonts w:ascii="Arial" w:eastAsia="Times New Roman" w:hAnsi="Arial" w:cs="Arial"/>
          <w:i/>
          <w:iCs/>
          <w:lang w:val="en-GB" w:eastAsia="zh-CN"/>
          <w14:ligatures w14:val="none"/>
        </w:rPr>
        <w:t>PubMed</w:t>
      </w:r>
      <w:r w:rsidRPr="005701F7">
        <w:rPr>
          <w:rFonts w:ascii="Arial" w:eastAsia="Times New Roman" w:hAnsi="Arial" w:cs="Arial"/>
          <w:lang w:val="en-GB" w:eastAsia="zh-CN"/>
          <w14:ligatures w14:val="none"/>
        </w:rPr>
        <w:t>. [online] doi:https://doi.org/10.1111/jan.16908.</w:t>
      </w:r>
    </w:p>
    <w:p w14:paraId="2286064C"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Sharma, H. (2021). Statistical significance or clinical significance? A researcher’s dilemma for appropriate interpretation of research results. </w:t>
      </w:r>
      <w:r w:rsidRPr="005701F7">
        <w:rPr>
          <w:rFonts w:ascii="Arial" w:eastAsia="Times New Roman" w:hAnsi="Arial" w:cs="Arial"/>
          <w:i/>
          <w:iCs/>
          <w:lang w:val="en-GB" w:eastAsia="zh-CN"/>
          <w14:ligatures w14:val="none"/>
        </w:rPr>
        <w:t>Saudi Journal of Anaesthesia</w:t>
      </w:r>
      <w:r w:rsidRPr="005701F7">
        <w:rPr>
          <w:rFonts w:ascii="Arial" w:eastAsia="Times New Roman" w:hAnsi="Arial" w:cs="Arial"/>
          <w:lang w:val="en-GB" w:eastAsia="zh-CN"/>
          <w14:ligatures w14:val="none"/>
        </w:rPr>
        <w:t>, [online] 15(4), p.431. doi:https://doi.org/10.4103/sja.sja_158_21.</w:t>
      </w:r>
    </w:p>
    <w:p w14:paraId="0AAC4889"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Sittig, D.F. and Singh, H. (2010). A new sociotechnical model for studying health information technology in complex adaptive healthcare systems. </w:t>
      </w:r>
      <w:r w:rsidRPr="005701F7">
        <w:rPr>
          <w:rFonts w:ascii="Arial" w:eastAsia="Times New Roman" w:hAnsi="Arial" w:cs="Arial"/>
          <w:i/>
          <w:iCs/>
          <w:lang w:val="en-GB" w:eastAsia="zh-CN"/>
          <w14:ligatures w14:val="none"/>
        </w:rPr>
        <w:t>Quality and Safety in Health Care</w:t>
      </w:r>
      <w:r w:rsidRPr="005701F7">
        <w:rPr>
          <w:rFonts w:ascii="Arial" w:eastAsia="Times New Roman" w:hAnsi="Arial" w:cs="Arial"/>
          <w:lang w:val="en-GB" w:eastAsia="zh-CN"/>
          <w14:ligatures w14:val="none"/>
        </w:rPr>
        <w:t>, [online] 19(Suppl 3), pp.i68–i74. doi:https://doi.org/10.1136/qshc.2010.042085.</w:t>
      </w:r>
    </w:p>
    <w:p w14:paraId="0E6768B8"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Surawy-Stepney, N., Provost, F., Bhangu, S. and Caduff, C. (2023). Introduction to qualitative research methods: Part 2. </w:t>
      </w:r>
      <w:r w:rsidRPr="005701F7">
        <w:rPr>
          <w:rFonts w:ascii="Arial" w:eastAsia="Times New Roman" w:hAnsi="Arial" w:cs="Arial"/>
          <w:i/>
          <w:iCs/>
          <w:lang w:val="en-GB" w:eastAsia="zh-CN"/>
          <w14:ligatures w14:val="none"/>
        </w:rPr>
        <w:t>Perspectives in Clinical Research</w:t>
      </w:r>
      <w:r w:rsidRPr="005701F7">
        <w:rPr>
          <w:rFonts w:ascii="Arial" w:eastAsia="Times New Roman" w:hAnsi="Arial" w:cs="Arial"/>
          <w:lang w:val="en-GB" w:eastAsia="zh-CN"/>
          <w14:ligatures w14:val="none"/>
        </w:rPr>
        <w:t>, [online] 14(2), pp.95–99. doi:https://doi.org/10.4103/picr.picr_37_23.</w:t>
      </w:r>
    </w:p>
    <w:p w14:paraId="3029101E"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lastRenderedPageBreak/>
        <w:t xml:space="preserve">The Cochrane Collaboration (2023). </w:t>
      </w:r>
      <w:r w:rsidRPr="005701F7">
        <w:rPr>
          <w:rFonts w:ascii="Arial" w:eastAsia="Times New Roman" w:hAnsi="Arial" w:cs="Arial"/>
          <w:i/>
          <w:iCs/>
          <w:lang w:val="en-GB" w:eastAsia="zh-CN"/>
          <w14:ligatures w14:val="none"/>
        </w:rPr>
        <w:t>Chapter 2: Determining the scope of the review and the questions it will address | Cochrane</w:t>
      </w:r>
      <w:r w:rsidRPr="005701F7">
        <w:rPr>
          <w:rFonts w:ascii="Arial" w:eastAsia="Times New Roman" w:hAnsi="Arial" w:cs="Arial"/>
          <w:lang w:val="en-GB" w:eastAsia="zh-CN"/>
          <w14:ligatures w14:val="none"/>
        </w:rPr>
        <w:t>. [online] Cochrane.org. Available at: https://www.cochrane.org/authors/handbooks-and-manuals/handbook/current/chapter-02 [Accessed 10 Apr. 2026].</w:t>
      </w:r>
    </w:p>
    <w:p w14:paraId="325C2E5C"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The Health Foundation (2023). </w:t>
      </w:r>
      <w:r w:rsidRPr="005701F7">
        <w:rPr>
          <w:rFonts w:ascii="Arial" w:eastAsia="Times New Roman" w:hAnsi="Arial" w:cs="Arial"/>
          <w:i/>
          <w:iCs/>
          <w:lang w:val="en-GB" w:eastAsia="zh-CN"/>
          <w14:ligatures w14:val="none"/>
        </w:rPr>
        <w:t>Five principles for implementing the NHS Impact approach to improvement in England</w:t>
      </w:r>
      <w:r w:rsidRPr="005701F7">
        <w:rPr>
          <w:rFonts w:ascii="Arial" w:eastAsia="Times New Roman" w:hAnsi="Arial" w:cs="Arial"/>
          <w:lang w:val="en-GB" w:eastAsia="zh-CN"/>
          <w14:ligatures w14:val="none"/>
        </w:rPr>
        <w:t>. [online] The Health Foundation. Available at: https://www.health.org.uk/reports-and-analysis/briefings/five-principles-for-implementing-the-nhs-impact-approach-to [Accessed 15 Apr. 2026].</w:t>
      </w:r>
    </w:p>
    <w:p w14:paraId="156B42A3"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Thordsen, T. and Bick, M. (2023). The Importance of Platforms to Achieve Digital Maturity. </w:t>
      </w:r>
      <w:r w:rsidRPr="005701F7">
        <w:rPr>
          <w:rFonts w:ascii="Arial" w:eastAsia="Times New Roman" w:hAnsi="Arial" w:cs="Arial"/>
          <w:i/>
          <w:iCs/>
          <w:lang w:val="en-GB" w:eastAsia="zh-CN"/>
          <w14:ligatures w14:val="none"/>
        </w:rPr>
        <w:t>Lecture notes in business information processing</w:t>
      </w:r>
      <w:r w:rsidRPr="005701F7">
        <w:rPr>
          <w:rFonts w:ascii="Arial" w:eastAsia="Times New Roman" w:hAnsi="Arial" w:cs="Arial"/>
          <w:lang w:val="en-GB" w:eastAsia="zh-CN"/>
          <w14:ligatures w14:val="none"/>
        </w:rPr>
        <w:t>, [online] pp.339–351. doi:https://doi.org/10.1007/978-3-031-30694-5_25.</w:t>
      </w:r>
    </w:p>
    <w:p w14:paraId="4EE81811"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Toma, M., Dreischulte, T., Gray, N.M., Campbell, D. and Guthrie, B. (2017). Balancing measures or a balanced accounting of improvement impact: a qualitative analysis of individual and focus group interviews with improvement experts in Scotland. </w:t>
      </w:r>
      <w:r w:rsidRPr="005701F7">
        <w:rPr>
          <w:rFonts w:ascii="Arial" w:eastAsia="Times New Roman" w:hAnsi="Arial" w:cs="Arial"/>
          <w:i/>
          <w:iCs/>
          <w:lang w:val="en-GB" w:eastAsia="zh-CN"/>
          <w14:ligatures w14:val="none"/>
        </w:rPr>
        <w:t>BMJ Quality &amp; Safety</w:t>
      </w:r>
      <w:r w:rsidRPr="005701F7">
        <w:rPr>
          <w:rFonts w:ascii="Arial" w:eastAsia="Times New Roman" w:hAnsi="Arial" w:cs="Arial"/>
          <w:lang w:val="en-GB" w:eastAsia="zh-CN"/>
          <w14:ligatures w14:val="none"/>
        </w:rPr>
        <w:t>, [online] 27(7), pp.547–556. doi:https://doi.org/10.1136/bmjqs-2017-006554.</w:t>
      </w:r>
    </w:p>
    <w:p w14:paraId="38F02E80"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Tsubota, S. (2020). </w:t>
      </w:r>
      <w:r w:rsidRPr="005701F7">
        <w:rPr>
          <w:rFonts w:ascii="Arial" w:eastAsia="Times New Roman" w:hAnsi="Arial" w:cs="Arial"/>
          <w:i/>
          <w:iCs/>
          <w:lang w:val="en-GB" w:eastAsia="zh-CN"/>
          <w14:ligatures w14:val="none"/>
        </w:rPr>
        <w:t>Measuring the Flow of Value Using Flow Metrics</w:t>
      </w:r>
      <w:r w:rsidRPr="005701F7">
        <w:rPr>
          <w:rFonts w:ascii="Arial" w:eastAsia="Times New Roman" w:hAnsi="Arial" w:cs="Arial"/>
          <w:lang w:val="en-GB" w:eastAsia="zh-CN"/>
          <w14:ligatures w14:val="none"/>
        </w:rPr>
        <w:t>. [online] Atlassian Community. Available at: https://community.atlassian.com/forums/Jira-Align-articles/Measuring-the-Flow-of-Value-Using-Flow-Metrics/ba-p/1490534 [Accessed 15 Apr. 2026].</w:t>
      </w:r>
    </w:p>
    <w:p w14:paraId="7134B4AC" w14:textId="77777777" w:rsidR="005701F7" w:rsidRPr="005701F7" w:rsidRDefault="005701F7" w:rsidP="005701F7">
      <w:pPr>
        <w:spacing w:after="240" w:line="360" w:lineRule="auto"/>
        <w:jc w:val="both"/>
        <w:rPr>
          <w:rFonts w:ascii="Arial" w:eastAsia="Times New Roman" w:hAnsi="Arial" w:cs="Arial"/>
          <w:lang w:val="es-ES" w:eastAsia="zh-CN"/>
          <w14:ligatures w14:val="none"/>
        </w:rPr>
      </w:pPr>
      <w:r w:rsidRPr="005701F7">
        <w:rPr>
          <w:rFonts w:ascii="Arial" w:eastAsia="Times New Roman" w:hAnsi="Arial" w:cs="Arial"/>
          <w:lang w:val="en-GB" w:eastAsia="zh-CN"/>
          <w14:ligatures w14:val="none"/>
        </w:rPr>
        <w:t xml:space="preserve">Valencia, M.M.A. (2022). Principles, scope, and limitations of the methodological triangulation. </w:t>
      </w:r>
      <w:r w:rsidRPr="005701F7">
        <w:rPr>
          <w:rFonts w:ascii="Arial" w:eastAsia="Times New Roman" w:hAnsi="Arial" w:cs="Arial"/>
          <w:i/>
          <w:iCs/>
          <w:lang w:val="es-ES" w:eastAsia="zh-CN"/>
          <w14:ligatures w14:val="none"/>
        </w:rPr>
        <w:t>Investigacion Y Educacion En Enfermeria</w:t>
      </w:r>
      <w:r w:rsidRPr="005701F7">
        <w:rPr>
          <w:rFonts w:ascii="Arial" w:eastAsia="Times New Roman" w:hAnsi="Arial" w:cs="Arial"/>
          <w:lang w:val="es-ES" w:eastAsia="zh-CN"/>
          <w14:ligatures w14:val="none"/>
        </w:rPr>
        <w:t>, [online] 40(2), pp.1–14. doi:https://doi.org/10.17533/udea.iee.v40n2e03.</w:t>
      </w:r>
    </w:p>
    <w:p w14:paraId="0E0411F7"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Vial, G. (2019). Understanding Digital transformation: a Review and a Research Agenda. </w:t>
      </w:r>
      <w:r w:rsidRPr="005701F7">
        <w:rPr>
          <w:rFonts w:ascii="Arial" w:eastAsia="Times New Roman" w:hAnsi="Arial" w:cs="Arial"/>
          <w:i/>
          <w:iCs/>
          <w:lang w:val="en-GB" w:eastAsia="zh-CN"/>
          <w14:ligatures w14:val="none"/>
        </w:rPr>
        <w:t>The Journal of Strategic Information Systems</w:t>
      </w:r>
      <w:r w:rsidRPr="005701F7">
        <w:rPr>
          <w:rFonts w:ascii="Arial" w:eastAsia="Times New Roman" w:hAnsi="Arial" w:cs="Arial"/>
          <w:lang w:val="en-GB" w:eastAsia="zh-CN"/>
          <w14:ligatures w14:val="none"/>
        </w:rPr>
        <w:t>, [online] 28(2), pp.118–144. doi:https://doi.org/10.1016/j.jsis.2019.01.003.</w:t>
      </w:r>
    </w:p>
    <w:p w14:paraId="4D31DE5C"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Vieira, H. (2021). </w:t>
      </w:r>
      <w:r w:rsidRPr="005701F7">
        <w:rPr>
          <w:rFonts w:ascii="Arial" w:eastAsia="Times New Roman" w:hAnsi="Arial" w:cs="Arial"/>
          <w:i/>
          <w:iCs/>
          <w:lang w:val="en-GB" w:eastAsia="zh-CN"/>
          <w14:ligatures w14:val="none"/>
        </w:rPr>
        <w:t>For platforms, durability is the new strategic imperative - LSE Business Review</w:t>
      </w:r>
      <w:r w:rsidRPr="005701F7">
        <w:rPr>
          <w:rFonts w:ascii="Arial" w:eastAsia="Times New Roman" w:hAnsi="Arial" w:cs="Arial"/>
          <w:lang w:val="en-GB" w:eastAsia="zh-CN"/>
          <w14:ligatures w14:val="none"/>
        </w:rPr>
        <w:t>. [online] LSE Business Review - Connecting business research with policy, practice and public debate. Available at: https://blogs.lse.ac.uk/businessreview/2021/02/15/for-platforms-durability-is-the-new-strategic-imperative/ [Accessed 16 Apr. 2026].</w:t>
      </w:r>
    </w:p>
    <w:p w14:paraId="0D2C6104"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Watson, A. and Jackson, D. (2024). The Importance of Analytic Integrity and Reporting Guidelines in Reporting Qualitative Research. </w:t>
      </w:r>
      <w:r w:rsidRPr="005701F7">
        <w:rPr>
          <w:rFonts w:ascii="Arial" w:eastAsia="Times New Roman" w:hAnsi="Arial" w:cs="Arial"/>
          <w:i/>
          <w:iCs/>
          <w:lang w:val="en-GB" w:eastAsia="zh-CN"/>
          <w14:ligatures w14:val="none"/>
        </w:rPr>
        <w:t>Journal of Advanced Nursing</w:t>
      </w:r>
      <w:r w:rsidRPr="005701F7">
        <w:rPr>
          <w:rFonts w:ascii="Arial" w:eastAsia="Times New Roman" w:hAnsi="Arial" w:cs="Arial"/>
          <w:lang w:val="en-GB" w:eastAsia="zh-CN"/>
          <w14:ligatures w14:val="none"/>
        </w:rPr>
        <w:t>. [online] doi:https://doi.org/10.1111/jan.16617.</w:t>
      </w:r>
    </w:p>
    <w:p w14:paraId="7A929803" w14:textId="77777777" w:rsidR="005701F7" w:rsidRPr="005701F7" w:rsidRDefault="005701F7" w:rsidP="005701F7">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lastRenderedPageBreak/>
        <w:t xml:space="preserve">Xu, Z., Wang, Y. and Qian, Y. (2025). The design and application of in-depth interviews in primary care research. </w:t>
      </w:r>
      <w:r w:rsidRPr="005701F7">
        <w:rPr>
          <w:rFonts w:ascii="Arial" w:eastAsia="Times New Roman" w:hAnsi="Arial" w:cs="Arial"/>
          <w:i/>
          <w:iCs/>
          <w:lang w:val="en-GB" w:eastAsia="zh-CN"/>
          <w14:ligatures w14:val="none"/>
        </w:rPr>
        <w:t>Chinese General Practice Journal</w:t>
      </w:r>
      <w:r w:rsidRPr="005701F7">
        <w:rPr>
          <w:rFonts w:ascii="Arial" w:eastAsia="Times New Roman" w:hAnsi="Arial" w:cs="Arial"/>
          <w:lang w:val="en-GB" w:eastAsia="zh-CN"/>
          <w14:ligatures w14:val="none"/>
        </w:rPr>
        <w:t>, [online] 2(2), p.100062. doi:https://doi.org/10.1016/j.cgpj.2025.100062.</w:t>
      </w:r>
    </w:p>
    <w:p w14:paraId="025F6C13" w14:textId="2D524F99" w:rsidR="00140049" w:rsidRPr="00366AA1" w:rsidRDefault="005701F7" w:rsidP="00366AA1">
      <w:pPr>
        <w:spacing w:after="240" w:line="360" w:lineRule="auto"/>
        <w:jc w:val="both"/>
        <w:rPr>
          <w:rFonts w:ascii="Arial" w:eastAsia="Times New Roman" w:hAnsi="Arial" w:cs="Arial"/>
          <w:lang w:val="en-GB" w:eastAsia="zh-CN"/>
          <w14:ligatures w14:val="none"/>
        </w:rPr>
      </w:pPr>
      <w:r w:rsidRPr="005701F7">
        <w:rPr>
          <w:rFonts w:ascii="Arial" w:eastAsia="Times New Roman" w:hAnsi="Arial" w:cs="Arial"/>
          <w:lang w:val="en-GB" w:eastAsia="zh-CN"/>
          <w14:ligatures w14:val="none"/>
        </w:rPr>
        <w:t xml:space="preserve">Zhang, Y., Callaghan-Koru, J.A. and Koru, G. (2024). The challenges and opportunities of continuous data quality improvement for healthcare administration data. </w:t>
      </w:r>
      <w:r w:rsidRPr="005701F7">
        <w:rPr>
          <w:rFonts w:ascii="Arial" w:eastAsia="Times New Roman" w:hAnsi="Arial" w:cs="Arial"/>
          <w:i/>
          <w:iCs/>
          <w:lang w:val="en-GB" w:eastAsia="zh-CN"/>
          <w14:ligatures w14:val="none"/>
        </w:rPr>
        <w:t>JAMIA Open</w:t>
      </w:r>
      <w:r w:rsidRPr="005701F7">
        <w:rPr>
          <w:rFonts w:ascii="Arial" w:eastAsia="Times New Roman" w:hAnsi="Arial" w:cs="Arial"/>
          <w:lang w:val="en-GB" w:eastAsia="zh-CN"/>
          <w14:ligatures w14:val="none"/>
        </w:rPr>
        <w:t>, [online] 7(3). doi:https://doi.org/10.1093/jamiaopen/ooae058.</w:t>
      </w:r>
    </w:p>
    <w:sectPr w:rsidR="00140049" w:rsidRPr="00366AA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B8FAE" w14:textId="77777777" w:rsidR="00A32A5C" w:rsidRDefault="00A32A5C" w:rsidP="00B35516">
      <w:pPr>
        <w:spacing w:after="0" w:line="240" w:lineRule="auto"/>
      </w:pPr>
      <w:r>
        <w:separator/>
      </w:r>
    </w:p>
  </w:endnote>
  <w:endnote w:type="continuationSeparator" w:id="0">
    <w:p w14:paraId="56A7E200" w14:textId="77777777" w:rsidR="00A32A5C" w:rsidRDefault="00A32A5C" w:rsidP="00B35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7021945"/>
      <w:docPartObj>
        <w:docPartGallery w:val="Page Numbers (Bottom of Page)"/>
        <w:docPartUnique/>
      </w:docPartObj>
    </w:sdtPr>
    <w:sdtEndPr>
      <w:rPr>
        <w:noProof/>
      </w:rPr>
    </w:sdtEndPr>
    <w:sdtContent>
      <w:p w14:paraId="41646D53" w14:textId="03711D1D" w:rsidR="00B35516" w:rsidRDefault="00B35516">
        <w:pPr>
          <w:pStyle w:val="Footer"/>
          <w:jc w:val="center"/>
        </w:pPr>
        <w:r w:rsidRPr="00B35516">
          <w:rPr>
            <w:rFonts w:ascii="Arial" w:hAnsi="Arial" w:cs="Arial"/>
          </w:rPr>
          <w:fldChar w:fldCharType="begin"/>
        </w:r>
        <w:r w:rsidRPr="00B35516">
          <w:rPr>
            <w:rFonts w:ascii="Arial" w:hAnsi="Arial" w:cs="Arial"/>
          </w:rPr>
          <w:instrText xml:space="preserve"> PAGE   \* MERGEFORMAT </w:instrText>
        </w:r>
        <w:r w:rsidRPr="00B35516">
          <w:rPr>
            <w:rFonts w:ascii="Arial" w:hAnsi="Arial" w:cs="Arial"/>
          </w:rPr>
          <w:fldChar w:fldCharType="separate"/>
        </w:r>
        <w:r w:rsidRPr="00B35516">
          <w:rPr>
            <w:rFonts w:ascii="Arial" w:hAnsi="Arial" w:cs="Arial"/>
            <w:noProof/>
          </w:rPr>
          <w:t>2</w:t>
        </w:r>
        <w:r w:rsidRPr="00B35516">
          <w:rPr>
            <w:rFonts w:ascii="Arial" w:hAnsi="Arial" w:cs="Arial"/>
            <w:noProof/>
          </w:rPr>
          <w:fldChar w:fldCharType="end"/>
        </w:r>
      </w:p>
    </w:sdtContent>
  </w:sdt>
  <w:p w14:paraId="6887DC92" w14:textId="77777777" w:rsidR="00B35516" w:rsidRDefault="00B35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36726" w14:textId="77777777" w:rsidR="00A32A5C" w:rsidRDefault="00A32A5C" w:rsidP="00B35516">
      <w:pPr>
        <w:spacing w:after="0" w:line="240" w:lineRule="auto"/>
      </w:pPr>
      <w:r>
        <w:separator/>
      </w:r>
    </w:p>
  </w:footnote>
  <w:footnote w:type="continuationSeparator" w:id="0">
    <w:p w14:paraId="33EC1E70" w14:textId="77777777" w:rsidR="00A32A5C" w:rsidRDefault="00A32A5C" w:rsidP="00B355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35516"/>
    <w:rsid w:val="000079C9"/>
    <w:rsid w:val="00011EDE"/>
    <w:rsid w:val="00037BA7"/>
    <w:rsid w:val="0004335C"/>
    <w:rsid w:val="000633D7"/>
    <w:rsid w:val="000922FB"/>
    <w:rsid w:val="00093D1B"/>
    <w:rsid w:val="000A3C5C"/>
    <w:rsid w:val="000D5A4F"/>
    <w:rsid w:val="000E3A00"/>
    <w:rsid w:val="00105DF5"/>
    <w:rsid w:val="0011092F"/>
    <w:rsid w:val="00140049"/>
    <w:rsid w:val="001409B2"/>
    <w:rsid w:val="001434C0"/>
    <w:rsid w:val="00147434"/>
    <w:rsid w:val="00151B39"/>
    <w:rsid w:val="00183FA9"/>
    <w:rsid w:val="00191075"/>
    <w:rsid w:val="001A6566"/>
    <w:rsid w:val="001B51BE"/>
    <w:rsid w:val="00201A30"/>
    <w:rsid w:val="00247275"/>
    <w:rsid w:val="00255E25"/>
    <w:rsid w:val="002641E6"/>
    <w:rsid w:val="0027052C"/>
    <w:rsid w:val="002A1A99"/>
    <w:rsid w:val="002A2EE0"/>
    <w:rsid w:val="002B1C29"/>
    <w:rsid w:val="002C553C"/>
    <w:rsid w:val="002E43E4"/>
    <w:rsid w:val="002F12D1"/>
    <w:rsid w:val="002F2F4B"/>
    <w:rsid w:val="002F313C"/>
    <w:rsid w:val="00301462"/>
    <w:rsid w:val="00342430"/>
    <w:rsid w:val="0034295B"/>
    <w:rsid w:val="0035771B"/>
    <w:rsid w:val="00366AA1"/>
    <w:rsid w:val="00367B52"/>
    <w:rsid w:val="00377963"/>
    <w:rsid w:val="00380F2E"/>
    <w:rsid w:val="00382E88"/>
    <w:rsid w:val="003D69FD"/>
    <w:rsid w:val="004154DF"/>
    <w:rsid w:val="004355EE"/>
    <w:rsid w:val="00456AC5"/>
    <w:rsid w:val="004D4426"/>
    <w:rsid w:val="004E1CA9"/>
    <w:rsid w:val="004E2067"/>
    <w:rsid w:val="005105CA"/>
    <w:rsid w:val="00515D36"/>
    <w:rsid w:val="00520D9A"/>
    <w:rsid w:val="00540322"/>
    <w:rsid w:val="00543A16"/>
    <w:rsid w:val="00552472"/>
    <w:rsid w:val="005701F7"/>
    <w:rsid w:val="005728F7"/>
    <w:rsid w:val="005978C8"/>
    <w:rsid w:val="005A25A2"/>
    <w:rsid w:val="005C06CF"/>
    <w:rsid w:val="005D6658"/>
    <w:rsid w:val="005E389D"/>
    <w:rsid w:val="005F5DDB"/>
    <w:rsid w:val="0061641D"/>
    <w:rsid w:val="006264D7"/>
    <w:rsid w:val="0063329A"/>
    <w:rsid w:val="00640B30"/>
    <w:rsid w:val="006514F8"/>
    <w:rsid w:val="00680B1A"/>
    <w:rsid w:val="006818AF"/>
    <w:rsid w:val="00686A1C"/>
    <w:rsid w:val="00691D6F"/>
    <w:rsid w:val="006974D2"/>
    <w:rsid w:val="006F3D44"/>
    <w:rsid w:val="006F4710"/>
    <w:rsid w:val="00711E6F"/>
    <w:rsid w:val="00713E6E"/>
    <w:rsid w:val="0072226C"/>
    <w:rsid w:val="00781C8C"/>
    <w:rsid w:val="00794EAE"/>
    <w:rsid w:val="007A1FD0"/>
    <w:rsid w:val="007C136E"/>
    <w:rsid w:val="00814F47"/>
    <w:rsid w:val="00824AEA"/>
    <w:rsid w:val="00843824"/>
    <w:rsid w:val="008651C5"/>
    <w:rsid w:val="0089374E"/>
    <w:rsid w:val="008F2B24"/>
    <w:rsid w:val="00905379"/>
    <w:rsid w:val="00906549"/>
    <w:rsid w:val="009067E0"/>
    <w:rsid w:val="00906EAF"/>
    <w:rsid w:val="00910446"/>
    <w:rsid w:val="00913E84"/>
    <w:rsid w:val="00923E4A"/>
    <w:rsid w:val="00932EC3"/>
    <w:rsid w:val="00935009"/>
    <w:rsid w:val="00941243"/>
    <w:rsid w:val="0094176A"/>
    <w:rsid w:val="00967427"/>
    <w:rsid w:val="0097345D"/>
    <w:rsid w:val="00976432"/>
    <w:rsid w:val="009901B3"/>
    <w:rsid w:val="009A56D6"/>
    <w:rsid w:val="009B334B"/>
    <w:rsid w:val="009D1D79"/>
    <w:rsid w:val="009E1CE6"/>
    <w:rsid w:val="009E3325"/>
    <w:rsid w:val="009F4A88"/>
    <w:rsid w:val="00A12D2E"/>
    <w:rsid w:val="00A23979"/>
    <w:rsid w:val="00A26006"/>
    <w:rsid w:val="00A32A5C"/>
    <w:rsid w:val="00A4177F"/>
    <w:rsid w:val="00A63A3A"/>
    <w:rsid w:val="00A86FB1"/>
    <w:rsid w:val="00AD4C83"/>
    <w:rsid w:val="00AE3DD3"/>
    <w:rsid w:val="00AE4CBC"/>
    <w:rsid w:val="00AF781B"/>
    <w:rsid w:val="00B07644"/>
    <w:rsid w:val="00B30789"/>
    <w:rsid w:val="00B35516"/>
    <w:rsid w:val="00B91487"/>
    <w:rsid w:val="00BA0444"/>
    <w:rsid w:val="00BC5BF1"/>
    <w:rsid w:val="00BE5DD7"/>
    <w:rsid w:val="00C04066"/>
    <w:rsid w:val="00C201B0"/>
    <w:rsid w:val="00C42E78"/>
    <w:rsid w:val="00C46CA7"/>
    <w:rsid w:val="00C56A43"/>
    <w:rsid w:val="00C60B3A"/>
    <w:rsid w:val="00C70D69"/>
    <w:rsid w:val="00C71792"/>
    <w:rsid w:val="00C74AD3"/>
    <w:rsid w:val="00CD6CE6"/>
    <w:rsid w:val="00CE04F2"/>
    <w:rsid w:val="00CF3BA0"/>
    <w:rsid w:val="00D17E2E"/>
    <w:rsid w:val="00D36603"/>
    <w:rsid w:val="00D67483"/>
    <w:rsid w:val="00D814EB"/>
    <w:rsid w:val="00D92A1F"/>
    <w:rsid w:val="00D96929"/>
    <w:rsid w:val="00DB07F3"/>
    <w:rsid w:val="00DC7F02"/>
    <w:rsid w:val="00DD245F"/>
    <w:rsid w:val="00DE6166"/>
    <w:rsid w:val="00DF77CA"/>
    <w:rsid w:val="00E02D3F"/>
    <w:rsid w:val="00E12390"/>
    <w:rsid w:val="00E643DF"/>
    <w:rsid w:val="00E82E06"/>
    <w:rsid w:val="00E85266"/>
    <w:rsid w:val="00E947D4"/>
    <w:rsid w:val="00EA0377"/>
    <w:rsid w:val="00EA3124"/>
    <w:rsid w:val="00EA69ED"/>
    <w:rsid w:val="00EB57FF"/>
    <w:rsid w:val="00EB616A"/>
    <w:rsid w:val="00EF3FCD"/>
    <w:rsid w:val="00EF5880"/>
    <w:rsid w:val="00F02DD9"/>
    <w:rsid w:val="00F10D93"/>
    <w:rsid w:val="00F1576F"/>
    <w:rsid w:val="00F22789"/>
    <w:rsid w:val="00F25B15"/>
    <w:rsid w:val="00F43D89"/>
    <w:rsid w:val="00F47BC6"/>
    <w:rsid w:val="00F55902"/>
    <w:rsid w:val="00F863BC"/>
    <w:rsid w:val="00FA079D"/>
    <w:rsid w:val="00FB7DCA"/>
    <w:rsid w:val="00FC192B"/>
    <w:rsid w:val="00FD39D0"/>
    <w:rsid w:val="00FD7308"/>
    <w:rsid w:val="00FE22FE"/>
    <w:rsid w:val="00FF2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C5667"/>
  <w15:chartTrackingRefBased/>
  <w15:docId w15:val="{CF3036AE-24C3-4D6E-BA47-69681FA4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516"/>
    <w:pPr>
      <w:spacing w:after="120" w:line="276" w:lineRule="auto"/>
    </w:pPr>
    <w:rPr>
      <w:rFonts w:ascii="Aptos" w:hAnsi="Aptos"/>
      <w:kern w:val="0"/>
      <w:sz w:val="22"/>
      <w:szCs w:val="22"/>
      <w:lang w:val="en-US" w:eastAsia="en-US"/>
    </w:rPr>
  </w:style>
  <w:style w:type="paragraph" w:styleId="Heading1">
    <w:name w:val="heading 1"/>
    <w:basedOn w:val="Normal"/>
    <w:next w:val="Normal"/>
    <w:link w:val="Heading1Char"/>
    <w:uiPriority w:val="9"/>
    <w:qFormat/>
    <w:rsid w:val="00B355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55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5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5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55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55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5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5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5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5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55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5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5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55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55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5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5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516"/>
    <w:rPr>
      <w:rFonts w:eastAsiaTheme="majorEastAsia" w:cstheme="majorBidi"/>
      <w:color w:val="272727" w:themeColor="text1" w:themeTint="D8"/>
    </w:rPr>
  </w:style>
  <w:style w:type="paragraph" w:styleId="Title">
    <w:name w:val="Title"/>
    <w:basedOn w:val="Normal"/>
    <w:next w:val="Normal"/>
    <w:link w:val="TitleChar"/>
    <w:uiPriority w:val="10"/>
    <w:qFormat/>
    <w:rsid w:val="00B355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5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5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5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516"/>
    <w:pPr>
      <w:spacing w:before="160"/>
      <w:jc w:val="center"/>
    </w:pPr>
    <w:rPr>
      <w:i/>
      <w:iCs/>
      <w:color w:val="404040" w:themeColor="text1" w:themeTint="BF"/>
    </w:rPr>
  </w:style>
  <w:style w:type="character" w:customStyle="1" w:styleId="QuoteChar">
    <w:name w:val="Quote Char"/>
    <w:basedOn w:val="DefaultParagraphFont"/>
    <w:link w:val="Quote"/>
    <w:uiPriority w:val="29"/>
    <w:rsid w:val="00B35516"/>
    <w:rPr>
      <w:i/>
      <w:iCs/>
      <w:color w:val="404040" w:themeColor="text1" w:themeTint="BF"/>
    </w:rPr>
  </w:style>
  <w:style w:type="paragraph" w:styleId="ListParagraph">
    <w:name w:val="List Paragraph"/>
    <w:basedOn w:val="Normal"/>
    <w:uiPriority w:val="34"/>
    <w:qFormat/>
    <w:rsid w:val="00B35516"/>
    <w:pPr>
      <w:ind w:left="720"/>
      <w:contextualSpacing/>
    </w:pPr>
  </w:style>
  <w:style w:type="character" w:styleId="IntenseEmphasis">
    <w:name w:val="Intense Emphasis"/>
    <w:basedOn w:val="DefaultParagraphFont"/>
    <w:uiPriority w:val="21"/>
    <w:qFormat/>
    <w:rsid w:val="00B35516"/>
    <w:rPr>
      <w:i/>
      <w:iCs/>
      <w:color w:val="0F4761" w:themeColor="accent1" w:themeShade="BF"/>
    </w:rPr>
  </w:style>
  <w:style w:type="paragraph" w:styleId="IntenseQuote">
    <w:name w:val="Intense Quote"/>
    <w:basedOn w:val="Normal"/>
    <w:next w:val="Normal"/>
    <w:link w:val="IntenseQuoteChar"/>
    <w:uiPriority w:val="30"/>
    <w:qFormat/>
    <w:rsid w:val="00B355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516"/>
    <w:rPr>
      <w:i/>
      <w:iCs/>
      <w:color w:val="0F4761" w:themeColor="accent1" w:themeShade="BF"/>
    </w:rPr>
  </w:style>
  <w:style w:type="character" w:styleId="IntenseReference">
    <w:name w:val="Intense Reference"/>
    <w:basedOn w:val="DefaultParagraphFont"/>
    <w:uiPriority w:val="32"/>
    <w:qFormat/>
    <w:rsid w:val="00B35516"/>
    <w:rPr>
      <w:b/>
      <w:bCs/>
      <w:smallCaps/>
      <w:color w:val="0F4761" w:themeColor="accent1" w:themeShade="BF"/>
      <w:spacing w:val="5"/>
    </w:rPr>
  </w:style>
  <w:style w:type="table" w:styleId="TableGrid">
    <w:name w:val="Table Grid"/>
    <w:basedOn w:val="TableNormal"/>
    <w:uiPriority w:val="59"/>
    <w:rsid w:val="00B35516"/>
    <w:pPr>
      <w:spacing w:after="0" w:line="240" w:lineRule="auto"/>
    </w:pPr>
    <w:rPr>
      <w:kern w:val="0"/>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35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516"/>
    <w:rPr>
      <w:rFonts w:ascii="Aptos" w:hAnsi="Aptos"/>
      <w:kern w:val="0"/>
      <w:sz w:val="22"/>
      <w:szCs w:val="22"/>
      <w:lang w:val="en-US" w:eastAsia="en-US"/>
    </w:rPr>
  </w:style>
  <w:style w:type="paragraph" w:styleId="Footer">
    <w:name w:val="footer"/>
    <w:basedOn w:val="Normal"/>
    <w:link w:val="FooterChar"/>
    <w:uiPriority w:val="99"/>
    <w:unhideWhenUsed/>
    <w:rsid w:val="00B35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516"/>
    <w:rPr>
      <w:rFonts w:ascii="Aptos" w:hAnsi="Aptos"/>
      <w:kern w:val="0"/>
      <w:sz w:val="22"/>
      <w:szCs w:val="22"/>
      <w:lang w:val="en-US" w:eastAsia="en-US"/>
    </w:rPr>
  </w:style>
  <w:style w:type="character" w:styleId="Hyperlink">
    <w:name w:val="Hyperlink"/>
    <w:basedOn w:val="DefaultParagraphFont"/>
    <w:uiPriority w:val="99"/>
    <w:unhideWhenUsed/>
    <w:rsid w:val="00DE6166"/>
    <w:rPr>
      <w:color w:val="467886" w:themeColor="hyperlink"/>
      <w:u w:val="single"/>
    </w:rPr>
  </w:style>
  <w:style w:type="character" w:styleId="UnresolvedMention">
    <w:name w:val="Unresolved Mention"/>
    <w:basedOn w:val="DefaultParagraphFont"/>
    <w:uiPriority w:val="99"/>
    <w:semiHidden/>
    <w:unhideWhenUsed/>
    <w:rsid w:val="00DE6166"/>
    <w:rPr>
      <w:color w:val="605E5C"/>
      <w:shd w:val="clear" w:color="auto" w:fill="E1DFDD"/>
    </w:rPr>
  </w:style>
  <w:style w:type="character" w:styleId="FollowedHyperlink">
    <w:name w:val="FollowedHyperlink"/>
    <w:basedOn w:val="DefaultParagraphFont"/>
    <w:uiPriority w:val="99"/>
    <w:semiHidden/>
    <w:unhideWhenUsed/>
    <w:rsid w:val="00366AA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uowtsd-my.sharepoint.com/:w:/g/personal/2408630_student_uwtsd_ac_uk/IQDLl8ZL9ibDQbL9tM2hmurSAeUvRcEjokzA6iXDTZppz1w?e=LWhot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20</Pages>
  <Words>8215</Words>
  <Characters>46832</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 (2408630)</cp:lastModifiedBy>
  <cp:revision>167</cp:revision>
  <dcterms:created xsi:type="dcterms:W3CDTF">2026-04-14T11:32:00Z</dcterms:created>
  <dcterms:modified xsi:type="dcterms:W3CDTF">2026-04-28T10:17:00Z</dcterms:modified>
</cp:coreProperties>
</file>