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53CA" w14:textId="77777777" w:rsidR="00C2336A" w:rsidRDefault="00C2336A" w:rsidP="00D72A76">
      <w:pPr>
        <w:jc w:val="center"/>
        <w:rPr>
          <w:b/>
          <w:sz w:val="28"/>
        </w:rPr>
      </w:pPr>
      <w:r>
        <w:rPr>
          <w:b/>
          <w:sz w:val="28"/>
        </w:rPr>
        <w:t>Section 1:</w:t>
      </w:r>
    </w:p>
    <w:p w14:paraId="305C0617" w14:textId="0EEF7F4D" w:rsidR="00622995" w:rsidRPr="009B5F32" w:rsidRDefault="00257D9B" w:rsidP="00D72A76">
      <w:pPr>
        <w:jc w:val="center"/>
        <w:rPr>
          <w:b/>
          <w:sz w:val="28"/>
        </w:rPr>
      </w:pPr>
      <w:r w:rsidRPr="009B5F32">
        <w:rPr>
          <w:b/>
          <w:sz w:val="28"/>
        </w:rPr>
        <w:t>Personal Development Plan</w:t>
      </w:r>
    </w:p>
    <w:p w14:paraId="55626B5C" w14:textId="0FA9CBF8" w:rsidR="00257D9B" w:rsidRDefault="00257D9B" w:rsidP="00D72A76">
      <w:pPr>
        <w:jc w:val="center"/>
        <w:rPr>
          <w:b/>
          <w:iCs/>
          <w:sz w:val="28"/>
        </w:rPr>
      </w:pPr>
      <w:r w:rsidRPr="009B5F32">
        <w:rPr>
          <w:b/>
          <w:sz w:val="28"/>
        </w:rPr>
        <w:t>Name:</w:t>
      </w:r>
      <w:r w:rsidR="007B1CE6">
        <w:rPr>
          <w:b/>
          <w:sz w:val="28"/>
        </w:rPr>
        <w:t xml:space="preserve">  </w:t>
      </w:r>
      <w:r w:rsidR="002674EE">
        <w:rPr>
          <w:b/>
          <w:iCs/>
          <w:sz w:val="28"/>
        </w:rPr>
        <w:t>Siobhan Roper.</w:t>
      </w:r>
    </w:p>
    <w:p w14:paraId="33BC9D02" w14:textId="28F37E86" w:rsidR="00D72A76" w:rsidRPr="002674EE" w:rsidRDefault="00D72A76" w:rsidP="00D72A76">
      <w:pPr>
        <w:jc w:val="center"/>
        <w:rPr>
          <w:b/>
          <w:iCs/>
          <w:sz w:val="28"/>
        </w:rPr>
      </w:pPr>
      <w:r>
        <w:rPr>
          <w:b/>
          <w:iCs/>
          <w:sz w:val="28"/>
        </w:rPr>
        <w:t>Date: 13/01/2024.</w:t>
      </w:r>
    </w:p>
    <w:tbl>
      <w:tblPr>
        <w:tblStyle w:val="TableGrid"/>
        <w:tblW w:w="0" w:type="auto"/>
        <w:tblLook w:val="04A0" w:firstRow="1" w:lastRow="0" w:firstColumn="1" w:lastColumn="0" w:noHBand="0" w:noVBand="1"/>
      </w:tblPr>
      <w:tblGrid>
        <w:gridCol w:w="3483"/>
        <w:gridCol w:w="3483"/>
        <w:gridCol w:w="3487"/>
        <w:gridCol w:w="3495"/>
      </w:tblGrid>
      <w:tr w:rsidR="00257D9B" w14:paraId="2C03565E" w14:textId="77777777" w:rsidTr="00257D9B">
        <w:tc>
          <w:tcPr>
            <w:tcW w:w="3543" w:type="dxa"/>
          </w:tcPr>
          <w:p w14:paraId="3BBD7B71"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Objectives</w:t>
            </w:r>
          </w:p>
          <w:p w14:paraId="6F3581C7"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What do I want to be able to do or do better?</w:t>
            </w:r>
          </w:p>
        </w:tc>
        <w:tc>
          <w:tcPr>
            <w:tcW w:w="3543" w:type="dxa"/>
          </w:tcPr>
          <w:p w14:paraId="72C0A66D"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Success Criteria:</w:t>
            </w:r>
          </w:p>
          <w:p w14:paraId="63BD9C9B"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recognise success?</w:t>
            </w:r>
          </w:p>
          <w:p w14:paraId="7C2DCDA2"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review and measure my improvement?</w:t>
            </w:r>
          </w:p>
        </w:tc>
        <w:tc>
          <w:tcPr>
            <w:tcW w:w="3544" w:type="dxa"/>
          </w:tcPr>
          <w:p w14:paraId="0436AC34"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Actions:</w:t>
            </w:r>
          </w:p>
          <w:p w14:paraId="4078ED2E"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What methods will I use to achieve my learning objectives?</w:t>
            </w:r>
          </w:p>
        </w:tc>
        <w:tc>
          <w:tcPr>
            <w:tcW w:w="3544" w:type="dxa"/>
          </w:tcPr>
          <w:p w14:paraId="7A2FD094" w14:textId="77777777" w:rsidR="00257D9B" w:rsidRPr="00D72A76" w:rsidRDefault="00257D9B" w:rsidP="00D72A76">
            <w:pPr>
              <w:spacing w:line="360" w:lineRule="auto"/>
              <w:rPr>
                <w:rFonts w:ascii="Arial" w:hAnsi="Arial" w:cs="Arial"/>
                <w:b/>
                <w:i/>
                <w:sz w:val="24"/>
                <w:szCs w:val="24"/>
              </w:rPr>
            </w:pPr>
            <w:r w:rsidRPr="00D72A76">
              <w:rPr>
                <w:rFonts w:ascii="Arial" w:hAnsi="Arial" w:cs="Arial"/>
                <w:b/>
                <w:i/>
                <w:sz w:val="24"/>
                <w:szCs w:val="24"/>
              </w:rPr>
              <w:t>Implementation</w:t>
            </w:r>
            <w:r w:rsidR="009B5F32" w:rsidRPr="00D72A76">
              <w:rPr>
                <w:rFonts w:ascii="Arial" w:hAnsi="Arial" w:cs="Arial"/>
                <w:b/>
                <w:i/>
                <w:sz w:val="24"/>
                <w:szCs w:val="24"/>
              </w:rPr>
              <w:t>:</w:t>
            </w:r>
          </w:p>
          <w:p w14:paraId="1761B9ED"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How will I practice and apply what I learn?</w:t>
            </w:r>
          </w:p>
          <w:p w14:paraId="1B266BD4" w14:textId="77777777" w:rsidR="00257D9B" w:rsidRPr="00D72A76" w:rsidRDefault="00257D9B" w:rsidP="00D72A76">
            <w:pPr>
              <w:spacing w:line="360" w:lineRule="auto"/>
              <w:rPr>
                <w:rFonts w:ascii="Arial" w:hAnsi="Arial" w:cs="Arial"/>
                <w:i/>
                <w:sz w:val="24"/>
                <w:szCs w:val="24"/>
              </w:rPr>
            </w:pPr>
            <w:r w:rsidRPr="00D72A76">
              <w:rPr>
                <w:rFonts w:ascii="Arial" w:hAnsi="Arial" w:cs="Arial"/>
                <w:i/>
                <w:sz w:val="24"/>
                <w:szCs w:val="24"/>
              </w:rPr>
              <w:t>Timescale?</w:t>
            </w:r>
          </w:p>
        </w:tc>
      </w:tr>
      <w:tr w:rsidR="00257D9B" w14:paraId="054B31E7" w14:textId="77777777" w:rsidTr="00257D9B">
        <w:tc>
          <w:tcPr>
            <w:tcW w:w="3543" w:type="dxa"/>
          </w:tcPr>
          <w:p w14:paraId="17153063" w14:textId="27D5DD1F"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To increase my understanding in</w:t>
            </w:r>
            <w:r w:rsidR="005B6939" w:rsidRPr="00D72A76">
              <w:rPr>
                <w:rFonts w:ascii="Arial" w:hAnsi="Arial" w:cs="Arial"/>
                <w:sz w:val="24"/>
                <w:szCs w:val="24"/>
              </w:rPr>
              <w:t xml:space="preserve"> young people</w:t>
            </w:r>
            <w:r w:rsidRPr="00D72A76">
              <w:rPr>
                <w:rFonts w:ascii="Arial" w:hAnsi="Arial" w:cs="Arial"/>
                <w:sz w:val="24"/>
                <w:szCs w:val="24"/>
              </w:rPr>
              <w:t>’s development</w:t>
            </w:r>
            <w:r w:rsidR="005B6939" w:rsidRPr="00D72A76">
              <w:rPr>
                <w:rFonts w:ascii="Arial" w:hAnsi="Arial" w:cs="Arial"/>
                <w:sz w:val="24"/>
                <w:szCs w:val="24"/>
              </w:rPr>
              <w:t xml:space="preserve"> &amp;</w:t>
            </w:r>
            <w:r w:rsidRPr="00D72A76">
              <w:rPr>
                <w:rFonts w:ascii="Arial" w:hAnsi="Arial" w:cs="Arial"/>
                <w:sz w:val="24"/>
                <w:szCs w:val="24"/>
              </w:rPr>
              <w:t xml:space="preserve"> the</w:t>
            </w:r>
            <w:r w:rsidR="005B6939" w:rsidRPr="00D72A76">
              <w:rPr>
                <w:rFonts w:ascii="Arial" w:hAnsi="Arial" w:cs="Arial"/>
                <w:sz w:val="24"/>
                <w:szCs w:val="24"/>
              </w:rPr>
              <w:t xml:space="preserve"> Community Services</w:t>
            </w:r>
            <w:r w:rsidRPr="00D72A76">
              <w:rPr>
                <w:rFonts w:ascii="Arial" w:hAnsi="Arial" w:cs="Arial"/>
                <w:sz w:val="24"/>
                <w:szCs w:val="24"/>
              </w:rPr>
              <w:t xml:space="preserve"> provided to support students</w:t>
            </w:r>
            <w:r w:rsidR="003355E5" w:rsidRPr="00D72A76">
              <w:rPr>
                <w:rFonts w:ascii="Arial" w:hAnsi="Arial" w:cs="Arial"/>
                <w:sz w:val="24"/>
                <w:szCs w:val="24"/>
              </w:rPr>
              <w:t>.</w:t>
            </w:r>
          </w:p>
        </w:tc>
        <w:tc>
          <w:tcPr>
            <w:tcW w:w="3543" w:type="dxa"/>
          </w:tcPr>
          <w:p w14:paraId="21C45271" w14:textId="2071EF72"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Be able to complete assessments to a high standard putting into words what I have learnt.</w:t>
            </w:r>
          </w:p>
          <w:p w14:paraId="7D0F63AB" w14:textId="77777777" w:rsidR="00D72A76" w:rsidRPr="00D72A76" w:rsidRDefault="00D72A76" w:rsidP="00D72A76">
            <w:pPr>
              <w:spacing w:line="360" w:lineRule="auto"/>
              <w:rPr>
                <w:rFonts w:ascii="Arial" w:hAnsi="Arial" w:cs="Arial"/>
                <w:sz w:val="24"/>
                <w:szCs w:val="24"/>
              </w:rPr>
            </w:pPr>
          </w:p>
          <w:p w14:paraId="1CE50A26"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feedback and marks from assessments.</w:t>
            </w:r>
          </w:p>
          <w:p w14:paraId="49674230" w14:textId="77777777" w:rsidR="00D72A76" w:rsidRPr="00D72A76" w:rsidRDefault="00D72A76" w:rsidP="00D72A76">
            <w:pPr>
              <w:spacing w:line="360" w:lineRule="auto"/>
              <w:rPr>
                <w:rFonts w:ascii="Arial" w:hAnsi="Arial" w:cs="Arial"/>
                <w:sz w:val="24"/>
                <w:szCs w:val="24"/>
              </w:rPr>
            </w:pPr>
          </w:p>
          <w:p w14:paraId="0843F5A8" w14:textId="1B87A50D"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From feedback investigate more research that I missed within the assessment.</w:t>
            </w:r>
          </w:p>
          <w:p w14:paraId="6A48C356" w14:textId="77777777" w:rsidR="00D72A76" w:rsidRPr="00D72A76" w:rsidRDefault="00D72A76" w:rsidP="00D72A76">
            <w:pPr>
              <w:spacing w:line="360" w:lineRule="auto"/>
              <w:rPr>
                <w:rFonts w:ascii="Arial" w:hAnsi="Arial" w:cs="Arial"/>
                <w:sz w:val="24"/>
                <w:szCs w:val="24"/>
              </w:rPr>
            </w:pPr>
          </w:p>
          <w:p w14:paraId="22EE1072" w14:textId="039B6F74" w:rsidR="00D72A76" w:rsidRPr="00D72A76" w:rsidRDefault="00D72A76" w:rsidP="00D72A76">
            <w:pPr>
              <w:spacing w:line="360" w:lineRule="auto"/>
              <w:rPr>
                <w:rFonts w:ascii="Arial" w:hAnsi="Arial" w:cs="Arial"/>
                <w:sz w:val="24"/>
                <w:szCs w:val="24"/>
              </w:rPr>
            </w:pPr>
          </w:p>
        </w:tc>
        <w:tc>
          <w:tcPr>
            <w:tcW w:w="3544" w:type="dxa"/>
          </w:tcPr>
          <w:p w14:paraId="37180470" w14:textId="77777777" w:rsidR="00257D9B" w:rsidRPr="00D72A76" w:rsidRDefault="005B6939" w:rsidP="00D72A76">
            <w:pPr>
              <w:spacing w:line="360" w:lineRule="auto"/>
              <w:rPr>
                <w:rFonts w:ascii="Arial" w:hAnsi="Arial" w:cs="Arial"/>
                <w:sz w:val="24"/>
                <w:szCs w:val="24"/>
              </w:rPr>
            </w:pPr>
            <w:r w:rsidRPr="00D72A76">
              <w:rPr>
                <w:rFonts w:ascii="Arial" w:hAnsi="Arial" w:cs="Arial"/>
                <w:sz w:val="24"/>
                <w:szCs w:val="24"/>
              </w:rPr>
              <w:lastRenderedPageBreak/>
              <w:t xml:space="preserve">Attend </w:t>
            </w:r>
            <w:r w:rsidR="002674EE" w:rsidRPr="00D72A76">
              <w:rPr>
                <w:rFonts w:ascii="Arial" w:hAnsi="Arial" w:cs="Arial"/>
                <w:sz w:val="24"/>
                <w:szCs w:val="24"/>
              </w:rPr>
              <w:t xml:space="preserve">course </w:t>
            </w:r>
            <w:r w:rsidRPr="00D72A76">
              <w:rPr>
                <w:rFonts w:ascii="Arial" w:hAnsi="Arial" w:cs="Arial"/>
                <w:sz w:val="24"/>
                <w:szCs w:val="24"/>
              </w:rPr>
              <w:t>workshop</w:t>
            </w:r>
            <w:r w:rsidR="002674EE" w:rsidRPr="00D72A76">
              <w:rPr>
                <w:rFonts w:ascii="Arial" w:hAnsi="Arial" w:cs="Arial"/>
                <w:sz w:val="24"/>
                <w:szCs w:val="24"/>
              </w:rPr>
              <w:t>s</w:t>
            </w:r>
            <w:r w:rsidRPr="00D72A76">
              <w:rPr>
                <w:rFonts w:ascii="Arial" w:hAnsi="Arial" w:cs="Arial"/>
                <w:sz w:val="24"/>
                <w:szCs w:val="24"/>
              </w:rPr>
              <w:t xml:space="preserve"> and lectures, focussing on coursework and tasks provided</w:t>
            </w:r>
            <w:r w:rsidR="003355E5" w:rsidRPr="00D72A76">
              <w:rPr>
                <w:rFonts w:ascii="Arial" w:hAnsi="Arial" w:cs="Arial"/>
                <w:sz w:val="24"/>
                <w:szCs w:val="24"/>
              </w:rPr>
              <w:t>.</w:t>
            </w:r>
          </w:p>
          <w:p w14:paraId="683B8DF2" w14:textId="77777777" w:rsidR="002674EE" w:rsidRPr="00D72A76" w:rsidRDefault="002674EE" w:rsidP="00D72A76">
            <w:pPr>
              <w:spacing w:line="360" w:lineRule="auto"/>
              <w:rPr>
                <w:rFonts w:ascii="Arial" w:hAnsi="Arial" w:cs="Arial"/>
                <w:sz w:val="24"/>
                <w:szCs w:val="24"/>
              </w:rPr>
            </w:pPr>
          </w:p>
          <w:p w14:paraId="21F9AE06" w14:textId="6B56AB56"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Look into different research conducted on the development of young people and on community services that should be provided to support students.</w:t>
            </w:r>
          </w:p>
        </w:tc>
        <w:tc>
          <w:tcPr>
            <w:tcW w:w="3544" w:type="dxa"/>
          </w:tcPr>
          <w:p w14:paraId="59498338" w14:textId="4F30CDDA"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Implement working with different services in and out of the college to support students in all aspects.</w:t>
            </w:r>
          </w:p>
          <w:p w14:paraId="3AED0852" w14:textId="77777777" w:rsidR="002674EE" w:rsidRPr="00D72A76" w:rsidRDefault="002674EE" w:rsidP="00D72A76">
            <w:pPr>
              <w:spacing w:line="360" w:lineRule="auto"/>
              <w:rPr>
                <w:rFonts w:ascii="Arial" w:hAnsi="Arial" w:cs="Arial"/>
                <w:sz w:val="24"/>
                <w:szCs w:val="24"/>
              </w:rPr>
            </w:pPr>
          </w:p>
          <w:p w14:paraId="0295D009" w14:textId="7FFB17B0"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Attend tutorials to receive feedback and support on my progress.</w:t>
            </w:r>
          </w:p>
          <w:p w14:paraId="697ED107" w14:textId="77777777" w:rsidR="002674EE" w:rsidRPr="00D72A76" w:rsidRDefault="002674EE" w:rsidP="00D72A76">
            <w:pPr>
              <w:spacing w:line="360" w:lineRule="auto"/>
              <w:rPr>
                <w:rFonts w:ascii="Arial" w:hAnsi="Arial" w:cs="Arial"/>
                <w:sz w:val="24"/>
                <w:szCs w:val="24"/>
              </w:rPr>
            </w:pPr>
          </w:p>
          <w:p w14:paraId="5336830D" w14:textId="2D640835"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Take on feedback to improve on my learning within the course.</w:t>
            </w:r>
          </w:p>
          <w:p w14:paraId="7DF31CE8" w14:textId="77777777" w:rsidR="002674EE" w:rsidRPr="00D72A76" w:rsidRDefault="002674EE" w:rsidP="00D72A76">
            <w:pPr>
              <w:spacing w:line="360" w:lineRule="auto"/>
              <w:rPr>
                <w:rFonts w:ascii="Arial" w:hAnsi="Arial" w:cs="Arial"/>
                <w:sz w:val="24"/>
                <w:szCs w:val="24"/>
              </w:rPr>
            </w:pPr>
          </w:p>
          <w:p w14:paraId="557BB13C" w14:textId="75028D49"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Termly</w:t>
            </w:r>
          </w:p>
        </w:tc>
      </w:tr>
      <w:tr w:rsidR="00257D9B" w14:paraId="0DB2C3FA" w14:textId="77777777" w:rsidTr="00257D9B">
        <w:tc>
          <w:tcPr>
            <w:tcW w:w="3543" w:type="dxa"/>
          </w:tcPr>
          <w:p w14:paraId="30C61BFF" w14:textId="63C18DF5"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Be able to work alongside professionals within the community to support and mentor students.</w:t>
            </w:r>
          </w:p>
        </w:tc>
        <w:tc>
          <w:tcPr>
            <w:tcW w:w="3543" w:type="dxa"/>
          </w:tcPr>
          <w:p w14:paraId="3CFBDBC7"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Check procedures I have completed with the health and safety officer to get signed off.</w:t>
            </w:r>
          </w:p>
          <w:p w14:paraId="05DEC0A8" w14:textId="77777777" w:rsidR="00D72A76" w:rsidRPr="00D72A76" w:rsidRDefault="00D72A76" w:rsidP="00D72A76">
            <w:pPr>
              <w:spacing w:line="360" w:lineRule="auto"/>
              <w:rPr>
                <w:rFonts w:ascii="Arial" w:hAnsi="Arial" w:cs="Arial"/>
                <w:sz w:val="24"/>
                <w:szCs w:val="24"/>
              </w:rPr>
            </w:pPr>
          </w:p>
          <w:p w14:paraId="5094D230"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Receive feedback from different organisations to make sure they feel comfortable and happy with the progress of the relationship.</w:t>
            </w:r>
          </w:p>
          <w:p w14:paraId="40317071" w14:textId="77777777" w:rsidR="00D72A76" w:rsidRPr="00D72A76" w:rsidRDefault="00D72A76" w:rsidP="00D72A76">
            <w:pPr>
              <w:spacing w:line="360" w:lineRule="auto"/>
              <w:rPr>
                <w:rFonts w:ascii="Arial" w:hAnsi="Arial" w:cs="Arial"/>
                <w:sz w:val="24"/>
                <w:szCs w:val="24"/>
              </w:rPr>
            </w:pPr>
          </w:p>
          <w:p w14:paraId="3B2CDE81" w14:textId="1B8F2706"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and improve on any issues, discuss with students and professional on placement experiences.</w:t>
            </w:r>
          </w:p>
        </w:tc>
        <w:tc>
          <w:tcPr>
            <w:tcW w:w="3544" w:type="dxa"/>
          </w:tcPr>
          <w:p w14:paraId="3C6E9E2C" w14:textId="77777777" w:rsidR="005B6939" w:rsidRPr="00D72A76" w:rsidRDefault="002674EE" w:rsidP="00D72A76">
            <w:pPr>
              <w:spacing w:line="360" w:lineRule="auto"/>
              <w:rPr>
                <w:rFonts w:ascii="Arial" w:hAnsi="Arial" w:cs="Arial"/>
                <w:sz w:val="24"/>
                <w:szCs w:val="24"/>
              </w:rPr>
            </w:pPr>
            <w:r w:rsidRPr="00D72A76">
              <w:rPr>
                <w:rFonts w:ascii="Arial" w:hAnsi="Arial" w:cs="Arial"/>
                <w:sz w:val="24"/>
                <w:szCs w:val="24"/>
              </w:rPr>
              <w:t>Build relationships with other professionals within the care sector.</w:t>
            </w:r>
          </w:p>
          <w:p w14:paraId="52EBA227" w14:textId="77777777" w:rsidR="002674EE" w:rsidRPr="00D72A76" w:rsidRDefault="002674EE" w:rsidP="00D72A76">
            <w:pPr>
              <w:spacing w:line="360" w:lineRule="auto"/>
              <w:rPr>
                <w:rFonts w:ascii="Arial" w:hAnsi="Arial" w:cs="Arial"/>
                <w:sz w:val="24"/>
                <w:szCs w:val="24"/>
              </w:rPr>
            </w:pPr>
          </w:p>
          <w:p w14:paraId="5D5D02BA" w14:textId="7C445DF1"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Use policies and procedures in place to create a happy and safe placement environment for students to attend.</w:t>
            </w:r>
          </w:p>
          <w:p w14:paraId="7FCF1BE9" w14:textId="77777777" w:rsidR="002674EE" w:rsidRPr="00D72A76" w:rsidRDefault="002674EE" w:rsidP="00D72A76">
            <w:pPr>
              <w:spacing w:line="360" w:lineRule="auto"/>
              <w:rPr>
                <w:rFonts w:ascii="Arial" w:hAnsi="Arial" w:cs="Arial"/>
                <w:sz w:val="24"/>
                <w:szCs w:val="24"/>
              </w:rPr>
            </w:pPr>
          </w:p>
          <w:p w14:paraId="43F5E794" w14:textId="51BA1B4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Use different communication methods to keep updated on how the setting is getting on with the experience. </w:t>
            </w:r>
          </w:p>
        </w:tc>
        <w:tc>
          <w:tcPr>
            <w:tcW w:w="3544" w:type="dxa"/>
          </w:tcPr>
          <w:p w14:paraId="0815B09F" w14:textId="5CB8E8F5" w:rsidR="003355E5" w:rsidRPr="00D72A76" w:rsidRDefault="002674EE" w:rsidP="00D72A76">
            <w:pPr>
              <w:spacing w:line="360" w:lineRule="auto"/>
              <w:rPr>
                <w:rFonts w:ascii="Arial" w:hAnsi="Arial" w:cs="Arial"/>
                <w:sz w:val="24"/>
                <w:szCs w:val="24"/>
              </w:rPr>
            </w:pPr>
            <w:r w:rsidRPr="00D72A76">
              <w:rPr>
                <w:rFonts w:ascii="Arial" w:hAnsi="Arial" w:cs="Arial"/>
                <w:sz w:val="24"/>
                <w:szCs w:val="24"/>
              </w:rPr>
              <w:t>Incorporate settings into placement experiences for students to attend.</w:t>
            </w:r>
          </w:p>
          <w:p w14:paraId="43AAF51D" w14:textId="77777777" w:rsidR="002674EE" w:rsidRPr="00D72A76" w:rsidRDefault="002674EE" w:rsidP="00D72A76">
            <w:pPr>
              <w:spacing w:line="360" w:lineRule="auto"/>
              <w:rPr>
                <w:rFonts w:ascii="Arial" w:hAnsi="Arial" w:cs="Arial"/>
                <w:sz w:val="24"/>
                <w:szCs w:val="24"/>
              </w:rPr>
            </w:pPr>
          </w:p>
          <w:p w14:paraId="1FF60627" w14:textId="2A18941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Make sure each party has an understanding of what will be expected of them while a placement is taking place.</w:t>
            </w:r>
          </w:p>
          <w:p w14:paraId="63920800" w14:textId="77777777" w:rsidR="002674EE" w:rsidRPr="00D72A76" w:rsidRDefault="002674EE" w:rsidP="00D72A76">
            <w:pPr>
              <w:spacing w:line="360" w:lineRule="auto"/>
              <w:rPr>
                <w:rFonts w:ascii="Arial" w:hAnsi="Arial" w:cs="Arial"/>
                <w:sz w:val="24"/>
                <w:szCs w:val="24"/>
              </w:rPr>
            </w:pPr>
          </w:p>
          <w:p w14:paraId="48E75704" w14:textId="3D674FFD"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Give settings all the relevant paperwork, therefore they understand how procedures are followed within the college to keep them and the student safe during placement. </w:t>
            </w:r>
          </w:p>
          <w:p w14:paraId="740A7DC1" w14:textId="77777777" w:rsidR="002674EE" w:rsidRPr="00D72A76" w:rsidRDefault="002674EE" w:rsidP="00D72A76">
            <w:pPr>
              <w:spacing w:line="360" w:lineRule="auto"/>
              <w:rPr>
                <w:rFonts w:ascii="Arial" w:hAnsi="Arial" w:cs="Arial"/>
                <w:sz w:val="24"/>
                <w:szCs w:val="24"/>
              </w:rPr>
            </w:pPr>
          </w:p>
          <w:p w14:paraId="4C06E275" w14:textId="27291F0F"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 xml:space="preserve">Make sure myself or a team member available to contact </w:t>
            </w:r>
            <w:r w:rsidRPr="00D72A76">
              <w:rPr>
                <w:rFonts w:ascii="Arial" w:hAnsi="Arial" w:cs="Arial"/>
                <w:sz w:val="24"/>
                <w:szCs w:val="24"/>
              </w:rPr>
              <w:lastRenderedPageBreak/>
              <w:t>when students are attending placement blocks.</w:t>
            </w:r>
          </w:p>
          <w:p w14:paraId="68F4FA5F" w14:textId="77777777" w:rsidR="002674EE" w:rsidRPr="00D72A76" w:rsidRDefault="002674EE" w:rsidP="00D72A76">
            <w:pPr>
              <w:spacing w:line="360" w:lineRule="auto"/>
              <w:rPr>
                <w:rFonts w:ascii="Arial" w:hAnsi="Arial" w:cs="Arial"/>
                <w:sz w:val="24"/>
                <w:szCs w:val="24"/>
              </w:rPr>
            </w:pPr>
          </w:p>
          <w:p w14:paraId="43256C26" w14:textId="77777777"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Timescale: Annually</w:t>
            </w:r>
          </w:p>
        </w:tc>
      </w:tr>
      <w:tr w:rsidR="00257D9B" w14:paraId="3B694906" w14:textId="77777777" w:rsidTr="00257D9B">
        <w:tc>
          <w:tcPr>
            <w:tcW w:w="3543" w:type="dxa"/>
          </w:tcPr>
          <w:p w14:paraId="1E14FCF4" w14:textId="568146F4"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Research to gain knowledge on the role of families in young people’s development.</w:t>
            </w:r>
          </w:p>
        </w:tc>
        <w:tc>
          <w:tcPr>
            <w:tcW w:w="3543" w:type="dxa"/>
          </w:tcPr>
          <w:p w14:paraId="70D59F01"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Monitor my Continuous professional development.</w:t>
            </w:r>
          </w:p>
          <w:p w14:paraId="5142B614" w14:textId="77777777" w:rsidR="00D72A76" w:rsidRPr="00D72A76" w:rsidRDefault="00D72A76" w:rsidP="00D72A76">
            <w:pPr>
              <w:spacing w:line="360" w:lineRule="auto"/>
              <w:rPr>
                <w:rFonts w:ascii="Arial" w:hAnsi="Arial" w:cs="Arial"/>
                <w:sz w:val="24"/>
                <w:szCs w:val="24"/>
              </w:rPr>
            </w:pPr>
          </w:p>
          <w:p w14:paraId="5D438A3C" w14:textId="28C74A8D"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student and parents’ relationships to see if I was able to implement this into my role.</w:t>
            </w:r>
          </w:p>
          <w:p w14:paraId="015AF40A" w14:textId="77777777" w:rsidR="00D72A76" w:rsidRPr="00D72A76" w:rsidRDefault="00D72A76" w:rsidP="00D72A76">
            <w:pPr>
              <w:spacing w:line="360" w:lineRule="auto"/>
              <w:rPr>
                <w:rFonts w:ascii="Arial" w:hAnsi="Arial" w:cs="Arial"/>
                <w:sz w:val="24"/>
                <w:szCs w:val="24"/>
              </w:rPr>
            </w:pPr>
          </w:p>
          <w:p w14:paraId="40D498C9"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From assignments check to see if my learners have an understanding of the importance of the role of a family when it comes to child’s development.</w:t>
            </w:r>
          </w:p>
          <w:p w14:paraId="2638D9C9" w14:textId="5CF08ADA" w:rsidR="00D72A76" w:rsidRPr="00D72A76" w:rsidRDefault="00D72A76" w:rsidP="00D72A76">
            <w:pPr>
              <w:spacing w:line="360" w:lineRule="auto"/>
              <w:rPr>
                <w:rFonts w:ascii="Arial" w:hAnsi="Arial" w:cs="Arial"/>
                <w:sz w:val="24"/>
                <w:szCs w:val="24"/>
              </w:rPr>
            </w:pPr>
          </w:p>
        </w:tc>
        <w:tc>
          <w:tcPr>
            <w:tcW w:w="3544" w:type="dxa"/>
          </w:tcPr>
          <w:p w14:paraId="75F420C7" w14:textId="77777777"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Complete Continuous professional development courses on the impact of families.</w:t>
            </w:r>
          </w:p>
          <w:p w14:paraId="0CF0B1CF" w14:textId="77777777" w:rsidR="002674EE" w:rsidRPr="00D72A76" w:rsidRDefault="002674EE" w:rsidP="00D72A76">
            <w:pPr>
              <w:spacing w:line="360" w:lineRule="auto"/>
              <w:rPr>
                <w:rFonts w:ascii="Arial" w:hAnsi="Arial" w:cs="Arial"/>
                <w:sz w:val="24"/>
                <w:szCs w:val="24"/>
              </w:rPr>
            </w:pPr>
          </w:p>
          <w:p w14:paraId="277E364B" w14:textId="754F63AC"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Look into research on how families impact young people’s development.</w:t>
            </w:r>
          </w:p>
          <w:p w14:paraId="7F0BABDA" w14:textId="77777777" w:rsidR="002674EE" w:rsidRPr="00D72A76" w:rsidRDefault="002674EE" w:rsidP="00D72A76">
            <w:pPr>
              <w:spacing w:line="360" w:lineRule="auto"/>
              <w:rPr>
                <w:rFonts w:ascii="Arial" w:hAnsi="Arial" w:cs="Arial"/>
                <w:sz w:val="24"/>
                <w:szCs w:val="24"/>
              </w:rPr>
            </w:pPr>
          </w:p>
          <w:p w14:paraId="09203B54" w14:textId="77777777"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Speak with students to see how they feel their family impacts their learning.</w:t>
            </w:r>
          </w:p>
          <w:p w14:paraId="37F37653" w14:textId="63374959" w:rsidR="002674EE" w:rsidRPr="00D72A76" w:rsidRDefault="002674EE" w:rsidP="00D72A76">
            <w:pPr>
              <w:spacing w:line="360" w:lineRule="auto"/>
              <w:rPr>
                <w:rFonts w:ascii="Arial" w:hAnsi="Arial" w:cs="Arial"/>
                <w:sz w:val="24"/>
                <w:szCs w:val="24"/>
              </w:rPr>
            </w:pPr>
          </w:p>
        </w:tc>
        <w:tc>
          <w:tcPr>
            <w:tcW w:w="3544" w:type="dxa"/>
          </w:tcPr>
          <w:p w14:paraId="6343337D" w14:textId="797D3465" w:rsidR="009B5F32" w:rsidRPr="00D72A76" w:rsidRDefault="002674EE" w:rsidP="00D72A76">
            <w:pPr>
              <w:spacing w:line="360" w:lineRule="auto"/>
              <w:rPr>
                <w:rFonts w:ascii="Arial" w:hAnsi="Arial" w:cs="Arial"/>
                <w:sz w:val="24"/>
                <w:szCs w:val="24"/>
              </w:rPr>
            </w:pPr>
            <w:r w:rsidRPr="00D72A76">
              <w:rPr>
                <w:rFonts w:ascii="Arial" w:hAnsi="Arial" w:cs="Arial"/>
                <w:sz w:val="24"/>
                <w:szCs w:val="24"/>
              </w:rPr>
              <w:t>Work with parents and guardians to support students through their studies.</w:t>
            </w:r>
          </w:p>
          <w:p w14:paraId="241B2F82" w14:textId="77777777" w:rsidR="009B5F32" w:rsidRPr="00D72A76" w:rsidRDefault="009B5F32" w:rsidP="00D72A76">
            <w:pPr>
              <w:spacing w:line="360" w:lineRule="auto"/>
              <w:rPr>
                <w:rFonts w:ascii="Arial" w:hAnsi="Arial" w:cs="Arial"/>
                <w:sz w:val="24"/>
                <w:szCs w:val="24"/>
              </w:rPr>
            </w:pPr>
          </w:p>
          <w:p w14:paraId="3E53A5E4" w14:textId="76B7B758"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Implement the knowledge I have learnt into my teaching.</w:t>
            </w:r>
          </w:p>
          <w:p w14:paraId="355EA7C5" w14:textId="77777777" w:rsidR="002674EE" w:rsidRPr="00D72A76" w:rsidRDefault="002674EE" w:rsidP="00D72A76">
            <w:pPr>
              <w:spacing w:line="360" w:lineRule="auto"/>
              <w:rPr>
                <w:rFonts w:ascii="Arial" w:hAnsi="Arial" w:cs="Arial"/>
                <w:sz w:val="24"/>
                <w:szCs w:val="24"/>
              </w:rPr>
            </w:pPr>
          </w:p>
          <w:p w14:paraId="24EF3831" w14:textId="4C3BE48B"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Timescale: Annually.</w:t>
            </w:r>
          </w:p>
          <w:p w14:paraId="41FA53AF" w14:textId="77777777" w:rsidR="009B5F32" w:rsidRPr="00D72A76" w:rsidRDefault="009B5F32" w:rsidP="00D72A76">
            <w:pPr>
              <w:spacing w:line="360" w:lineRule="auto"/>
              <w:rPr>
                <w:rFonts w:ascii="Arial" w:hAnsi="Arial" w:cs="Arial"/>
                <w:sz w:val="24"/>
                <w:szCs w:val="24"/>
              </w:rPr>
            </w:pPr>
          </w:p>
        </w:tc>
      </w:tr>
      <w:tr w:rsidR="00257D9B" w14:paraId="0A703ACB" w14:textId="77777777" w:rsidTr="00257D9B">
        <w:tc>
          <w:tcPr>
            <w:tcW w:w="3543" w:type="dxa"/>
          </w:tcPr>
          <w:p w14:paraId="51234CF6" w14:textId="2108A208"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Create a personalised time management plan to support home, work, and study balance.</w:t>
            </w:r>
          </w:p>
        </w:tc>
        <w:tc>
          <w:tcPr>
            <w:tcW w:w="3543" w:type="dxa"/>
          </w:tcPr>
          <w:p w14:paraId="036FE21A"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Ensure Better time management for each week.</w:t>
            </w:r>
          </w:p>
          <w:p w14:paraId="5276CE06" w14:textId="77777777" w:rsidR="00D72A76" w:rsidRPr="00D72A76" w:rsidRDefault="00D72A76" w:rsidP="00D72A76">
            <w:pPr>
              <w:spacing w:line="360" w:lineRule="auto"/>
              <w:rPr>
                <w:rFonts w:ascii="Arial" w:hAnsi="Arial" w:cs="Arial"/>
                <w:sz w:val="24"/>
                <w:szCs w:val="24"/>
              </w:rPr>
            </w:pPr>
          </w:p>
          <w:p w14:paraId="6B09486A"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Reflect and improve on different ways to be able to achieve this at the end of the week.</w:t>
            </w:r>
          </w:p>
          <w:p w14:paraId="5859543F" w14:textId="77777777" w:rsidR="00D72A76" w:rsidRPr="00D72A76" w:rsidRDefault="00D72A76" w:rsidP="00D72A76">
            <w:pPr>
              <w:spacing w:line="360" w:lineRule="auto"/>
              <w:rPr>
                <w:rFonts w:ascii="Arial" w:hAnsi="Arial" w:cs="Arial"/>
                <w:sz w:val="24"/>
                <w:szCs w:val="24"/>
              </w:rPr>
            </w:pPr>
          </w:p>
          <w:p w14:paraId="0EA78D38"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Complete a tick list to see if I was able to complete all my tasks.</w:t>
            </w:r>
          </w:p>
          <w:p w14:paraId="524C54C7" w14:textId="29D29791" w:rsidR="00D72A76" w:rsidRPr="00D72A76" w:rsidRDefault="00D72A76" w:rsidP="00D72A76">
            <w:pPr>
              <w:spacing w:line="360" w:lineRule="auto"/>
              <w:rPr>
                <w:rFonts w:ascii="Arial" w:hAnsi="Arial" w:cs="Arial"/>
                <w:sz w:val="24"/>
                <w:szCs w:val="24"/>
              </w:rPr>
            </w:pPr>
          </w:p>
        </w:tc>
        <w:tc>
          <w:tcPr>
            <w:tcW w:w="3544" w:type="dxa"/>
          </w:tcPr>
          <w:p w14:paraId="47BDE304" w14:textId="77777777"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Create a Time management table which will be situated in my diary.</w:t>
            </w:r>
            <w:r w:rsidRPr="00D72A76">
              <w:rPr>
                <w:rFonts w:ascii="Arial" w:hAnsi="Arial" w:cs="Arial"/>
                <w:sz w:val="24"/>
                <w:szCs w:val="24"/>
              </w:rPr>
              <w:br/>
            </w:r>
            <w:r w:rsidRPr="00D72A76">
              <w:rPr>
                <w:rFonts w:ascii="Arial" w:hAnsi="Arial" w:cs="Arial"/>
                <w:sz w:val="24"/>
                <w:szCs w:val="24"/>
              </w:rPr>
              <w:br/>
              <w:t>Make sure my diary is keep up to date so not issues arise last minute.</w:t>
            </w:r>
          </w:p>
          <w:p w14:paraId="50E043BA" w14:textId="77777777" w:rsidR="002674EE" w:rsidRPr="00D72A76" w:rsidRDefault="002674EE" w:rsidP="00D72A76">
            <w:pPr>
              <w:spacing w:line="360" w:lineRule="auto"/>
              <w:rPr>
                <w:rFonts w:ascii="Arial" w:hAnsi="Arial" w:cs="Arial"/>
                <w:sz w:val="24"/>
                <w:szCs w:val="24"/>
              </w:rPr>
            </w:pPr>
          </w:p>
          <w:p w14:paraId="220E2AC2" w14:textId="77777777" w:rsidR="002674EE" w:rsidRPr="00D72A76" w:rsidRDefault="002674EE" w:rsidP="00D72A76">
            <w:pPr>
              <w:spacing w:line="360" w:lineRule="auto"/>
              <w:rPr>
                <w:rFonts w:ascii="Arial" w:hAnsi="Arial" w:cs="Arial"/>
                <w:sz w:val="24"/>
                <w:szCs w:val="24"/>
              </w:rPr>
            </w:pPr>
            <w:r w:rsidRPr="00D72A76">
              <w:rPr>
                <w:rFonts w:ascii="Arial" w:hAnsi="Arial" w:cs="Arial"/>
                <w:sz w:val="24"/>
                <w:szCs w:val="24"/>
              </w:rPr>
              <w:t>Give myself plenty of time to complete tasks rather than overloading on my workload.</w:t>
            </w:r>
          </w:p>
          <w:p w14:paraId="349D4EBC" w14:textId="77777777" w:rsidR="00D72A76" w:rsidRPr="00D72A76" w:rsidRDefault="00D72A76" w:rsidP="00D72A76">
            <w:pPr>
              <w:spacing w:line="360" w:lineRule="auto"/>
              <w:rPr>
                <w:rFonts w:ascii="Arial" w:hAnsi="Arial" w:cs="Arial"/>
                <w:sz w:val="24"/>
                <w:szCs w:val="24"/>
              </w:rPr>
            </w:pPr>
          </w:p>
          <w:p w14:paraId="555D4735" w14:textId="7EC172F7" w:rsidR="00D72A76" w:rsidRPr="00D72A76" w:rsidRDefault="00D72A76" w:rsidP="00D72A76">
            <w:pPr>
              <w:spacing w:line="360" w:lineRule="auto"/>
              <w:rPr>
                <w:rFonts w:ascii="Arial" w:hAnsi="Arial" w:cs="Arial"/>
                <w:sz w:val="24"/>
                <w:szCs w:val="24"/>
              </w:rPr>
            </w:pPr>
          </w:p>
        </w:tc>
        <w:tc>
          <w:tcPr>
            <w:tcW w:w="3544" w:type="dxa"/>
          </w:tcPr>
          <w:p w14:paraId="5B1B48E1" w14:textId="334D673F"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Make sure I stick to the Time management table I created for the week.</w:t>
            </w:r>
          </w:p>
          <w:p w14:paraId="4BBAF417" w14:textId="77777777" w:rsidR="00D72A76" w:rsidRPr="00D72A76" w:rsidRDefault="00D72A76" w:rsidP="00D72A76">
            <w:pPr>
              <w:spacing w:line="360" w:lineRule="auto"/>
              <w:rPr>
                <w:rFonts w:ascii="Arial" w:hAnsi="Arial" w:cs="Arial"/>
                <w:sz w:val="24"/>
                <w:szCs w:val="24"/>
              </w:rPr>
            </w:pPr>
          </w:p>
          <w:p w14:paraId="6138B6BA" w14:textId="4D62661B"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Rearrange my Table as and when I need to even if that’s daily.</w:t>
            </w:r>
          </w:p>
          <w:p w14:paraId="04B5AD46" w14:textId="77777777" w:rsidR="00D72A76" w:rsidRPr="00D72A76" w:rsidRDefault="00D72A76" w:rsidP="00D72A76">
            <w:pPr>
              <w:spacing w:line="360" w:lineRule="auto"/>
              <w:rPr>
                <w:rFonts w:ascii="Arial" w:hAnsi="Arial" w:cs="Arial"/>
                <w:sz w:val="24"/>
                <w:szCs w:val="24"/>
              </w:rPr>
            </w:pPr>
          </w:p>
          <w:p w14:paraId="4CA09DDB" w14:textId="24FD655A"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Instead of saying yes to something straight away in work. Explain I will be able to do this but not until a certain date.</w:t>
            </w:r>
          </w:p>
          <w:p w14:paraId="4A4F471E" w14:textId="77777777" w:rsidR="00D72A76" w:rsidRPr="00D72A76" w:rsidRDefault="00D72A76" w:rsidP="00D72A76">
            <w:pPr>
              <w:spacing w:line="360" w:lineRule="auto"/>
              <w:rPr>
                <w:rFonts w:ascii="Arial" w:hAnsi="Arial" w:cs="Arial"/>
                <w:sz w:val="24"/>
                <w:szCs w:val="24"/>
              </w:rPr>
            </w:pPr>
          </w:p>
          <w:p w14:paraId="689DD7E4" w14:textId="40C7C14C" w:rsidR="009B5F32" w:rsidRPr="00D72A76" w:rsidRDefault="009B5F32"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Weekly</w:t>
            </w:r>
          </w:p>
        </w:tc>
      </w:tr>
      <w:tr w:rsidR="00257D9B" w14:paraId="0DBEE7FB" w14:textId="77777777" w:rsidTr="00257D9B">
        <w:tc>
          <w:tcPr>
            <w:tcW w:w="3543" w:type="dxa"/>
          </w:tcPr>
          <w:p w14:paraId="0E8C45FB" w14:textId="5FC6AC01" w:rsidR="00257D9B" w:rsidRPr="00D72A76" w:rsidRDefault="002674EE" w:rsidP="00D72A76">
            <w:pPr>
              <w:spacing w:line="360" w:lineRule="auto"/>
              <w:rPr>
                <w:rFonts w:ascii="Arial" w:hAnsi="Arial" w:cs="Arial"/>
                <w:sz w:val="24"/>
                <w:szCs w:val="24"/>
              </w:rPr>
            </w:pPr>
            <w:r w:rsidRPr="00D72A76">
              <w:rPr>
                <w:rFonts w:ascii="Arial" w:hAnsi="Arial" w:cs="Arial"/>
                <w:sz w:val="24"/>
                <w:szCs w:val="24"/>
              </w:rPr>
              <w:t>Maintain good mental health and resilience.</w:t>
            </w:r>
          </w:p>
        </w:tc>
        <w:tc>
          <w:tcPr>
            <w:tcW w:w="3543" w:type="dxa"/>
          </w:tcPr>
          <w:p w14:paraId="41C3D01C" w14:textId="77777777" w:rsidR="00257D9B" w:rsidRPr="00D72A76" w:rsidRDefault="00D72A76" w:rsidP="00D72A76">
            <w:pPr>
              <w:spacing w:line="360" w:lineRule="auto"/>
              <w:rPr>
                <w:rFonts w:ascii="Arial" w:hAnsi="Arial" w:cs="Arial"/>
                <w:sz w:val="24"/>
                <w:szCs w:val="24"/>
              </w:rPr>
            </w:pPr>
            <w:r w:rsidRPr="00D72A76">
              <w:rPr>
                <w:rFonts w:ascii="Arial" w:hAnsi="Arial" w:cs="Arial"/>
                <w:sz w:val="24"/>
                <w:szCs w:val="24"/>
              </w:rPr>
              <w:t>Reflect on situations with my counsellor to find coping strategies if needed.</w:t>
            </w:r>
          </w:p>
          <w:p w14:paraId="5B60703E" w14:textId="77777777" w:rsidR="00D72A76" w:rsidRPr="00D72A76" w:rsidRDefault="00D72A76" w:rsidP="00D72A76">
            <w:pPr>
              <w:spacing w:line="360" w:lineRule="auto"/>
              <w:rPr>
                <w:rFonts w:ascii="Arial" w:hAnsi="Arial" w:cs="Arial"/>
                <w:sz w:val="24"/>
                <w:szCs w:val="24"/>
              </w:rPr>
            </w:pPr>
          </w:p>
          <w:p w14:paraId="4DAE6087"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 xml:space="preserve">Reflect in journal how I was able to achieve different </w:t>
            </w:r>
            <w:r w:rsidRPr="00D72A76">
              <w:rPr>
                <w:rFonts w:ascii="Arial" w:hAnsi="Arial" w:cs="Arial"/>
                <w:sz w:val="24"/>
                <w:szCs w:val="24"/>
              </w:rPr>
              <w:lastRenderedPageBreak/>
              <w:t>situations without effecting my mental health.</w:t>
            </w:r>
          </w:p>
          <w:p w14:paraId="3C727710" w14:textId="77777777" w:rsidR="00D72A76" w:rsidRPr="00D72A76" w:rsidRDefault="00D72A76" w:rsidP="00D72A76">
            <w:pPr>
              <w:spacing w:line="360" w:lineRule="auto"/>
              <w:rPr>
                <w:rFonts w:ascii="Arial" w:hAnsi="Arial" w:cs="Arial"/>
                <w:sz w:val="24"/>
                <w:szCs w:val="24"/>
              </w:rPr>
            </w:pPr>
          </w:p>
          <w:p w14:paraId="75CC26B3"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Take on praise I get from others to build my confidence.</w:t>
            </w:r>
          </w:p>
          <w:p w14:paraId="3665658E" w14:textId="2AED5B0D" w:rsidR="00D72A76" w:rsidRPr="00D72A76" w:rsidRDefault="00D72A76" w:rsidP="00D72A76">
            <w:pPr>
              <w:spacing w:line="360" w:lineRule="auto"/>
              <w:rPr>
                <w:rFonts w:ascii="Arial" w:hAnsi="Arial" w:cs="Arial"/>
                <w:sz w:val="24"/>
                <w:szCs w:val="24"/>
              </w:rPr>
            </w:pPr>
          </w:p>
        </w:tc>
        <w:tc>
          <w:tcPr>
            <w:tcW w:w="3544" w:type="dxa"/>
          </w:tcPr>
          <w:p w14:paraId="720B553E" w14:textId="77777777" w:rsidR="00080254" w:rsidRPr="00D72A76" w:rsidRDefault="002674EE" w:rsidP="00D72A76">
            <w:pPr>
              <w:spacing w:line="360" w:lineRule="auto"/>
              <w:rPr>
                <w:rFonts w:ascii="Arial" w:hAnsi="Arial" w:cs="Arial"/>
                <w:sz w:val="24"/>
                <w:szCs w:val="24"/>
              </w:rPr>
            </w:pPr>
            <w:r w:rsidRPr="00D72A76">
              <w:rPr>
                <w:rFonts w:ascii="Arial" w:hAnsi="Arial" w:cs="Arial"/>
                <w:sz w:val="24"/>
                <w:szCs w:val="24"/>
              </w:rPr>
              <w:lastRenderedPageBreak/>
              <w:t>Attend regular counselling sessions.</w:t>
            </w:r>
          </w:p>
          <w:p w14:paraId="15A7C787" w14:textId="77777777" w:rsidR="002674EE" w:rsidRPr="00D72A76" w:rsidRDefault="002674EE" w:rsidP="00D72A76">
            <w:pPr>
              <w:spacing w:line="360" w:lineRule="auto"/>
              <w:rPr>
                <w:rFonts w:ascii="Arial" w:hAnsi="Arial" w:cs="Arial"/>
                <w:sz w:val="24"/>
                <w:szCs w:val="24"/>
              </w:rPr>
            </w:pPr>
          </w:p>
          <w:p w14:paraId="0F126EFB" w14:textId="77777777" w:rsidR="002674EE" w:rsidRPr="00D72A76" w:rsidRDefault="00D72A76" w:rsidP="00D72A76">
            <w:pPr>
              <w:spacing w:line="360" w:lineRule="auto"/>
              <w:rPr>
                <w:rFonts w:ascii="Arial" w:hAnsi="Arial" w:cs="Arial"/>
                <w:sz w:val="24"/>
                <w:szCs w:val="24"/>
              </w:rPr>
            </w:pPr>
            <w:r w:rsidRPr="00D72A76">
              <w:rPr>
                <w:rFonts w:ascii="Arial" w:hAnsi="Arial" w:cs="Arial"/>
                <w:sz w:val="24"/>
                <w:szCs w:val="24"/>
              </w:rPr>
              <w:t>Reflective Journal.</w:t>
            </w:r>
          </w:p>
          <w:p w14:paraId="79D5B237" w14:textId="77777777" w:rsidR="00D72A76" w:rsidRPr="00D72A76" w:rsidRDefault="00D72A76" w:rsidP="00D72A76">
            <w:pPr>
              <w:spacing w:line="360" w:lineRule="auto"/>
              <w:rPr>
                <w:rFonts w:ascii="Arial" w:hAnsi="Arial" w:cs="Arial"/>
                <w:sz w:val="24"/>
                <w:szCs w:val="24"/>
              </w:rPr>
            </w:pPr>
          </w:p>
          <w:p w14:paraId="19DC5B5C" w14:textId="5D019A80"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Ask for support or feedback from others.</w:t>
            </w:r>
          </w:p>
        </w:tc>
        <w:tc>
          <w:tcPr>
            <w:tcW w:w="3544" w:type="dxa"/>
          </w:tcPr>
          <w:p w14:paraId="343C7316" w14:textId="77777777"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Work as a team to help support each other.</w:t>
            </w:r>
          </w:p>
          <w:p w14:paraId="4375E0A0" w14:textId="77777777" w:rsidR="00D72A76" w:rsidRPr="00D72A76" w:rsidRDefault="00D72A76" w:rsidP="00D72A76">
            <w:pPr>
              <w:spacing w:line="360" w:lineRule="auto"/>
              <w:rPr>
                <w:rFonts w:ascii="Arial" w:hAnsi="Arial" w:cs="Arial"/>
                <w:sz w:val="24"/>
                <w:szCs w:val="24"/>
              </w:rPr>
            </w:pPr>
          </w:p>
          <w:p w14:paraId="0C0265B8" w14:textId="23BF3479"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t>If I am struggle speak to someone who can help me.</w:t>
            </w:r>
          </w:p>
          <w:p w14:paraId="14A2AD40" w14:textId="77777777" w:rsidR="00D72A76" w:rsidRPr="00D72A76" w:rsidRDefault="00D72A76" w:rsidP="00D72A76">
            <w:pPr>
              <w:spacing w:line="360" w:lineRule="auto"/>
              <w:rPr>
                <w:rFonts w:ascii="Arial" w:hAnsi="Arial" w:cs="Arial"/>
                <w:sz w:val="24"/>
                <w:szCs w:val="24"/>
              </w:rPr>
            </w:pPr>
          </w:p>
          <w:p w14:paraId="23C15073" w14:textId="3D2F5213" w:rsidR="00D72A76" w:rsidRPr="00D72A76" w:rsidRDefault="00D72A76" w:rsidP="00D72A76">
            <w:pPr>
              <w:spacing w:line="360" w:lineRule="auto"/>
              <w:rPr>
                <w:rFonts w:ascii="Arial" w:hAnsi="Arial" w:cs="Arial"/>
                <w:sz w:val="24"/>
                <w:szCs w:val="24"/>
              </w:rPr>
            </w:pPr>
            <w:r w:rsidRPr="00D72A76">
              <w:rPr>
                <w:rFonts w:ascii="Arial" w:hAnsi="Arial" w:cs="Arial"/>
                <w:sz w:val="24"/>
                <w:szCs w:val="24"/>
              </w:rPr>
              <w:lastRenderedPageBreak/>
              <w:t>Use coping strategies within work that will help.</w:t>
            </w:r>
          </w:p>
          <w:p w14:paraId="6C1155A9" w14:textId="77777777" w:rsidR="00D72A76" w:rsidRPr="00D72A76" w:rsidRDefault="00D72A76" w:rsidP="00D72A76">
            <w:pPr>
              <w:spacing w:line="360" w:lineRule="auto"/>
              <w:rPr>
                <w:rFonts w:ascii="Arial" w:hAnsi="Arial" w:cs="Arial"/>
                <w:sz w:val="24"/>
                <w:szCs w:val="24"/>
              </w:rPr>
            </w:pPr>
          </w:p>
          <w:p w14:paraId="5ADA8F78" w14:textId="1C372E92" w:rsidR="00080254" w:rsidRPr="00D72A76" w:rsidRDefault="00080254" w:rsidP="00D72A76">
            <w:pPr>
              <w:spacing w:line="360" w:lineRule="auto"/>
              <w:rPr>
                <w:rFonts w:ascii="Arial" w:hAnsi="Arial" w:cs="Arial"/>
                <w:sz w:val="24"/>
                <w:szCs w:val="24"/>
              </w:rPr>
            </w:pPr>
            <w:r w:rsidRPr="00D72A76">
              <w:rPr>
                <w:rFonts w:ascii="Arial" w:hAnsi="Arial" w:cs="Arial"/>
                <w:sz w:val="24"/>
                <w:szCs w:val="24"/>
              </w:rPr>
              <w:t xml:space="preserve">Timescale: </w:t>
            </w:r>
            <w:r w:rsidR="002674EE" w:rsidRPr="00D72A76">
              <w:rPr>
                <w:rFonts w:ascii="Arial" w:hAnsi="Arial" w:cs="Arial"/>
                <w:sz w:val="24"/>
                <w:szCs w:val="24"/>
              </w:rPr>
              <w:t>Weekly</w:t>
            </w:r>
          </w:p>
        </w:tc>
      </w:tr>
    </w:tbl>
    <w:p w14:paraId="2ED85EDF" w14:textId="77777777" w:rsidR="00257D9B" w:rsidRDefault="00257D9B" w:rsidP="00257D9B">
      <w:pPr>
        <w:spacing w:line="480" w:lineRule="auto"/>
      </w:pPr>
    </w:p>
    <w:p w14:paraId="2AE58DB7" w14:textId="77777777" w:rsidR="00C2336A" w:rsidRDefault="00C2336A" w:rsidP="00257D9B">
      <w:pPr>
        <w:spacing w:line="480" w:lineRule="auto"/>
      </w:pPr>
    </w:p>
    <w:p w14:paraId="4BDDF0B2" w14:textId="77777777" w:rsidR="00C2336A" w:rsidRDefault="00C2336A" w:rsidP="00257D9B">
      <w:pPr>
        <w:spacing w:line="480" w:lineRule="auto"/>
      </w:pPr>
    </w:p>
    <w:p w14:paraId="52979B9C" w14:textId="77777777" w:rsidR="00C2336A" w:rsidRDefault="00C2336A" w:rsidP="00257D9B">
      <w:pPr>
        <w:spacing w:line="480" w:lineRule="auto"/>
      </w:pPr>
    </w:p>
    <w:p w14:paraId="46AD321C" w14:textId="77777777" w:rsidR="00C2336A" w:rsidRDefault="00C2336A" w:rsidP="00257D9B">
      <w:pPr>
        <w:spacing w:line="480" w:lineRule="auto"/>
      </w:pPr>
    </w:p>
    <w:p w14:paraId="23A4AEFA" w14:textId="77777777" w:rsidR="00C2336A" w:rsidRDefault="00C2336A" w:rsidP="00257D9B">
      <w:pPr>
        <w:spacing w:line="480" w:lineRule="auto"/>
      </w:pPr>
    </w:p>
    <w:p w14:paraId="5480708D" w14:textId="77777777" w:rsidR="00C2336A" w:rsidRDefault="00C2336A" w:rsidP="00257D9B">
      <w:pPr>
        <w:spacing w:line="480" w:lineRule="auto"/>
      </w:pPr>
    </w:p>
    <w:p w14:paraId="3FFA3669" w14:textId="77777777" w:rsidR="00C2336A" w:rsidRDefault="00C2336A" w:rsidP="00257D9B">
      <w:pPr>
        <w:spacing w:line="480" w:lineRule="auto"/>
      </w:pPr>
    </w:p>
    <w:p w14:paraId="40F2F469" w14:textId="77777777" w:rsidR="00C2336A" w:rsidRDefault="00C2336A" w:rsidP="00257D9B">
      <w:pPr>
        <w:spacing w:line="480" w:lineRule="auto"/>
      </w:pPr>
    </w:p>
    <w:p w14:paraId="72808CD7" w14:textId="77777777" w:rsidR="005217D4" w:rsidRPr="00137ECF" w:rsidRDefault="005217D4" w:rsidP="00137ECF">
      <w:pPr>
        <w:spacing w:line="360" w:lineRule="auto"/>
        <w:rPr>
          <w:rFonts w:ascii="Arial" w:hAnsi="Arial" w:cs="Arial"/>
          <w:b/>
          <w:bCs/>
          <w:color w:val="000000" w:themeColor="text1"/>
          <w:sz w:val="24"/>
          <w:szCs w:val="24"/>
          <w:u w:val="single"/>
        </w:rPr>
      </w:pPr>
      <w:r w:rsidRPr="00137ECF">
        <w:rPr>
          <w:rFonts w:ascii="Arial" w:hAnsi="Arial" w:cs="Arial"/>
          <w:b/>
          <w:bCs/>
          <w:color w:val="000000" w:themeColor="text1"/>
          <w:sz w:val="24"/>
          <w:szCs w:val="24"/>
          <w:u w:val="single"/>
        </w:rPr>
        <w:lastRenderedPageBreak/>
        <w:t>Section 3:</w:t>
      </w:r>
    </w:p>
    <w:p w14:paraId="48A81788" w14:textId="4A9D472F" w:rsidR="005217D4" w:rsidRPr="00137ECF" w:rsidRDefault="005217D4" w:rsidP="00137ECF">
      <w:pPr>
        <w:spacing w:line="360" w:lineRule="auto"/>
        <w:rPr>
          <w:rFonts w:ascii="Arial" w:hAnsi="Arial" w:cs="Arial"/>
          <w:color w:val="000000" w:themeColor="text1"/>
          <w:sz w:val="24"/>
          <w:szCs w:val="24"/>
          <w:u w:val="single"/>
        </w:rPr>
      </w:pPr>
      <w:r w:rsidRPr="00137ECF">
        <w:rPr>
          <w:rFonts w:ascii="Arial" w:hAnsi="Arial" w:cs="Arial"/>
          <w:color w:val="000000" w:themeColor="text1"/>
          <w:sz w:val="24"/>
          <w:szCs w:val="24"/>
          <w:u w:val="single"/>
        </w:rPr>
        <w:t>Analyse of Concept Map.</w:t>
      </w:r>
    </w:p>
    <w:p w14:paraId="739B86F5"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The conceptual map presented in the second section of this portfolio focuses on the array of community services available to assist college students undertaking vocational courses. This visual representation illustrates the collaborative efforts of various departments within the college and external community organisations, demonstrating how practitioners can harness these resources to help students thrive.</w:t>
      </w:r>
    </w:p>
    <w:p w14:paraId="30955AF1" w14:textId="60B0DA00"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This is seen as a multi-agency approach. This is a crucial area within the work environment to make sure is working to be able to enhance the well-being and learning of all students. Looking at the transition to higher education can be seen as a challenging period for a lot of students, as there are emotional and social adjustments as well as academic. Research by Ferreira et al.</w:t>
      </w:r>
      <w:r w:rsidR="00137ECF"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2020) emphasises the importance of a supportive environment in fostering positive academic and emotional development. This can be seen in organisations such as colleges through professional help through different areas of individuals' lives, for example, mental health professionals such as Student Support Services, Pastoral Coaches for different departments and counselling services if needed. Practitioners should work with professionals within the organisations as well as professionals in the community who can support students to thrive in their academic studies as well as contribute to their well-being. The importance of creating an environment where students feel supported can be seen in the work of Tinto (1993) who emphasises the significance of students feeling belonging and connected can support the retention and success of individuals. This is also supported by Bronfenbrenner</w:t>
      </w:r>
      <w:r w:rsidR="00137ECF"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1979) who suggests collaborating as multi-agencies ensures a holistic approach to student support by addressing various aspects of their well-being, including academic, social, and emotional needs.</w:t>
      </w:r>
    </w:p>
    <w:p w14:paraId="6CCEA5CA" w14:textId="77777777" w:rsidR="005217D4" w:rsidRPr="00137ECF" w:rsidRDefault="005217D4" w:rsidP="00137ECF">
      <w:pPr>
        <w:spacing w:line="360" w:lineRule="auto"/>
        <w:rPr>
          <w:rFonts w:ascii="Arial" w:hAnsi="Arial" w:cs="Arial"/>
          <w:color w:val="000000" w:themeColor="text1"/>
          <w:sz w:val="24"/>
          <w:szCs w:val="24"/>
        </w:rPr>
      </w:pPr>
    </w:p>
    <w:p w14:paraId="4EBB3935"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lastRenderedPageBreak/>
        <w:t xml:space="preserve">This essay will focus on the sector's experiential opportunities within the concept map. Students are provided with a diverse setting within the care industry over the two or three-year course where they will be able to develop sector-specific knowledge and skills. The Placement Officer plays a pivotal role by collaborating with individual students, </w:t>
      </w:r>
      <w:proofErr w:type="gramStart"/>
      <w:r w:rsidRPr="00137ECF">
        <w:rPr>
          <w:rFonts w:ascii="Arial" w:hAnsi="Arial" w:cs="Arial"/>
          <w:color w:val="000000" w:themeColor="text1"/>
          <w:sz w:val="24"/>
          <w:szCs w:val="24"/>
        </w:rPr>
        <w:t>lecturers</w:t>
      </w:r>
      <w:proofErr w:type="gramEnd"/>
      <w:r w:rsidRPr="00137ECF">
        <w:rPr>
          <w:rFonts w:ascii="Arial" w:hAnsi="Arial" w:cs="Arial"/>
          <w:color w:val="000000" w:themeColor="text1"/>
          <w:sz w:val="24"/>
          <w:szCs w:val="24"/>
        </w:rPr>
        <w:t xml:space="preserve"> and student support service to facilitate the best placement for each student, fostering hands-on experience (Cameron et al.2020).</w:t>
      </w:r>
    </w:p>
    <w:p w14:paraId="19AF6091" w14:textId="388687CC"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To ensure the safety of students and others during placements, there are a set of policies and procedures in place. The first role that will be discussed is the responsibility of implementing health, </w:t>
      </w:r>
      <w:proofErr w:type="gramStart"/>
      <w:r w:rsidRPr="00137ECF">
        <w:rPr>
          <w:rFonts w:ascii="Arial" w:hAnsi="Arial" w:cs="Arial"/>
          <w:color w:val="000000" w:themeColor="text1"/>
          <w:sz w:val="24"/>
          <w:szCs w:val="24"/>
        </w:rPr>
        <w:t>safety</w:t>
      </w:r>
      <w:proofErr w:type="gramEnd"/>
      <w:r w:rsidRPr="00137ECF">
        <w:rPr>
          <w:rFonts w:ascii="Arial" w:hAnsi="Arial" w:cs="Arial"/>
          <w:color w:val="000000" w:themeColor="text1"/>
          <w:sz w:val="24"/>
          <w:szCs w:val="24"/>
        </w:rPr>
        <w:t xml:space="preserve"> and environmental policies, along with safe working practices before students embark on their placements. Under the Health and Safety at Work Act 1974 it is an employer's duty to protect the health, safety and welfare of their employees and other people who might be affected by their business (HSE, 1974). Placement Officers and assessors within any work-based learning environment are tasked with conducting Health and Safety appraisals before any thought is given about a student attending the setting. The Placement Officer goes to each individual setting to complete an inspection of the environment, making sure it is safe and that all the correct policies and procedures are in place, including the correct insurance to protect students. This is agreed upon with organisations to make sure they understand their commitment to health, safety and the environment which is a crucial component of the appraisal and monitoring process, which implements any action plans for organisations when necessary (Karanikas &amp; Hasan, 2022). Close collaboration with each placement setting is imperative to ensure the completion of health and safety inspections and that staff members understand the expectations for both </w:t>
      </w:r>
      <w:proofErr w:type="gramStart"/>
      <w:r w:rsidRPr="00137ECF">
        <w:rPr>
          <w:rFonts w:ascii="Arial" w:hAnsi="Arial" w:cs="Arial"/>
          <w:color w:val="000000" w:themeColor="text1"/>
          <w:sz w:val="24"/>
          <w:szCs w:val="24"/>
        </w:rPr>
        <w:t>themselves</w:t>
      </w:r>
      <w:proofErr w:type="gramEnd"/>
      <w:r w:rsidRPr="00137ECF">
        <w:rPr>
          <w:rFonts w:ascii="Arial" w:hAnsi="Arial" w:cs="Arial"/>
          <w:color w:val="000000" w:themeColor="text1"/>
          <w:sz w:val="24"/>
          <w:szCs w:val="24"/>
        </w:rPr>
        <w:t xml:space="preserve"> and the students who will be attending placement. To be able to ensure students </w:t>
      </w:r>
      <w:proofErr w:type="gramStart"/>
      <w:r w:rsidRPr="00137ECF">
        <w:rPr>
          <w:rFonts w:ascii="Arial" w:hAnsi="Arial" w:cs="Arial"/>
          <w:color w:val="000000" w:themeColor="text1"/>
          <w:sz w:val="24"/>
          <w:szCs w:val="24"/>
        </w:rPr>
        <w:t>have an understanding of</w:t>
      </w:r>
      <w:proofErr w:type="gramEnd"/>
      <w:r w:rsidRPr="00137ECF">
        <w:rPr>
          <w:rFonts w:ascii="Arial" w:hAnsi="Arial" w:cs="Arial"/>
          <w:color w:val="000000" w:themeColor="text1"/>
          <w:sz w:val="24"/>
          <w:szCs w:val="24"/>
        </w:rPr>
        <w:t xml:space="preserve"> the Health and Safety Act 1974 before attending placements, the Placement Officer and Lecturers must work together to ensure all students have completed the health and safety unit within the qualification before placement blocks start. This is then reinforced on placement as the placement officer provides students with health and safety booklets to be completed by mentors and students while attending their placements. Additionally, the placement officer will attend the setting to complete a </w:t>
      </w:r>
      <w:r w:rsidRPr="00137ECF">
        <w:rPr>
          <w:rFonts w:ascii="Arial" w:hAnsi="Arial" w:cs="Arial"/>
          <w:color w:val="000000" w:themeColor="text1"/>
          <w:sz w:val="24"/>
          <w:szCs w:val="24"/>
        </w:rPr>
        <w:lastRenderedPageBreak/>
        <w:t>monitoring form for each student attending,</w:t>
      </w:r>
      <w:r w:rsidR="00137ECF" w:rsidRPr="00137ECF">
        <w:rPr>
          <w:rFonts w:ascii="Arial" w:hAnsi="Arial" w:cs="Arial"/>
          <w:color w:val="000000" w:themeColor="text1"/>
          <w:sz w:val="24"/>
          <w:szCs w:val="24"/>
        </w:rPr>
        <w:t xml:space="preserve"> </w:t>
      </w:r>
      <w:proofErr w:type="gramStart"/>
      <w:r w:rsidR="00137ECF" w:rsidRPr="00137ECF">
        <w:rPr>
          <w:rFonts w:ascii="Arial" w:hAnsi="Arial" w:cs="Arial"/>
          <w:color w:val="000000" w:themeColor="text1"/>
          <w:sz w:val="24"/>
          <w:szCs w:val="24"/>
        </w:rPr>
        <w:t>Which</w:t>
      </w:r>
      <w:proofErr w:type="gramEnd"/>
      <w:r w:rsidR="00137ECF" w:rsidRPr="00137ECF">
        <w:rPr>
          <w:rFonts w:ascii="Arial" w:hAnsi="Arial" w:cs="Arial"/>
          <w:color w:val="000000" w:themeColor="text1"/>
          <w:sz w:val="24"/>
          <w:szCs w:val="24"/>
        </w:rPr>
        <w:t xml:space="preserve"> is suggested by Humphreys &amp; Woods (2014) that</w:t>
      </w:r>
      <w:r w:rsidRPr="00137ECF">
        <w:rPr>
          <w:rFonts w:ascii="Arial" w:hAnsi="Arial" w:cs="Arial"/>
          <w:color w:val="000000" w:themeColor="text1"/>
          <w:sz w:val="24"/>
          <w:szCs w:val="24"/>
        </w:rPr>
        <w:t xml:space="preserve"> an assessment of role completion and satisfaction for both students and the setting </w:t>
      </w:r>
      <w:r w:rsidR="00137ECF" w:rsidRPr="00137ECF">
        <w:rPr>
          <w:rFonts w:ascii="Arial" w:hAnsi="Arial" w:cs="Arial"/>
          <w:color w:val="000000" w:themeColor="text1"/>
          <w:sz w:val="24"/>
          <w:szCs w:val="24"/>
        </w:rPr>
        <w:t>is expected of this role</w:t>
      </w:r>
      <w:r w:rsidRPr="00137ECF">
        <w:rPr>
          <w:rFonts w:ascii="Arial" w:hAnsi="Arial" w:cs="Arial"/>
          <w:color w:val="000000" w:themeColor="text1"/>
          <w:sz w:val="24"/>
          <w:szCs w:val="24"/>
        </w:rPr>
        <w:t>.</w:t>
      </w:r>
    </w:p>
    <w:p w14:paraId="7818478E" w14:textId="4BA5735C"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When dealing with health and safety, various factors might hinder the process of collaborating with different organisations. Simply raising the need for a health and safety appraisal could immediately put a brake on discussions about working together to create a student-friendly placement environment. Organisations, already dealing with numerous responsibilities, may perceive the appraisal as an additional workload, potentially slowing down the collaboration process. This is supported by Aiston et al. (2002) that barriers that challenge collaboration are additional world and establishing </w:t>
      </w:r>
      <w:r w:rsidR="00137ECF" w:rsidRPr="00137ECF">
        <w:rPr>
          <w:rFonts w:ascii="Arial" w:hAnsi="Arial" w:cs="Arial"/>
          <w:color w:val="000000" w:themeColor="text1"/>
          <w:sz w:val="24"/>
          <w:szCs w:val="24"/>
        </w:rPr>
        <w:t>the same objectives for the placement outcome</w:t>
      </w:r>
      <w:r w:rsidRPr="00137ECF">
        <w:rPr>
          <w:rFonts w:ascii="Arial" w:hAnsi="Arial" w:cs="Arial"/>
          <w:color w:val="000000" w:themeColor="text1"/>
          <w:sz w:val="24"/>
          <w:szCs w:val="24"/>
        </w:rPr>
        <w:t xml:space="preserve"> (Woods et al., 2010). Another potential hurdle may be if upon conducting risk assessments within the environment, it is identified that improvements are required before students can commence their placement. In such a scenario, the setting might take offence, perceiving the need for enhancements as an implication that they are not adequately fulfilling their duty in caring for children or the elderly, misunderstanding and developing a barrier (Wates, 2012). This could lead to strained relationships, jeopardising the rapport that has been built, and, in extreme cases, resulting in the withdrawal of support for the entire placement experience for students.</w:t>
      </w:r>
    </w:p>
    <w:p w14:paraId="3C814E44" w14:textId="245BD79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The Placement Officer collaborates with various departments within the college as another approach to working with multiple agencies. </w:t>
      </w:r>
      <w:r w:rsidR="00137ECF" w:rsidRPr="00137ECF">
        <w:rPr>
          <w:rFonts w:ascii="Arial" w:hAnsi="Arial" w:cs="Arial"/>
          <w:color w:val="000000" w:themeColor="text1"/>
          <w:sz w:val="24"/>
          <w:szCs w:val="24"/>
        </w:rPr>
        <w:t>Collaborating with different student support within the college will enhance students' placement experience by providing personalised support, making sure as a team we are prioritising their well-being, support any needs while out on placement, promoting accessibility and inclusivity. This in hand will contribute to a positive placement experience for learners where they can thrive within the environment.</w:t>
      </w:r>
      <w:r w:rsidR="00137ECF" w:rsidRPr="00137ECF">
        <w:rPr>
          <w:rFonts w:ascii="Arial" w:hAnsi="Arial" w:cs="Arial"/>
          <w:color w:val="000000" w:themeColor="text1"/>
          <w:sz w:val="24"/>
          <w:szCs w:val="24"/>
        </w:rPr>
        <w:t xml:space="preserve"> E</w:t>
      </w:r>
      <w:r w:rsidRPr="00137ECF">
        <w:rPr>
          <w:rFonts w:ascii="Arial" w:hAnsi="Arial" w:cs="Arial"/>
          <w:color w:val="000000" w:themeColor="text1"/>
          <w:sz w:val="24"/>
          <w:szCs w:val="24"/>
        </w:rPr>
        <w:t xml:space="preserve">nsuring that students have an optimal placement experience involves assessing factors such as attendance and attitude towards the course. In this regard, it becomes crucial for the Placement Officer to engage in proactive communication with the students' tutors and lecturers beforehand. </w:t>
      </w:r>
      <w:r w:rsidR="00137ECF" w:rsidRPr="00137ECF">
        <w:rPr>
          <w:rFonts w:ascii="Arial" w:hAnsi="Arial" w:cs="Arial"/>
          <w:color w:val="000000" w:themeColor="text1"/>
          <w:sz w:val="24"/>
          <w:szCs w:val="24"/>
        </w:rPr>
        <w:t xml:space="preserve">It is seen by </w:t>
      </w:r>
      <w:proofErr w:type="spellStart"/>
      <w:r w:rsidR="00137ECF" w:rsidRPr="00137ECF">
        <w:rPr>
          <w:rFonts w:ascii="Arial" w:hAnsi="Arial" w:cs="Arial"/>
          <w:color w:val="000000" w:themeColor="text1"/>
          <w:sz w:val="24"/>
          <w:szCs w:val="24"/>
        </w:rPr>
        <w:t>Chawłowska</w:t>
      </w:r>
      <w:proofErr w:type="spellEnd"/>
      <w:r w:rsidR="00137ECF" w:rsidRPr="00137ECF">
        <w:rPr>
          <w:rFonts w:ascii="Arial" w:hAnsi="Arial" w:cs="Arial"/>
          <w:color w:val="000000" w:themeColor="text1"/>
          <w:sz w:val="24"/>
          <w:szCs w:val="24"/>
        </w:rPr>
        <w:t xml:space="preserve"> et al.</w:t>
      </w:r>
      <w:r w:rsidR="00137ECF" w:rsidRPr="00137ECF">
        <w:rPr>
          <w:rFonts w:ascii="Arial" w:hAnsi="Arial" w:cs="Arial"/>
          <w:color w:val="000000" w:themeColor="text1"/>
          <w:sz w:val="24"/>
          <w:szCs w:val="24"/>
        </w:rPr>
        <w:t xml:space="preserve"> (</w:t>
      </w:r>
      <w:r w:rsidR="00137ECF" w:rsidRPr="00137ECF">
        <w:rPr>
          <w:rFonts w:ascii="Arial" w:hAnsi="Arial" w:cs="Arial"/>
          <w:color w:val="000000" w:themeColor="text1"/>
          <w:sz w:val="24"/>
          <w:szCs w:val="24"/>
        </w:rPr>
        <w:t>2021)</w:t>
      </w:r>
      <w:r w:rsidR="00137ECF" w:rsidRPr="00137ECF">
        <w:rPr>
          <w:rFonts w:ascii="Arial" w:hAnsi="Arial" w:cs="Arial"/>
          <w:color w:val="000000" w:themeColor="text1"/>
          <w:sz w:val="24"/>
          <w:szCs w:val="24"/>
        </w:rPr>
        <w:t xml:space="preserve"> that g</w:t>
      </w:r>
      <w:r w:rsidRPr="00137ECF">
        <w:rPr>
          <w:rFonts w:ascii="Arial" w:hAnsi="Arial" w:cs="Arial"/>
          <w:color w:val="000000" w:themeColor="text1"/>
          <w:sz w:val="24"/>
          <w:szCs w:val="24"/>
        </w:rPr>
        <w:t xml:space="preserve">aining insights from </w:t>
      </w:r>
      <w:r w:rsidRPr="00137ECF">
        <w:rPr>
          <w:rFonts w:ascii="Arial" w:hAnsi="Arial" w:cs="Arial"/>
          <w:color w:val="000000" w:themeColor="text1"/>
          <w:sz w:val="24"/>
          <w:szCs w:val="24"/>
        </w:rPr>
        <w:lastRenderedPageBreak/>
        <w:t>other perspectives can determine the likelihood of students attending placement and exhibiting enthusiasm for learning and skill development</w:t>
      </w:r>
      <w:r w:rsidR="00137ECF" w:rsidRPr="00137ECF">
        <w:rPr>
          <w:rFonts w:ascii="Arial" w:hAnsi="Arial" w:cs="Arial"/>
          <w:color w:val="000000" w:themeColor="text1"/>
          <w:sz w:val="24"/>
          <w:szCs w:val="24"/>
        </w:rPr>
        <w:t xml:space="preserve"> which is also supported by</w:t>
      </w:r>
      <w:r w:rsidRPr="00137ECF">
        <w:rPr>
          <w:rFonts w:ascii="Arial" w:hAnsi="Arial" w:cs="Arial"/>
          <w:color w:val="000000" w:themeColor="text1"/>
          <w:sz w:val="24"/>
          <w:szCs w:val="24"/>
        </w:rPr>
        <w:t xml:space="preserve"> Nwosu et al. </w:t>
      </w:r>
      <w:r w:rsidR="00137ECF" w:rsidRPr="00137ECF">
        <w:rPr>
          <w:rFonts w:ascii="Arial" w:hAnsi="Arial" w:cs="Arial"/>
          <w:color w:val="000000" w:themeColor="text1"/>
          <w:sz w:val="24"/>
          <w:szCs w:val="24"/>
        </w:rPr>
        <w:t>(</w:t>
      </w:r>
      <w:r w:rsidRPr="00137ECF">
        <w:rPr>
          <w:rFonts w:ascii="Arial" w:hAnsi="Arial" w:cs="Arial"/>
          <w:color w:val="000000" w:themeColor="text1"/>
          <w:sz w:val="24"/>
          <w:szCs w:val="24"/>
        </w:rPr>
        <w:t>2022)</w:t>
      </w:r>
      <w:r w:rsidR="00137ECF" w:rsidRPr="00137ECF">
        <w:rPr>
          <w:rFonts w:ascii="Arial" w:hAnsi="Arial" w:cs="Arial"/>
          <w:color w:val="000000" w:themeColor="text1"/>
          <w:sz w:val="24"/>
          <w:szCs w:val="24"/>
        </w:rPr>
        <w:t>.</w:t>
      </w:r>
    </w:p>
    <w:p w14:paraId="094098DA" w14:textId="08263754"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This collaborative effort is integral to effective teamwork, Yale University (2024</w:t>
      </w:r>
      <w:r w:rsidR="00137ECF" w:rsidRPr="00137ECF">
        <w:rPr>
          <w:rFonts w:ascii="Arial" w:hAnsi="Arial" w:cs="Arial"/>
          <w:color w:val="000000" w:themeColor="text1"/>
          <w:sz w:val="24"/>
          <w:szCs w:val="24"/>
        </w:rPr>
        <w:t>, P.1</w:t>
      </w:r>
      <w:r w:rsidRPr="00137ECF">
        <w:rPr>
          <w:rFonts w:ascii="Arial" w:hAnsi="Arial" w:cs="Arial"/>
          <w:color w:val="000000" w:themeColor="text1"/>
          <w:sz w:val="24"/>
          <w:szCs w:val="24"/>
        </w:rPr>
        <w:t>) states 'A team environment allows individuals to bring their diverse perspectives to problem-solving, which in turn increases their success at arriving at solutions more efficiently and effectively'. The Placement Officer can engage in active listening and collaboratively find solutions within the team to secure the best possible placement for each student. Failure to undertake this proactive approach can have repercussions on the relationship with the placement setting. Instances of students not showing up or displaying a poor attitude during placements may negatively impact the setting's willingness to accommodate future students. Therefore, this pre-emptive collaboration with the team plays a pivotal role in fostering positive relationships with settings and securing successful placements for students.</w:t>
      </w:r>
    </w:p>
    <w:p w14:paraId="1214FB34"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The Placement Officer also collaborates closely with student support officers, acknowledging the diverse backgrounds and personal challenges students may encounter. A Student Support Officer works in institutions such as colleges and is seen as part of the wellbeing team for students (Seek, 2024). When students face issues beyond what tutors can address, these concerns are directed to the student support officers. The collaborative process involves practical steps: after discussing problems with tutors, it becomes crucial to seek the opinion of student support officers on whether specific placements might impact students' mental health or if attending at that time is advisable.</w:t>
      </w:r>
    </w:p>
    <w:p w14:paraId="49F5B42F" w14:textId="2B1D56C2"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Navigating this situation comes with its challenges, especially considering GDPR</w:t>
      </w:r>
      <w:r w:rsidR="00137ECF" w:rsidRPr="00137ECF">
        <w:rPr>
          <w:rFonts w:ascii="Arial" w:hAnsi="Arial" w:cs="Arial"/>
          <w:color w:val="000000" w:themeColor="text1"/>
          <w:sz w:val="24"/>
          <w:szCs w:val="24"/>
        </w:rPr>
        <w:t xml:space="preserve"> within the Data Protection Act</w:t>
      </w:r>
      <w:r w:rsidRPr="00137ECF">
        <w:rPr>
          <w:rFonts w:ascii="Arial" w:hAnsi="Arial" w:cs="Arial"/>
          <w:color w:val="000000" w:themeColor="text1"/>
          <w:sz w:val="24"/>
          <w:szCs w:val="24"/>
        </w:rPr>
        <w:t xml:space="preserve"> </w:t>
      </w:r>
      <w:r w:rsidR="00137ECF" w:rsidRPr="00137ECF">
        <w:rPr>
          <w:rFonts w:ascii="Arial" w:hAnsi="Arial" w:cs="Arial"/>
          <w:color w:val="000000" w:themeColor="text1"/>
          <w:sz w:val="24"/>
          <w:szCs w:val="24"/>
        </w:rPr>
        <w:t xml:space="preserve">(2018) </w:t>
      </w:r>
      <w:r w:rsidRPr="00137ECF">
        <w:rPr>
          <w:rFonts w:ascii="Arial" w:hAnsi="Arial" w:cs="Arial"/>
          <w:color w:val="000000" w:themeColor="text1"/>
          <w:sz w:val="24"/>
          <w:szCs w:val="24"/>
        </w:rPr>
        <w:t xml:space="preserve">constraints that limit the sharing of specific student information between student support officers and the Placement Officer. GDPR, or the General Data Protection Regulation, is like a rulebook designed to protect people's privacy, and it became a law in the UK in 2018. When it comes to students, GDPR ensures that they have control over their personal information. If a student chooses not to share certain details, institutions, including placement officers, </w:t>
      </w:r>
      <w:proofErr w:type="gramStart"/>
      <w:r w:rsidRPr="00137ECF">
        <w:rPr>
          <w:rFonts w:ascii="Arial" w:hAnsi="Arial" w:cs="Arial"/>
          <w:color w:val="000000" w:themeColor="text1"/>
          <w:sz w:val="24"/>
          <w:szCs w:val="24"/>
        </w:rPr>
        <w:t>have to</w:t>
      </w:r>
      <w:proofErr w:type="gramEnd"/>
      <w:r w:rsidRPr="00137ECF">
        <w:rPr>
          <w:rFonts w:ascii="Arial" w:hAnsi="Arial" w:cs="Arial"/>
          <w:color w:val="000000" w:themeColor="text1"/>
          <w:sz w:val="24"/>
          <w:szCs w:val="24"/>
        </w:rPr>
        <w:t xml:space="preserve"> follow specific rules to keep that information private.</w:t>
      </w:r>
    </w:p>
    <w:p w14:paraId="720E550D" w14:textId="4A8C1F20"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lastRenderedPageBreak/>
        <w:t>If a student decides not to share something, GDPR makes sure that their personal data is handled with care and isn't used without their permission. It's essentially a set of rules to make sure that students' privacy is respected, and their information is kept safe (Irwin, 2022). This helps build trust between students and institutions, showing that their personal data is being handled responsibly and ethically. Therefore, in these instances, the Placement Officer must rely on the judgement of student support officers, trusting them to make decisions in the student's best interests. This cooperative effort with student support officers is vital for taking a comprehensive approach to student well-being and ensuring the success of placements.</w:t>
      </w:r>
    </w:p>
    <w:p w14:paraId="71CA0F9A" w14:textId="27AB80DA" w:rsidR="00137ECF" w:rsidRPr="00137ECF" w:rsidRDefault="00137ECF" w:rsidP="00137ECF">
      <w:pPr>
        <w:pStyle w:val="NormalWeb"/>
        <w:spacing w:line="360" w:lineRule="auto"/>
        <w:rPr>
          <w:rFonts w:ascii="Arial" w:hAnsi="Arial" w:cs="Arial"/>
        </w:rPr>
      </w:pPr>
      <w:r w:rsidRPr="00137ECF">
        <w:rPr>
          <w:rFonts w:ascii="Arial" w:hAnsi="Arial" w:cs="Arial"/>
        </w:rPr>
        <w:t>However, there</w:t>
      </w:r>
      <w:r w:rsidRPr="00137ECF">
        <w:rPr>
          <w:rFonts w:ascii="Arial" w:hAnsi="Arial" w:cs="Arial"/>
        </w:rPr>
        <w:t xml:space="preserve"> are challenges associated with working with student support officers</w:t>
      </w:r>
      <w:r w:rsidRPr="00137ECF">
        <w:rPr>
          <w:rFonts w:ascii="Arial" w:hAnsi="Arial" w:cs="Arial"/>
        </w:rPr>
        <w:t xml:space="preserve"> (SSO)</w:t>
      </w:r>
      <w:r w:rsidRPr="00137ECF">
        <w:rPr>
          <w:rFonts w:ascii="Arial" w:hAnsi="Arial" w:cs="Arial"/>
        </w:rPr>
        <w:t xml:space="preserve">. Firstly, </w:t>
      </w:r>
      <w:r w:rsidRPr="00137ECF">
        <w:rPr>
          <w:rFonts w:ascii="Arial" w:hAnsi="Arial" w:cs="Arial"/>
        </w:rPr>
        <w:t xml:space="preserve">SSO’s </w:t>
      </w:r>
      <w:r w:rsidRPr="00137ECF">
        <w:rPr>
          <w:rFonts w:ascii="Arial" w:hAnsi="Arial" w:cs="Arial"/>
        </w:rPr>
        <w:t>may lack a comprehensive understanding of the expectations and vulnerabilities associated with each student placement. Consequently, the skills, competencies, and professional standards necessary for a successful placement opportunity may not be fully aligned with their assessments.</w:t>
      </w:r>
      <w:r w:rsidRPr="00137ECF">
        <w:rPr>
          <w:rFonts w:ascii="Arial" w:hAnsi="Arial" w:cs="Arial"/>
        </w:rPr>
        <w:t xml:space="preserve"> </w:t>
      </w:r>
      <w:r w:rsidRPr="00137ECF">
        <w:rPr>
          <w:rFonts w:ascii="Arial" w:hAnsi="Arial" w:cs="Arial"/>
        </w:rPr>
        <w:t>Another potential challenge is the presence of bias among student support officers. Personal biases, perceptions of students or placement settings, or past experiences may influence their judgment, resulting in unfair assessments of students' readiness for placement.</w:t>
      </w:r>
      <w:r w:rsidRPr="00137ECF">
        <w:rPr>
          <w:rFonts w:ascii="Arial" w:hAnsi="Arial" w:cs="Arial"/>
        </w:rPr>
        <w:t xml:space="preserve"> These challenges are </w:t>
      </w:r>
      <w:r w:rsidRPr="00137ECF">
        <w:rPr>
          <w:rFonts w:ascii="Arial" w:hAnsi="Arial" w:cs="Arial"/>
        </w:rPr>
        <w:t>supported by Michigan Assessment Consortium (2016, P.1) who state ‘Bias can lead to teachers or students making incorrect conclusions about a student's abilities based on assessment factors that are not related to what the student </w:t>
      </w:r>
      <w:proofErr w:type="gramStart"/>
      <w:r w:rsidRPr="00137ECF">
        <w:rPr>
          <w:rFonts w:ascii="Arial" w:hAnsi="Arial" w:cs="Arial"/>
        </w:rPr>
        <w:t>actually knows</w:t>
      </w:r>
      <w:proofErr w:type="gramEnd"/>
      <w:r w:rsidRPr="00137ECF">
        <w:rPr>
          <w:rFonts w:ascii="Arial" w:hAnsi="Arial" w:cs="Arial"/>
        </w:rPr>
        <w:t xml:space="preserve"> or can do. These incorrect conclusions introduce "measurement error" or a risk to reliability.’</w:t>
      </w:r>
    </w:p>
    <w:p w14:paraId="5750B2EA" w14:textId="7E0FC5A8" w:rsidR="00137ECF" w:rsidRPr="00137ECF" w:rsidRDefault="00137ECF" w:rsidP="00137ECF">
      <w:pPr>
        <w:pStyle w:val="NormalWeb"/>
        <w:spacing w:line="360" w:lineRule="auto"/>
        <w:rPr>
          <w:rFonts w:ascii="Arial" w:hAnsi="Arial" w:cs="Arial"/>
        </w:rPr>
      </w:pPr>
      <w:r w:rsidRPr="00137ECF">
        <w:rPr>
          <w:rFonts w:ascii="Arial" w:hAnsi="Arial" w:cs="Arial"/>
        </w:rPr>
        <w:t>Additionally, student support officers are primarily focused on student well-being. While this emphasis on well-being is important, it can lead to overly cautious decisions that hinder students' opportunities for developing resilience and professional growth through valuable experiential learning experiences.</w:t>
      </w:r>
    </w:p>
    <w:p w14:paraId="300590E4"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Ensuring students' privacy is respected is crucial, but it can bring challenges during placements. If the guidance from student support officers is inaccurate, it might affect students' well-being on placement. Our top priority is keeping students safe and </w:t>
      </w:r>
      <w:r w:rsidRPr="00137ECF">
        <w:rPr>
          <w:rFonts w:ascii="Arial" w:hAnsi="Arial" w:cs="Arial"/>
          <w:color w:val="000000" w:themeColor="text1"/>
          <w:sz w:val="24"/>
          <w:szCs w:val="24"/>
        </w:rPr>
        <w:lastRenderedPageBreak/>
        <w:t>content in their settings. If external issues not considered by the college impact the student experience, it can dent their confidence and mental well-being. Which then in hand will impact the student's learning and overall experience.</w:t>
      </w:r>
    </w:p>
    <w:p w14:paraId="315C4584"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To conclude the role of a placement officer encompasses the incorporation of numerous policies and procedures into daily tasks. In the context of multiagency collaboration, fostering strong relationships is key, but it's equally essential to adhere to established policies for the safety of all involved parties. Effective communication stands out as a foundation for building and maintaining positive relationships while ensuring compliance with the set protocols. Finding the right balance between building relationships and adhering to policies is pivotal for the smooth and secure execution of placement operations.</w:t>
      </w:r>
    </w:p>
    <w:p w14:paraId="3BE3A47B" w14:textId="77777777" w:rsidR="005217D4" w:rsidRPr="00137ECF" w:rsidRDefault="005217D4" w:rsidP="00137ECF">
      <w:pPr>
        <w:spacing w:line="360" w:lineRule="auto"/>
        <w:rPr>
          <w:rFonts w:ascii="Arial" w:hAnsi="Arial" w:cs="Arial"/>
          <w:color w:val="000000" w:themeColor="text1"/>
          <w:sz w:val="24"/>
          <w:szCs w:val="24"/>
        </w:rPr>
      </w:pPr>
    </w:p>
    <w:p w14:paraId="2729E01F" w14:textId="77777777" w:rsidR="005217D4" w:rsidRPr="00137ECF" w:rsidRDefault="005217D4" w:rsidP="00137ECF">
      <w:pPr>
        <w:spacing w:line="360" w:lineRule="auto"/>
        <w:rPr>
          <w:rFonts w:ascii="Arial" w:hAnsi="Arial" w:cs="Arial"/>
          <w:color w:val="000000" w:themeColor="text1"/>
          <w:sz w:val="24"/>
          <w:szCs w:val="24"/>
        </w:rPr>
      </w:pPr>
    </w:p>
    <w:p w14:paraId="7E5ECA1D" w14:textId="77777777" w:rsidR="005217D4" w:rsidRPr="00137ECF" w:rsidRDefault="005217D4" w:rsidP="00137ECF">
      <w:pPr>
        <w:spacing w:line="360" w:lineRule="auto"/>
        <w:rPr>
          <w:rFonts w:ascii="Arial" w:hAnsi="Arial" w:cs="Arial"/>
          <w:color w:val="000000" w:themeColor="text1"/>
          <w:sz w:val="24"/>
          <w:szCs w:val="24"/>
        </w:rPr>
      </w:pPr>
    </w:p>
    <w:p w14:paraId="6C3A403C" w14:textId="77777777" w:rsidR="005217D4" w:rsidRPr="00137ECF" w:rsidRDefault="005217D4" w:rsidP="00137ECF">
      <w:pPr>
        <w:spacing w:line="360" w:lineRule="auto"/>
        <w:rPr>
          <w:rFonts w:ascii="Arial" w:hAnsi="Arial" w:cs="Arial"/>
          <w:color w:val="000000" w:themeColor="text1"/>
          <w:sz w:val="24"/>
          <w:szCs w:val="24"/>
        </w:rPr>
      </w:pPr>
    </w:p>
    <w:p w14:paraId="6CE623EB" w14:textId="77777777" w:rsidR="005217D4" w:rsidRPr="00137ECF" w:rsidRDefault="005217D4" w:rsidP="00137ECF">
      <w:pPr>
        <w:spacing w:line="360" w:lineRule="auto"/>
        <w:rPr>
          <w:rFonts w:ascii="Arial" w:hAnsi="Arial" w:cs="Arial"/>
          <w:color w:val="000000" w:themeColor="text1"/>
          <w:sz w:val="24"/>
          <w:szCs w:val="24"/>
        </w:rPr>
      </w:pPr>
    </w:p>
    <w:p w14:paraId="293F7064" w14:textId="77777777" w:rsidR="005217D4" w:rsidRPr="00137ECF" w:rsidRDefault="005217D4" w:rsidP="00137ECF">
      <w:pPr>
        <w:spacing w:line="360" w:lineRule="auto"/>
        <w:rPr>
          <w:rFonts w:ascii="Arial" w:hAnsi="Arial" w:cs="Arial"/>
          <w:color w:val="000000" w:themeColor="text1"/>
          <w:sz w:val="24"/>
          <w:szCs w:val="24"/>
        </w:rPr>
      </w:pPr>
    </w:p>
    <w:p w14:paraId="587E92C0" w14:textId="0AD0C1CB" w:rsidR="005217D4" w:rsidRPr="00137ECF" w:rsidRDefault="005217D4" w:rsidP="00137ECF">
      <w:pPr>
        <w:spacing w:line="360" w:lineRule="auto"/>
        <w:rPr>
          <w:rFonts w:ascii="Arial" w:hAnsi="Arial" w:cs="Arial"/>
          <w:b/>
          <w:bCs/>
          <w:color w:val="000000" w:themeColor="text1"/>
          <w:sz w:val="24"/>
          <w:szCs w:val="24"/>
          <w:u w:val="single"/>
        </w:rPr>
      </w:pPr>
      <w:r w:rsidRPr="00137ECF">
        <w:rPr>
          <w:rFonts w:ascii="Arial" w:hAnsi="Arial" w:cs="Arial"/>
          <w:b/>
          <w:bCs/>
          <w:color w:val="000000" w:themeColor="text1"/>
          <w:sz w:val="24"/>
          <w:szCs w:val="24"/>
          <w:u w:val="single"/>
        </w:rPr>
        <w:t>Section Four:</w:t>
      </w:r>
    </w:p>
    <w:p w14:paraId="212230C6" w14:textId="371158FB" w:rsidR="005217D4" w:rsidRPr="00137ECF" w:rsidRDefault="005217D4" w:rsidP="00137ECF">
      <w:pPr>
        <w:spacing w:line="360" w:lineRule="auto"/>
        <w:rPr>
          <w:rFonts w:ascii="Arial" w:hAnsi="Arial" w:cs="Arial"/>
          <w:color w:val="000000" w:themeColor="text1"/>
          <w:sz w:val="24"/>
          <w:szCs w:val="24"/>
          <w:u w:val="single"/>
        </w:rPr>
      </w:pPr>
      <w:r w:rsidRPr="00137ECF">
        <w:rPr>
          <w:rFonts w:ascii="Arial" w:hAnsi="Arial" w:cs="Arial"/>
          <w:color w:val="000000" w:themeColor="text1"/>
          <w:sz w:val="24"/>
          <w:szCs w:val="24"/>
          <w:u w:val="single"/>
        </w:rPr>
        <w:t>Case Study.</w:t>
      </w:r>
    </w:p>
    <w:p w14:paraId="50AF7AD6"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In my role as a college lecturer, I interact with students from various backgrounds. One notable aspect is the significant influence that parents, guardians, and families have on a learner's education. Over the years, I've noticed instances where students enrol in </w:t>
      </w:r>
      <w:r w:rsidRPr="00137ECF">
        <w:rPr>
          <w:rFonts w:ascii="Arial" w:hAnsi="Arial" w:cs="Arial"/>
          <w:color w:val="000000" w:themeColor="text1"/>
          <w:sz w:val="24"/>
          <w:szCs w:val="24"/>
        </w:rPr>
        <w:lastRenderedPageBreak/>
        <w:t xml:space="preserve">our courses due to family encouragement or are influenced by family members already working in the sector. There are even situations where our communication extends more with the parents than with the learners themselves. I'm curious to explore the extent of the impact that a family truly has on a learner's educational journey. </w:t>
      </w:r>
    </w:p>
    <w:p w14:paraId="770843F2" w14:textId="421CD431"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The influence of families on college students has been a topic of considerable interest </w:t>
      </w:r>
      <w:r w:rsidR="00137ECF" w:rsidRPr="00137ECF">
        <w:rPr>
          <w:rFonts w:ascii="Arial" w:hAnsi="Arial" w:cs="Arial"/>
          <w:color w:val="000000" w:themeColor="text1"/>
          <w:sz w:val="24"/>
          <w:szCs w:val="24"/>
        </w:rPr>
        <w:t xml:space="preserve">for </w:t>
      </w:r>
      <w:proofErr w:type="gramStart"/>
      <w:r w:rsidR="00137ECF" w:rsidRPr="00137ECF">
        <w:rPr>
          <w:rFonts w:ascii="Arial" w:hAnsi="Arial" w:cs="Arial"/>
          <w:color w:val="000000" w:themeColor="text1"/>
          <w:sz w:val="24"/>
          <w:szCs w:val="24"/>
        </w:rPr>
        <w:t>myself</w:t>
      </w:r>
      <w:proofErr w:type="gramEnd"/>
      <w:r w:rsidR="00137ECF" w:rsidRPr="00137ECF">
        <w:rPr>
          <w:rFonts w:ascii="Arial" w:hAnsi="Arial" w:cs="Arial"/>
          <w:color w:val="000000" w:themeColor="text1"/>
          <w:sz w:val="24"/>
          <w:szCs w:val="24"/>
        </w:rPr>
        <w:t xml:space="preserve"> as a Lecturer, and aim to explore in more depth</w:t>
      </w:r>
      <w:r w:rsidRPr="00137ECF">
        <w:rPr>
          <w:rFonts w:ascii="Arial" w:hAnsi="Arial" w:cs="Arial"/>
          <w:color w:val="000000" w:themeColor="text1"/>
          <w:sz w:val="24"/>
          <w:szCs w:val="24"/>
        </w:rPr>
        <w:t>. Previous studies have highlighted the pivotal role that families play in students' academic and personal development during their college years (</w:t>
      </w:r>
      <w:proofErr w:type="spellStart"/>
      <w:r w:rsidRPr="00137ECF">
        <w:rPr>
          <w:rFonts w:ascii="Arial" w:hAnsi="Arial" w:cs="Arial"/>
          <w:color w:val="000000" w:themeColor="text1"/>
          <w:sz w:val="24"/>
          <w:szCs w:val="24"/>
        </w:rPr>
        <w:t>McCallen</w:t>
      </w:r>
      <w:proofErr w:type="spellEnd"/>
      <w:r w:rsidRPr="00137ECF">
        <w:rPr>
          <w:rFonts w:ascii="Arial" w:hAnsi="Arial" w:cs="Arial"/>
          <w:color w:val="000000" w:themeColor="text1"/>
          <w:sz w:val="24"/>
          <w:szCs w:val="24"/>
        </w:rPr>
        <w:t xml:space="preserve"> &amp; Johnson</w:t>
      </w:r>
      <w:r w:rsidR="00137ECF"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2020</w:t>
      </w:r>
      <w:r w:rsidR="00137ECF" w:rsidRPr="00137ECF">
        <w:rPr>
          <w:rFonts w:ascii="Arial" w:hAnsi="Arial" w:cs="Arial"/>
          <w:color w:val="000000" w:themeColor="text1"/>
          <w:sz w:val="24"/>
          <w:szCs w:val="24"/>
        </w:rPr>
        <w:t xml:space="preserve"> and </w:t>
      </w:r>
      <w:r w:rsidRPr="00137ECF">
        <w:rPr>
          <w:rFonts w:ascii="Arial" w:hAnsi="Arial" w:cs="Arial"/>
          <w:color w:val="000000" w:themeColor="text1"/>
          <w:sz w:val="24"/>
          <w:szCs w:val="24"/>
        </w:rPr>
        <w:t>Harper et al.</w:t>
      </w:r>
      <w:r w:rsidR="00137ECF"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 xml:space="preserve">2020) However, </w:t>
      </w:r>
      <w:r w:rsidR="00137ECF" w:rsidRPr="00137ECF">
        <w:rPr>
          <w:rFonts w:ascii="Arial" w:hAnsi="Arial" w:cs="Arial"/>
          <w:color w:val="000000" w:themeColor="text1"/>
          <w:sz w:val="24"/>
          <w:szCs w:val="24"/>
        </w:rPr>
        <w:t xml:space="preserve">it is suggested by Copeland et al., (2021) that </w:t>
      </w:r>
      <w:r w:rsidRPr="00137ECF">
        <w:rPr>
          <w:rFonts w:ascii="Arial" w:hAnsi="Arial" w:cs="Arial"/>
          <w:color w:val="000000" w:themeColor="text1"/>
          <w:sz w:val="24"/>
          <w:szCs w:val="24"/>
        </w:rPr>
        <w:t>there is still a need for a comprehensive examination of the specific ways in which families impact college students.</w:t>
      </w:r>
    </w:p>
    <w:p w14:paraId="595010A4"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Recognising the influence of families on college students is essential in my role as an educator. This study seeks to delve into the contributions of families to college success, examine the link between family dynamics and academic performance, and assess the impact of parental involvement and support on students' educational paths. The objective of this case study is to shed light on how families impact the college journey for students and propose recommendations for improving family support in their educational pursuits and the best way I can incorporate what I have learned into my practice.</w:t>
      </w:r>
    </w:p>
    <w:p w14:paraId="35A37499" w14:textId="04688B28"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After conducting research, several key findings emerged regarding how families influence college students. These findings show how families impact how students go through college (Son et al.2020)</w:t>
      </w:r>
      <w:r w:rsidR="00137ECF" w:rsidRPr="00137ECF">
        <w:rPr>
          <w:rFonts w:ascii="Arial" w:hAnsi="Arial" w:cs="Arial"/>
          <w:color w:val="000000" w:themeColor="text1"/>
          <w:sz w:val="24"/>
          <w:szCs w:val="24"/>
        </w:rPr>
        <w:t xml:space="preserve">, it is shown within this research that </w:t>
      </w:r>
      <w:r w:rsidR="00137ECF" w:rsidRPr="00137ECF">
        <w:rPr>
          <w:rFonts w:ascii="Arial" w:hAnsi="Arial" w:cs="Arial"/>
          <w:sz w:val="24"/>
          <w:szCs w:val="24"/>
        </w:rPr>
        <w:t>Families play a big role in students' college experiences. They often provide financial support, which helps students afford what they need for school. Families also give students emotional support, making them feel more confident and able to handle challenges. What families think about education can also influence how students do in school</w:t>
      </w:r>
      <w:r w:rsidR="00137ECF" w:rsidRPr="00137ECF">
        <w:rPr>
          <w:rFonts w:ascii="Arial" w:hAnsi="Arial" w:cs="Arial"/>
          <w:sz w:val="24"/>
          <w:szCs w:val="24"/>
        </w:rPr>
        <w:t xml:space="preserve"> for example </w:t>
      </w:r>
      <w:r w:rsidR="00137ECF" w:rsidRPr="00137ECF">
        <w:rPr>
          <w:rFonts w:ascii="Arial" w:hAnsi="Arial" w:cs="Arial"/>
          <w:sz w:val="24"/>
          <w:szCs w:val="24"/>
        </w:rPr>
        <w:t xml:space="preserve">seeing family members succeed can inspire students to do well in college too. Cultural values within families can affect students' decisions during college. </w:t>
      </w:r>
      <w:r w:rsidR="00137ECF" w:rsidRPr="00137ECF">
        <w:rPr>
          <w:rFonts w:ascii="Arial" w:hAnsi="Arial" w:cs="Arial"/>
          <w:sz w:val="24"/>
          <w:szCs w:val="24"/>
        </w:rPr>
        <w:t xml:space="preserve">Lastly, </w:t>
      </w:r>
      <w:proofErr w:type="gramStart"/>
      <w:r w:rsidR="00137ECF" w:rsidRPr="00137ECF">
        <w:rPr>
          <w:rFonts w:ascii="Arial" w:hAnsi="Arial" w:cs="Arial"/>
          <w:sz w:val="24"/>
          <w:szCs w:val="24"/>
        </w:rPr>
        <w:t>Sometimes</w:t>
      </w:r>
      <w:proofErr w:type="gramEnd"/>
      <w:r w:rsidR="00137ECF" w:rsidRPr="00137ECF">
        <w:rPr>
          <w:rFonts w:ascii="Arial" w:hAnsi="Arial" w:cs="Arial"/>
          <w:sz w:val="24"/>
          <w:szCs w:val="24"/>
        </w:rPr>
        <w:t> families help with practical things like getting to class or taking care of responsibilities, which makes it easier for students to focus on their studie</w:t>
      </w:r>
      <w:r w:rsidR="00137ECF" w:rsidRPr="00137ECF">
        <w:rPr>
          <w:rFonts w:ascii="Arial" w:hAnsi="Arial" w:cs="Arial"/>
          <w:sz w:val="24"/>
          <w:szCs w:val="24"/>
        </w:rPr>
        <w:t>s</w:t>
      </w:r>
      <w:r w:rsidR="00137ECF" w:rsidRPr="00137ECF">
        <w:rPr>
          <w:rFonts w:ascii="Arial" w:hAnsi="Arial" w:cs="Arial"/>
          <w:sz w:val="24"/>
          <w:szCs w:val="24"/>
        </w:rPr>
        <w:t xml:space="preserve">. </w:t>
      </w:r>
      <w:r w:rsidRPr="00137ECF">
        <w:rPr>
          <w:rFonts w:ascii="Arial" w:hAnsi="Arial" w:cs="Arial"/>
          <w:color w:val="000000" w:themeColor="text1"/>
          <w:sz w:val="24"/>
          <w:szCs w:val="24"/>
        </w:rPr>
        <w:t xml:space="preserve">By researching areas like motivation, academic choices, and family environments, this study uncovers the complex </w:t>
      </w:r>
      <w:r w:rsidRPr="00137ECF">
        <w:rPr>
          <w:rFonts w:ascii="Arial" w:hAnsi="Arial" w:cs="Arial"/>
          <w:color w:val="000000" w:themeColor="text1"/>
          <w:sz w:val="24"/>
          <w:szCs w:val="24"/>
        </w:rPr>
        <w:lastRenderedPageBreak/>
        <w:t>connection between family dynamics and how well students do in college. In the next parts, we</w:t>
      </w:r>
      <w:r w:rsidR="00137ECF" w:rsidRPr="00137ECF">
        <w:rPr>
          <w:rFonts w:ascii="Arial" w:hAnsi="Arial" w:cs="Arial"/>
          <w:color w:val="000000" w:themeColor="text1"/>
          <w:sz w:val="24"/>
          <w:szCs w:val="24"/>
        </w:rPr>
        <w:t xml:space="preserve"> wi</w:t>
      </w:r>
      <w:r w:rsidRPr="00137ECF">
        <w:rPr>
          <w:rFonts w:ascii="Arial" w:hAnsi="Arial" w:cs="Arial"/>
          <w:color w:val="000000" w:themeColor="text1"/>
          <w:sz w:val="24"/>
          <w:szCs w:val="24"/>
        </w:rPr>
        <w:t>ll look at specific parts of this relationship, giving detailed insights and analysis to understand better how families influence college students.</w:t>
      </w:r>
    </w:p>
    <w:p w14:paraId="6449DA8A" w14:textId="5226FE1D" w:rsidR="00137ECF" w:rsidRPr="00137ECF" w:rsidRDefault="005217D4" w:rsidP="00137ECF">
      <w:pPr>
        <w:pStyle w:val="NormalWeb"/>
        <w:spacing w:line="360" w:lineRule="auto"/>
        <w:rPr>
          <w:rFonts w:ascii="Arial" w:hAnsi="Arial" w:cs="Arial"/>
        </w:rPr>
      </w:pPr>
      <w:r w:rsidRPr="00137ECF">
        <w:rPr>
          <w:rFonts w:ascii="Arial" w:hAnsi="Arial" w:cs="Arial"/>
          <w:color w:val="000000" w:themeColor="text1"/>
        </w:rPr>
        <w:t>One notable aspect of how families influence college students is their impact on students' motivation levels. The investigation revealed the significant influence of families in moulding and maintaining students' motivation during their college experience (</w:t>
      </w:r>
      <w:proofErr w:type="spellStart"/>
      <w:r w:rsidRPr="00137ECF">
        <w:rPr>
          <w:rFonts w:ascii="Arial" w:hAnsi="Arial" w:cs="Arial"/>
          <w:color w:val="000000" w:themeColor="text1"/>
        </w:rPr>
        <w:t>Nieuwoudt</w:t>
      </w:r>
      <w:proofErr w:type="spellEnd"/>
      <w:r w:rsidRPr="00137ECF">
        <w:rPr>
          <w:rFonts w:ascii="Arial" w:hAnsi="Arial" w:cs="Arial"/>
          <w:color w:val="000000" w:themeColor="text1"/>
        </w:rPr>
        <w:t xml:space="preserve"> &amp; </w:t>
      </w:r>
      <w:proofErr w:type="spellStart"/>
      <w:r w:rsidRPr="00137ECF">
        <w:rPr>
          <w:rFonts w:ascii="Arial" w:hAnsi="Arial" w:cs="Arial"/>
          <w:color w:val="000000" w:themeColor="text1"/>
        </w:rPr>
        <w:t>Pedler</w:t>
      </w:r>
      <w:proofErr w:type="spellEnd"/>
      <w:r w:rsidR="00137ECF" w:rsidRPr="00137ECF">
        <w:rPr>
          <w:rFonts w:ascii="Arial" w:hAnsi="Arial" w:cs="Arial"/>
          <w:color w:val="000000" w:themeColor="text1"/>
        </w:rPr>
        <w:t xml:space="preserve">, </w:t>
      </w:r>
      <w:r w:rsidRPr="00137ECF">
        <w:rPr>
          <w:rFonts w:ascii="Arial" w:hAnsi="Arial" w:cs="Arial"/>
          <w:color w:val="000000" w:themeColor="text1"/>
        </w:rPr>
        <w:t>2023) (Martin et al.</w:t>
      </w:r>
      <w:r w:rsidR="00137ECF" w:rsidRPr="00137ECF">
        <w:rPr>
          <w:rFonts w:ascii="Arial" w:hAnsi="Arial" w:cs="Arial"/>
          <w:color w:val="000000" w:themeColor="text1"/>
        </w:rPr>
        <w:t xml:space="preserve">, </w:t>
      </w:r>
      <w:r w:rsidRPr="00137ECF">
        <w:rPr>
          <w:rFonts w:ascii="Arial" w:hAnsi="Arial" w:cs="Arial"/>
          <w:color w:val="000000" w:themeColor="text1"/>
        </w:rPr>
        <w:t xml:space="preserve">2020). Positive elements within supportive family environments, such as positive reinforcement, encouragement, and a belief in the student's capabilities, have been noted to boost motivation for academic success. Conversely, </w:t>
      </w:r>
      <w:proofErr w:type="gramStart"/>
      <w:r w:rsidRPr="00137ECF">
        <w:rPr>
          <w:rFonts w:ascii="Arial" w:hAnsi="Arial" w:cs="Arial"/>
          <w:color w:val="000000" w:themeColor="text1"/>
        </w:rPr>
        <w:t>unfavourable</w:t>
      </w:r>
      <w:proofErr w:type="gramEnd"/>
      <w:r w:rsidRPr="00137ECF">
        <w:rPr>
          <w:rFonts w:ascii="Arial" w:hAnsi="Arial" w:cs="Arial"/>
          <w:color w:val="000000" w:themeColor="text1"/>
        </w:rPr>
        <w:t xml:space="preserve"> or neglectful family environments have been associated with a detrimental impact on students' motivation and overall academic engagement (Dolson &amp; Deemer, 2022). Comprehending the factors contributing to family influence on student motivation provides a basis for educators to devise effective strategies that support and empower students.</w:t>
      </w:r>
      <w:r w:rsidR="00137ECF" w:rsidRPr="00137ECF">
        <w:rPr>
          <w:rFonts w:ascii="Arial" w:hAnsi="Arial" w:cs="Arial"/>
          <w:color w:val="000000" w:themeColor="text1"/>
        </w:rPr>
        <w:t xml:space="preserve"> By </w:t>
      </w:r>
      <w:r w:rsidR="00137ECF" w:rsidRPr="00137ECF">
        <w:rPr>
          <w:rFonts w:ascii="Arial" w:hAnsi="Arial" w:cs="Arial"/>
        </w:rPr>
        <w:t>u</w:t>
      </w:r>
      <w:r w:rsidR="00137ECF" w:rsidRPr="00137ECF">
        <w:rPr>
          <w:rFonts w:ascii="Arial" w:hAnsi="Arial" w:cs="Arial"/>
        </w:rPr>
        <w:t xml:space="preserve">nderstanding the impact of families on student motivation is essential for </w:t>
      </w:r>
      <w:r w:rsidR="00137ECF" w:rsidRPr="00137ECF">
        <w:rPr>
          <w:rFonts w:ascii="Arial" w:hAnsi="Arial" w:cs="Arial"/>
        </w:rPr>
        <w:t xml:space="preserve">my role as </w:t>
      </w:r>
      <w:r w:rsidR="00137ECF" w:rsidRPr="00137ECF">
        <w:rPr>
          <w:rFonts w:ascii="Arial" w:hAnsi="Arial" w:cs="Arial"/>
        </w:rPr>
        <w:t xml:space="preserve">placement officer. </w:t>
      </w:r>
      <w:r w:rsidR="00137ECF" w:rsidRPr="00137ECF">
        <w:rPr>
          <w:rFonts w:ascii="Arial" w:hAnsi="Arial" w:cs="Arial"/>
        </w:rPr>
        <w:t>It will help provide</w:t>
      </w:r>
      <w:r w:rsidR="00137ECF" w:rsidRPr="00137ECF">
        <w:rPr>
          <w:rFonts w:ascii="Arial" w:hAnsi="Arial" w:cs="Arial"/>
        </w:rPr>
        <w:t xml:space="preserve"> valuable insights into the challenges and support systems </w:t>
      </w:r>
      <w:r w:rsidR="00137ECF" w:rsidRPr="00137ECF">
        <w:rPr>
          <w:rFonts w:ascii="Arial" w:hAnsi="Arial" w:cs="Arial"/>
        </w:rPr>
        <w:t xml:space="preserve">the </w:t>
      </w:r>
      <w:r w:rsidR="00137ECF" w:rsidRPr="00137ECF">
        <w:rPr>
          <w:rFonts w:ascii="Arial" w:hAnsi="Arial" w:cs="Arial"/>
        </w:rPr>
        <w:t xml:space="preserve">students face during </w:t>
      </w:r>
      <w:r w:rsidR="00137ECF" w:rsidRPr="00137ECF">
        <w:rPr>
          <w:rFonts w:ascii="Arial" w:hAnsi="Arial" w:cs="Arial"/>
        </w:rPr>
        <w:t xml:space="preserve">their time in </w:t>
      </w:r>
      <w:r w:rsidR="00137ECF" w:rsidRPr="00137ECF">
        <w:rPr>
          <w:rFonts w:ascii="Arial" w:hAnsi="Arial" w:cs="Arial"/>
        </w:rPr>
        <w:t xml:space="preserve">college. With this knowledge, </w:t>
      </w:r>
      <w:r w:rsidR="00137ECF" w:rsidRPr="00137ECF">
        <w:rPr>
          <w:rFonts w:ascii="Arial" w:hAnsi="Arial" w:cs="Arial"/>
        </w:rPr>
        <w:t>I will be able to</w:t>
      </w:r>
      <w:r w:rsidR="00137ECF" w:rsidRPr="00137ECF">
        <w:rPr>
          <w:rFonts w:ascii="Arial" w:hAnsi="Arial" w:cs="Arial"/>
        </w:rPr>
        <w:t xml:space="preserve"> develop personalised support strategies</w:t>
      </w:r>
      <w:r w:rsidR="00137ECF" w:rsidRPr="00137ECF">
        <w:rPr>
          <w:rFonts w:ascii="Arial" w:hAnsi="Arial" w:cs="Arial"/>
        </w:rPr>
        <w:t xml:space="preserve"> for students</w:t>
      </w:r>
      <w:r w:rsidR="00137ECF" w:rsidRPr="00137ECF">
        <w:rPr>
          <w:rFonts w:ascii="Arial" w:hAnsi="Arial" w:cs="Arial"/>
        </w:rPr>
        <w:t>.</w:t>
      </w:r>
    </w:p>
    <w:p w14:paraId="0051C8D0" w14:textId="4DD0F327" w:rsidR="00137ECF" w:rsidRPr="00137ECF" w:rsidRDefault="00137ECF" w:rsidP="00137ECF">
      <w:pPr>
        <w:pStyle w:val="NormalWeb"/>
        <w:spacing w:line="360" w:lineRule="auto"/>
        <w:rPr>
          <w:rFonts w:ascii="Arial" w:hAnsi="Arial" w:cs="Arial"/>
        </w:rPr>
      </w:pPr>
      <w:r w:rsidRPr="00137ECF">
        <w:rPr>
          <w:rFonts w:ascii="Arial" w:hAnsi="Arial" w:cs="Arial"/>
        </w:rPr>
        <w:t xml:space="preserve">For example, if </w:t>
      </w:r>
      <w:r w:rsidRPr="00137ECF">
        <w:rPr>
          <w:rFonts w:ascii="Arial" w:hAnsi="Arial" w:cs="Arial"/>
        </w:rPr>
        <w:t>I was able to</w:t>
      </w:r>
      <w:r w:rsidRPr="00137ECF">
        <w:rPr>
          <w:rFonts w:ascii="Arial" w:hAnsi="Arial" w:cs="Arial"/>
        </w:rPr>
        <w:t xml:space="preserve"> notice that a student's motivation is affected by their family's academic expectations, </w:t>
      </w:r>
      <w:r w:rsidRPr="00137ECF">
        <w:rPr>
          <w:rFonts w:ascii="Arial" w:hAnsi="Arial" w:cs="Arial"/>
        </w:rPr>
        <w:t>I</w:t>
      </w:r>
      <w:r w:rsidRPr="00137ECF">
        <w:rPr>
          <w:rFonts w:ascii="Arial" w:hAnsi="Arial" w:cs="Arial"/>
        </w:rPr>
        <w:t xml:space="preserve"> can work with the student to set realistic goals</w:t>
      </w:r>
      <w:r w:rsidRPr="00137ECF">
        <w:rPr>
          <w:rFonts w:ascii="Arial" w:hAnsi="Arial" w:cs="Arial"/>
        </w:rPr>
        <w:t xml:space="preserve"> and inform families of these goals, while also</w:t>
      </w:r>
      <w:r w:rsidRPr="00137ECF">
        <w:rPr>
          <w:rFonts w:ascii="Arial" w:hAnsi="Arial" w:cs="Arial"/>
        </w:rPr>
        <w:t xml:space="preserve"> provid</w:t>
      </w:r>
      <w:r w:rsidRPr="00137ECF">
        <w:rPr>
          <w:rFonts w:ascii="Arial" w:hAnsi="Arial" w:cs="Arial"/>
        </w:rPr>
        <w:t>ing</w:t>
      </w:r>
      <w:r w:rsidRPr="00137ECF">
        <w:rPr>
          <w:rFonts w:ascii="Arial" w:hAnsi="Arial" w:cs="Arial"/>
        </w:rPr>
        <w:t xml:space="preserve"> appropriate support during the placement </w:t>
      </w:r>
      <w:r w:rsidRPr="00137ECF">
        <w:rPr>
          <w:rFonts w:ascii="Arial" w:hAnsi="Arial" w:cs="Arial"/>
        </w:rPr>
        <w:t xml:space="preserve">to the student to make sure they are not under any more pressure. </w:t>
      </w:r>
      <w:r w:rsidRPr="00137ECF">
        <w:rPr>
          <w:rFonts w:ascii="Arial" w:hAnsi="Arial" w:cs="Arial"/>
        </w:rPr>
        <w:t xml:space="preserve">On the other hand, if family issues or financial difficulties are hindering a student's </w:t>
      </w:r>
      <w:r w:rsidRPr="00137ECF">
        <w:rPr>
          <w:rFonts w:ascii="Arial" w:hAnsi="Arial" w:cs="Arial"/>
        </w:rPr>
        <w:t xml:space="preserve">motivation, I can support them in getting the correct support for these difficulties to improve their experience of placement. For example, as we work with vulnerable children and adult settings, if this is a tigger in their life I can work with the student and their family to find the best possible placement including making sure they are receiving </w:t>
      </w:r>
      <w:r w:rsidRPr="00137ECF">
        <w:rPr>
          <w:rFonts w:ascii="Arial" w:hAnsi="Arial" w:cs="Arial"/>
        </w:rPr>
        <w:t xml:space="preserve">support </w:t>
      </w:r>
      <w:r w:rsidRPr="00137ECF">
        <w:rPr>
          <w:rFonts w:ascii="Arial" w:hAnsi="Arial" w:cs="Arial"/>
        </w:rPr>
        <w:t>from an SSO while out on placement.</w:t>
      </w:r>
    </w:p>
    <w:p w14:paraId="5C917D85" w14:textId="77777777" w:rsidR="00137ECF" w:rsidRPr="00137ECF" w:rsidRDefault="00137ECF" w:rsidP="00137ECF">
      <w:pPr>
        <w:pStyle w:val="NormalWeb"/>
        <w:spacing w:line="360" w:lineRule="auto"/>
        <w:rPr>
          <w:rFonts w:ascii="Arial" w:hAnsi="Arial" w:cs="Arial"/>
        </w:rPr>
      </w:pPr>
      <w:r w:rsidRPr="00137ECF">
        <w:rPr>
          <w:rFonts w:ascii="Arial" w:hAnsi="Arial" w:cs="Arial"/>
        </w:rPr>
        <w:lastRenderedPageBreak/>
        <w:t>Overall, understanding how families influence student motivation allows placement officers to offer tailored support to students, ensuring they have the best possible experience during their college placements.</w:t>
      </w:r>
    </w:p>
    <w:p w14:paraId="5ABCEB45" w14:textId="54894CBB" w:rsidR="005217D4" w:rsidRPr="00137ECF" w:rsidRDefault="005217D4" w:rsidP="00137ECF">
      <w:pPr>
        <w:spacing w:line="360" w:lineRule="auto"/>
        <w:rPr>
          <w:rFonts w:ascii="Arial" w:hAnsi="Arial" w:cs="Arial"/>
          <w:color w:val="000000" w:themeColor="text1"/>
          <w:sz w:val="24"/>
          <w:szCs w:val="24"/>
        </w:rPr>
      </w:pPr>
    </w:p>
    <w:p w14:paraId="72FF4CE3" w14:textId="2DBAC684"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Family expectations significantly impact the academic choices made by college students, as revealed by studies Waterhouse et al., </w:t>
      </w:r>
      <w:r w:rsidR="00137ECF" w:rsidRPr="00137ECF">
        <w:rPr>
          <w:rFonts w:ascii="Arial" w:hAnsi="Arial" w:cs="Arial"/>
          <w:color w:val="000000" w:themeColor="text1"/>
          <w:sz w:val="24"/>
          <w:szCs w:val="24"/>
        </w:rPr>
        <w:t>(</w:t>
      </w:r>
      <w:r w:rsidRPr="00137ECF">
        <w:rPr>
          <w:rFonts w:ascii="Arial" w:hAnsi="Arial" w:cs="Arial"/>
          <w:color w:val="000000" w:themeColor="text1"/>
          <w:sz w:val="24"/>
          <w:szCs w:val="24"/>
        </w:rPr>
        <w:t>2022)</w:t>
      </w:r>
      <w:r w:rsidR="00137ECF" w:rsidRPr="00137ECF">
        <w:rPr>
          <w:rFonts w:ascii="Arial" w:hAnsi="Arial" w:cs="Arial"/>
          <w:color w:val="000000" w:themeColor="text1"/>
          <w:sz w:val="24"/>
          <w:szCs w:val="24"/>
        </w:rPr>
        <w:t xml:space="preserve"> and</w:t>
      </w:r>
      <w:r w:rsidRPr="00137ECF">
        <w:rPr>
          <w:rFonts w:ascii="Arial" w:hAnsi="Arial" w:cs="Arial"/>
          <w:color w:val="000000" w:themeColor="text1"/>
          <w:sz w:val="24"/>
          <w:szCs w:val="24"/>
        </w:rPr>
        <w:t xml:space="preserve"> Dolson &amp; </w:t>
      </w:r>
      <w:proofErr w:type="spellStart"/>
      <w:r w:rsidRPr="00137ECF">
        <w:rPr>
          <w:rFonts w:ascii="Arial" w:hAnsi="Arial" w:cs="Arial"/>
          <w:color w:val="000000" w:themeColor="text1"/>
          <w:sz w:val="24"/>
          <w:szCs w:val="24"/>
        </w:rPr>
        <w:t>Deemer</w:t>
      </w:r>
      <w:proofErr w:type="spellEnd"/>
      <w:r w:rsidRPr="00137ECF">
        <w:rPr>
          <w:rFonts w:ascii="Arial" w:hAnsi="Arial" w:cs="Arial"/>
          <w:color w:val="000000" w:themeColor="text1"/>
          <w:sz w:val="24"/>
          <w:szCs w:val="24"/>
        </w:rPr>
        <w:t xml:space="preserve">, </w:t>
      </w:r>
      <w:r w:rsidR="00137ECF" w:rsidRPr="00137ECF">
        <w:rPr>
          <w:rFonts w:ascii="Arial" w:hAnsi="Arial" w:cs="Arial"/>
          <w:color w:val="000000" w:themeColor="text1"/>
          <w:sz w:val="24"/>
          <w:szCs w:val="24"/>
        </w:rPr>
        <w:t>(</w:t>
      </w:r>
      <w:r w:rsidRPr="00137ECF">
        <w:rPr>
          <w:rFonts w:ascii="Arial" w:hAnsi="Arial" w:cs="Arial"/>
          <w:color w:val="000000" w:themeColor="text1"/>
          <w:sz w:val="24"/>
          <w:szCs w:val="24"/>
        </w:rPr>
        <w:t xml:space="preserve">2022). Students often </w:t>
      </w:r>
      <w:proofErr w:type="gramStart"/>
      <w:r w:rsidRPr="00137ECF">
        <w:rPr>
          <w:rFonts w:ascii="Arial" w:hAnsi="Arial" w:cs="Arial"/>
          <w:color w:val="000000" w:themeColor="text1"/>
          <w:sz w:val="24"/>
          <w:szCs w:val="24"/>
        </w:rPr>
        <w:t>take into account</w:t>
      </w:r>
      <w:proofErr w:type="gramEnd"/>
      <w:r w:rsidRPr="00137ECF">
        <w:rPr>
          <w:rFonts w:ascii="Arial" w:hAnsi="Arial" w:cs="Arial"/>
          <w:color w:val="000000" w:themeColor="text1"/>
          <w:sz w:val="24"/>
          <w:szCs w:val="24"/>
        </w:rPr>
        <w:t xml:space="preserve"> their families' expectations when deciding on their course of study, choice of major, and academic goals. High family expectations can serve as a driving force for students, motivating them to excel and pursue fields aligned with their family's aspirations. However, </w:t>
      </w:r>
      <w:proofErr w:type="gramStart"/>
      <w:r w:rsidRPr="00137ECF">
        <w:rPr>
          <w:rFonts w:ascii="Arial" w:hAnsi="Arial" w:cs="Arial"/>
          <w:color w:val="000000" w:themeColor="text1"/>
          <w:sz w:val="24"/>
          <w:szCs w:val="24"/>
        </w:rPr>
        <w:t>conflicting</w:t>
      </w:r>
      <w:proofErr w:type="gramEnd"/>
      <w:r w:rsidRPr="00137ECF">
        <w:rPr>
          <w:rFonts w:ascii="Arial" w:hAnsi="Arial" w:cs="Arial"/>
          <w:color w:val="000000" w:themeColor="text1"/>
          <w:sz w:val="24"/>
          <w:szCs w:val="24"/>
        </w:rPr>
        <w:t xml:space="preserve"> or unrealistic expectations may lead to internal conflicts and decision-making dilemmas for students. Understanding the impact of family expectations is crucial for college practitioners to provide guidance and support to students in navigating the complex landscape of academic choices (Samra et al., 2021).</w:t>
      </w:r>
    </w:p>
    <w:p w14:paraId="6D874747"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Studies also examined the role of supportive and detrimental family environments on college students' overall well-being and academic performance. Findings indicate that students who grew up in supportive family environments, characterised by open communication, emotional support, and a sense of belonging, demonstrated higher levels of satisfaction, resilience, and success in their college endeavours (Dolson &amp; Deemer, 2022) (Waterhouse et al., 2022). Conversely, students from detrimental family environments, marked by conflict, lack of support, or dysfunctional dynamics, often faced greater challenges and obstacles in their academic journeys. Understanding the differences between supportive and detrimental family environments can inform interventions and support systems that promote the well-being and success of college students (Waterhouse et al., 2022).</w:t>
      </w:r>
    </w:p>
    <w:p w14:paraId="0A94D7A5" w14:textId="461BCCDD"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From </w:t>
      </w:r>
      <w:r w:rsidR="00137ECF" w:rsidRPr="00137ECF">
        <w:rPr>
          <w:rFonts w:ascii="Arial" w:hAnsi="Arial" w:cs="Arial"/>
          <w:color w:val="000000" w:themeColor="text1"/>
          <w:sz w:val="24"/>
          <w:szCs w:val="24"/>
        </w:rPr>
        <w:t xml:space="preserve">previous research </w:t>
      </w:r>
      <w:r w:rsidRPr="00137ECF">
        <w:rPr>
          <w:rFonts w:ascii="Arial" w:hAnsi="Arial" w:cs="Arial"/>
          <w:color w:val="000000" w:themeColor="text1"/>
          <w:sz w:val="24"/>
          <w:szCs w:val="24"/>
        </w:rPr>
        <w:t>I</w:t>
      </w:r>
      <w:r w:rsidR="00137ECF" w:rsidRPr="00137ECF">
        <w:rPr>
          <w:rFonts w:ascii="Arial" w:hAnsi="Arial" w:cs="Arial"/>
          <w:color w:val="000000" w:themeColor="text1"/>
          <w:sz w:val="24"/>
          <w:szCs w:val="24"/>
        </w:rPr>
        <w:t xml:space="preserve"> have found out </w:t>
      </w:r>
      <w:r w:rsidRPr="00137ECF">
        <w:rPr>
          <w:rFonts w:ascii="Arial" w:hAnsi="Arial" w:cs="Arial"/>
          <w:color w:val="000000" w:themeColor="text1"/>
          <w:sz w:val="24"/>
          <w:szCs w:val="24"/>
        </w:rPr>
        <w:t xml:space="preserve">about how families affect college students, it's clear that family dynamics and support from parents matter for how well students do in their studies. The research shows that what families expect can shape how </w:t>
      </w:r>
      <w:r w:rsidRPr="00137ECF">
        <w:rPr>
          <w:rFonts w:ascii="Arial" w:hAnsi="Arial" w:cs="Arial"/>
          <w:color w:val="000000" w:themeColor="text1"/>
          <w:sz w:val="24"/>
          <w:szCs w:val="24"/>
        </w:rPr>
        <w:lastRenderedPageBreak/>
        <w:t>students decide what to study, pointing out how having a supportive family is different from dealing with challenges (Chen et al.2022). As a lecturer, I see different ways I can positively help my students.</w:t>
      </w:r>
    </w:p>
    <w:p w14:paraId="20BD5F92" w14:textId="359DD1C2" w:rsidR="005217D4" w:rsidRPr="00137ECF" w:rsidRDefault="005217D4" w:rsidP="00137ECF">
      <w:pPr>
        <w:spacing w:line="360" w:lineRule="auto"/>
        <w:rPr>
          <w:rFonts w:ascii="Arial" w:hAnsi="Arial" w:cs="Arial"/>
          <w:color w:val="000000" w:themeColor="text1"/>
          <w:sz w:val="24"/>
          <w:szCs w:val="24"/>
        </w:rPr>
      </w:pPr>
      <w:proofErr w:type="gramStart"/>
      <w:r w:rsidRPr="00137ECF">
        <w:rPr>
          <w:rFonts w:ascii="Arial" w:hAnsi="Arial" w:cs="Arial"/>
          <w:color w:val="000000" w:themeColor="text1"/>
          <w:sz w:val="24"/>
          <w:szCs w:val="24"/>
        </w:rPr>
        <w:t>Looking forward, there</w:t>
      </w:r>
      <w:proofErr w:type="gramEnd"/>
      <w:r w:rsidRPr="00137ECF">
        <w:rPr>
          <w:rFonts w:ascii="Arial" w:hAnsi="Arial" w:cs="Arial"/>
          <w:color w:val="000000" w:themeColor="text1"/>
          <w:sz w:val="24"/>
          <w:szCs w:val="24"/>
        </w:rPr>
        <w:t xml:space="preserve"> exists a compelling need for further research to delve into the enduring effects of family influence on students’ post-college graduation. The exploration of how family dynamics persist in shaping students beyond their college years presents an intriguing area deserving of more profound investigation. As I contemplate integrating these findings into my work, I envision fostering a classroom environment that extends beyond the subject matter, incorporating discussions about career goals and the role of family expectations in shaping students' academic paths. This way, I</w:t>
      </w:r>
      <w:r w:rsidR="00137ECF" w:rsidRPr="00137ECF">
        <w:rPr>
          <w:rFonts w:ascii="Arial" w:hAnsi="Arial" w:cs="Arial"/>
          <w:color w:val="000000" w:themeColor="text1"/>
          <w:sz w:val="24"/>
          <w:szCs w:val="24"/>
        </w:rPr>
        <w:t xml:space="preserve"> a</w:t>
      </w:r>
      <w:r w:rsidRPr="00137ECF">
        <w:rPr>
          <w:rFonts w:ascii="Arial" w:hAnsi="Arial" w:cs="Arial"/>
          <w:color w:val="000000" w:themeColor="text1"/>
          <w:sz w:val="24"/>
          <w:szCs w:val="24"/>
        </w:rPr>
        <w:t>m not just teaching the material but also helping students think about their future beyond college which is supported by Rhiem (2021). It</w:t>
      </w:r>
      <w:r w:rsidR="00137ECF" w:rsidRPr="00137ECF">
        <w:rPr>
          <w:rFonts w:ascii="Arial" w:hAnsi="Arial" w:cs="Arial"/>
          <w:color w:val="000000" w:themeColor="text1"/>
          <w:sz w:val="24"/>
          <w:szCs w:val="24"/>
        </w:rPr>
        <w:t xml:space="preserve"> is</w:t>
      </w:r>
      <w:r w:rsidRPr="00137ECF">
        <w:rPr>
          <w:rFonts w:ascii="Arial" w:hAnsi="Arial" w:cs="Arial"/>
          <w:color w:val="000000" w:themeColor="text1"/>
          <w:sz w:val="24"/>
          <w:szCs w:val="24"/>
        </w:rPr>
        <w:t xml:space="preserve"> a good idea for future research to dig into how cultural and economic backgrounds impact the way families influence college students. In my lectures, I can bring in examples and stories that reflect different cultures, making sure my teaching is relevant and inclusive (Nelson Laird, 2010) (Sairsingh, et al., 2020).</w:t>
      </w:r>
    </w:p>
    <w:p w14:paraId="307FD6EA" w14:textId="076F51CB"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Regarding the recommendations for college practitioners and families, I can play my part in encouraging open communication. I can start discussions during my lectures that involve parents, practitioners, and students, creating a space for everyone to talk.</w:t>
      </w:r>
      <w:r w:rsidR="00137ECF" w:rsidRPr="00137ECF">
        <w:rPr>
          <w:rFonts w:ascii="Arial" w:hAnsi="Arial" w:cs="Arial"/>
          <w:color w:val="000000" w:themeColor="text1"/>
          <w:sz w:val="24"/>
          <w:szCs w:val="24"/>
        </w:rPr>
        <w:t xml:space="preserve"> For example, having open evenings where students and parents can find out about what their child will be expected to complete each term and answer any questions they may have.</w:t>
      </w:r>
      <w:r w:rsidRPr="00137ECF">
        <w:rPr>
          <w:rFonts w:ascii="Arial" w:hAnsi="Arial" w:cs="Arial"/>
          <w:color w:val="000000" w:themeColor="text1"/>
          <w:sz w:val="24"/>
          <w:szCs w:val="24"/>
        </w:rPr>
        <w:t xml:space="preserve"> This way, I'm contributing to a supportive environment for students.</w:t>
      </w:r>
      <w:r w:rsidR="006C0237"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 xml:space="preserve">In addition, I can work with team members to set up programs that help parents get involved and support their </w:t>
      </w:r>
      <w:r w:rsidR="00137ECF" w:rsidRPr="00137ECF">
        <w:rPr>
          <w:rFonts w:ascii="Arial" w:hAnsi="Arial" w:cs="Arial"/>
          <w:color w:val="000000" w:themeColor="text1"/>
          <w:sz w:val="24"/>
          <w:szCs w:val="24"/>
        </w:rPr>
        <w:t>children</w:t>
      </w:r>
      <w:r w:rsidRPr="00137ECF">
        <w:rPr>
          <w:rFonts w:ascii="Arial" w:hAnsi="Arial" w:cs="Arial"/>
          <w:color w:val="000000" w:themeColor="text1"/>
          <w:sz w:val="24"/>
          <w:szCs w:val="24"/>
        </w:rPr>
        <w:t xml:space="preserve"> better. Whether it's orientation programs or workshops, I can actively participate and encourage my students' families to engage with their education. During my lectures, I can share resources and tips, making sure parents understand how much their support matters.</w:t>
      </w:r>
    </w:p>
    <w:p w14:paraId="356B2890" w14:textId="3D7A3B39"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Through my review of existing research, it has become evident that families play a pivotal role in shaping students' educational experiences. This knowledge forms the basis for furthering my research endeavours and implementing practical applications based </w:t>
      </w:r>
      <w:r w:rsidRPr="00137ECF">
        <w:rPr>
          <w:rFonts w:ascii="Arial" w:hAnsi="Arial" w:cs="Arial"/>
          <w:color w:val="000000" w:themeColor="text1"/>
          <w:sz w:val="24"/>
          <w:szCs w:val="24"/>
        </w:rPr>
        <w:lastRenderedPageBreak/>
        <w:t>on the insights acquired.</w:t>
      </w:r>
      <w:r w:rsidR="006C0237"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As I extend my research, my objective is to contribute meaningfully to the existing understanding of the relationship between families and students' education. The aim is not merely to accumulate information but to offer valuable findings that can inform effective practices within the realm of education.</w:t>
      </w:r>
    </w:p>
    <w:p w14:paraId="6AFFFB48"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Furthermore, the insights gained from this exploration present an opportunity to bring about positive changes in my teaching approach. By understanding how important it is for families to be involved, I can create specific plans to better help students. This means making a welcoming learning space that appreciates and includes the role families play in students' education.</w:t>
      </w:r>
    </w:p>
    <w:p w14:paraId="7957EEF1" w14:textId="77777777" w:rsidR="005217D4" w:rsidRPr="00137ECF" w:rsidRDefault="005217D4" w:rsidP="00137ECF">
      <w:pPr>
        <w:spacing w:line="360" w:lineRule="auto"/>
        <w:rPr>
          <w:rFonts w:ascii="Arial" w:hAnsi="Arial" w:cs="Arial"/>
          <w:color w:val="000000" w:themeColor="text1"/>
          <w:sz w:val="24"/>
          <w:szCs w:val="24"/>
        </w:rPr>
      </w:pPr>
    </w:p>
    <w:p w14:paraId="3D768212" w14:textId="77777777" w:rsidR="005217D4" w:rsidRPr="00137ECF" w:rsidRDefault="005217D4" w:rsidP="00137ECF">
      <w:pPr>
        <w:spacing w:line="360" w:lineRule="auto"/>
        <w:rPr>
          <w:rFonts w:ascii="Arial" w:hAnsi="Arial" w:cs="Arial"/>
          <w:color w:val="000000" w:themeColor="text1"/>
          <w:sz w:val="24"/>
          <w:szCs w:val="24"/>
        </w:rPr>
      </w:pPr>
    </w:p>
    <w:p w14:paraId="0668C363" w14:textId="77777777" w:rsidR="005217D4" w:rsidRPr="00137ECF" w:rsidRDefault="005217D4" w:rsidP="00137ECF">
      <w:pPr>
        <w:spacing w:line="360" w:lineRule="auto"/>
        <w:rPr>
          <w:rFonts w:ascii="Arial" w:hAnsi="Arial" w:cs="Arial"/>
          <w:color w:val="000000" w:themeColor="text1"/>
          <w:sz w:val="24"/>
          <w:szCs w:val="24"/>
        </w:rPr>
      </w:pPr>
    </w:p>
    <w:p w14:paraId="3DFC9FC6" w14:textId="77777777" w:rsidR="005217D4" w:rsidRPr="00137ECF" w:rsidRDefault="005217D4" w:rsidP="00137ECF">
      <w:pPr>
        <w:spacing w:line="360" w:lineRule="auto"/>
        <w:rPr>
          <w:rFonts w:ascii="Arial" w:hAnsi="Arial" w:cs="Arial"/>
          <w:color w:val="000000" w:themeColor="text1"/>
          <w:sz w:val="24"/>
          <w:szCs w:val="24"/>
        </w:rPr>
      </w:pPr>
    </w:p>
    <w:p w14:paraId="161C6A7E" w14:textId="77777777" w:rsidR="005217D4" w:rsidRPr="00137ECF" w:rsidRDefault="005217D4" w:rsidP="00137ECF">
      <w:pPr>
        <w:spacing w:line="360" w:lineRule="auto"/>
        <w:rPr>
          <w:rFonts w:ascii="Arial" w:hAnsi="Arial" w:cs="Arial"/>
          <w:color w:val="000000" w:themeColor="text1"/>
          <w:sz w:val="24"/>
          <w:szCs w:val="24"/>
        </w:rPr>
      </w:pPr>
    </w:p>
    <w:p w14:paraId="142A4DCF" w14:textId="77777777" w:rsidR="005217D4" w:rsidRPr="00137ECF" w:rsidRDefault="005217D4" w:rsidP="00137ECF">
      <w:pPr>
        <w:spacing w:line="360" w:lineRule="auto"/>
        <w:rPr>
          <w:rFonts w:ascii="Arial" w:hAnsi="Arial" w:cs="Arial"/>
          <w:color w:val="000000" w:themeColor="text1"/>
          <w:sz w:val="24"/>
          <w:szCs w:val="24"/>
        </w:rPr>
      </w:pPr>
    </w:p>
    <w:p w14:paraId="7DF74285" w14:textId="77777777" w:rsidR="005217D4" w:rsidRPr="00137ECF" w:rsidRDefault="005217D4" w:rsidP="00137ECF">
      <w:pPr>
        <w:spacing w:line="360" w:lineRule="auto"/>
        <w:rPr>
          <w:rFonts w:ascii="Arial" w:hAnsi="Arial" w:cs="Arial"/>
          <w:color w:val="000000" w:themeColor="text1"/>
          <w:sz w:val="24"/>
          <w:szCs w:val="24"/>
        </w:rPr>
      </w:pPr>
    </w:p>
    <w:p w14:paraId="7C1C4E14" w14:textId="2A210823" w:rsidR="005217D4" w:rsidRPr="00137ECF" w:rsidRDefault="005217D4" w:rsidP="00137ECF">
      <w:pPr>
        <w:spacing w:line="360" w:lineRule="auto"/>
        <w:rPr>
          <w:rFonts w:ascii="Arial" w:hAnsi="Arial" w:cs="Arial"/>
          <w:b/>
          <w:bCs/>
          <w:color w:val="000000" w:themeColor="text1"/>
          <w:sz w:val="24"/>
          <w:szCs w:val="24"/>
          <w:u w:val="single"/>
        </w:rPr>
      </w:pPr>
      <w:r w:rsidRPr="00137ECF">
        <w:rPr>
          <w:rFonts w:ascii="Arial" w:hAnsi="Arial" w:cs="Arial"/>
          <w:b/>
          <w:bCs/>
          <w:color w:val="000000" w:themeColor="text1"/>
          <w:sz w:val="24"/>
          <w:szCs w:val="24"/>
          <w:u w:val="single"/>
        </w:rPr>
        <w:t>Section Five:</w:t>
      </w:r>
    </w:p>
    <w:p w14:paraId="64EC6068" w14:textId="77777777" w:rsidR="005217D4" w:rsidRPr="00137ECF" w:rsidRDefault="005217D4" w:rsidP="00137ECF">
      <w:pPr>
        <w:spacing w:line="360" w:lineRule="auto"/>
        <w:rPr>
          <w:rFonts w:ascii="Arial" w:hAnsi="Arial" w:cs="Arial"/>
          <w:color w:val="000000" w:themeColor="text1"/>
          <w:sz w:val="24"/>
          <w:szCs w:val="24"/>
          <w:u w:val="single"/>
        </w:rPr>
      </w:pPr>
      <w:r w:rsidRPr="00137ECF">
        <w:rPr>
          <w:rFonts w:ascii="Arial" w:hAnsi="Arial" w:cs="Arial"/>
          <w:color w:val="000000" w:themeColor="text1"/>
          <w:sz w:val="24"/>
          <w:szCs w:val="24"/>
          <w:u w:val="single"/>
        </w:rPr>
        <w:t>Reflection.</w:t>
      </w:r>
    </w:p>
    <w:p w14:paraId="0F308401"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lastRenderedPageBreak/>
        <w:t>In recent years, there has been a growing recognition of the importance of providing students with practical experiences in the field of healthcare (Markowski et al.2021). This section aims to provide an overview of the reflection on incorporating health boards as a valuable placement opportunity for students. The significance of this topic will be discussed, followed by an exploration of the benefits and challenges associated with this placement opportunity. Using Graham Gibbs' Reflective Cycle Theory (1988), this essay will reflect on the recent placement opportunity to improve future experiences. The discussion will cover the six stages in Gibbs' Reflective Cycle, exploring the event, feedback from all parties involved, evaluating both positives and negatives, analysing the overall situation, and concluding with key learnings. Finally, the reflection will also include plans for a more streamlined approach in future Health Board placements.</w:t>
      </w:r>
    </w:p>
    <w:p w14:paraId="11B081BF" w14:textId="375A537B"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There are numerous benefits of incorporating the Health Board as a placement opportunity for students. Being in a real healthcare setup helps students learn by doing and getting hands-on experience. Hands-on experience can be seen to help students retain more information (Cridlin, 2007), and by getting to watch and learn from experienced healthcare professionals, which boosts their practical skills and knowledge (Billings et al.2021). This exposure isn't just about skills, it also gives them a better understanding of how the whole healthcare system works in real life. It's like a more practical and down-to-earth way of learning, getting them ready for what's ahead in the healthcare field. Students may also have the chance to collaborate with other healthcare professionals and gain insights into interprofessional teamwork and communication skills (Sanko et al., 2022).</w:t>
      </w:r>
    </w:p>
    <w:p w14:paraId="1D17D06E" w14:textId="76B89CBE"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Additionally, being placed in a Health Board setting allows students to</w:t>
      </w:r>
      <w:r w:rsidR="006C0237"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contribute to the delivery of quality patient care and make a positive impact on the lives of individuals in the community. Moreover, students can build professional networks and establish valuable connections with healthcare professionals, which can open doors for future employment and career opportunities. Building relationships by networking has been seen to have many benefits such as uncovering job opportunities that others cannot, supporting career advancement, exploring different paths and many more (Hamlin, 2022).</w:t>
      </w:r>
      <w:r w:rsidR="006C0237"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 xml:space="preserve">To facilitate student placements within the health board, my first task as a placement officer was to conduct a comprehensive risk assessment. Lele (2012, p.1) states 'It </w:t>
      </w:r>
      <w:r w:rsidRPr="00137ECF">
        <w:rPr>
          <w:rFonts w:ascii="Arial" w:hAnsi="Arial" w:cs="Arial"/>
          <w:color w:val="000000" w:themeColor="text1"/>
          <w:sz w:val="24"/>
          <w:szCs w:val="24"/>
        </w:rPr>
        <w:lastRenderedPageBreak/>
        <w:t>involves identifying the hazards present in any undertaking and then evaluating the extent of the risks involved, taking into account existing precautions'.</w:t>
      </w:r>
    </w:p>
    <w:p w14:paraId="6849E275" w14:textId="10DD165B"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Considering the diverse areas and multiple campuses of the hospital, I opted to consult the college's Health and Safety Officer. Undertaking a comprehensive risk assessment of this magnitude pushed me beyond my usual comfort zone, inducing a sense of nervousness and the acknowledgement of being outside my familiar expertise. It is seen in the Learning Zone Model by Lev Vygotsky (1978) that pushing yourself to step outside of your comfort zone too much can make people panic and feel overwhelmed. To be able to build your confidence it is suggested to work with others (Mind Tools, 2023). Therefore, I briefed the Health and Safety Officer on the situation and sought guidance on effectively conducting health and safety inspections for such a large organization. He was able to offer valuable support and proposed a collaborative approach. We decided to meet with the health board's own health and safety officer. Over several meetings, we provided information about our students' activities during placements, and she, in turn, familiarized us with the various departments our students would be attending, along with the required paperwork. This collaborative effort spanned a year, ensuring both parties had all the necessary information for thorough health and safety checks before placing students. This means that we as a team were making sure all the correct procedures were in place and adjusting anything within the environment that could be detected as a risk to our students, avoiding any dangerous situations</w:t>
      </w:r>
      <w:r w:rsidR="00137ECF" w:rsidRPr="00137ECF">
        <w:rPr>
          <w:rFonts w:ascii="Arial" w:hAnsi="Arial" w:cs="Arial"/>
          <w:color w:val="000000" w:themeColor="text1"/>
          <w:sz w:val="24"/>
          <w:szCs w:val="24"/>
        </w:rPr>
        <w:t xml:space="preserve">, which is suggested by </w:t>
      </w:r>
      <w:proofErr w:type="spellStart"/>
      <w:r w:rsidRPr="00137ECF">
        <w:rPr>
          <w:rFonts w:ascii="Arial" w:hAnsi="Arial" w:cs="Arial"/>
          <w:color w:val="000000" w:themeColor="text1"/>
          <w:sz w:val="24"/>
          <w:szCs w:val="24"/>
        </w:rPr>
        <w:t>Ynze</w:t>
      </w:r>
      <w:proofErr w:type="spellEnd"/>
      <w:r w:rsidR="00137ECF"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2012).</w:t>
      </w:r>
    </w:p>
    <w:p w14:paraId="27C0CC3C" w14:textId="3781A221"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With all the necessary paperwork finalized and both sides completing the risk assessment, the next step involved collaboration with</w:t>
      </w:r>
      <w:r w:rsidR="00137ECF" w:rsidRPr="00137ECF">
        <w:rPr>
          <w:rFonts w:ascii="Arial" w:hAnsi="Arial" w:cs="Arial"/>
          <w:color w:val="000000" w:themeColor="text1"/>
          <w:sz w:val="24"/>
          <w:szCs w:val="24"/>
        </w:rPr>
        <w:t xml:space="preserve"> the manager of the students within the health board</w:t>
      </w:r>
      <w:r w:rsidRPr="00137ECF">
        <w:rPr>
          <w:rFonts w:ascii="Arial" w:hAnsi="Arial" w:cs="Arial"/>
          <w:color w:val="000000" w:themeColor="text1"/>
          <w:sz w:val="24"/>
          <w:szCs w:val="24"/>
        </w:rPr>
        <w:t xml:space="preserve">. In </w:t>
      </w:r>
      <w:r w:rsidR="00137ECF" w:rsidRPr="00137ECF">
        <w:rPr>
          <w:rFonts w:ascii="Arial" w:hAnsi="Arial" w:cs="Arial"/>
          <w:color w:val="000000" w:themeColor="text1"/>
          <w:sz w:val="24"/>
          <w:szCs w:val="24"/>
        </w:rPr>
        <w:t>the</w:t>
      </w:r>
      <w:r w:rsidRPr="00137ECF">
        <w:rPr>
          <w:rFonts w:ascii="Arial" w:hAnsi="Arial" w:cs="Arial"/>
          <w:color w:val="000000" w:themeColor="text1"/>
          <w:sz w:val="24"/>
          <w:szCs w:val="24"/>
        </w:rPr>
        <w:t xml:space="preserve"> role</w:t>
      </w:r>
      <w:r w:rsidR="00137ECF" w:rsidRPr="00137ECF">
        <w:rPr>
          <w:rFonts w:ascii="Arial" w:hAnsi="Arial" w:cs="Arial"/>
          <w:color w:val="000000" w:themeColor="text1"/>
          <w:sz w:val="24"/>
          <w:szCs w:val="24"/>
        </w:rPr>
        <w:t xml:space="preserve"> of the manager</w:t>
      </w:r>
      <w:r w:rsidRPr="00137ECF">
        <w:rPr>
          <w:rFonts w:ascii="Arial" w:hAnsi="Arial" w:cs="Arial"/>
          <w:color w:val="000000" w:themeColor="text1"/>
          <w:sz w:val="24"/>
          <w:szCs w:val="24"/>
        </w:rPr>
        <w:t xml:space="preserve"> within the Health Board, typically facilitat</w:t>
      </w:r>
      <w:r w:rsidR="00137ECF" w:rsidRPr="00137ECF">
        <w:rPr>
          <w:rFonts w:ascii="Arial" w:hAnsi="Arial" w:cs="Arial"/>
          <w:color w:val="000000" w:themeColor="text1"/>
          <w:sz w:val="24"/>
          <w:szCs w:val="24"/>
        </w:rPr>
        <w:t>ing</w:t>
      </w:r>
      <w:r w:rsidRPr="00137ECF">
        <w:rPr>
          <w:rFonts w:ascii="Arial" w:hAnsi="Arial" w:cs="Arial"/>
          <w:color w:val="000000" w:themeColor="text1"/>
          <w:sz w:val="24"/>
          <w:szCs w:val="24"/>
        </w:rPr>
        <w:t xml:space="preserve"> the placement of student nurses to work with our organization and students. Several meetings were conducted with </w:t>
      </w:r>
      <w:r w:rsidR="00137ECF" w:rsidRPr="00137ECF">
        <w:rPr>
          <w:rFonts w:ascii="Arial" w:hAnsi="Arial" w:cs="Arial"/>
          <w:color w:val="000000" w:themeColor="text1"/>
          <w:sz w:val="24"/>
          <w:szCs w:val="24"/>
        </w:rPr>
        <w:t>the manager and her</w:t>
      </w:r>
      <w:r w:rsidRPr="00137ECF">
        <w:rPr>
          <w:rFonts w:ascii="Arial" w:hAnsi="Arial" w:cs="Arial"/>
          <w:color w:val="000000" w:themeColor="text1"/>
          <w:sz w:val="24"/>
          <w:szCs w:val="24"/>
        </w:rPr>
        <w:t xml:space="preserve"> team, alongside our team, to outline the objectives for our students' placements and to understand the expectations from both parties.</w:t>
      </w:r>
      <w:r w:rsidR="006C0237" w:rsidRPr="00137ECF">
        <w:rPr>
          <w:rFonts w:ascii="Arial" w:hAnsi="Arial" w:cs="Arial"/>
          <w:color w:val="000000" w:themeColor="text1"/>
          <w:sz w:val="24"/>
          <w:szCs w:val="24"/>
        </w:rPr>
        <w:t xml:space="preserve"> </w:t>
      </w:r>
      <w:r w:rsidRPr="00137ECF">
        <w:rPr>
          <w:rFonts w:ascii="Arial" w:hAnsi="Arial" w:cs="Arial"/>
          <w:color w:val="000000" w:themeColor="text1"/>
          <w:sz w:val="24"/>
          <w:szCs w:val="24"/>
        </w:rPr>
        <w:t xml:space="preserve">The conclusive meeting occurred at the conclusion of the academic year when </w:t>
      </w:r>
      <w:r w:rsidR="00137ECF" w:rsidRPr="00137ECF">
        <w:rPr>
          <w:rFonts w:ascii="Arial" w:hAnsi="Arial" w:cs="Arial"/>
          <w:color w:val="000000" w:themeColor="text1"/>
          <w:sz w:val="24"/>
          <w:szCs w:val="24"/>
        </w:rPr>
        <w:t>the health board</w:t>
      </w:r>
      <w:r w:rsidRPr="00137ECF">
        <w:rPr>
          <w:rFonts w:ascii="Arial" w:hAnsi="Arial" w:cs="Arial"/>
          <w:color w:val="000000" w:themeColor="text1"/>
          <w:sz w:val="24"/>
          <w:szCs w:val="24"/>
        </w:rPr>
        <w:t xml:space="preserve"> indicated her intention to </w:t>
      </w:r>
      <w:r w:rsidRPr="00137ECF">
        <w:rPr>
          <w:rFonts w:ascii="Arial" w:hAnsi="Arial" w:cs="Arial"/>
          <w:color w:val="000000" w:themeColor="text1"/>
          <w:sz w:val="24"/>
          <w:szCs w:val="24"/>
        </w:rPr>
        <w:lastRenderedPageBreak/>
        <w:t>liaise with various hospital departments to gauge their interest in supporting our students during their nursing shadowing experiences.</w:t>
      </w:r>
    </w:p>
    <w:p w14:paraId="2A67DA50" w14:textId="2A7D182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Upon returning to work post-summer holidays, our Area Manager informed us that she had communicated with </w:t>
      </w:r>
      <w:r w:rsidR="00137ECF" w:rsidRPr="00137ECF">
        <w:rPr>
          <w:rFonts w:ascii="Arial" w:hAnsi="Arial" w:cs="Arial"/>
          <w:color w:val="000000" w:themeColor="text1"/>
          <w:sz w:val="24"/>
          <w:szCs w:val="24"/>
        </w:rPr>
        <w:t>the manager</w:t>
      </w:r>
      <w:r w:rsidRPr="00137ECF">
        <w:rPr>
          <w:rFonts w:ascii="Arial" w:hAnsi="Arial" w:cs="Arial"/>
          <w:color w:val="000000" w:themeColor="text1"/>
          <w:sz w:val="24"/>
          <w:szCs w:val="24"/>
        </w:rPr>
        <w:t xml:space="preserve"> during our absence and secured approval for placing students in different hospital departments. A prompt meeting was arranged to outline the necessary preparations before students could begin their placements. Subsequently, we had one week to prepare for the students' return. From a pool of 120 students, I was able to select 20 students, ensuring they provided the required information, completed occupational health forms, underwent fire safety training, and received individual timetables. With only two weeks before the students commenced their two-week placements after the summer break, this resulted in a significant increase in my workload, putting considerable pressure on me to ensure the accurate completion of all the necessary information. It was a tight schedule, but fortunately, we managed to accomplish all the necessary tasks within the given timeframe.</w:t>
      </w:r>
    </w:p>
    <w:p w14:paraId="79237152" w14:textId="4D2BE6E8"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After students finished the first two-week placement within the health board, there was a significant reflection process</w:t>
      </w:r>
      <w:r w:rsidR="00137ECF" w:rsidRPr="00137ECF">
        <w:rPr>
          <w:rFonts w:ascii="Arial" w:hAnsi="Arial" w:cs="Arial"/>
          <w:color w:val="000000" w:themeColor="text1"/>
          <w:sz w:val="24"/>
          <w:szCs w:val="24"/>
        </w:rPr>
        <w:t xml:space="preserve"> by our learning area team and the health board</w:t>
      </w:r>
      <w:r w:rsidRPr="00137ECF">
        <w:rPr>
          <w:rFonts w:ascii="Arial" w:hAnsi="Arial" w:cs="Arial"/>
          <w:color w:val="000000" w:themeColor="text1"/>
          <w:sz w:val="24"/>
          <w:szCs w:val="24"/>
        </w:rPr>
        <w:t xml:space="preserve">, as it was a new experience for both the students and us as a team. I took the time to chat with each student to receive feedback on the placement. The feedback was very positive, with students expressing feelings of support, gaining new skills, and, interestingly, some even reconsidering their initial career choices after exploring different departments. They also showed their gratitude for the work that has gone into the opportunity to have a hands-on experience within the health board. Participating in practical, hands-on experiences goes beyond traditional classroom learning, offering students a diverse set of advantages, at its core is the practical application of theoretical knowledge, allowing students to connect abstract concepts with real-world scenarios (Billings et al., 2021). Students were able to engage in practical activities such as interacting with patients, and observation of various teams of staff, from nurses, doctors, porters, educational staff, and physiotherapists, The students were even able to attend mini surgeries within the radiography department. This helped sharpen students' problem-solving </w:t>
      </w:r>
      <w:r w:rsidRPr="00137ECF">
        <w:rPr>
          <w:rFonts w:ascii="Arial" w:hAnsi="Arial" w:cs="Arial"/>
          <w:color w:val="000000" w:themeColor="text1"/>
          <w:sz w:val="24"/>
          <w:szCs w:val="24"/>
        </w:rPr>
        <w:lastRenderedPageBreak/>
        <w:t>skills, and critical thinking, as well as contributing to the development of crucial skills such as teamwork, effective communication, and efficient time management (de Prada Creo et al., 2021).</w:t>
      </w:r>
    </w:p>
    <w:p w14:paraId="49904A92" w14:textId="6628A8F6"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While hands-on experience offers numerous advantages for students, it is important to acknowledge potential drawbacks. Certain students found the career they explored not quite fitting for them, which is fair. Within placements students may face challenges with task complexity, encounter unexpected obstacles, or make mistakes, potentially leading to frustration or a decline in confidence (McCloughen et al.2020). Feedback showed that some students felt a bit unsupported and out of place in specific departments</w:t>
      </w:r>
      <w:r w:rsidR="00137ECF" w:rsidRPr="00137ECF">
        <w:rPr>
          <w:rFonts w:ascii="Arial" w:hAnsi="Arial" w:cs="Arial"/>
          <w:color w:val="000000" w:themeColor="text1"/>
          <w:sz w:val="24"/>
          <w:szCs w:val="24"/>
        </w:rPr>
        <w:t>, and</w:t>
      </w:r>
      <w:r w:rsidRPr="00137ECF">
        <w:rPr>
          <w:rFonts w:ascii="Arial" w:hAnsi="Arial" w:cs="Arial"/>
          <w:color w:val="000000" w:themeColor="text1"/>
          <w:sz w:val="24"/>
          <w:szCs w:val="24"/>
        </w:rPr>
        <w:t xml:space="preserve"> </w:t>
      </w:r>
      <w:r w:rsidR="00137ECF" w:rsidRPr="00137ECF">
        <w:rPr>
          <w:rFonts w:ascii="Arial" w:hAnsi="Arial" w:cs="Arial"/>
          <w:color w:val="000000" w:themeColor="text1"/>
          <w:sz w:val="24"/>
          <w:szCs w:val="24"/>
        </w:rPr>
        <w:t>that</w:t>
      </w:r>
      <w:r w:rsidRPr="00137ECF">
        <w:rPr>
          <w:rFonts w:ascii="Arial" w:hAnsi="Arial" w:cs="Arial"/>
          <w:color w:val="000000" w:themeColor="text1"/>
          <w:sz w:val="24"/>
          <w:szCs w:val="24"/>
        </w:rPr>
        <w:t xml:space="preserve"> hands-on experiences can also demand significant time and effort, causing stress, particularly for students managing multiple responsibilities, this is an important reason I make sure students have a mentor within each placement they attend. Research by Quinn (2012) </w:t>
      </w:r>
      <w:r w:rsidR="00137ECF" w:rsidRPr="00137ECF">
        <w:rPr>
          <w:rFonts w:ascii="Arial" w:hAnsi="Arial" w:cs="Arial"/>
          <w:color w:val="000000" w:themeColor="text1"/>
          <w:sz w:val="24"/>
          <w:szCs w:val="24"/>
        </w:rPr>
        <w:t>discussed</w:t>
      </w:r>
      <w:r w:rsidRPr="00137ECF">
        <w:rPr>
          <w:rFonts w:ascii="Arial" w:hAnsi="Arial" w:cs="Arial"/>
          <w:color w:val="000000" w:themeColor="text1"/>
          <w:sz w:val="24"/>
          <w:szCs w:val="24"/>
        </w:rPr>
        <w:t xml:space="preserve"> </w:t>
      </w:r>
      <w:r w:rsidR="00137ECF" w:rsidRPr="00137ECF">
        <w:rPr>
          <w:rFonts w:ascii="Arial" w:hAnsi="Arial" w:cs="Arial"/>
          <w:color w:val="000000" w:themeColor="text1"/>
          <w:sz w:val="24"/>
          <w:szCs w:val="24"/>
        </w:rPr>
        <w:t>by</w:t>
      </w:r>
      <w:r w:rsidRPr="00137ECF">
        <w:rPr>
          <w:rFonts w:ascii="Arial" w:hAnsi="Arial" w:cs="Arial"/>
          <w:color w:val="000000" w:themeColor="text1"/>
          <w:sz w:val="24"/>
          <w:szCs w:val="24"/>
        </w:rPr>
        <w:t xml:space="preserve"> the University of Southampton (2024) has shown that there are many benefits to having a mentor within the workplace including personal development and the well-being of the student. Additionally, a few did not enjoy the experience and would not opt for a similar opportunity again. Recognising the range of opinions and experiences students had during the placement is essential even the negative. Wilson (2021) discusses how negative feedback can help you as a professional analyse the process you took and make a change based on the knowledge you have received. Receiving negative feedback is never pleasant, but it's understood that not all students will share the same perspective. What was disheartening, however, was learning that some students felt they couldn't approach me while on placement. I found this particularly upsetting because I believe I could have potentially improved their experience by addressing their concerns with the health board.</w:t>
      </w:r>
      <w:r w:rsidR="00137ECF" w:rsidRPr="00137ECF">
        <w:rPr>
          <w:rFonts w:ascii="Arial" w:hAnsi="Arial" w:cs="Arial"/>
          <w:color w:val="000000" w:themeColor="text1"/>
          <w:sz w:val="24"/>
          <w:szCs w:val="24"/>
        </w:rPr>
        <w:t xml:space="preserve"> </w:t>
      </w:r>
      <w:r w:rsidR="00137ECF" w:rsidRPr="00137ECF">
        <w:rPr>
          <w:rFonts w:ascii="Arial" w:hAnsi="Arial" w:cs="Arial"/>
          <w:sz w:val="24"/>
          <w:szCs w:val="24"/>
        </w:rPr>
        <w:t xml:space="preserve">As I was not granted access to the various departments during students' placement with the health board, I couldn't complete a monitoring form with them. This form ensures students' comfort within the setting and provides a platform for discussing any placement-related issues. This process aids in supporting students, fostering a sense of comfort and satisfaction in their environment. As my only recourse was speaking with them over Teams, this posed challenges, as many students prefer face-to-face discussions over written communication. In hindsight, I felt unable to adequately support my students. Following discussions with the health board, </w:t>
      </w:r>
      <w:r w:rsidR="00137ECF" w:rsidRPr="00137ECF">
        <w:rPr>
          <w:rFonts w:ascii="Arial" w:hAnsi="Arial" w:cs="Arial"/>
          <w:sz w:val="24"/>
          <w:szCs w:val="24"/>
        </w:rPr>
        <w:lastRenderedPageBreak/>
        <w:t>they agreed to allow me to visit the hospital on a designated day, where I sat in the canteen, and students could meet me to discuss their placement experiences.</w:t>
      </w:r>
    </w:p>
    <w:p w14:paraId="1DA1D1EC" w14:textId="7AB5D8B2"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After carefully considering the feedback received, I arranged a meeting with </w:t>
      </w:r>
      <w:r w:rsidR="00137ECF" w:rsidRPr="00137ECF">
        <w:rPr>
          <w:rFonts w:ascii="Arial" w:hAnsi="Arial" w:cs="Arial"/>
          <w:color w:val="000000" w:themeColor="text1"/>
          <w:sz w:val="24"/>
          <w:szCs w:val="24"/>
        </w:rPr>
        <w:t>the Health Board</w:t>
      </w:r>
      <w:r w:rsidRPr="00137ECF">
        <w:rPr>
          <w:rFonts w:ascii="Arial" w:hAnsi="Arial" w:cs="Arial"/>
          <w:color w:val="000000" w:themeColor="text1"/>
          <w:sz w:val="24"/>
          <w:szCs w:val="24"/>
        </w:rPr>
        <w:t xml:space="preserve"> team to discuss the feedback given and a priority to me was to remove students who expressed they did not wish to participate in the second block week placement. My primary concern revolves around prioritising the quality of the placement experience each student receives. It is paramount to create an environment where students not only fulfil academic requirements but also find enjoyment in their placements, fostering an atmosphere conducive to gaining new skills and building confidence in their chosen field (Elbes &amp; Oktaviani, 2022). By addressing and implementing adjustments based on student feedback, the aim is to enhance the overall placement experience, ensuring that it aligns more closely with the individual needs and preferences of the students involved. </w:t>
      </w:r>
    </w:p>
    <w:p w14:paraId="48EC8978" w14:textId="77777777"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As students embark on diverse paths, applying to universities for a range of courses, those expressing interest in professions within the health board can benefit significantly. By engaging in different activities during placements, students were able to gain first-hand experience with the day-to-day responsibilities, challenges, and rewards associated with their potential careers within the health board. This practical placement helped them assess if their chosen field aligns with their expectations and aspirations. It guides students in making more informed decisions about their academic and professional paths, refining their career goals based on actual experiences before committing to further studies at the university level (Quinlan &amp; Renninger, 2022)</w:t>
      </w:r>
    </w:p>
    <w:p w14:paraId="23AE7BC8" w14:textId="10D7D6DC"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While the feedback from the health board overall was positive, some students encountered issues like attendance, punctuality, dressing appropriately, and displaying proper behaviour during their placements. As the opportunity was significant, it was disheartening to receive notifications about these behavioural lapses, considering the expectations communicated to students before they commenced their placements. The frequency of such issues led to daily calls from Susan Jones and her team, diverting their attention from more critical matters. I felt a sense of embarrassment in this situation, particularly because these were our </w:t>
      </w:r>
      <w:r w:rsidRPr="00137ECF">
        <w:rPr>
          <w:rFonts w:ascii="Arial" w:hAnsi="Arial" w:cs="Arial"/>
          <w:color w:val="000000" w:themeColor="text1"/>
          <w:sz w:val="24"/>
          <w:szCs w:val="24"/>
        </w:rPr>
        <w:lastRenderedPageBreak/>
        <w:t xml:space="preserve">second-year Level 3 students. They should have been familiar with the code of conduct from their previous placements. However, my embarrassment was compounded by the realization that I could have done more to emphasize and reinforce these expectations before the placement even began. However, I was able to address each problem by engaging in conversations with the students, reinforcing the established code of conduct for the specific placement over the phone to students. Fortunately, these interventions </w:t>
      </w:r>
      <w:r w:rsidR="00137ECF" w:rsidRPr="00137ECF">
        <w:rPr>
          <w:rFonts w:ascii="Arial" w:hAnsi="Arial" w:cs="Arial"/>
          <w:color w:val="000000" w:themeColor="text1"/>
          <w:sz w:val="24"/>
          <w:szCs w:val="24"/>
        </w:rPr>
        <w:t>which Goldberg et al., (2019) has suggested to incorporate, were</w:t>
      </w:r>
      <w:r w:rsidRPr="00137ECF">
        <w:rPr>
          <w:rFonts w:ascii="Arial" w:hAnsi="Arial" w:cs="Arial"/>
          <w:color w:val="000000" w:themeColor="text1"/>
          <w:sz w:val="24"/>
          <w:szCs w:val="24"/>
        </w:rPr>
        <w:t xml:space="preserve"> effective, allowing students to acknowledge feedback and continue their placements without further disruptions</w:t>
      </w:r>
      <w:r w:rsidR="00137ECF" w:rsidRPr="00137ECF">
        <w:rPr>
          <w:rFonts w:ascii="Arial" w:hAnsi="Arial" w:cs="Arial"/>
          <w:color w:val="000000" w:themeColor="text1"/>
          <w:sz w:val="24"/>
          <w:szCs w:val="24"/>
        </w:rPr>
        <w:t>.</w:t>
      </w:r>
    </w:p>
    <w:p w14:paraId="77CF6E63" w14:textId="77777777" w:rsidR="005217D4" w:rsidRPr="00137ECF" w:rsidRDefault="005217D4" w:rsidP="00137ECF">
      <w:pPr>
        <w:spacing w:line="360" w:lineRule="auto"/>
        <w:rPr>
          <w:rFonts w:ascii="Arial" w:hAnsi="Arial" w:cs="Arial"/>
          <w:color w:val="000000" w:themeColor="text1"/>
          <w:sz w:val="24"/>
          <w:szCs w:val="24"/>
        </w:rPr>
      </w:pPr>
    </w:p>
    <w:p w14:paraId="6BCAB7C9" w14:textId="0ACA9715" w:rsidR="005217D4" w:rsidRPr="00137ECF" w:rsidRDefault="005217D4" w:rsidP="00137ECF">
      <w:pPr>
        <w:spacing w:line="360" w:lineRule="auto"/>
        <w:rPr>
          <w:rFonts w:ascii="Arial" w:hAnsi="Arial" w:cs="Arial"/>
          <w:color w:val="000000" w:themeColor="text1"/>
          <w:sz w:val="24"/>
          <w:szCs w:val="24"/>
        </w:rPr>
      </w:pPr>
      <w:r w:rsidRPr="00137ECF">
        <w:rPr>
          <w:rFonts w:ascii="Arial" w:hAnsi="Arial" w:cs="Arial"/>
          <w:color w:val="000000" w:themeColor="text1"/>
          <w:sz w:val="24"/>
          <w:szCs w:val="24"/>
        </w:rPr>
        <w:t xml:space="preserve">Upon reflection, discussions with my area manager, </w:t>
      </w:r>
      <w:r w:rsidR="00137ECF" w:rsidRPr="00137ECF">
        <w:rPr>
          <w:rFonts w:ascii="Arial" w:hAnsi="Arial" w:cs="Arial"/>
          <w:color w:val="000000" w:themeColor="text1"/>
          <w:sz w:val="24"/>
          <w:szCs w:val="24"/>
        </w:rPr>
        <w:t>Health Board manager</w:t>
      </w:r>
      <w:r w:rsidRPr="00137ECF">
        <w:rPr>
          <w:rFonts w:ascii="Arial" w:hAnsi="Arial" w:cs="Arial"/>
          <w:color w:val="000000" w:themeColor="text1"/>
          <w:sz w:val="24"/>
          <w:szCs w:val="24"/>
        </w:rPr>
        <w:t xml:space="preserve">, and her team led to the decision to implement a proactive approach. </w:t>
      </w:r>
      <w:r w:rsidR="00137ECF" w:rsidRPr="00137ECF">
        <w:rPr>
          <w:rFonts w:ascii="Arial" w:hAnsi="Arial" w:cs="Arial"/>
          <w:color w:val="000000" w:themeColor="text1"/>
          <w:sz w:val="24"/>
          <w:szCs w:val="24"/>
        </w:rPr>
        <w:t xml:space="preserve">The start of this process was very rushed, and it did not give students time to really think about the opportunity of this placement and if it was something they were really interested in. Therefore, myself and my team within the college decided we needed to give students the information of what it entitles and what will be expected of them. Therefore, students will be given a booklet on all the different departments they may visit and what will be expected of them, which </w:t>
      </w:r>
      <w:proofErr w:type="gramStart"/>
      <w:r w:rsidR="00137ECF" w:rsidRPr="00137ECF">
        <w:rPr>
          <w:rFonts w:ascii="Arial" w:hAnsi="Arial" w:cs="Arial"/>
          <w:color w:val="000000" w:themeColor="text1"/>
          <w:sz w:val="24"/>
          <w:szCs w:val="24"/>
        </w:rPr>
        <w:t>myself</w:t>
      </w:r>
      <w:proofErr w:type="gramEnd"/>
      <w:r w:rsidR="00137ECF" w:rsidRPr="00137ECF">
        <w:rPr>
          <w:rFonts w:ascii="Arial" w:hAnsi="Arial" w:cs="Arial"/>
          <w:color w:val="000000" w:themeColor="text1"/>
          <w:sz w:val="24"/>
          <w:szCs w:val="24"/>
        </w:rPr>
        <w:t xml:space="preserve"> and another placement officer will go through with each group. At the end of the booklet there is an application form which students can complete if they wish to attend the hospital setting. S</w:t>
      </w:r>
      <w:r w:rsidRPr="00137ECF">
        <w:rPr>
          <w:rFonts w:ascii="Arial" w:hAnsi="Arial" w:cs="Arial"/>
          <w:color w:val="000000" w:themeColor="text1"/>
          <w:sz w:val="24"/>
          <w:szCs w:val="24"/>
        </w:rPr>
        <w:t>tarting at the end of each academic year, students eligible for this opportunity will be carefully selected. This pre-planning process before the summer break serves multiple purposes. Firstly, it encourages students to thoroughly contemplate whether they genuinely desire this opportunity, avoiding hasty decisions. Secondly, it allows ample time for completing the necessary paperwork, reinforcing the code of conduct, and providing preparatory lessons on presentation and expectations during the placement, including insights into various departments. This strategic approach aims to enhance the overall experience for both students and staff, fostering a more organised and focused placement program.</w:t>
      </w:r>
    </w:p>
    <w:p w14:paraId="638A9DD5" w14:textId="77777777" w:rsidR="005217D4" w:rsidRPr="00137ECF" w:rsidRDefault="005217D4" w:rsidP="00137ECF">
      <w:pPr>
        <w:spacing w:line="360" w:lineRule="auto"/>
        <w:rPr>
          <w:rFonts w:ascii="Arial" w:hAnsi="Arial" w:cs="Arial"/>
          <w:color w:val="000000" w:themeColor="text1"/>
          <w:sz w:val="24"/>
          <w:szCs w:val="24"/>
        </w:rPr>
      </w:pPr>
      <w:proofErr w:type="gramStart"/>
      <w:r w:rsidRPr="00137ECF">
        <w:rPr>
          <w:rFonts w:ascii="Arial" w:hAnsi="Arial" w:cs="Arial"/>
          <w:color w:val="000000" w:themeColor="text1"/>
          <w:sz w:val="24"/>
          <w:szCs w:val="24"/>
        </w:rPr>
        <w:lastRenderedPageBreak/>
        <w:t>On the whole</w:t>
      </w:r>
      <w:proofErr w:type="gramEnd"/>
      <w:r w:rsidRPr="00137ECF">
        <w:rPr>
          <w:rFonts w:ascii="Arial" w:hAnsi="Arial" w:cs="Arial"/>
          <w:color w:val="000000" w:themeColor="text1"/>
          <w:sz w:val="24"/>
          <w:szCs w:val="24"/>
        </w:rPr>
        <w:t>, I believe it was a positive experience for the students. However, the additional workload and the tight timeline created immense pressure on me. Not only did I have to ensure the success of the placement for students, but I also had to maintain focus on other responsibilities. Implementing action plans, such as initiating the process before the summer break and developing lessons to clarify expectations for learners, should alleviate the stress of fitting everything in and contribute to a smoother process next time. For future placements, I plan to utilise Gibbs Reflective Cycle again, as it proved beneficial in reflecting on both the positive and negative aspects and formulating conclusions for improvement in the future.</w:t>
      </w:r>
    </w:p>
    <w:p w14:paraId="7839CED1" w14:textId="77777777" w:rsidR="00F47B95" w:rsidRDefault="00F47B95" w:rsidP="00C2336A">
      <w:pPr>
        <w:spacing w:line="360" w:lineRule="auto"/>
        <w:rPr>
          <w:rFonts w:ascii="Arial" w:hAnsi="Arial" w:cs="Arial"/>
          <w:b/>
          <w:bCs/>
          <w:sz w:val="24"/>
          <w:szCs w:val="24"/>
          <w:u w:val="single"/>
        </w:rPr>
      </w:pPr>
    </w:p>
    <w:p w14:paraId="17F65B21" w14:textId="77777777" w:rsidR="005217D4" w:rsidRDefault="005217D4" w:rsidP="00C2336A">
      <w:pPr>
        <w:spacing w:line="360" w:lineRule="auto"/>
        <w:rPr>
          <w:rFonts w:ascii="Arial" w:hAnsi="Arial" w:cs="Arial"/>
          <w:b/>
          <w:bCs/>
          <w:sz w:val="24"/>
          <w:szCs w:val="24"/>
          <w:u w:val="single"/>
        </w:rPr>
      </w:pPr>
    </w:p>
    <w:p w14:paraId="2531EFF3" w14:textId="77777777" w:rsidR="005217D4" w:rsidRDefault="005217D4" w:rsidP="00C2336A">
      <w:pPr>
        <w:spacing w:line="360" w:lineRule="auto"/>
        <w:rPr>
          <w:rFonts w:ascii="Arial" w:hAnsi="Arial" w:cs="Arial"/>
          <w:b/>
          <w:bCs/>
          <w:sz w:val="24"/>
          <w:szCs w:val="24"/>
          <w:u w:val="single"/>
        </w:rPr>
      </w:pPr>
    </w:p>
    <w:p w14:paraId="29FC8205" w14:textId="77777777" w:rsidR="005217D4" w:rsidRDefault="005217D4" w:rsidP="00C2336A">
      <w:pPr>
        <w:spacing w:line="360" w:lineRule="auto"/>
        <w:rPr>
          <w:rFonts w:ascii="Arial" w:hAnsi="Arial" w:cs="Arial"/>
          <w:b/>
          <w:bCs/>
          <w:sz w:val="24"/>
          <w:szCs w:val="24"/>
          <w:u w:val="single"/>
        </w:rPr>
      </w:pPr>
    </w:p>
    <w:p w14:paraId="508239D2" w14:textId="77777777" w:rsidR="005217D4" w:rsidRDefault="005217D4" w:rsidP="00C2336A">
      <w:pPr>
        <w:spacing w:line="360" w:lineRule="auto"/>
        <w:rPr>
          <w:rFonts w:ascii="Arial" w:hAnsi="Arial" w:cs="Arial"/>
          <w:b/>
          <w:bCs/>
          <w:sz w:val="24"/>
          <w:szCs w:val="24"/>
          <w:u w:val="single"/>
        </w:rPr>
      </w:pPr>
    </w:p>
    <w:p w14:paraId="5F43BC8C" w14:textId="57E3E08E" w:rsidR="00C2336A" w:rsidRPr="00C2336A" w:rsidRDefault="00C2336A" w:rsidP="00C2336A">
      <w:pPr>
        <w:spacing w:line="360" w:lineRule="auto"/>
        <w:rPr>
          <w:rFonts w:ascii="Arial" w:hAnsi="Arial" w:cs="Arial"/>
          <w:b/>
          <w:bCs/>
          <w:sz w:val="24"/>
          <w:szCs w:val="24"/>
          <w:u w:val="single"/>
        </w:rPr>
      </w:pPr>
      <w:r w:rsidRPr="00C2336A">
        <w:rPr>
          <w:rFonts w:ascii="Arial" w:hAnsi="Arial" w:cs="Arial"/>
          <w:b/>
          <w:bCs/>
          <w:sz w:val="24"/>
          <w:szCs w:val="24"/>
          <w:u w:val="single"/>
        </w:rPr>
        <w:t>Reference List</w:t>
      </w:r>
    </w:p>
    <w:p w14:paraId="33A25B99" w14:textId="77777777" w:rsidR="00F47B95" w:rsidRPr="00F47B95" w:rsidRDefault="00F47B95" w:rsidP="00F47B95">
      <w:pPr>
        <w:pStyle w:val="NormalWeb"/>
        <w:spacing w:after="0"/>
        <w:rPr>
          <w:color w:val="0E101A"/>
        </w:rPr>
      </w:pPr>
      <w:r w:rsidRPr="00F47B95">
        <w:rPr>
          <w:color w:val="0E101A"/>
        </w:rPr>
        <w:t xml:space="preserve">Billings, J., Ching, B.C.F., Gkofa, V., Greene, T., &amp; Bloomfield, M. (2021). </w:t>
      </w:r>
      <w:r w:rsidRPr="00F47B95">
        <w:rPr>
          <w:i/>
          <w:iCs/>
          <w:color w:val="0E101A"/>
        </w:rPr>
        <w:t>Experiences of frontline healthcare workers and their views about support during COVID-19 and previous pandemics: a systematic review and qualitative meta-synthesis.</w:t>
      </w:r>
      <w:r w:rsidRPr="00F47B95">
        <w:rPr>
          <w:color w:val="0E101A"/>
        </w:rPr>
        <w:t xml:space="preserve"> BMC Health Services Research, 21, 1-17.</w:t>
      </w:r>
    </w:p>
    <w:p w14:paraId="76A0CD47" w14:textId="77777777" w:rsidR="00F47B95" w:rsidRPr="00F47B95" w:rsidRDefault="00F47B95" w:rsidP="00F47B95">
      <w:pPr>
        <w:pStyle w:val="NormalWeb"/>
        <w:spacing w:after="0"/>
        <w:rPr>
          <w:color w:val="0E101A"/>
        </w:rPr>
      </w:pPr>
      <w:r w:rsidRPr="00F47B95">
        <w:rPr>
          <w:color w:val="0E101A"/>
        </w:rPr>
        <w:t xml:space="preserve">Bronfenbrenner, U. (1979). </w:t>
      </w:r>
      <w:r w:rsidRPr="00F47B95">
        <w:rPr>
          <w:i/>
          <w:iCs/>
          <w:color w:val="0E101A"/>
        </w:rPr>
        <w:t>The ecology of human development</w:t>
      </w:r>
      <w:r w:rsidRPr="00F47B95">
        <w:rPr>
          <w:color w:val="0E101A"/>
        </w:rPr>
        <w:t>. Harvard University Press.</w:t>
      </w:r>
    </w:p>
    <w:p w14:paraId="11F00EB0" w14:textId="77777777" w:rsidR="00F47B95" w:rsidRPr="00F47B95" w:rsidRDefault="00F47B95" w:rsidP="00F47B95">
      <w:pPr>
        <w:pStyle w:val="NormalWeb"/>
        <w:spacing w:after="0"/>
        <w:rPr>
          <w:color w:val="0E101A"/>
        </w:rPr>
      </w:pPr>
      <w:r w:rsidRPr="00F47B95">
        <w:rPr>
          <w:color w:val="0E101A"/>
        </w:rPr>
        <w:t xml:space="preserve">Cameron, C., Ashwell, J., Connor, M., Duncan, M., Mackay, W., &amp; Naqvi, J. (2020). </w:t>
      </w:r>
      <w:r w:rsidRPr="00F47B95">
        <w:rPr>
          <w:i/>
          <w:iCs/>
          <w:color w:val="0E101A"/>
        </w:rPr>
        <w:t xml:space="preserve">Managing risks in work-integrated learning programmes: A cross-institutional collaboration. Higher Education, </w:t>
      </w:r>
      <w:proofErr w:type="gramStart"/>
      <w:r w:rsidRPr="00F47B95">
        <w:rPr>
          <w:i/>
          <w:iCs/>
          <w:color w:val="0E101A"/>
        </w:rPr>
        <w:t>Skills</w:t>
      </w:r>
      <w:proofErr w:type="gramEnd"/>
      <w:r w:rsidRPr="00F47B95">
        <w:rPr>
          <w:i/>
          <w:iCs/>
          <w:color w:val="0E101A"/>
        </w:rPr>
        <w:t xml:space="preserve"> and Work-Based Learning</w:t>
      </w:r>
      <w:r w:rsidRPr="00F47B95">
        <w:rPr>
          <w:color w:val="0E101A"/>
        </w:rPr>
        <w:t>, 10(2), 325-338.</w:t>
      </w:r>
    </w:p>
    <w:p w14:paraId="41702D03" w14:textId="77777777" w:rsidR="00F47B95" w:rsidRPr="00F47B95" w:rsidRDefault="00F47B95" w:rsidP="00F47B95">
      <w:pPr>
        <w:pStyle w:val="NormalWeb"/>
        <w:spacing w:after="0"/>
        <w:rPr>
          <w:color w:val="0E101A"/>
        </w:rPr>
      </w:pPr>
      <w:r w:rsidRPr="00F47B95">
        <w:rPr>
          <w:color w:val="0E101A"/>
        </w:rPr>
        <w:lastRenderedPageBreak/>
        <w:t xml:space="preserve">Chawłowska, E., Staszewski, R., Lipiak, A., Giernaś, B., Karasiewicz, M., Bazan, D., Nowosadko, M., Cofta, M., &amp; Wysocki, J. (2021). </w:t>
      </w:r>
      <w:r w:rsidRPr="00F47B95">
        <w:rPr>
          <w:i/>
          <w:iCs/>
          <w:color w:val="0E101A"/>
        </w:rPr>
        <w:t>Student volunteering as a solution for undergraduate health professions education: lessons from the COVID-19 pandemic.</w:t>
      </w:r>
      <w:r w:rsidRPr="00F47B95">
        <w:rPr>
          <w:color w:val="0E101A"/>
        </w:rPr>
        <w:t xml:space="preserve"> Frontiers in Public Health, 8, 633888.</w:t>
      </w:r>
    </w:p>
    <w:p w14:paraId="077B92FA" w14:textId="77777777" w:rsidR="00F47B95" w:rsidRPr="00F47B95" w:rsidRDefault="00F47B95" w:rsidP="00F47B95">
      <w:pPr>
        <w:pStyle w:val="NormalWeb"/>
        <w:spacing w:after="0"/>
        <w:rPr>
          <w:color w:val="0E101A"/>
        </w:rPr>
      </w:pPr>
      <w:r w:rsidRPr="00F47B95">
        <w:rPr>
          <w:color w:val="0E101A"/>
        </w:rPr>
        <w:t xml:space="preserve">Chen, G., Oubibi, M., Liang, A., &amp; Zhou, Y. (2022). </w:t>
      </w:r>
      <w:r w:rsidRPr="00F47B95">
        <w:rPr>
          <w:i/>
          <w:iCs/>
          <w:color w:val="0E101A"/>
        </w:rPr>
        <w:t>Parents’ educational anxiety under the “double reduction” policy based on the family and students’ personal factors. Psychology Research and Behavior Management</w:t>
      </w:r>
      <w:r w:rsidRPr="00F47B95">
        <w:rPr>
          <w:color w:val="0E101A"/>
        </w:rPr>
        <w:t>, 2067-2082.</w:t>
      </w:r>
    </w:p>
    <w:p w14:paraId="2AC22DDB" w14:textId="77777777" w:rsidR="00F47B95" w:rsidRPr="00F47B95" w:rsidRDefault="00F47B95" w:rsidP="00F47B95">
      <w:pPr>
        <w:pStyle w:val="NormalWeb"/>
        <w:spacing w:after="0"/>
        <w:rPr>
          <w:color w:val="0E101A"/>
        </w:rPr>
      </w:pPr>
      <w:r w:rsidRPr="00F47B95">
        <w:rPr>
          <w:color w:val="0E101A"/>
        </w:rPr>
        <w:t xml:space="preserve">Copeland, W.E., McGinnis, E., Bai, Y., Adams, Z., Nardone, H., Devadanam, V., Rettew, J., &amp; Hudziak, J.J. (2021). </w:t>
      </w:r>
      <w:r w:rsidRPr="00F47B95">
        <w:rPr>
          <w:i/>
          <w:iCs/>
          <w:color w:val="0E101A"/>
        </w:rPr>
        <w:t xml:space="preserve">Impact of COVID-19 pandemic on college student mental health and wellness. </w:t>
      </w:r>
      <w:r w:rsidRPr="00F47B95">
        <w:rPr>
          <w:color w:val="0E101A"/>
        </w:rPr>
        <w:t>Journal of the American Academy of Child &amp; Adolescent Psychiatry, 60(1), 134-141.</w:t>
      </w:r>
    </w:p>
    <w:p w14:paraId="7665E466" w14:textId="77777777" w:rsidR="00F47B95" w:rsidRPr="00F47B95" w:rsidRDefault="00F47B95" w:rsidP="00F47B95">
      <w:pPr>
        <w:pStyle w:val="NormalWeb"/>
        <w:spacing w:after="0"/>
        <w:rPr>
          <w:color w:val="0E101A"/>
        </w:rPr>
      </w:pPr>
      <w:r w:rsidRPr="00F47B95">
        <w:rPr>
          <w:color w:val="0E101A"/>
        </w:rPr>
        <w:t xml:space="preserve">Cridlin, Leah. (2007). </w:t>
      </w:r>
      <w:r w:rsidRPr="00F47B95">
        <w:rPr>
          <w:i/>
          <w:iCs/>
          <w:color w:val="0E101A"/>
        </w:rPr>
        <w:t>The importance of hands-on learning.</w:t>
      </w:r>
      <w:r w:rsidRPr="00F47B95">
        <w:rPr>
          <w:color w:val="0E101A"/>
        </w:rPr>
        <w:t xml:space="preserve"> International Laser Safety Conference, 151-156.</w:t>
      </w:r>
    </w:p>
    <w:p w14:paraId="3DF825F3" w14:textId="77777777" w:rsidR="00F47B95" w:rsidRPr="00F47B95" w:rsidRDefault="00F47B95" w:rsidP="00F47B95">
      <w:pPr>
        <w:pStyle w:val="NormalWeb"/>
        <w:spacing w:after="0"/>
        <w:rPr>
          <w:color w:val="0E101A"/>
        </w:rPr>
      </w:pPr>
      <w:r w:rsidRPr="00F47B95">
        <w:rPr>
          <w:color w:val="0E101A"/>
        </w:rPr>
        <w:t xml:space="preserve">Dolson, J. M., &amp; Deemer, E. D. (2022). </w:t>
      </w:r>
      <w:r w:rsidRPr="00F47B95">
        <w:rPr>
          <w:i/>
          <w:iCs/>
          <w:color w:val="0E101A"/>
        </w:rPr>
        <w:t>The relationship between perceived discrimination and school/work–family conflict among graduate student-parents</w:t>
      </w:r>
      <w:r w:rsidRPr="00F47B95">
        <w:rPr>
          <w:color w:val="0E101A"/>
        </w:rPr>
        <w:t>. Journal of Career Development: Sage Publishing.</w:t>
      </w:r>
    </w:p>
    <w:p w14:paraId="73D4AFB8" w14:textId="2B6235DC" w:rsidR="00F47B95" w:rsidRPr="00F47B95" w:rsidRDefault="00F47B95" w:rsidP="00F47B95">
      <w:pPr>
        <w:pStyle w:val="NormalWeb"/>
        <w:spacing w:after="0"/>
        <w:rPr>
          <w:color w:val="0E101A"/>
        </w:rPr>
      </w:pPr>
      <w:r w:rsidRPr="00F47B95">
        <w:rPr>
          <w:color w:val="0E101A"/>
        </w:rPr>
        <w:t>Elbes, E.K., &amp; Oktaviani, L. (2022). C</w:t>
      </w:r>
      <w:r w:rsidRPr="00F47B95">
        <w:rPr>
          <w:i/>
          <w:iCs/>
          <w:color w:val="0E101A"/>
          <w:sz w:val="22"/>
          <w:szCs w:val="22"/>
        </w:rPr>
        <w:t xml:space="preserve">haracter building in English for daily conversation class materials for English education freshmen students. </w:t>
      </w:r>
      <w:r w:rsidRPr="00F47B95">
        <w:rPr>
          <w:color w:val="0E101A"/>
        </w:rPr>
        <w:t>Journal of English Language Teaching and Learning, 3(1), 36-45.</w:t>
      </w:r>
    </w:p>
    <w:p w14:paraId="3DE031D9" w14:textId="41661AE2" w:rsidR="00F47B95" w:rsidRDefault="00F47B95" w:rsidP="00F47B95">
      <w:pPr>
        <w:pStyle w:val="NormalWeb"/>
        <w:spacing w:before="0" w:beforeAutospacing="0" w:after="0" w:afterAutospacing="0"/>
        <w:rPr>
          <w:color w:val="0E101A"/>
        </w:rPr>
      </w:pPr>
      <w:r w:rsidRPr="00F47B95">
        <w:rPr>
          <w:color w:val="0E101A"/>
        </w:rPr>
        <w:t xml:space="preserve">Ferreira, M., Martinsone, B., &amp; Talić, S. (2020). </w:t>
      </w:r>
      <w:r w:rsidRPr="00F47B95">
        <w:rPr>
          <w:i/>
          <w:iCs/>
          <w:color w:val="0E101A"/>
        </w:rPr>
        <w:t>Promoting sustainable social emotional learning at school through relationship-centered learning environment, teaching methods and formative assessment</w:t>
      </w:r>
      <w:r w:rsidRPr="00F47B95">
        <w:rPr>
          <w:color w:val="0E101A"/>
        </w:rPr>
        <w:t>. Journal of Teacher Education for Sustainability, 22(1), 21-36.</w:t>
      </w:r>
    </w:p>
    <w:p w14:paraId="559C6BF1" w14:textId="77777777" w:rsidR="00F47B95" w:rsidRDefault="00F47B95" w:rsidP="00F47B95">
      <w:pPr>
        <w:pStyle w:val="NormalWeb"/>
        <w:spacing w:before="0" w:beforeAutospacing="0" w:after="0" w:afterAutospacing="0"/>
        <w:rPr>
          <w:color w:val="0E101A"/>
        </w:rPr>
      </w:pPr>
    </w:p>
    <w:p w14:paraId="1F1B2B9F" w14:textId="77777777" w:rsidR="00F47B95" w:rsidRDefault="00F47B95" w:rsidP="00F47B95">
      <w:pPr>
        <w:pStyle w:val="NormalWeb"/>
        <w:spacing w:before="0" w:beforeAutospacing="0" w:after="0" w:afterAutospacing="0"/>
        <w:rPr>
          <w:color w:val="0E101A"/>
        </w:rPr>
      </w:pPr>
      <w:r>
        <w:rPr>
          <w:color w:val="0E101A"/>
        </w:rPr>
        <w:t xml:space="preserve">Gibbs, G. (1988). </w:t>
      </w:r>
      <w:r w:rsidRPr="00F47B95">
        <w:rPr>
          <w:i/>
          <w:iCs/>
          <w:color w:val="0E101A"/>
        </w:rPr>
        <w:t>Learning by doing: A guide to teaching and learning methods</w:t>
      </w:r>
      <w:r>
        <w:rPr>
          <w:color w:val="0E101A"/>
        </w:rPr>
        <w:t>. Further Education Unit.</w:t>
      </w:r>
    </w:p>
    <w:p w14:paraId="68F43F1F" w14:textId="77777777" w:rsidR="00F47B95" w:rsidRDefault="00F47B95" w:rsidP="00F47B95">
      <w:pPr>
        <w:pStyle w:val="NormalWeb"/>
        <w:spacing w:before="0" w:beforeAutospacing="0" w:after="0" w:afterAutospacing="0"/>
        <w:rPr>
          <w:color w:val="0E101A"/>
        </w:rPr>
      </w:pPr>
    </w:p>
    <w:p w14:paraId="70653CDD" w14:textId="77777777" w:rsidR="00F47B95" w:rsidRDefault="00F47B95" w:rsidP="00F47B95">
      <w:pPr>
        <w:pStyle w:val="NormalWeb"/>
        <w:spacing w:before="0" w:beforeAutospacing="0" w:after="0" w:afterAutospacing="0"/>
        <w:rPr>
          <w:color w:val="0E101A"/>
        </w:rPr>
      </w:pPr>
      <w:r>
        <w:rPr>
          <w:color w:val="0E101A"/>
        </w:rPr>
        <w:t xml:space="preserve">Goldberg, J.M., Sklad, M., Elfrink, T.R., et al. (2019). </w:t>
      </w:r>
      <w:r w:rsidRPr="00F47B95">
        <w:rPr>
          <w:i/>
          <w:iCs/>
          <w:color w:val="0E101A"/>
        </w:rPr>
        <w:t>Effectiveness of interventions adopting a whole school approach to enhancing social and emotional development: a meta-analysis</w:t>
      </w:r>
      <w:r>
        <w:rPr>
          <w:color w:val="0E101A"/>
        </w:rPr>
        <w:t>. European Journal of Psychology of Education, 34, 755–782. </w:t>
      </w:r>
      <w:hyperlink r:id="rId7" w:tgtFrame="_blank" w:history="1">
        <w:r>
          <w:rPr>
            <w:rStyle w:val="Hyperlink"/>
            <w:rFonts w:eastAsiaTheme="majorEastAsia"/>
            <w:color w:val="4A6EE0"/>
          </w:rPr>
          <w:t>https://doi.org/10.1007/s10212-018-0406-9</w:t>
        </w:r>
      </w:hyperlink>
    </w:p>
    <w:p w14:paraId="45E181DB" w14:textId="77777777" w:rsidR="00F47B95" w:rsidRDefault="00F47B95" w:rsidP="00F47B95">
      <w:pPr>
        <w:pStyle w:val="NormalWeb"/>
        <w:spacing w:before="0" w:beforeAutospacing="0" w:after="0" w:afterAutospacing="0"/>
        <w:rPr>
          <w:color w:val="0E101A"/>
        </w:rPr>
      </w:pPr>
    </w:p>
    <w:p w14:paraId="76DCDCC6" w14:textId="77777777" w:rsidR="00F47B95" w:rsidRDefault="00F47B95" w:rsidP="00F47B95">
      <w:pPr>
        <w:pStyle w:val="NormalWeb"/>
        <w:spacing w:before="0" w:beforeAutospacing="0" w:after="0" w:afterAutospacing="0"/>
        <w:rPr>
          <w:color w:val="0E101A"/>
        </w:rPr>
      </w:pPr>
      <w:r>
        <w:rPr>
          <w:color w:val="0E101A"/>
        </w:rPr>
        <w:t xml:space="preserve">Harper, C.E., Zhu, H., &amp; Marquez Kiyama, J. (2020). </w:t>
      </w:r>
      <w:r w:rsidRPr="00F47B95">
        <w:rPr>
          <w:i/>
          <w:iCs/>
          <w:color w:val="0E101A"/>
        </w:rPr>
        <w:t>Parents and families of first-generation college students experience their own college transition.</w:t>
      </w:r>
      <w:r>
        <w:rPr>
          <w:color w:val="0E101A"/>
        </w:rPr>
        <w:t xml:space="preserve"> The Journal of Higher Education, 91(4), 540-564.</w:t>
      </w:r>
    </w:p>
    <w:p w14:paraId="5D2C6E08" w14:textId="77777777" w:rsidR="00F47B95" w:rsidRDefault="00F47B95" w:rsidP="00F47B95">
      <w:pPr>
        <w:pStyle w:val="NormalWeb"/>
        <w:spacing w:before="0" w:beforeAutospacing="0" w:after="0" w:afterAutospacing="0"/>
        <w:rPr>
          <w:color w:val="0E101A"/>
        </w:rPr>
      </w:pPr>
    </w:p>
    <w:p w14:paraId="120E86C0" w14:textId="77777777" w:rsidR="00F47B95" w:rsidRDefault="00F47B95" w:rsidP="00F47B95">
      <w:pPr>
        <w:pStyle w:val="NormalWeb"/>
        <w:spacing w:before="0" w:beforeAutospacing="0" w:after="0" w:afterAutospacing="0"/>
        <w:rPr>
          <w:color w:val="0E101A"/>
        </w:rPr>
      </w:pPr>
      <w:r>
        <w:rPr>
          <w:color w:val="0E101A"/>
        </w:rPr>
        <w:t xml:space="preserve">Irwin, L. (2022) </w:t>
      </w:r>
      <w:r w:rsidRPr="00F47B95">
        <w:rPr>
          <w:i/>
          <w:iCs/>
          <w:color w:val="0E101A"/>
        </w:rPr>
        <w:t>'A Quick Guide to the GDPR for Schools and Colleges</w:t>
      </w:r>
      <w:r>
        <w:rPr>
          <w:color w:val="0E101A"/>
        </w:rPr>
        <w:t>.' Available at: </w:t>
      </w:r>
      <w:hyperlink r:id="rId8" w:tgtFrame="_blank" w:history="1">
        <w:r>
          <w:rPr>
            <w:rStyle w:val="Hyperlink"/>
            <w:rFonts w:eastAsiaTheme="majorEastAsia"/>
            <w:color w:val="4A6EE0"/>
          </w:rPr>
          <w:t>https://www.gdpr.co.uk/blog/a-quick-guide-to-gdpr-for-schools-and-colleges</w:t>
        </w:r>
      </w:hyperlink>
      <w:r>
        <w:rPr>
          <w:color w:val="0E101A"/>
        </w:rPr>
        <w:t> (Accessed: 13/01/2024).</w:t>
      </w:r>
    </w:p>
    <w:p w14:paraId="57DD2EDD" w14:textId="77777777" w:rsidR="00F47B95" w:rsidRDefault="00F47B95" w:rsidP="00F47B95">
      <w:pPr>
        <w:pStyle w:val="NormalWeb"/>
        <w:spacing w:before="0" w:beforeAutospacing="0" w:after="0" w:afterAutospacing="0"/>
        <w:rPr>
          <w:color w:val="0E101A"/>
        </w:rPr>
      </w:pPr>
    </w:p>
    <w:p w14:paraId="5254401A" w14:textId="77777777" w:rsidR="00F47B95" w:rsidRDefault="00F47B95" w:rsidP="00F47B95">
      <w:pPr>
        <w:pStyle w:val="NormalWeb"/>
        <w:spacing w:before="0" w:beforeAutospacing="0" w:after="0" w:afterAutospacing="0"/>
        <w:rPr>
          <w:color w:val="0E101A"/>
        </w:rPr>
      </w:pPr>
      <w:r>
        <w:rPr>
          <w:color w:val="0E101A"/>
        </w:rPr>
        <w:t xml:space="preserve">Jill Sanko, Mary Mckay, Ilya Shekhter, Ivette Motola, David J. Birnbach (2020). </w:t>
      </w:r>
      <w:r w:rsidRPr="00F47B95">
        <w:rPr>
          <w:i/>
          <w:iCs/>
          <w:color w:val="0E101A"/>
        </w:rPr>
        <w:t>What participants learn, with, from and about each other during inter-professional education encounters: A qualitative analysis</w:t>
      </w:r>
      <w:r>
        <w:rPr>
          <w:color w:val="0E101A"/>
        </w:rPr>
        <w:t>. Nurse Education Today, 88, 104386. </w:t>
      </w:r>
      <w:hyperlink r:id="rId9" w:tgtFrame="_blank" w:history="1">
        <w:r>
          <w:rPr>
            <w:rStyle w:val="Hyperlink"/>
            <w:rFonts w:eastAsiaTheme="majorEastAsia"/>
            <w:color w:val="4A6EE0"/>
          </w:rPr>
          <w:t>https://doi.org/10.1016/j.nedt.2020.104386</w:t>
        </w:r>
      </w:hyperlink>
      <w:r>
        <w:rPr>
          <w:color w:val="0E101A"/>
        </w:rPr>
        <w:t>.</w:t>
      </w:r>
    </w:p>
    <w:p w14:paraId="2B0CA739" w14:textId="77777777" w:rsidR="00F47B95" w:rsidRDefault="00F47B95" w:rsidP="00F47B95">
      <w:pPr>
        <w:pStyle w:val="NormalWeb"/>
        <w:spacing w:before="0" w:beforeAutospacing="0" w:after="0" w:afterAutospacing="0"/>
        <w:rPr>
          <w:color w:val="0E101A"/>
        </w:rPr>
      </w:pPr>
    </w:p>
    <w:p w14:paraId="052C02CF" w14:textId="77777777" w:rsidR="00F47B95" w:rsidRDefault="00F47B95" w:rsidP="00F47B95">
      <w:pPr>
        <w:pStyle w:val="NormalWeb"/>
        <w:spacing w:before="0" w:beforeAutospacing="0" w:after="0" w:afterAutospacing="0"/>
        <w:rPr>
          <w:color w:val="0E101A"/>
        </w:rPr>
      </w:pPr>
      <w:r>
        <w:rPr>
          <w:color w:val="0E101A"/>
        </w:rPr>
        <w:t>Karanikas, N. &amp; Hasan, S. M. T. (2022</w:t>
      </w:r>
      <w:r w:rsidRPr="00F47B95">
        <w:rPr>
          <w:i/>
          <w:iCs/>
          <w:color w:val="0E101A"/>
        </w:rPr>
        <w:t>). Occupational Health &amp; Safety and other worker wellbeing areas</w:t>
      </w:r>
      <w:r>
        <w:rPr>
          <w:color w:val="0E101A"/>
        </w:rPr>
        <w:t>: Results from labour inspections in the Bangladesh textile industry. Safety Science.</w:t>
      </w:r>
    </w:p>
    <w:p w14:paraId="026842D3" w14:textId="77777777" w:rsidR="00F47B95" w:rsidRDefault="00F47B95" w:rsidP="00F47B95">
      <w:pPr>
        <w:pStyle w:val="NormalWeb"/>
        <w:spacing w:before="0" w:beforeAutospacing="0" w:after="0" w:afterAutospacing="0"/>
        <w:rPr>
          <w:color w:val="0E101A"/>
        </w:rPr>
      </w:pPr>
    </w:p>
    <w:p w14:paraId="04747F1E" w14:textId="6FA84651" w:rsidR="00F47B95" w:rsidRDefault="00F47B95" w:rsidP="00F47B95">
      <w:pPr>
        <w:pStyle w:val="NormalWeb"/>
        <w:spacing w:before="0" w:beforeAutospacing="0" w:after="0" w:afterAutospacing="0"/>
        <w:rPr>
          <w:color w:val="0E101A"/>
        </w:rPr>
      </w:pPr>
      <w:r>
        <w:rPr>
          <w:color w:val="0E101A"/>
        </w:rPr>
        <w:t xml:space="preserve">Lele DV. (2012). </w:t>
      </w:r>
      <w:r w:rsidRPr="00F47B95">
        <w:rPr>
          <w:i/>
          <w:iCs/>
          <w:color w:val="0E101A"/>
        </w:rPr>
        <w:t>Risk assessment: A neglected tool for health, safety, and environment management</w:t>
      </w:r>
      <w:r>
        <w:rPr>
          <w:color w:val="0E101A"/>
        </w:rPr>
        <w:t xml:space="preserve">. Indian Journal of Occupational and Environmental Medicine, 16(2), 57-58. </w:t>
      </w:r>
      <w:hyperlink r:id="rId10" w:history="1">
        <w:r w:rsidRPr="001759AB">
          <w:rPr>
            <w:rStyle w:val="Hyperlink"/>
          </w:rPr>
          <w:t>https://doi.org/10.4103/0019-5278.107064</w:t>
        </w:r>
      </w:hyperlink>
    </w:p>
    <w:p w14:paraId="269C32AE" w14:textId="77777777" w:rsidR="00F47B95" w:rsidRDefault="00F47B95" w:rsidP="00F47B95">
      <w:pPr>
        <w:pStyle w:val="NormalWeb"/>
        <w:spacing w:before="0" w:beforeAutospacing="0" w:after="0" w:afterAutospacing="0"/>
        <w:rPr>
          <w:color w:val="0E101A"/>
        </w:rPr>
      </w:pPr>
    </w:p>
    <w:p w14:paraId="043D530E" w14:textId="77777777" w:rsidR="00F47B95" w:rsidRDefault="00F47B95" w:rsidP="00F47B95">
      <w:pPr>
        <w:pStyle w:val="NormalWeb"/>
        <w:spacing w:before="0" w:beforeAutospacing="0" w:after="0" w:afterAutospacing="0"/>
        <w:rPr>
          <w:color w:val="0E101A"/>
        </w:rPr>
      </w:pPr>
      <w:r>
        <w:rPr>
          <w:color w:val="0E101A"/>
        </w:rPr>
        <w:t>Markowski, M., Bower, H., Essex, R., &amp; Yearley, C. (2021</w:t>
      </w:r>
      <w:r w:rsidRPr="00F47B95">
        <w:rPr>
          <w:i/>
          <w:iCs/>
          <w:color w:val="0E101A"/>
        </w:rPr>
        <w:t>). Peer learning and collaborative placement models in health care: a systematic review and qualitative synthesis of the literature</w:t>
      </w:r>
      <w:r>
        <w:rPr>
          <w:color w:val="0E101A"/>
        </w:rPr>
        <w:t>. Journal of Clinical Nursing, 30(11-12), 1519-1541.</w:t>
      </w:r>
    </w:p>
    <w:p w14:paraId="344DE111" w14:textId="77777777" w:rsidR="00F47B95" w:rsidRDefault="00F47B95" w:rsidP="00F47B95">
      <w:pPr>
        <w:pStyle w:val="NormalWeb"/>
        <w:spacing w:before="0" w:beforeAutospacing="0" w:after="0" w:afterAutospacing="0"/>
        <w:rPr>
          <w:color w:val="0E101A"/>
        </w:rPr>
      </w:pPr>
    </w:p>
    <w:p w14:paraId="3FA7F98E" w14:textId="77777777" w:rsidR="00F47B95" w:rsidRDefault="00F47B95" w:rsidP="00F47B95">
      <w:pPr>
        <w:pStyle w:val="NormalWeb"/>
        <w:spacing w:before="0" w:beforeAutospacing="0" w:after="0" w:afterAutospacing="0"/>
        <w:rPr>
          <w:color w:val="0E101A"/>
        </w:rPr>
      </w:pPr>
      <w:r>
        <w:rPr>
          <w:color w:val="0E101A"/>
        </w:rPr>
        <w:t xml:space="preserve">Martin, J.P., Stefl, S.K., Cain, L.W., &amp; Pfirman, A.L. (2020). </w:t>
      </w:r>
      <w:r w:rsidRPr="00F47B95">
        <w:rPr>
          <w:i/>
          <w:iCs/>
          <w:color w:val="0E101A"/>
        </w:rPr>
        <w:t>Understanding first-generation undergraduate engineering students’ entry and persistence through social capital theory</w:t>
      </w:r>
      <w:r>
        <w:rPr>
          <w:color w:val="0E101A"/>
        </w:rPr>
        <w:t>. International Journal of STEM Education, 7(1), 1-22.</w:t>
      </w:r>
    </w:p>
    <w:p w14:paraId="376FE2A1" w14:textId="77777777" w:rsidR="00F47B95" w:rsidRDefault="00F47B95" w:rsidP="00F47B95">
      <w:pPr>
        <w:pStyle w:val="NormalWeb"/>
        <w:spacing w:before="0" w:beforeAutospacing="0" w:after="0" w:afterAutospacing="0"/>
        <w:rPr>
          <w:color w:val="0E101A"/>
        </w:rPr>
      </w:pPr>
    </w:p>
    <w:p w14:paraId="2A1DA2A4" w14:textId="13855292" w:rsidR="00F47B95" w:rsidRDefault="00F47B95" w:rsidP="00F47B95">
      <w:pPr>
        <w:pStyle w:val="NormalWeb"/>
        <w:spacing w:before="0" w:beforeAutospacing="0" w:after="0" w:afterAutospacing="0"/>
        <w:rPr>
          <w:color w:val="0E101A"/>
        </w:rPr>
      </w:pPr>
      <w:r>
        <w:rPr>
          <w:color w:val="0E101A"/>
        </w:rPr>
        <w:t xml:space="preserve">McCallen, L.S., &amp; Johnson, H.L. (2020). </w:t>
      </w:r>
      <w:r w:rsidRPr="00F47B95">
        <w:rPr>
          <w:i/>
          <w:iCs/>
          <w:color w:val="0E101A"/>
        </w:rPr>
        <w:t>The role of institutional agents in promoting higher education success among first-generation college students at a public urban university</w:t>
      </w:r>
      <w:r>
        <w:rPr>
          <w:color w:val="0E101A"/>
        </w:rPr>
        <w:t xml:space="preserve">. Journal of Diversity in Higher Education, 13(4), 320. </w:t>
      </w:r>
    </w:p>
    <w:p w14:paraId="07CBA089" w14:textId="77777777" w:rsidR="00F47B95" w:rsidRDefault="00F47B95" w:rsidP="00F47B95">
      <w:pPr>
        <w:pStyle w:val="NormalWeb"/>
        <w:spacing w:before="0" w:beforeAutospacing="0" w:after="0" w:afterAutospacing="0"/>
        <w:rPr>
          <w:color w:val="0E101A"/>
        </w:rPr>
      </w:pPr>
    </w:p>
    <w:p w14:paraId="4DF53030" w14:textId="77777777" w:rsidR="00F47B95" w:rsidRDefault="00F47B95" w:rsidP="00F47B95">
      <w:pPr>
        <w:pStyle w:val="NormalWeb"/>
        <w:spacing w:before="0" w:beforeAutospacing="0" w:after="0" w:afterAutospacing="0"/>
        <w:rPr>
          <w:color w:val="0E101A"/>
        </w:rPr>
      </w:pPr>
      <w:r>
        <w:rPr>
          <w:color w:val="0E101A"/>
        </w:rPr>
        <w:t xml:space="preserve">McCloughen, A., Levy, D., Johnson, A., Nguyen, H., &amp; McKenzie, H. (2020). </w:t>
      </w:r>
      <w:r w:rsidRPr="00F47B95">
        <w:rPr>
          <w:i/>
          <w:iCs/>
          <w:color w:val="0E101A"/>
        </w:rPr>
        <w:t>Nursing students’ socialisation to emotion management during early clinical placement experiences: A qualitative study</w:t>
      </w:r>
      <w:r>
        <w:rPr>
          <w:color w:val="0E101A"/>
        </w:rPr>
        <w:t>. Journal of Clinical Nursing, 29(13-14), 2508-2520.</w:t>
      </w:r>
    </w:p>
    <w:p w14:paraId="4525C8D6" w14:textId="77777777" w:rsidR="00137ECF" w:rsidRDefault="00137ECF" w:rsidP="00F47B95">
      <w:pPr>
        <w:pStyle w:val="NormalWeb"/>
        <w:spacing w:before="0" w:beforeAutospacing="0" w:after="0" w:afterAutospacing="0"/>
        <w:rPr>
          <w:color w:val="0E101A"/>
        </w:rPr>
      </w:pPr>
    </w:p>
    <w:p w14:paraId="0C9A2D73" w14:textId="28AF3512" w:rsidR="00137ECF" w:rsidRPr="00137ECF" w:rsidRDefault="00137ECF" w:rsidP="00F47B95">
      <w:pPr>
        <w:pStyle w:val="NormalWeb"/>
        <w:spacing w:before="0" w:beforeAutospacing="0" w:after="0" w:afterAutospacing="0"/>
        <w:rPr>
          <w:color w:val="0E101A"/>
        </w:rPr>
      </w:pPr>
      <w:r w:rsidRPr="00137ECF">
        <w:rPr>
          <w:rFonts w:ascii="Arial" w:hAnsi="Arial" w:cs="Arial"/>
        </w:rPr>
        <w:t>Michigan Assessment Consortium (2016</w:t>
      </w:r>
      <w:r>
        <w:rPr>
          <w:rFonts w:ascii="Arial" w:hAnsi="Arial" w:cs="Arial"/>
        </w:rPr>
        <w:t xml:space="preserve">). </w:t>
      </w:r>
      <w:r w:rsidRPr="00137ECF">
        <w:rPr>
          <w:i/>
          <w:iCs/>
        </w:rPr>
        <w:t>Understanding Bias in Assessment Design</w:t>
      </w:r>
      <w:r w:rsidRPr="00137ECF">
        <w:rPr>
          <w:i/>
          <w:iCs/>
        </w:rPr>
        <w:t>.</w:t>
      </w:r>
      <w:r>
        <w:rPr>
          <w:i/>
          <w:iCs/>
        </w:rPr>
        <w:t xml:space="preserve"> </w:t>
      </w:r>
      <w:r>
        <w:t xml:space="preserve">[PDF] Available at: </w:t>
      </w:r>
      <w:hyperlink r:id="rId11" w:history="1">
        <w:r w:rsidRPr="00D72E0F">
          <w:rPr>
            <w:rStyle w:val="Hyperlink"/>
          </w:rPr>
          <w:t>https://www.michiganassessmentconsortium.org/wp-content/uploads/UnderstandingBiasInAssessmentDesign.pdf</w:t>
        </w:r>
      </w:hyperlink>
      <w:r>
        <w:t xml:space="preserve"> (Accessed: 01/05/2024).</w:t>
      </w:r>
    </w:p>
    <w:p w14:paraId="2AB8E1E9" w14:textId="77777777" w:rsidR="00F47B95" w:rsidRDefault="00F47B95" w:rsidP="00F47B95">
      <w:pPr>
        <w:pStyle w:val="NormalWeb"/>
        <w:spacing w:before="0" w:beforeAutospacing="0" w:after="0" w:afterAutospacing="0"/>
        <w:rPr>
          <w:color w:val="0E101A"/>
        </w:rPr>
      </w:pPr>
    </w:p>
    <w:p w14:paraId="0AA0B0CF" w14:textId="77777777" w:rsidR="00F47B95" w:rsidRDefault="00F47B95" w:rsidP="00F47B95">
      <w:pPr>
        <w:pStyle w:val="NormalWeb"/>
        <w:spacing w:before="0" w:beforeAutospacing="0" w:after="0" w:afterAutospacing="0"/>
        <w:rPr>
          <w:color w:val="0E101A"/>
        </w:rPr>
      </w:pPr>
      <w:r>
        <w:rPr>
          <w:color w:val="0E101A"/>
        </w:rPr>
        <w:t xml:space="preserve">Mind Tools. (2023). </w:t>
      </w:r>
      <w:r w:rsidRPr="00F47B95">
        <w:rPr>
          <w:i/>
          <w:iCs/>
          <w:color w:val="0E101A"/>
        </w:rPr>
        <w:t>The Learning Zone Model</w:t>
      </w:r>
      <w:r>
        <w:rPr>
          <w:color w:val="0E101A"/>
        </w:rPr>
        <w:t>. Available at: </w:t>
      </w:r>
      <w:hyperlink r:id="rId12" w:tgtFrame="_blank" w:history="1">
        <w:r>
          <w:rPr>
            <w:rStyle w:val="Hyperlink"/>
            <w:rFonts w:eastAsiaTheme="majorEastAsia"/>
            <w:color w:val="4A6EE0"/>
          </w:rPr>
          <w:t>https://www.mindtools.com/a0bop9z/the-learning-zone-model</w:t>
        </w:r>
      </w:hyperlink>
      <w:r>
        <w:rPr>
          <w:color w:val="0E101A"/>
        </w:rPr>
        <w:t> (Accessed: 13/01/2024).</w:t>
      </w:r>
    </w:p>
    <w:p w14:paraId="3D798FE5" w14:textId="77777777" w:rsidR="00F47B95" w:rsidRDefault="00F47B95" w:rsidP="00F47B95">
      <w:pPr>
        <w:pStyle w:val="NormalWeb"/>
        <w:spacing w:before="0" w:beforeAutospacing="0" w:after="0" w:afterAutospacing="0"/>
        <w:rPr>
          <w:color w:val="0E101A"/>
        </w:rPr>
      </w:pPr>
    </w:p>
    <w:p w14:paraId="51ABB8DC" w14:textId="77777777" w:rsidR="00F47B95" w:rsidRDefault="00F47B95" w:rsidP="00F47B95">
      <w:pPr>
        <w:pStyle w:val="NormalWeb"/>
        <w:spacing w:before="0" w:beforeAutospacing="0" w:after="0" w:afterAutospacing="0"/>
        <w:rPr>
          <w:color w:val="0E101A"/>
        </w:rPr>
      </w:pPr>
      <w:r>
        <w:rPr>
          <w:color w:val="0E101A"/>
        </w:rPr>
        <w:t xml:space="preserve">Nelson Laird, T. F. (2010). </w:t>
      </w:r>
      <w:r w:rsidRPr="00F47B95">
        <w:rPr>
          <w:i/>
          <w:iCs/>
          <w:color w:val="0E101A"/>
        </w:rPr>
        <w:t>Measuring the Diversity Inclusivity of College Courses.</w:t>
      </w:r>
      <w:r>
        <w:rPr>
          <w:color w:val="0E101A"/>
        </w:rPr>
        <w:t xml:space="preserve"> Research in Higher Education, 52(5), 572–588. DOI: 10.1007/s11162-010-9210-3</w:t>
      </w:r>
    </w:p>
    <w:p w14:paraId="2C9498B4" w14:textId="77777777" w:rsidR="00F47B95" w:rsidRDefault="00F47B95" w:rsidP="00F47B95">
      <w:pPr>
        <w:pStyle w:val="NormalWeb"/>
        <w:spacing w:before="0" w:beforeAutospacing="0" w:after="0" w:afterAutospacing="0"/>
        <w:rPr>
          <w:color w:val="0E101A"/>
        </w:rPr>
      </w:pPr>
    </w:p>
    <w:p w14:paraId="43DFAA96" w14:textId="77777777" w:rsidR="00F47B95" w:rsidRDefault="00F47B95" w:rsidP="00F47B95">
      <w:pPr>
        <w:pStyle w:val="NormalWeb"/>
        <w:spacing w:before="0" w:beforeAutospacing="0" w:after="0" w:afterAutospacing="0"/>
        <w:rPr>
          <w:color w:val="0E101A"/>
        </w:rPr>
      </w:pPr>
      <w:r>
        <w:rPr>
          <w:color w:val="0E101A"/>
        </w:rPr>
        <w:lastRenderedPageBreak/>
        <w:t>Nieuwoudt, J.E. and Pedler, M.L. (2023). S</w:t>
      </w:r>
      <w:r w:rsidRPr="00F47B95">
        <w:rPr>
          <w:i/>
          <w:iCs/>
          <w:color w:val="0E101A"/>
        </w:rPr>
        <w:t>tudent retention in higher education: Why students choose to remain at university.</w:t>
      </w:r>
      <w:r>
        <w:rPr>
          <w:color w:val="0E101A"/>
        </w:rPr>
        <w:t xml:space="preserve"> Journal of College Student Retention: Research, Theory &amp; Practice, 25(2), 326-349.</w:t>
      </w:r>
    </w:p>
    <w:p w14:paraId="7C4A448E" w14:textId="77777777" w:rsidR="00F47B95" w:rsidRDefault="00F47B95" w:rsidP="00F47B95">
      <w:pPr>
        <w:pStyle w:val="NormalWeb"/>
        <w:spacing w:before="0" w:beforeAutospacing="0" w:after="0" w:afterAutospacing="0"/>
        <w:rPr>
          <w:color w:val="0E101A"/>
        </w:rPr>
      </w:pPr>
    </w:p>
    <w:p w14:paraId="76A00E16" w14:textId="77777777" w:rsidR="00F47B95" w:rsidRDefault="00F47B95" w:rsidP="00F47B95">
      <w:pPr>
        <w:pStyle w:val="NormalWeb"/>
        <w:spacing w:before="0" w:beforeAutospacing="0" w:after="0" w:afterAutospacing="0"/>
        <w:rPr>
          <w:color w:val="0E101A"/>
        </w:rPr>
      </w:pPr>
      <w:r>
        <w:rPr>
          <w:color w:val="0E101A"/>
        </w:rPr>
        <w:t xml:space="preserve">Nwosu, H.E., Obidike, P.C., Ugwu, J.N., Udeze, C.C. and Okolie, U.C. (2022). </w:t>
      </w:r>
      <w:r w:rsidRPr="00F47B95">
        <w:rPr>
          <w:i/>
          <w:iCs/>
          <w:color w:val="0E101A"/>
        </w:rPr>
        <w:t>Applying social cognitive theory to placement learning in business firms and students’ entrepreneurial intentions</w:t>
      </w:r>
      <w:r>
        <w:rPr>
          <w:color w:val="0E101A"/>
        </w:rPr>
        <w:t>. The International Journal of Management Education, 20(1), 100602.</w:t>
      </w:r>
    </w:p>
    <w:p w14:paraId="0957982D" w14:textId="77777777" w:rsidR="00F47B95" w:rsidRDefault="00F47B95" w:rsidP="00F47B95">
      <w:pPr>
        <w:pStyle w:val="NormalWeb"/>
        <w:spacing w:before="0" w:beforeAutospacing="0" w:after="0" w:afterAutospacing="0"/>
        <w:rPr>
          <w:color w:val="0E101A"/>
        </w:rPr>
      </w:pPr>
    </w:p>
    <w:p w14:paraId="75495AC6" w14:textId="2949A54F" w:rsidR="00F47B95" w:rsidRDefault="00F47B95" w:rsidP="00F47B95">
      <w:pPr>
        <w:pStyle w:val="NormalWeb"/>
        <w:spacing w:before="0" w:beforeAutospacing="0" w:after="0" w:afterAutospacing="0"/>
        <w:rPr>
          <w:color w:val="0E101A"/>
        </w:rPr>
      </w:pPr>
      <w:r>
        <w:rPr>
          <w:color w:val="0E101A"/>
        </w:rPr>
        <w:t xml:space="preserve">Quinlan, K.M., &amp; Renninger, K.A. (2022). </w:t>
      </w:r>
      <w:r w:rsidRPr="00F47B95">
        <w:rPr>
          <w:i/>
          <w:iCs/>
          <w:color w:val="0E101A"/>
        </w:rPr>
        <w:t>Rethinking employability: how students build on interest in a subject to plan a career</w:t>
      </w:r>
      <w:r>
        <w:rPr>
          <w:color w:val="0E101A"/>
        </w:rPr>
        <w:t>. Higher Education, 84, 863–883. </w:t>
      </w:r>
      <w:hyperlink r:id="rId13" w:tgtFrame="_blank" w:history="1">
        <w:r>
          <w:rPr>
            <w:rStyle w:val="Hyperlink"/>
            <w:rFonts w:eastAsiaTheme="majorEastAsia"/>
            <w:color w:val="4A6EE0"/>
          </w:rPr>
          <w:t>https://doi.org/10.1007/s10734-021-00804-6</w:t>
        </w:r>
      </w:hyperlink>
    </w:p>
    <w:p w14:paraId="25AE42E9" w14:textId="77777777" w:rsidR="00F47B95" w:rsidRDefault="00F47B95" w:rsidP="00F47B95">
      <w:pPr>
        <w:pStyle w:val="NormalWeb"/>
        <w:spacing w:before="0" w:beforeAutospacing="0" w:after="0" w:afterAutospacing="0"/>
        <w:rPr>
          <w:color w:val="0E101A"/>
        </w:rPr>
      </w:pPr>
    </w:p>
    <w:p w14:paraId="1A2C56A4" w14:textId="04CF7453" w:rsidR="00F47B95" w:rsidRDefault="00F47B95" w:rsidP="00F47B95">
      <w:pPr>
        <w:pStyle w:val="NormalWeb"/>
        <w:spacing w:before="0" w:beforeAutospacing="0" w:after="0" w:afterAutospacing="0"/>
        <w:rPr>
          <w:color w:val="0E101A"/>
        </w:rPr>
      </w:pPr>
      <w:r>
        <w:rPr>
          <w:color w:val="0E101A"/>
        </w:rPr>
        <w:t xml:space="preserve">Rahiem, M. D. H. (2021). </w:t>
      </w:r>
      <w:r w:rsidRPr="00F47B95">
        <w:rPr>
          <w:i/>
          <w:iCs/>
          <w:color w:val="0E101A"/>
        </w:rPr>
        <w:t>Remaining motivated despite the limitations: University students' learning propensity during the COVID-19 pandemic</w:t>
      </w:r>
      <w:r>
        <w:rPr>
          <w:color w:val="0E101A"/>
        </w:rPr>
        <w:t>. Children and Youth Services Review.</w:t>
      </w:r>
    </w:p>
    <w:p w14:paraId="2F3E51A8" w14:textId="77777777" w:rsidR="00F47B95" w:rsidRDefault="00F47B95" w:rsidP="00F47B95">
      <w:pPr>
        <w:pStyle w:val="NormalWeb"/>
        <w:spacing w:before="0" w:beforeAutospacing="0" w:after="0" w:afterAutospacing="0"/>
        <w:rPr>
          <w:color w:val="0E101A"/>
        </w:rPr>
      </w:pPr>
    </w:p>
    <w:p w14:paraId="32049D08" w14:textId="654F535F" w:rsidR="00F47B95" w:rsidRDefault="00F47B95" w:rsidP="00F47B95">
      <w:pPr>
        <w:pStyle w:val="NormalWeb"/>
        <w:spacing w:before="0" w:beforeAutospacing="0" w:after="0" w:afterAutospacing="0"/>
        <w:rPr>
          <w:color w:val="0E101A"/>
        </w:rPr>
      </w:pPr>
      <w:r>
        <w:rPr>
          <w:color w:val="0E101A"/>
        </w:rPr>
        <w:t xml:space="preserve">Samra, R., Waterhouse, P., &amp; Lucassen, M. (2021). </w:t>
      </w:r>
      <w:r w:rsidRPr="00F47B95">
        <w:rPr>
          <w:i/>
          <w:iCs/>
          <w:color w:val="0E101A"/>
        </w:rPr>
        <w:t>Combining and managing work-family-study roles and perceptions of institutional support. Distance Education</w:t>
      </w:r>
      <w:r>
        <w:rPr>
          <w:color w:val="0E101A"/>
        </w:rPr>
        <w:t xml:space="preserve">. </w:t>
      </w:r>
    </w:p>
    <w:p w14:paraId="742556A4" w14:textId="77777777" w:rsidR="00F47B95" w:rsidRDefault="00F47B95" w:rsidP="00F47B95">
      <w:pPr>
        <w:pStyle w:val="NormalWeb"/>
        <w:spacing w:before="0" w:beforeAutospacing="0" w:after="0" w:afterAutospacing="0"/>
        <w:rPr>
          <w:color w:val="0E101A"/>
        </w:rPr>
      </w:pPr>
    </w:p>
    <w:p w14:paraId="7609125F" w14:textId="77944CC7" w:rsidR="00F47B95" w:rsidRPr="00F47B95" w:rsidRDefault="00F47B95" w:rsidP="00F47B95">
      <w:pPr>
        <w:pStyle w:val="NormalWeb"/>
        <w:spacing w:before="0" w:beforeAutospacing="0" w:after="0" w:afterAutospacing="0"/>
        <w:rPr>
          <w:i/>
          <w:iCs/>
          <w:color w:val="0E101A"/>
        </w:rPr>
      </w:pPr>
      <w:r>
        <w:rPr>
          <w:color w:val="0E101A"/>
        </w:rPr>
        <w:t xml:space="preserve">Samra, R., Waterhouse, P., &amp; Lucassen, M. (2022). </w:t>
      </w:r>
      <w:r w:rsidRPr="00F47B95">
        <w:rPr>
          <w:i/>
          <w:iCs/>
          <w:color w:val="0E101A"/>
        </w:rPr>
        <w:t xml:space="preserve">Distance education students' satisfaction: Do work and family roles matter?. Distance Education. </w:t>
      </w:r>
    </w:p>
    <w:p w14:paraId="5824423E" w14:textId="77777777" w:rsidR="00F47B95" w:rsidRDefault="00F47B95" w:rsidP="00F47B95">
      <w:pPr>
        <w:pStyle w:val="NormalWeb"/>
        <w:spacing w:before="0" w:beforeAutospacing="0" w:after="0" w:afterAutospacing="0"/>
        <w:rPr>
          <w:color w:val="0E101A"/>
        </w:rPr>
      </w:pPr>
    </w:p>
    <w:p w14:paraId="5512B7E1" w14:textId="2836C4AF" w:rsidR="00F47B95" w:rsidRDefault="00F47B95" w:rsidP="00F47B95">
      <w:pPr>
        <w:pStyle w:val="NormalWeb"/>
        <w:spacing w:before="0" w:beforeAutospacing="0" w:after="0" w:afterAutospacing="0"/>
        <w:rPr>
          <w:color w:val="0E101A"/>
        </w:rPr>
      </w:pPr>
      <w:r>
        <w:rPr>
          <w:color w:val="0E101A"/>
        </w:rPr>
        <w:t xml:space="preserve">Sairsingh, M. A., Ulentin, A., Campbell-Dean N. H., Curry, C., &amp; Ellefritz (2020). </w:t>
      </w:r>
      <w:r w:rsidRPr="00F47B95">
        <w:rPr>
          <w:i/>
          <w:iCs/>
          <w:color w:val="0E101A"/>
        </w:rPr>
        <w:t>The Importance of Diversity and Inclusiveness in Academia: Perspectives from University of The Bahamas Faculty</w:t>
      </w:r>
      <w:r>
        <w:rPr>
          <w:color w:val="0E101A"/>
        </w:rPr>
        <w:t>. International Journal of Bahamian Studies, 26. DOI: </w:t>
      </w:r>
      <w:hyperlink r:id="rId14" w:tgtFrame="_blank" w:history="1">
        <w:r>
          <w:rPr>
            <w:rStyle w:val="Hyperlink"/>
            <w:rFonts w:eastAsiaTheme="majorEastAsia"/>
            <w:color w:val="4A6EE0"/>
          </w:rPr>
          <w:t>https://doi.org/10.15362/ijbs.v26i0.367</w:t>
        </w:r>
      </w:hyperlink>
    </w:p>
    <w:p w14:paraId="373FDE0F" w14:textId="77777777" w:rsidR="00F47B95" w:rsidRDefault="00F47B95" w:rsidP="00F47B95">
      <w:pPr>
        <w:pStyle w:val="NormalWeb"/>
        <w:spacing w:before="0" w:beforeAutospacing="0" w:after="0" w:afterAutospacing="0"/>
        <w:rPr>
          <w:color w:val="0E101A"/>
        </w:rPr>
      </w:pPr>
    </w:p>
    <w:p w14:paraId="4A2505D5" w14:textId="7B02D8B0" w:rsidR="00F47B95" w:rsidRDefault="00F47B95" w:rsidP="00F47B95">
      <w:pPr>
        <w:pStyle w:val="NormalWeb"/>
        <w:spacing w:before="0" w:beforeAutospacing="0" w:after="0" w:afterAutospacing="0"/>
        <w:rPr>
          <w:color w:val="0E101A"/>
        </w:rPr>
      </w:pPr>
      <w:r>
        <w:rPr>
          <w:color w:val="0E101A"/>
        </w:rPr>
        <w:t xml:space="preserve">Seek. (2024). </w:t>
      </w:r>
      <w:r w:rsidRPr="00F47B95">
        <w:rPr>
          <w:i/>
          <w:iCs/>
          <w:color w:val="0E101A"/>
        </w:rPr>
        <w:t>What's it like to be a Student Support Officer?</w:t>
      </w:r>
      <w:r>
        <w:rPr>
          <w:color w:val="0E101A"/>
        </w:rPr>
        <w:t xml:space="preserve"> Available at: </w:t>
      </w:r>
      <w:hyperlink r:id="rId15" w:tgtFrame="_blank" w:history="1">
        <w:r>
          <w:rPr>
            <w:rStyle w:val="Hyperlink"/>
            <w:rFonts w:eastAsiaTheme="majorEastAsia"/>
            <w:color w:val="4A6EE0"/>
          </w:rPr>
          <w:t>https://www.seek.com.au/career-advice/role/Student-Support-Officer</w:t>
        </w:r>
      </w:hyperlink>
      <w:r>
        <w:rPr>
          <w:color w:val="0E101A"/>
        </w:rPr>
        <w:t> (Accessed: 13/01/2024).</w:t>
      </w:r>
    </w:p>
    <w:p w14:paraId="31D60822" w14:textId="77777777" w:rsidR="00F47B95" w:rsidRDefault="00F47B95" w:rsidP="00F47B95">
      <w:pPr>
        <w:pStyle w:val="NormalWeb"/>
        <w:spacing w:before="0" w:beforeAutospacing="0" w:after="0" w:afterAutospacing="0"/>
        <w:rPr>
          <w:color w:val="0E101A"/>
        </w:rPr>
      </w:pPr>
    </w:p>
    <w:p w14:paraId="095DA715" w14:textId="5779D2AE" w:rsidR="00F47B95" w:rsidRDefault="00F47B95" w:rsidP="00F47B95">
      <w:pPr>
        <w:pStyle w:val="NormalWeb"/>
        <w:spacing w:before="0" w:beforeAutospacing="0" w:after="0" w:afterAutospacing="0"/>
        <w:rPr>
          <w:color w:val="0E101A"/>
        </w:rPr>
      </w:pPr>
      <w:r>
        <w:rPr>
          <w:color w:val="0E101A"/>
        </w:rPr>
        <w:t xml:space="preserve">Son, C., Hegde, S., Smith, A., Wang, X. and Sasangohar, F. (2020). </w:t>
      </w:r>
      <w:r w:rsidRPr="00F47B95">
        <w:rPr>
          <w:i/>
          <w:iCs/>
          <w:color w:val="0E101A"/>
        </w:rPr>
        <w:t xml:space="preserve">Effects of COVID-19 on college students’ mental health in the United States: Interview survey study. </w:t>
      </w:r>
      <w:r>
        <w:rPr>
          <w:color w:val="0E101A"/>
        </w:rPr>
        <w:t xml:space="preserve">Journal of Medical Internet Research, 22(9), e21279. </w:t>
      </w:r>
    </w:p>
    <w:p w14:paraId="58C0989F" w14:textId="77777777" w:rsidR="00F47B95" w:rsidRDefault="00F47B95" w:rsidP="00F47B95">
      <w:pPr>
        <w:pStyle w:val="NormalWeb"/>
        <w:spacing w:before="0" w:beforeAutospacing="0" w:after="0" w:afterAutospacing="0"/>
        <w:rPr>
          <w:color w:val="0E101A"/>
        </w:rPr>
      </w:pPr>
    </w:p>
    <w:p w14:paraId="68DF76EA" w14:textId="19B53BB7" w:rsidR="00F47B95" w:rsidRDefault="00F47B95" w:rsidP="00F47B95">
      <w:pPr>
        <w:pStyle w:val="NormalWeb"/>
        <w:spacing w:before="0" w:beforeAutospacing="0" w:after="0" w:afterAutospacing="0"/>
        <w:rPr>
          <w:color w:val="0E101A"/>
        </w:rPr>
      </w:pPr>
      <w:r>
        <w:rPr>
          <w:color w:val="0E101A"/>
        </w:rPr>
        <w:t xml:space="preserve">Tinto, Vincent. (1993). </w:t>
      </w:r>
      <w:r w:rsidRPr="00F47B95">
        <w:rPr>
          <w:i/>
          <w:iCs/>
          <w:color w:val="0E101A"/>
        </w:rPr>
        <w:t>Leaving College: Rethinking the Causes and Cures of Student Attrition</w:t>
      </w:r>
      <w:r>
        <w:rPr>
          <w:color w:val="0E101A"/>
        </w:rPr>
        <w:t>. London: University of Chicago Press.</w:t>
      </w:r>
    </w:p>
    <w:p w14:paraId="16A02B99" w14:textId="77777777" w:rsidR="00F47B95" w:rsidRDefault="00F47B95" w:rsidP="00F47B95">
      <w:pPr>
        <w:pStyle w:val="NormalWeb"/>
        <w:spacing w:before="0" w:beforeAutospacing="0" w:after="0" w:afterAutospacing="0"/>
        <w:rPr>
          <w:color w:val="0E101A"/>
        </w:rPr>
      </w:pPr>
    </w:p>
    <w:p w14:paraId="5FE1E83D" w14:textId="608CDA50" w:rsidR="00F47B95" w:rsidRDefault="00F47B95" w:rsidP="00F47B95">
      <w:pPr>
        <w:pStyle w:val="NormalWeb"/>
        <w:spacing w:before="0" w:beforeAutospacing="0" w:after="0" w:afterAutospacing="0"/>
        <w:rPr>
          <w:color w:val="0E101A"/>
        </w:rPr>
      </w:pPr>
      <w:r>
        <w:rPr>
          <w:color w:val="0E101A"/>
        </w:rPr>
        <w:t xml:space="preserve">University of Southampton. (2024). </w:t>
      </w:r>
      <w:r w:rsidRPr="00F47B95">
        <w:rPr>
          <w:i/>
          <w:iCs/>
          <w:color w:val="0E101A"/>
        </w:rPr>
        <w:t>Personal Development</w:t>
      </w:r>
      <w:r>
        <w:rPr>
          <w:color w:val="0E101A"/>
        </w:rPr>
        <w:t>. Available at: </w:t>
      </w:r>
      <w:hyperlink r:id="rId16" w:anchor=":~:text=being%20helped%20to%20identify%20and,on%20career%20options%20and%20opportunities" w:tgtFrame="_blank" w:history="1">
        <w:r>
          <w:rPr>
            <w:rStyle w:val="Hyperlink"/>
            <w:rFonts w:eastAsiaTheme="majorEastAsia"/>
            <w:color w:val="4A6EE0"/>
          </w:rPr>
          <w:t>https://www.southampton.ac.uk/professional-development/mentoring/benefits-of-a-mentoring-</w:t>
        </w:r>
        <w:r>
          <w:rPr>
            <w:rStyle w:val="Hyperlink"/>
            <w:rFonts w:eastAsiaTheme="majorEastAsia"/>
            <w:color w:val="4A6EE0"/>
          </w:rPr>
          <w:lastRenderedPageBreak/>
          <w:t>relationship.page#:~:text=being%20helped%20to%20identify%20and,on%20career%20options%20and%20opportunities</w:t>
        </w:r>
      </w:hyperlink>
      <w:r>
        <w:rPr>
          <w:color w:val="0E101A"/>
        </w:rPr>
        <w:t> (Accessed: 13/01/2024).</w:t>
      </w:r>
    </w:p>
    <w:p w14:paraId="3AF83EC5" w14:textId="77777777" w:rsidR="00F47B95" w:rsidRDefault="00F47B95" w:rsidP="00F47B95">
      <w:pPr>
        <w:pStyle w:val="NormalWeb"/>
        <w:spacing w:before="0" w:beforeAutospacing="0" w:after="0" w:afterAutospacing="0"/>
        <w:rPr>
          <w:color w:val="0E101A"/>
        </w:rPr>
      </w:pPr>
    </w:p>
    <w:p w14:paraId="78976850" w14:textId="77777777" w:rsidR="00F47B95" w:rsidRDefault="00F47B95" w:rsidP="00F47B95">
      <w:pPr>
        <w:pStyle w:val="NormalWeb"/>
        <w:spacing w:before="0" w:beforeAutospacing="0" w:after="0" w:afterAutospacing="0"/>
        <w:rPr>
          <w:color w:val="0E101A"/>
        </w:rPr>
      </w:pPr>
      <w:r>
        <w:rPr>
          <w:color w:val="0E101A"/>
        </w:rPr>
        <w:t xml:space="preserve">Vygotsky, L. S. (1978). </w:t>
      </w:r>
      <w:r w:rsidRPr="00F47B95">
        <w:rPr>
          <w:i/>
          <w:iCs/>
          <w:color w:val="0E101A"/>
        </w:rPr>
        <w:t>Mind in Society: The Development of Higher Psychological Processes</w:t>
      </w:r>
      <w:r>
        <w:rPr>
          <w:color w:val="0E101A"/>
        </w:rPr>
        <w:t>. Cambridge, Mass.: Harvard University Press.</w:t>
      </w:r>
    </w:p>
    <w:p w14:paraId="63E95652" w14:textId="77777777" w:rsidR="00F47B95" w:rsidRDefault="00F47B95" w:rsidP="00F47B95">
      <w:pPr>
        <w:pStyle w:val="NormalWeb"/>
        <w:spacing w:before="0" w:beforeAutospacing="0" w:after="0" w:afterAutospacing="0"/>
        <w:rPr>
          <w:color w:val="0E101A"/>
        </w:rPr>
      </w:pPr>
    </w:p>
    <w:p w14:paraId="6389C470" w14:textId="77777777" w:rsidR="00F47B95" w:rsidRDefault="00F47B95" w:rsidP="00F47B95">
      <w:pPr>
        <w:pStyle w:val="NormalWeb"/>
        <w:spacing w:before="0" w:beforeAutospacing="0" w:after="0" w:afterAutospacing="0"/>
        <w:rPr>
          <w:color w:val="0E101A"/>
        </w:rPr>
      </w:pPr>
      <w:r>
        <w:rPr>
          <w:color w:val="0E101A"/>
        </w:rPr>
        <w:t xml:space="preserve">Wates, J. (2012). </w:t>
      </w:r>
      <w:r w:rsidRPr="00F47B95">
        <w:rPr>
          <w:i/>
          <w:iCs/>
          <w:color w:val="0E101A"/>
        </w:rPr>
        <w:t>Business and Schools: Building the World of Work Together.</w:t>
      </w:r>
      <w:r>
        <w:rPr>
          <w:color w:val="0E101A"/>
        </w:rPr>
        <w:t xml:space="preserve"> [PDF] Available at: </w:t>
      </w:r>
      <w:hyperlink r:id="rId17" w:tgtFrame="_blank" w:history="1">
        <w:r>
          <w:rPr>
            <w:rStyle w:val="Hyperlink"/>
            <w:rFonts w:eastAsiaTheme="majorEastAsia"/>
            <w:color w:val="4A6EE0"/>
          </w:rPr>
          <w:t>https://assets.publishing.service.gov.uk/media/5a7d8812ed915d497af70013/business-and-schools-building-the-world-of-work-together.pdf</w:t>
        </w:r>
      </w:hyperlink>
      <w:r>
        <w:rPr>
          <w:color w:val="0E101A"/>
        </w:rPr>
        <w:t> (Accessed: 13/01/2024).</w:t>
      </w:r>
    </w:p>
    <w:p w14:paraId="4411F48C" w14:textId="77777777" w:rsidR="00F47B95" w:rsidRDefault="00F47B95" w:rsidP="00F47B95">
      <w:pPr>
        <w:pStyle w:val="NormalWeb"/>
        <w:spacing w:before="0" w:beforeAutospacing="0" w:after="0" w:afterAutospacing="0"/>
        <w:rPr>
          <w:color w:val="0E101A"/>
        </w:rPr>
      </w:pPr>
    </w:p>
    <w:p w14:paraId="3741F4CC" w14:textId="59B85D4A" w:rsidR="00F47B95" w:rsidRDefault="00F47B95" w:rsidP="00F47B95">
      <w:pPr>
        <w:pStyle w:val="NormalWeb"/>
        <w:spacing w:before="0" w:beforeAutospacing="0" w:after="0" w:afterAutospacing="0"/>
        <w:rPr>
          <w:color w:val="0E101A"/>
        </w:rPr>
      </w:pPr>
      <w:r>
        <w:rPr>
          <w:color w:val="0E101A"/>
        </w:rPr>
        <w:t xml:space="preserve">Waterhouse, P., Samra, R., &amp; Lucassen, M. (2022). </w:t>
      </w:r>
      <w:r w:rsidRPr="00F47B95">
        <w:rPr>
          <w:i/>
          <w:iCs/>
          <w:color w:val="0E101A"/>
        </w:rPr>
        <w:t>Distance education students' satisfaction: Do work and family roles matter</w:t>
      </w:r>
      <w:r>
        <w:rPr>
          <w:color w:val="0E101A"/>
        </w:rPr>
        <w:t xml:space="preserve">?. Distance Education. </w:t>
      </w:r>
    </w:p>
    <w:p w14:paraId="7490E119" w14:textId="77777777" w:rsidR="00F47B95" w:rsidRDefault="00F47B95" w:rsidP="00F47B95">
      <w:pPr>
        <w:pStyle w:val="NormalWeb"/>
        <w:spacing w:before="0" w:beforeAutospacing="0" w:after="0" w:afterAutospacing="0"/>
        <w:rPr>
          <w:color w:val="0E101A"/>
        </w:rPr>
      </w:pPr>
    </w:p>
    <w:p w14:paraId="78591677" w14:textId="77777777" w:rsidR="00F47B95" w:rsidRDefault="00F47B95" w:rsidP="00F47B95">
      <w:pPr>
        <w:pStyle w:val="NormalWeb"/>
        <w:spacing w:before="0" w:beforeAutospacing="0" w:after="0" w:afterAutospacing="0"/>
        <w:rPr>
          <w:color w:val="0E101A"/>
        </w:rPr>
      </w:pPr>
      <w:r>
        <w:rPr>
          <w:color w:val="0E101A"/>
        </w:rPr>
        <w:t xml:space="preserve">Wilson, L. (2021). </w:t>
      </w:r>
      <w:r w:rsidRPr="00F47B95">
        <w:rPr>
          <w:i/>
          <w:iCs/>
          <w:color w:val="0E101A"/>
        </w:rPr>
        <w:t>How Harnessing Negative Feedback Can Improve Your Business</w:t>
      </w:r>
      <w:r>
        <w:rPr>
          <w:color w:val="0E101A"/>
        </w:rPr>
        <w:t>. Available at: </w:t>
      </w:r>
      <w:hyperlink r:id="rId18" w:anchor=":~:text=It%20provides%20you%20a%20spark,and%20insightful)%20than%20positive%20feedback" w:tgtFrame="_blank" w:history="1">
        <w:r>
          <w:rPr>
            <w:rStyle w:val="Hyperlink"/>
            <w:rFonts w:eastAsiaTheme="majorEastAsia"/>
            <w:color w:val="4A6EE0"/>
          </w:rPr>
          <w:t>https://paperform.co/blog/negative-feedback/#:~:text=It%20provides%20you%20a%20spark,and%20insightful)%20than%20positive%20feedback</w:t>
        </w:r>
      </w:hyperlink>
      <w:r>
        <w:rPr>
          <w:color w:val="0E101A"/>
        </w:rPr>
        <w:t>. (Accessed: 13/01/2024).</w:t>
      </w:r>
    </w:p>
    <w:p w14:paraId="46990532" w14:textId="77777777" w:rsidR="00F47B95" w:rsidRDefault="00F47B95" w:rsidP="00F47B95">
      <w:pPr>
        <w:pStyle w:val="NormalWeb"/>
        <w:spacing w:before="0" w:beforeAutospacing="0" w:after="0" w:afterAutospacing="0"/>
        <w:rPr>
          <w:color w:val="0E101A"/>
        </w:rPr>
      </w:pPr>
    </w:p>
    <w:p w14:paraId="0CBFC3B4" w14:textId="77777777" w:rsidR="00F47B95" w:rsidRDefault="00F47B95" w:rsidP="00F47B95">
      <w:pPr>
        <w:pStyle w:val="NormalWeb"/>
        <w:spacing w:before="0" w:beforeAutospacing="0" w:after="0" w:afterAutospacing="0"/>
        <w:rPr>
          <w:color w:val="0E101A"/>
        </w:rPr>
      </w:pPr>
      <w:r>
        <w:rPr>
          <w:color w:val="0E101A"/>
        </w:rPr>
        <w:t xml:space="preserve">Woods, C., Armstrong, P., Bragg, D., Collins, A., Pearson, D. (2010). </w:t>
      </w:r>
      <w:r w:rsidRPr="00F47B95">
        <w:rPr>
          <w:i/>
          <w:iCs/>
          <w:color w:val="0E101A"/>
        </w:rPr>
        <w:t>School Business Manager Demonstration Project Evaluation Study: Final Report</w:t>
      </w:r>
      <w:r>
        <w:rPr>
          <w:color w:val="0E101A"/>
        </w:rPr>
        <w:t>. Nottingham: National College for School Leadership (NCSL).</w:t>
      </w:r>
    </w:p>
    <w:p w14:paraId="1A5098F7" w14:textId="057FE4FB" w:rsidR="00C2336A" w:rsidRDefault="00F47B95" w:rsidP="00F47B95">
      <w:pPr>
        <w:pStyle w:val="citation"/>
        <w:rPr>
          <w:rFonts w:ascii="Segoe UI" w:hAnsi="Segoe UI" w:cs="Segoe UI"/>
          <w:color w:val="0F0F0F"/>
        </w:rPr>
      </w:pPr>
      <w:r>
        <w:rPr>
          <w:rFonts w:ascii="Segoe UI" w:hAnsi="Segoe UI" w:cs="Segoe UI"/>
          <w:color w:val="0F0F0F"/>
        </w:rPr>
        <w:t xml:space="preserve">Yale University (2024) We Know Teamwork Is Important, But How Important? Available at: https://your.yale.edu/we-know-teamwork-important-how-important#:~:text=A%20team%20environment%20allows%20individuals,solutions%20more%20efficiently%20and%20effectively. (Accessed: 13/01/2024). </w:t>
      </w:r>
    </w:p>
    <w:p w14:paraId="4BC387CF" w14:textId="0FF315C3" w:rsidR="00F47B95" w:rsidRDefault="00F47B95" w:rsidP="00F47B95">
      <w:pPr>
        <w:pStyle w:val="citation"/>
      </w:pPr>
      <w:r>
        <w:rPr>
          <w:rFonts w:ascii="Segoe UI" w:hAnsi="Segoe UI" w:cs="Segoe UI"/>
          <w:color w:val="0F0F0F"/>
        </w:rPr>
        <w:t>Ynze, Van Houten (Eds). (2012). Safety at work. Saxion research centre design and technology. Enscheda, the Netherlands.</w:t>
      </w:r>
    </w:p>
    <w:sectPr w:rsidR="00F47B95" w:rsidSect="00FF6D6D">
      <w:head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3CF0B" w14:textId="77777777" w:rsidR="00FF6D6D" w:rsidRDefault="00FF6D6D" w:rsidP="006C0237">
      <w:pPr>
        <w:spacing w:after="0" w:line="240" w:lineRule="auto"/>
      </w:pPr>
      <w:r>
        <w:separator/>
      </w:r>
    </w:p>
  </w:endnote>
  <w:endnote w:type="continuationSeparator" w:id="0">
    <w:p w14:paraId="33CA5458" w14:textId="77777777" w:rsidR="00FF6D6D" w:rsidRDefault="00FF6D6D" w:rsidP="006C0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28791" w14:textId="77777777" w:rsidR="00FF6D6D" w:rsidRDefault="00FF6D6D" w:rsidP="006C0237">
      <w:pPr>
        <w:spacing w:after="0" w:line="240" w:lineRule="auto"/>
      </w:pPr>
      <w:r>
        <w:separator/>
      </w:r>
    </w:p>
  </w:footnote>
  <w:footnote w:type="continuationSeparator" w:id="0">
    <w:p w14:paraId="7AD34BF4" w14:textId="77777777" w:rsidR="00FF6D6D" w:rsidRDefault="00FF6D6D" w:rsidP="006C02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51329" w14:textId="7FC2760B" w:rsidR="006C0237" w:rsidRDefault="006C0237">
    <w:pPr>
      <w:pStyle w:val="Header"/>
    </w:pPr>
    <w:r>
      <w:t>Siobhan Roper</w:t>
    </w:r>
    <w:r>
      <w:ptab w:relativeTo="margin" w:alignment="center" w:leader="none"/>
    </w:r>
    <w:r>
      <w:t>ECCP7001</w:t>
    </w:r>
    <w:r>
      <w:ptab w:relativeTo="margin" w:alignment="right" w:leader="none"/>
    </w:r>
    <w:r>
      <w:t>Student ID: 2015646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9361B"/>
    <w:multiLevelType w:val="hybridMultilevel"/>
    <w:tmpl w:val="E83CE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B2BB3"/>
    <w:multiLevelType w:val="hybridMultilevel"/>
    <w:tmpl w:val="84CABAE6"/>
    <w:lvl w:ilvl="0" w:tplc="BFB298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634315">
    <w:abstractNumId w:val="0"/>
  </w:num>
  <w:num w:numId="2" w16cid:durableId="115626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9B"/>
    <w:rsid w:val="00080254"/>
    <w:rsid w:val="00137ECF"/>
    <w:rsid w:val="00257D9B"/>
    <w:rsid w:val="002674EE"/>
    <w:rsid w:val="003355E5"/>
    <w:rsid w:val="005217D4"/>
    <w:rsid w:val="005B6939"/>
    <w:rsid w:val="00622995"/>
    <w:rsid w:val="006B42A0"/>
    <w:rsid w:val="006C0237"/>
    <w:rsid w:val="007B1CE6"/>
    <w:rsid w:val="009B5F32"/>
    <w:rsid w:val="00BF1871"/>
    <w:rsid w:val="00C2336A"/>
    <w:rsid w:val="00C90955"/>
    <w:rsid w:val="00D72A76"/>
    <w:rsid w:val="00F47B95"/>
    <w:rsid w:val="00FF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E9F7B"/>
  <w15:docId w15:val="{81FF8E8C-454D-D849-B02B-7D864E4C8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36A"/>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C2336A"/>
    <w:pPr>
      <w:keepNext/>
      <w:keepLines/>
      <w:spacing w:before="40" w:after="0" w:line="240"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5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74EE"/>
    <w:pPr>
      <w:ind w:left="720"/>
      <w:contextualSpacing/>
    </w:pPr>
  </w:style>
  <w:style w:type="character" w:customStyle="1" w:styleId="Heading1Char">
    <w:name w:val="Heading 1 Char"/>
    <w:basedOn w:val="DefaultParagraphFont"/>
    <w:link w:val="Heading1"/>
    <w:uiPriority w:val="9"/>
    <w:rsid w:val="00C2336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C2336A"/>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C2336A"/>
    <w:rPr>
      <w:b/>
      <w:bCs/>
    </w:rPr>
  </w:style>
  <w:style w:type="character" w:styleId="Hyperlink">
    <w:name w:val="Hyperlink"/>
    <w:basedOn w:val="DefaultParagraphFont"/>
    <w:uiPriority w:val="99"/>
    <w:unhideWhenUsed/>
    <w:rsid w:val="00C2336A"/>
    <w:rPr>
      <w:color w:val="0000FF"/>
      <w:u w:val="single"/>
    </w:rPr>
  </w:style>
  <w:style w:type="paragraph" w:customStyle="1" w:styleId="paragraph">
    <w:name w:val="paragraph"/>
    <w:basedOn w:val="Normal"/>
    <w:rsid w:val="00C233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link">
    <w:name w:val="citation-link"/>
    <w:basedOn w:val="DefaultParagraphFont"/>
    <w:rsid w:val="00C2336A"/>
  </w:style>
  <w:style w:type="character" w:styleId="Emphasis">
    <w:name w:val="Emphasis"/>
    <w:basedOn w:val="DefaultParagraphFont"/>
    <w:uiPriority w:val="20"/>
    <w:qFormat/>
    <w:rsid w:val="00C2336A"/>
    <w:rPr>
      <w:i/>
      <w:iCs/>
    </w:rPr>
  </w:style>
  <w:style w:type="paragraph" w:styleId="NormalWeb">
    <w:name w:val="Normal (Web)"/>
    <w:basedOn w:val="Normal"/>
    <w:uiPriority w:val="99"/>
    <w:unhideWhenUsed/>
    <w:rsid w:val="00C233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
    <w:name w:val="citation"/>
    <w:basedOn w:val="Normal"/>
    <w:rsid w:val="00F47B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47B95"/>
    <w:rPr>
      <w:color w:val="605E5C"/>
      <w:shd w:val="clear" w:color="auto" w:fill="E1DFDD"/>
    </w:rPr>
  </w:style>
  <w:style w:type="paragraph" w:styleId="Header">
    <w:name w:val="header"/>
    <w:basedOn w:val="Normal"/>
    <w:link w:val="HeaderChar"/>
    <w:uiPriority w:val="99"/>
    <w:unhideWhenUsed/>
    <w:rsid w:val="006C0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237"/>
  </w:style>
  <w:style w:type="paragraph" w:styleId="Footer">
    <w:name w:val="footer"/>
    <w:basedOn w:val="Normal"/>
    <w:link w:val="FooterChar"/>
    <w:uiPriority w:val="99"/>
    <w:unhideWhenUsed/>
    <w:rsid w:val="006C0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97292">
      <w:bodyDiv w:val="1"/>
      <w:marLeft w:val="0"/>
      <w:marRight w:val="0"/>
      <w:marTop w:val="0"/>
      <w:marBottom w:val="0"/>
      <w:divBdr>
        <w:top w:val="none" w:sz="0" w:space="0" w:color="auto"/>
        <w:left w:val="none" w:sz="0" w:space="0" w:color="auto"/>
        <w:bottom w:val="none" w:sz="0" w:space="0" w:color="auto"/>
        <w:right w:val="none" w:sz="0" w:space="0" w:color="auto"/>
      </w:divBdr>
    </w:div>
    <w:div w:id="564879430">
      <w:bodyDiv w:val="1"/>
      <w:marLeft w:val="0"/>
      <w:marRight w:val="0"/>
      <w:marTop w:val="0"/>
      <w:marBottom w:val="0"/>
      <w:divBdr>
        <w:top w:val="none" w:sz="0" w:space="0" w:color="auto"/>
        <w:left w:val="none" w:sz="0" w:space="0" w:color="auto"/>
        <w:bottom w:val="none" w:sz="0" w:space="0" w:color="auto"/>
        <w:right w:val="none" w:sz="0" w:space="0" w:color="auto"/>
      </w:divBdr>
    </w:div>
    <w:div w:id="579370677">
      <w:bodyDiv w:val="1"/>
      <w:marLeft w:val="0"/>
      <w:marRight w:val="0"/>
      <w:marTop w:val="0"/>
      <w:marBottom w:val="0"/>
      <w:divBdr>
        <w:top w:val="none" w:sz="0" w:space="0" w:color="auto"/>
        <w:left w:val="none" w:sz="0" w:space="0" w:color="auto"/>
        <w:bottom w:val="none" w:sz="0" w:space="0" w:color="auto"/>
        <w:right w:val="none" w:sz="0" w:space="0" w:color="auto"/>
      </w:divBdr>
    </w:div>
    <w:div w:id="747069617">
      <w:bodyDiv w:val="1"/>
      <w:marLeft w:val="0"/>
      <w:marRight w:val="0"/>
      <w:marTop w:val="0"/>
      <w:marBottom w:val="0"/>
      <w:divBdr>
        <w:top w:val="none" w:sz="0" w:space="0" w:color="auto"/>
        <w:left w:val="none" w:sz="0" w:space="0" w:color="auto"/>
        <w:bottom w:val="none" w:sz="0" w:space="0" w:color="auto"/>
        <w:right w:val="none" w:sz="0" w:space="0" w:color="auto"/>
      </w:divBdr>
    </w:div>
    <w:div w:id="955453704">
      <w:bodyDiv w:val="1"/>
      <w:marLeft w:val="0"/>
      <w:marRight w:val="0"/>
      <w:marTop w:val="0"/>
      <w:marBottom w:val="0"/>
      <w:divBdr>
        <w:top w:val="none" w:sz="0" w:space="0" w:color="auto"/>
        <w:left w:val="none" w:sz="0" w:space="0" w:color="auto"/>
        <w:bottom w:val="none" w:sz="0" w:space="0" w:color="auto"/>
        <w:right w:val="none" w:sz="0" w:space="0" w:color="auto"/>
      </w:divBdr>
    </w:div>
    <w:div w:id="1230267519">
      <w:bodyDiv w:val="1"/>
      <w:marLeft w:val="0"/>
      <w:marRight w:val="0"/>
      <w:marTop w:val="0"/>
      <w:marBottom w:val="0"/>
      <w:divBdr>
        <w:top w:val="none" w:sz="0" w:space="0" w:color="auto"/>
        <w:left w:val="none" w:sz="0" w:space="0" w:color="auto"/>
        <w:bottom w:val="none" w:sz="0" w:space="0" w:color="auto"/>
        <w:right w:val="none" w:sz="0" w:space="0" w:color="auto"/>
      </w:divBdr>
    </w:div>
    <w:div w:id="170494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dpr.co.uk/blog/a-quick-guide-to-gdpr-for-schools-and-colleges" TargetMode="External"/><Relationship Id="rId13" Type="http://schemas.openxmlformats.org/officeDocument/2006/relationships/hyperlink" Target="https://doi.org/10.1007/s10734-021-00804-6" TargetMode="External"/><Relationship Id="rId18" Type="http://schemas.openxmlformats.org/officeDocument/2006/relationships/hyperlink" Target="https://paperform.co/blog/negative-feedbac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07/s10212-018-0406-9" TargetMode="External"/><Relationship Id="rId12" Type="http://schemas.openxmlformats.org/officeDocument/2006/relationships/hyperlink" Target="https://www.mindtools.com/a0bop9z/the-learning-zone-model" TargetMode="External"/><Relationship Id="rId17" Type="http://schemas.openxmlformats.org/officeDocument/2006/relationships/hyperlink" Target="https://assets.publishing.service.gov.uk/media/5a7d8812ed915d497af70013/business-and-schools-building-the-world-of-work-together.pdf" TargetMode="External"/><Relationship Id="rId2" Type="http://schemas.openxmlformats.org/officeDocument/2006/relationships/styles" Target="styles.xml"/><Relationship Id="rId16" Type="http://schemas.openxmlformats.org/officeDocument/2006/relationships/hyperlink" Target="https://www.southampton.ac.uk/professional-development/mentoring/benefits-of-a-mentoring-relationship.pag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chiganassessmentconsortium.org/wp-content/uploads/UnderstandingBiasInAssessmentDesign.pdf" TargetMode="External"/><Relationship Id="rId5" Type="http://schemas.openxmlformats.org/officeDocument/2006/relationships/footnotes" Target="footnotes.xml"/><Relationship Id="rId15" Type="http://schemas.openxmlformats.org/officeDocument/2006/relationships/hyperlink" Target="https://www.seek.com.au/career-advice/role/Student-Support-Officer" TargetMode="External"/><Relationship Id="rId10" Type="http://schemas.openxmlformats.org/officeDocument/2006/relationships/hyperlink" Target="https://doi.org/10.4103/0019-5278.10706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nedt.2020.104386" TargetMode="External"/><Relationship Id="rId14" Type="http://schemas.openxmlformats.org/officeDocument/2006/relationships/hyperlink" Target="https://doi.org/10.15362/ijbs.v26i0.3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166</TotalTime>
  <Pages>27</Pages>
  <Words>7878</Words>
  <Characters>44908</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ROP09093478 (Siobhan Louise Roper)</cp:lastModifiedBy>
  <cp:revision>8</cp:revision>
  <dcterms:created xsi:type="dcterms:W3CDTF">2024-01-13T22:32:00Z</dcterms:created>
  <dcterms:modified xsi:type="dcterms:W3CDTF">2024-05-01T22:23:00Z</dcterms:modified>
</cp:coreProperties>
</file>