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68360" w14:textId="51C4E960" w:rsidR="004357AE" w:rsidRDefault="004357AE" w:rsidP="00090B9E">
      <w:pPr>
        <w:rPr>
          <w:sz w:val="28"/>
          <w:szCs w:val="28"/>
        </w:rPr>
      </w:pPr>
      <w:r w:rsidRPr="00AA4407">
        <w:rPr>
          <w:noProof/>
          <w:lang w:eastAsia="en-GB"/>
        </w:rPr>
        <w:drawing>
          <wp:anchor distT="0" distB="0" distL="114300" distR="114300" simplePos="0" relativeHeight="251658240" behindDoc="1" locked="0" layoutInCell="1" allowOverlap="1" wp14:anchorId="736963B5" wp14:editId="186AF9B7">
            <wp:simplePos x="0" y="0"/>
            <wp:positionH relativeFrom="column">
              <wp:posOffset>2082800</wp:posOffset>
            </wp:positionH>
            <wp:positionV relativeFrom="paragraph">
              <wp:posOffset>0</wp:posOffset>
            </wp:positionV>
            <wp:extent cx="1708150" cy="863600"/>
            <wp:effectExtent l="0" t="0" r="6350" b="0"/>
            <wp:wrapTopAndBottom/>
            <wp:docPr id="38064666" name="Picture 38064666"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8150" cy="863600"/>
                    </a:xfrm>
                    <a:prstGeom prst="rect">
                      <a:avLst/>
                    </a:prstGeom>
                    <a:noFill/>
                    <a:ln>
                      <a:noFill/>
                    </a:ln>
                  </pic:spPr>
                </pic:pic>
              </a:graphicData>
            </a:graphic>
            <wp14:sizeRelH relativeFrom="margin">
              <wp14:pctWidth>0</wp14:pctWidth>
            </wp14:sizeRelH>
          </wp:anchor>
        </w:drawing>
      </w:r>
      <w:r w:rsidR="001B5444" w:rsidRPr="001B5444">
        <w:rPr>
          <w:sz w:val="24"/>
          <w:szCs w:val="24"/>
        </w:rPr>
        <w:t>Angella Karim (2009543)</w:t>
      </w:r>
      <w:r w:rsidR="00090B9E">
        <w:rPr>
          <w:sz w:val="28"/>
          <w:szCs w:val="28"/>
        </w:rPr>
        <w:t xml:space="preserve">                                </w:t>
      </w:r>
    </w:p>
    <w:p w14:paraId="30C13A0D" w14:textId="77777777" w:rsidR="004357AE" w:rsidRDefault="004357AE" w:rsidP="00090B9E">
      <w:pPr>
        <w:rPr>
          <w:sz w:val="28"/>
          <w:szCs w:val="28"/>
        </w:rPr>
      </w:pPr>
    </w:p>
    <w:p w14:paraId="0DA4A48C" w14:textId="57BAB511" w:rsidR="001B5444" w:rsidRDefault="00090B9E" w:rsidP="00090B9E">
      <w:pPr>
        <w:rPr>
          <w:sz w:val="28"/>
          <w:szCs w:val="28"/>
        </w:rPr>
      </w:pPr>
      <w:r>
        <w:rPr>
          <w:sz w:val="28"/>
          <w:szCs w:val="28"/>
        </w:rPr>
        <w:t xml:space="preserve">            </w:t>
      </w:r>
    </w:p>
    <w:p w14:paraId="09D3D9A6" w14:textId="77777777" w:rsidR="00451E5B" w:rsidRDefault="00451E5B" w:rsidP="00451E5B">
      <w:pPr>
        <w:rPr>
          <w:sz w:val="28"/>
          <w:szCs w:val="28"/>
        </w:rPr>
      </w:pPr>
      <w:r>
        <w:rPr>
          <w:sz w:val="28"/>
          <w:szCs w:val="28"/>
        </w:rPr>
        <w:t xml:space="preserve">                                              </w:t>
      </w:r>
      <w:r w:rsidRPr="006F6A34">
        <w:rPr>
          <w:sz w:val="28"/>
          <w:szCs w:val="28"/>
        </w:rPr>
        <w:t>My reflection of my micro teach</w:t>
      </w:r>
      <w:r>
        <w:rPr>
          <w:sz w:val="28"/>
          <w:szCs w:val="28"/>
        </w:rPr>
        <w:t>ing.</w:t>
      </w:r>
    </w:p>
    <w:p w14:paraId="2F61F7B7" w14:textId="0609A194" w:rsidR="005F47D8" w:rsidRDefault="005F47D8" w:rsidP="005F47D8">
      <w:pPr>
        <w:rPr>
          <w:sz w:val="28"/>
          <w:szCs w:val="28"/>
        </w:rPr>
      </w:pPr>
      <w:r>
        <w:rPr>
          <w:sz w:val="28"/>
          <w:szCs w:val="28"/>
        </w:rPr>
        <w:t xml:space="preserve">                                              </w:t>
      </w:r>
    </w:p>
    <w:p w14:paraId="5C68ED89" w14:textId="77777777" w:rsidR="005F47D8" w:rsidRDefault="005F47D8" w:rsidP="005F47D8">
      <w:pPr>
        <w:rPr>
          <w:sz w:val="28"/>
          <w:szCs w:val="28"/>
        </w:rPr>
      </w:pPr>
      <w:r>
        <w:rPr>
          <w:sz w:val="28"/>
          <w:szCs w:val="28"/>
        </w:rPr>
        <w:t>Introduction.</w:t>
      </w:r>
    </w:p>
    <w:p w14:paraId="406D9A9A" w14:textId="228CD518" w:rsidR="005F47D8" w:rsidRPr="006D336D" w:rsidRDefault="005F47D8" w:rsidP="005F47D8">
      <w:pPr>
        <w:spacing w:line="360" w:lineRule="auto"/>
        <w:jc w:val="both"/>
        <w:rPr>
          <w:sz w:val="24"/>
          <w:szCs w:val="24"/>
        </w:rPr>
      </w:pPr>
      <w:r>
        <w:rPr>
          <w:sz w:val="24"/>
          <w:szCs w:val="24"/>
        </w:rPr>
        <w:t>In this reflection I will be using (Driscoll’s model of reflection 2007, p43), as this seems to be the most appropriate for the word count, I have been allocated. My micro teach was on communication, as I feel strongly that effective communication is essential for managing relationships in health and social care. (Collier 2021).</w:t>
      </w:r>
    </w:p>
    <w:p w14:paraId="47D0ED1F" w14:textId="48805902" w:rsidR="005F47D8" w:rsidRDefault="005F47D8" w:rsidP="005F47D8">
      <w:pPr>
        <w:spacing w:line="360" w:lineRule="auto"/>
        <w:jc w:val="both"/>
        <w:rPr>
          <w:sz w:val="24"/>
          <w:szCs w:val="24"/>
        </w:rPr>
      </w:pPr>
      <w:r>
        <w:rPr>
          <w:sz w:val="24"/>
          <w:szCs w:val="24"/>
        </w:rPr>
        <w:t>I arrived early, to my micro teaching session and was surprised to see that everyone else had already arrived. The room felt very comfortable, and everyone was very welcoming. At the beginning of my micro teach I felt very nervous</w:t>
      </w:r>
      <w:r w:rsidR="00FB2EF9">
        <w:rPr>
          <w:sz w:val="24"/>
          <w:szCs w:val="24"/>
        </w:rPr>
        <w:t>,</w:t>
      </w:r>
      <w:r>
        <w:rPr>
          <w:sz w:val="24"/>
          <w:szCs w:val="24"/>
        </w:rPr>
        <w:t xml:space="preserve"> and although I felt this way, I made sure I introduced the topic to the best of my ability.  Within the classroom the formative assessments I used were questions and answers, which everyone engaged in by answering the questions and giving me their feedback. Throughout the presentation the Welsh professional standards in Wales (2022) were </w:t>
      </w:r>
      <w:r w:rsidR="00FB2EF9">
        <w:rPr>
          <w:sz w:val="24"/>
          <w:szCs w:val="24"/>
        </w:rPr>
        <w:t>included.</w:t>
      </w:r>
      <w:r>
        <w:rPr>
          <w:sz w:val="24"/>
          <w:szCs w:val="24"/>
        </w:rPr>
        <w:t xml:space="preserve"> I felt that I had planned and delivered effective learning, by using technology in the form of a power point presentation and near the end of my presentation, I included a role play activity, which consisted of students wearing blind folds and earplugs, getting them to pick objects out of a box while blindfolded and guess what was in there. I then got them to guess what I was saying while they had ear plugs in. Everyone seemed to enjoy this as they all interacted with my session. According to Hye-Jin (2015), this was a good way to give the students an insight into how sensory impairments can affect someone’s daily life and hinder basic daily activities.</w:t>
      </w:r>
    </w:p>
    <w:p w14:paraId="35259CAC" w14:textId="77777777" w:rsidR="005F47D8" w:rsidRDefault="005F47D8" w:rsidP="005F47D8">
      <w:pPr>
        <w:spacing w:line="360" w:lineRule="auto"/>
        <w:jc w:val="both"/>
        <w:rPr>
          <w:sz w:val="24"/>
          <w:szCs w:val="24"/>
        </w:rPr>
      </w:pPr>
    </w:p>
    <w:p w14:paraId="2A08634D" w14:textId="77777777" w:rsidR="004357AE" w:rsidRDefault="004357AE" w:rsidP="005F47D8">
      <w:pPr>
        <w:spacing w:line="360" w:lineRule="auto"/>
        <w:jc w:val="both"/>
        <w:rPr>
          <w:sz w:val="24"/>
          <w:szCs w:val="24"/>
        </w:rPr>
      </w:pPr>
    </w:p>
    <w:p w14:paraId="78FEA441" w14:textId="3C4E7C6E" w:rsidR="005F47D8" w:rsidRPr="004357AE" w:rsidRDefault="005F47D8" w:rsidP="005F47D8">
      <w:pPr>
        <w:spacing w:line="360" w:lineRule="auto"/>
        <w:jc w:val="both"/>
        <w:rPr>
          <w:b/>
          <w:bCs/>
          <w:sz w:val="28"/>
          <w:szCs w:val="28"/>
        </w:rPr>
      </w:pPr>
      <w:r w:rsidRPr="004357AE">
        <w:rPr>
          <w:b/>
          <w:bCs/>
          <w:sz w:val="28"/>
          <w:szCs w:val="28"/>
        </w:rPr>
        <w:lastRenderedPageBreak/>
        <w:t>Main Body</w:t>
      </w:r>
    </w:p>
    <w:p w14:paraId="5BF05111" w14:textId="61BFA779" w:rsidR="005F47D8" w:rsidRDefault="005F47D8" w:rsidP="005F47D8">
      <w:pPr>
        <w:spacing w:line="360" w:lineRule="auto"/>
        <w:jc w:val="both"/>
        <w:rPr>
          <w:sz w:val="24"/>
          <w:szCs w:val="24"/>
        </w:rPr>
      </w:pPr>
      <w:r>
        <w:rPr>
          <w:sz w:val="24"/>
          <w:szCs w:val="24"/>
        </w:rPr>
        <w:t>I have demonstrated my ability to work with others and able to communicate effectively</w:t>
      </w:r>
      <w:r w:rsidR="00E96209">
        <w:rPr>
          <w:sz w:val="24"/>
          <w:szCs w:val="24"/>
        </w:rPr>
        <w:t>. I was confident in my knowledge in the chosen subject, and introduced the topic clearly, keeping good eye contact with my students while supporting their contributions.</w:t>
      </w:r>
      <w:r>
        <w:rPr>
          <w:sz w:val="24"/>
          <w:szCs w:val="24"/>
        </w:rPr>
        <w:t xml:space="preserve"> </w:t>
      </w:r>
      <w:r w:rsidR="00E96209">
        <w:rPr>
          <w:sz w:val="24"/>
          <w:szCs w:val="24"/>
        </w:rPr>
        <w:t>T</w:t>
      </w:r>
      <w:r>
        <w:rPr>
          <w:sz w:val="24"/>
          <w:szCs w:val="24"/>
        </w:rPr>
        <w:t xml:space="preserve">his was the first time that I had to present to other </w:t>
      </w:r>
      <w:r w:rsidR="00E96209">
        <w:rPr>
          <w:sz w:val="24"/>
          <w:szCs w:val="24"/>
        </w:rPr>
        <w:t>students,</w:t>
      </w:r>
      <w:r>
        <w:rPr>
          <w:sz w:val="24"/>
          <w:szCs w:val="24"/>
        </w:rPr>
        <w:t xml:space="preserve"> and although it went well, I have never been so nervous. The moment I had to get up in front of the class and present my microteach, brought memories of growing up as a child in school, where I was always made to believe I was not good enough, this still makes an impact on my confidence at times.</w:t>
      </w:r>
      <w:r w:rsidR="00F072EA">
        <w:rPr>
          <w:sz w:val="24"/>
          <w:szCs w:val="24"/>
        </w:rPr>
        <w:t xml:space="preserve"> During my presentation I remember a time when I first started driving </w:t>
      </w:r>
      <w:r w:rsidR="00E96209">
        <w:rPr>
          <w:sz w:val="24"/>
          <w:szCs w:val="24"/>
        </w:rPr>
        <w:t>lessons, the</w:t>
      </w:r>
      <w:r w:rsidR="00F072EA">
        <w:rPr>
          <w:sz w:val="24"/>
          <w:szCs w:val="24"/>
        </w:rPr>
        <w:t xml:space="preserve"> instructor demonstrated to me on how to drive the car, now it is your turn he said, I asked then do I have to? well yes, he said after all that is what you are paying for.</w:t>
      </w:r>
      <w:r w:rsidR="00E96209">
        <w:rPr>
          <w:sz w:val="24"/>
          <w:szCs w:val="24"/>
        </w:rPr>
        <w:t xml:space="preserve"> A</w:t>
      </w:r>
      <w:r>
        <w:rPr>
          <w:sz w:val="24"/>
          <w:szCs w:val="24"/>
        </w:rPr>
        <w:t>ccording to Ashwin (2020 p55) thinking reflectively is very important in dealing with my thoughts and feelings and understanding the relations between them,</w:t>
      </w:r>
      <w:r w:rsidR="00F072EA">
        <w:rPr>
          <w:sz w:val="24"/>
          <w:szCs w:val="24"/>
        </w:rPr>
        <w:t xml:space="preserve"> then relating</w:t>
      </w:r>
      <w:r>
        <w:rPr>
          <w:sz w:val="24"/>
          <w:szCs w:val="24"/>
        </w:rPr>
        <w:t xml:space="preserve"> them to the principles that I value</w:t>
      </w:r>
      <w:r w:rsidR="00E96209">
        <w:rPr>
          <w:sz w:val="24"/>
          <w:szCs w:val="24"/>
        </w:rPr>
        <w:t>.</w:t>
      </w:r>
      <w:r>
        <w:rPr>
          <w:sz w:val="24"/>
          <w:szCs w:val="24"/>
        </w:rPr>
        <w:t xml:space="preserve"> I feel that getting your words out the way you would like, can sometime be very difficult, as Polanyi (1962) once said ‘we know more than we can tell’.</w:t>
      </w:r>
    </w:p>
    <w:p w14:paraId="2D62D1F8" w14:textId="7B8185B9" w:rsidR="005F47D8" w:rsidRDefault="005F47D8" w:rsidP="005F47D8">
      <w:pPr>
        <w:spacing w:line="360" w:lineRule="auto"/>
        <w:jc w:val="both"/>
        <w:rPr>
          <w:sz w:val="24"/>
          <w:szCs w:val="24"/>
        </w:rPr>
      </w:pPr>
      <w:r>
        <w:rPr>
          <w:sz w:val="24"/>
          <w:szCs w:val="24"/>
        </w:rPr>
        <w:t xml:space="preserve">I </w:t>
      </w:r>
      <w:r w:rsidR="00E96209">
        <w:rPr>
          <w:sz w:val="24"/>
          <w:szCs w:val="24"/>
        </w:rPr>
        <w:t>understand that</w:t>
      </w:r>
      <w:r>
        <w:rPr>
          <w:sz w:val="24"/>
          <w:szCs w:val="24"/>
        </w:rPr>
        <w:t xml:space="preserve"> the students involved in my presentation enjoyed the session, as the feedback that I had from them was very positive in so much as they enjoyed the use of questions and </w:t>
      </w:r>
      <w:r w:rsidR="00FB2EF9">
        <w:rPr>
          <w:sz w:val="24"/>
          <w:szCs w:val="24"/>
        </w:rPr>
        <w:t>answers and</w:t>
      </w:r>
      <w:r>
        <w:rPr>
          <w:sz w:val="24"/>
          <w:szCs w:val="24"/>
        </w:rPr>
        <w:t xml:space="preserve"> found that I demonstrated good passion to the topic, was clear and concise in my speaking, while presenting as well as relating to real life scenarios. As Gregson and Duncan (2020 p.73) suggest anyone taking a new course on how to teach will need to ensure that the educational practice benefit from critical reflections, which means having an open mind, and being responsible with a wholeheartedness.</w:t>
      </w:r>
      <w:r w:rsidR="00E96209">
        <w:rPr>
          <w:sz w:val="24"/>
          <w:szCs w:val="24"/>
        </w:rPr>
        <w:t xml:space="preserve"> I made sure that all the students were provided with materials, to be able to engage in the practical activity, which </w:t>
      </w:r>
      <w:r w:rsidR="00FB2EF9">
        <w:rPr>
          <w:sz w:val="24"/>
          <w:szCs w:val="24"/>
        </w:rPr>
        <w:t>included ear</w:t>
      </w:r>
      <w:r>
        <w:rPr>
          <w:sz w:val="24"/>
          <w:szCs w:val="24"/>
        </w:rPr>
        <w:t xml:space="preserve"> plugs and blind folds,</w:t>
      </w:r>
      <w:r w:rsidR="00E96209">
        <w:rPr>
          <w:sz w:val="24"/>
          <w:szCs w:val="24"/>
        </w:rPr>
        <w:t xml:space="preserve"> to </w:t>
      </w:r>
      <w:r w:rsidR="00FB2EF9">
        <w:rPr>
          <w:sz w:val="24"/>
          <w:szCs w:val="24"/>
        </w:rPr>
        <w:t>allow them</w:t>
      </w:r>
      <w:r>
        <w:rPr>
          <w:sz w:val="24"/>
          <w:szCs w:val="24"/>
        </w:rPr>
        <w:t xml:space="preserve"> a sense of what everyday life is like for people with sensory impairments</w:t>
      </w:r>
      <w:r w:rsidR="00FB2EF9">
        <w:rPr>
          <w:sz w:val="24"/>
          <w:szCs w:val="24"/>
        </w:rPr>
        <w:t xml:space="preserve">. </w:t>
      </w:r>
      <w:r>
        <w:rPr>
          <w:sz w:val="24"/>
          <w:szCs w:val="24"/>
        </w:rPr>
        <w:t xml:space="preserve"> Race and Picford (2007 p 27) suggest that involving students in assessments and course development will empower </w:t>
      </w:r>
      <w:r w:rsidR="00FB2EF9">
        <w:rPr>
          <w:sz w:val="24"/>
          <w:szCs w:val="24"/>
        </w:rPr>
        <w:t>them</w:t>
      </w:r>
      <w:r>
        <w:rPr>
          <w:sz w:val="24"/>
          <w:szCs w:val="24"/>
        </w:rPr>
        <w:t xml:space="preserve"> to shape their own learning experiences.</w:t>
      </w:r>
    </w:p>
    <w:p w14:paraId="036A77E6" w14:textId="77777777" w:rsidR="00604522" w:rsidRDefault="00604522" w:rsidP="005F47D8">
      <w:pPr>
        <w:spacing w:line="360" w:lineRule="auto"/>
        <w:jc w:val="both"/>
        <w:rPr>
          <w:sz w:val="24"/>
          <w:szCs w:val="24"/>
        </w:rPr>
      </w:pPr>
    </w:p>
    <w:p w14:paraId="0B616577" w14:textId="77777777" w:rsidR="00604522" w:rsidRDefault="00604522" w:rsidP="005F47D8">
      <w:pPr>
        <w:spacing w:line="360" w:lineRule="auto"/>
        <w:jc w:val="both"/>
        <w:rPr>
          <w:sz w:val="24"/>
          <w:szCs w:val="24"/>
        </w:rPr>
      </w:pPr>
    </w:p>
    <w:p w14:paraId="7BDE6178" w14:textId="61F2D5BE" w:rsidR="005F47D8" w:rsidRPr="004357AE" w:rsidRDefault="005F47D8" w:rsidP="005F47D8">
      <w:pPr>
        <w:jc w:val="both"/>
        <w:rPr>
          <w:b/>
          <w:bCs/>
          <w:sz w:val="28"/>
          <w:szCs w:val="28"/>
        </w:rPr>
      </w:pPr>
      <w:r w:rsidRPr="004357AE">
        <w:rPr>
          <w:b/>
          <w:bCs/>
          <w:sz w:val="28"/>
          <w:szCs w:val="28"/>
        </w:rPr>
        <w:lastRenderedPageBreak/>
        <w:t xml:space="preserve">Conclusion </w:t>
      </w:r>
    </w:p>
    <w:p w14:paraId="1D4E43E3" w14:textId="68D42A88" w:rsidR="005F47D8" w:rsidRDefault="005F47D8" w:rsidP="005F47D8">
      <w:pPr>
        <w:spacing w:line="360" w:lineRule="auto"/>
        <w:jc w:val="both"/>
        <w:rPr>
          <w:sz w:val="24"/>
          <w:szCs w:val="24"/>
        </w:rPr>
      </w:pPr>
      <w:r>
        <w:rPr>
          <w:sz w:val="24"/>
          <w:szCs w:val="24"/>
        </w:rPr>
        <w:t>I was surprised by the feedback I had from my lecturer and the students in my class as I felt very nervous and found it difficult to get my message across in a more professional manner. Although my feedback was very encouraging and I done really well, I do feel that there is room for improvement.  From this micro teach I have come to realise that students tend to like games while they are learning and seem to have a better engagement. I know this from the feedback that I had from them.  Therefore, my goals for the future are to practice more using technology, as according to Williamson (2017 p7) technology is a new way of creating understanding, imagining, and intervening in education</w:t>
      </w:r>
      <w:r w:rsidR="00A62883">
        <w:rPr>
          <w:sz w:val="24"/>
          <w:szCs w:val="24"/>
        </w:rPr>
        <w:t>.</w:t>
      </w:r>
    </w:p>
    <w:p w14:paraId="5E8F28B7" w14:textId="77777777" w:rsidR="005F47D8" w:rsidRDefault="005F47D8" w:rsidP="005F47D8">
      <w:pPr>
        <w:spacing w:line="360" w:lineRule="auto"/>
        <w:jc w:val="both"/>
        <w:rPr>
          <w:sz w:val="24"/>
          <w:szCs w:val="24"/>
        </w:rPr>
      </w:pPr>
      <w:r>
        <w:rPr>
          <w:sz w:val="24"/>
          <w:szCs w:val="24"/>
        </w:rPr>
        <w:t>When I was in school, as a student I felt learning was very difficult, I was also frightened to ask questions as I thought I should have known the answer, but now as adult I can see that many of the lessons were uninspiring, which gave me a reason to believe that learning would not be to my advantage.  If I had to do this presentation again, I would think of using animations in my power point, Reece, and Walker (2004 p113) suggest that taking consideration of the colour of the background of my presentation as well as the font size, so that visual aid can be seen by everyone.  I would also choose to have questions as my headings to engage the viewers more, rather than statements.</w:t>
      </w:r>
    </w:p>
    <w:p w14:paraId="3519D8BC" w14:textId="77777777" w:rsidR="005F47D8" w:rsidRDefault="005F47D8" w:rsidP="005F47D8">
      <w:pPr>
        <w:spacing w:line="360" w:lineRule="auto"/>
        <w:jc w:val="both"/>
        <w:rPr>
          <w:sz w:val="24"/>
          <w:szCs w:val="24"/>
        </w:rPr>
      </w:pPr>
      <w:r>
        <w:rPr>
          <w:sz w:val="24"/>
          <w:szCs w:val="24"/>
        </w:rPr>
        <w:t>I would think about looking at vevox for my questions as according to Greenwood (2023) vevox is a good way of getting students engaged in lectures, as it uses multiple tasks, which students seem to like. Tick Venter Bilignaut and Renauld (2021 p 403) suggest ted talks are good for education, I think some short videos to enhance my teaching skills would be good which I will have to practise on. As Yancey (1988 p12) explains reflection is not just a one- off activity to completing a task, it should be a habit of the mind that transforms, as well as lifelong learning. Overall, I enjoyed my experience of my micro teach, and realised I have so much more to learn and will enjoy the journey of doing so.</w:t>
      </w:r>
    </w:p>
    <w:p w14:paraId="2D95BC27" w14:textId="77777777" w:rsidR="00604522" w:rsidRDefault="00604522" w:rsidP="005F47D8">
      <w:pPr>
        <w:spacing w:line="360" w:lineRule="auto"/>
        <w:jc w:val="both"/>
        <w:rPr>
          <w:sz w:val="24"/>
          <w:szCs w:val="24"/>
        </w:rPr>
      </w:pPr>
    </w:p>
    <w:p w14:paraId="51D42212" w14:textId="77777777" w:rsidR="00604522" w:rsidRDefault="00604522" w:rsidP="005F47D8">
      <w:pPr>
        <w:spacing w:line="360" w:lineRule="auto"/>
        <w:jc w:val="both"/>
        <w:rPr>
          <w:sz w:val="24"/>
          <w:szCs w:val="24"/>
        </w:rPr>
      </w:pPr>
    </w:p>
    <w:p w14:paraId="79826549" w14:textId="77777777" w:rsidR="00604522" w:rsidRDefault="00604522" w:rsidP="005F47D8">
      <w:pPr>
        <w:spacing w:line="360" w:lineRule="auto"/>
        <w:jc w:val="both"/>
        <w:rPr>
          <w:sz w:val="24"/>
          <w:szCs w:val="24"/>
        </w:rPr>
      </w:pPr>
    </w:p>
    <w:p w14:paraId="07504940" w14:textId="77777777" w:rsidR="00604522" w:rsidRDefault="00604522" w:rsidP="005F47D8">
      <w:pPr>
        <w:spacing w:line="360" w:lineRule="auto"/>
        <w:jc w:val="both"/>
        <w:rPr>
          <w:sz w:val="24"/>
          <w:szCs w:val="24"/>
        </w:rPr>
      </w:pPr>
    </w:p>
    <w:p w14:paraId="4594F3DD" w14:textId="77777777" w:rsidR="005F47D8" w:rsidRPr="005F47D8" w:rsidRDefault="005F47D8" w:rsidP="005F47D8">
      <w:pPr>
        <w:spacing w:line="276" w:lineRule="auto"/>
        <w:jc w:val="both"/>
        <w:rPr>
          <w:b/>
          <w:bCs/>
          <w:sz w:val="28"/>
          <w:szCs w:val="28"/>
        </w:rPr>
      </w:pPr>
      <w:r w:rsidRPr="005F47D8">
        <w:rPr>
          <w:b/>
          <w:bCs/>
          <w:sz w:val="28"/>
          <w:szCs w:val="28"/>
        </w:rPr>
        <w:lastRenderedPageBreak/>
        <w:t>References</w:t>
      </w:r>
    </w:p>
    <w:p w14:paraId="570962C9" w14:textId="7B9606EF" w:rsidR="005F47D8" w:rsidRPr="00ED401D" w:rsidRDefault="005F47D8" w:rsidP="00604522">
      <w:pPr>
        <w:spacing w:line="360" w:lineRule="auto"/>
        <w:jc w:val="both"/>
        <w:rPr>
          <w:sz w:val="28"/>
          <w:szCs w:val="28"/>
          <w:u w:val="single"/>
        </w:rPr>
      </w:pPr>
      <w:r w:rsidRPr="00ED401D">
        <w:rPr>
          <w:sz w:val="24"/>
          <w:szCs w:val="24"/>
        </w:rPr>
        <w:t>Ashwin,</w:t>
      </w:r>
      <w:r>
        <w:rPr>
          <w:sz w:val="24"/>
          <w:szCs w:val="24"/>
        </w:rPr>
        <w:t xml:space="preserve"> P. et al. (2020</w:t>
      </w:r>
      <w:r w:rsidRPr="00ED401D">
        <w:rPr>
          <w:i/>
          <w:iCs/>
          <w:sz w:val="24"/>
          <w:szCs w:val="24"/>
        </w:rPr>
        <w:t>) Reflective teaching in higher education.</w:t>
      </w:r>
      <w:r>
        <w:rPr>
          <w:sz w:val="24"/>
          <w:szCs w:val="24"/>
        </w:rPr>
        <w:t xml:space="preserve"> 2edn. London: Bloomsbury publishing plc.</w:t>
      </w:r>
    </w:p>
    <w:p w14:paraId="1E1F8D9E" w14:textId="77777777" w:rsidR="005F47D8" w:rsidRPr="00ED401D" w:rsidRDefault="005F47D8" w:rsidP="00604522">
      <w:pPr>
        <w:spacing w:line="360" w:lineRule="auto"/>
        <w:jc w:val="both"/>
        <w:rPr>
          <w:sz w:val="24"/>
          <w:szCs w:val="24"/>
        </w:rPr>
      </w:pPr>
      <w:r w:rsidRPr="00196E70">
        <w:rPr>
          <w:rFonts w:ascii="Calibri" w:eastAsia="+mn-ea" w:hAnsi="Calibri" w:cs="+mn-cs"/>
          <w:color w:val="000000"/>
          <w:kern w:val="24"/>
          <w:sz w:val="24"/>
          <w:szCs w:val="24"/>
        </w:rPr>
        <w:t xml:space="preserve">Collier, E. (2021) </w:t>
      </w:r>
      <w:r w:rsidRPr="00196E70">
        <w:rPr>
          <w:rFonts w:ascii="Calibri" w:eastAsia="+mn-ea" w:hAnsi="Calibri" w:cs="+mn-cs"/>
          <w:i/>
          <w:iCs/>
          <w:color w:val="000000"/>
          <w:kern w:val="24"/>
          <w:sz w:val="24"/>
          <w:szCs w:val="24"/>
        </w:rPr>
        <w:t xml:space="preserve">Promoting effective communication in health and social care. </w:t>
      </w:r>
      <w:r w:rsidRPr="00196E70">
        <w:rPr>
          <w:rFonts w:ascii="Calibri" w:eastAsia="+mn-ea" w:hAnsi="Calibri" w:cs="+mn-cs"/>
          <w:color w:val="000000"/>
          <w:kern w:val="24"/>
          <w:sz w:val="24"/>
          <w:szCs w:val="24"/>
        </w:rPr>
        <w:t>Available at: https://www.highspeedtraining.co.uk (Accessed 29th September 2023).</w:t>
      </w:r>
    </w:p>
    <w:p w14:paraId="3B889CA6" w14:textId="77777777" w:rsidR="005F47D8" w:rsidRPr="007F041A" w:rsidRDefault="005F47D8" w:rsidP="00604522">
      <w:pPr>
        <w:spacing w:line="360" w:lineRule="auto"/>
        <w:jc w:val="both"/>
        <w:rPr>
          <w:sz w:val="24"/>
          <w:szCs w:val="24"/>
        </w:rPr>
      </w:pPr>
      <w:r>
        <w:rPr>
          <w:rFonts w:ascii="Calibri" w:eastAsia="+mn-ea" w:hAnsi="Calibri" w:cs="+mn-cs"/>
          <w:color w:val="000000"/>
          <w:kern w:val="24"/>
          <w:sz w:val="24"/>
          <w:szCs w:val="24"/>
        </w:rPr>
        <w:t xml:space="preserve">Cranfield, D. J. Tick, A, Venter, I. M. Blignaut, R. J. Renaud, K. (2021)’ Higher education student’s perceptions of online learning during covid-19- A comparative </w:t>
      </w:r>
      <w:r w:rsidRPr="007F041A">
        <w:rPr>
          <w:rFonts w:ascii="Calibri" w:eastAsia="+mn-ea" w:hAnsi="Calibri" w:cs="+mn-cs"/>
          <w:i/>
          <w:iCs/>
          <w:color w:val="000000"/>
          <w:kern w:val="24"/>
          <w:sz w:val="24"/>
          <w:szCs w:val="24"/>
        </w:rPr>
        <w:t>study’</w:t>
      </w:r>
      <w:r>
        <w:rPr>
          <w:rFonts w:ascii="Calibri" w:eastAsia="+mn-ea" w:hAnsi="Calibri" w:cs="+mn-cs"/>
          <w:i/>
          <w:iCs/>
          <w:color w:val="000000"/>
          <w:kern w:val="24"/>
          <w:sz w:val="24"/>
          <w:szCs w:val="24"/>
        </w:rPr>
        <w:t>.</w:t>
      </w:r>
      <w:r w:rsidRPr="007F041A">
        <w:rPr>
          <w:rFonts w:ascii="Calibri" w:eastAsia="+mn-ea" w:hAnsi="Calibri" w:cs="+mn-cs"/>
          <w:i/>
          <w:iCs/>
          <w:color w:val="000000"/>
          <w:kern w:val="24"/>
          <w:sz w:val="24"/>
          <w:szCs w:val="24"/>
        </w:rPr>
        <w:t xml:space="preserve"> Educational </w:t>
      </w:r>
      <w:r w:rsidRPr="007F041A">
        <w:rPr>
          <w:rFonts w:ascii="Calibri" w:eastAsia="+mn-ea" w:hAnsi="Calibri" w:cs="+mn-cs"/>
          <w:color w:val="000000"/>
          <w:kern w:val="24"/>
          <w:sz w:val="24"/>
          <w:szCs w:val="24"/>
        </w:rPr>
        <w:t>Sciences</w:t>
      </w:r>
      <w:r w:rsidRPr="007F041A">
        <w:rPr>
          <w:rFonts w:ascii="Calibri" w:eastAsia="+mn-ea" w:hAnsi="Calibri" w:cs="+mn-cs"/>
          <w:i/>
          <w:iCs/>
          <w:color w:val="000000"/>
          <w:kern w:val="24"/>
          <w:sz w:val="24"/>
          <w:szCs w:val="24"/>
        </w:rPr>
        <w:t>.</w:t>
      </w:r>
      <w:r>
        <w:rPr>
          <w:rFonts w:ascii="Calibri" w:eastAsia="+mn-ea" w:hAnsi="Calibri" w:cs="+mn-cs"/>
          <w:i/>
          <w:iCs/>
          <w:color w:val="000000"/>
          <w:kern w:val="24"/>
          <w:sz w:val="24"/>
          <w:szCs w:val="24"/>
        </w:rPr>
        <w:t xml:space="preserve">  </w:t>
      </w:r>
      <w:r>
        <w:rPr>
          <w:rFonts w:ascii="Calibri" w:eastAsia="+mn-ea" w:hAnsi="Calibri" w:cs="+mn-cs"/>
          <w:color w:val="000000"/>
          <w:kern w:val="24"/>
          <w:sz w:val="24"/>
          <w:szCs w:val="24"/>
        </w:rPr>
        <w:t>Vol 11 (8) p 403.</w:t>
      </w:r>
    </w:p>
    <w:p w14:paraId="02EE5344" w14:textId="77777777" w:rsidR="005F47D8" w:rsidRDefault="005F47D8" w:rsidP="00604522">
      <w:pPr>
        <w:spacing w:line="360" w:lineRule="auto"/>
        <w:jc w:val="both"/>
        <w:rPr>
          <w:sz w:val="24"/>
          <w:szCs w:val="24"/>
        </w:rPr>
      </w:pPr>
      <w:r w:rsidRPr="00196E70">
        <w:rPr>
          <w:sz w:val="24"/>
          <w:szCs w:val="24"/>
        </w:rPr>
        <w:t xml:space="preserve">Driscoll, J.  (2007) </w:t>
      </w:r>
      <w:r w:rsidRPr="00196E70">
        <w:rPr>
          <w:i/>
          <w:iCs/>
          <w:sz w:val="24"/>
          <w:szCs w:val="24"/>
        </w:rPr>
        <w:t>Practising clinical supervision: a reflective approach for healthcare professionals.</w:t>
      </w:r>
      <w:r w:rsidRPr="00196E70">
        <w:rPr>
          <w:sz w:val="24"/>
          <w:szCs w:val="24"/>
        </w:rPr>
        <w:t xml:space="preserve"> 2</w:t>
      </w:r>
      <w:r w:rsidRPr="00196E70">
        <w:rPr>
          <w:sz w:val="24"/>
          <w:szCs w:val="24"/>
          <w:vertAlign w:val="superscript"/>
        </w:rPr>
        <w:t>nd</w:t>
      </w:r>
      <w:r w:rsidRPr="00196E70">
        <w:rPr>
          <w:sz w:val="24"/>
          <w:szCs w:val="24"/>
        </w:rPr>
        <w:t xml:space="preserve"> edn. Edinburgh: Bailliere Tindall Elsevier.</w:t>
      </w:r>
    </w:p>
    <w:p w14:paraId="0BFD0BB5" w14:textId="77777777" w:rsidR="005F47D8" w:rsidRDefault="005F47D8" w:rsidP="00604522">
      <w:pPr>
        <w:spacing w:line="360" w:lineRule="auto"/>
        <w:jc w:val="both"/>
        <w:rPr>
          <w:sz w:val="24"/>
          <w:szCs w:val="24"/>
        </w:rPr>
      </w:pPr>
      <w:r>
        <w:rPr>
          <w:sz w:val="24"/>
          <w:szCs w:val="24"/>
        </w:rPr>
        <w:t xml:space="preserve">Greenwood, J. (2023)’ Ready player one: using vevox to elicit students’ participation in lectures’ Journal of Learning Development in Higher Education. Available at: DOI: </w:t>
      </w:r>
      <w:r w:rsidRPr="00CC3CE7">
        <w:rPr>
          <w:sz w:val="24"/>
          <w:szCs w:val="24"/>
        </w:rPr>
        <w:t>https://doi.org/10.47408/jldhe.vi27.935</w:t>
      </w:r>
      <w:r>
        <w:rPr>
          <w:sz w:val="24"/>
          <w:szCs w:val="24"/>
        </w:rPr>
        <w:t xml:space="preserve"> (Accessed 30/09/2023) </w:t>
      </w:r>
    </w:p>
    <w:p w14:paraId="05B6D47C" w14:textId="77777777" w:rsidR="005F47D8" w:rsidRPr="00B22A35" w:rsidRDefault="005F47D8" w:rsidP="00604522">
      <w:pPr>
        <w:spacing w:line="360" w:lineRule="auto"/>
        <w:jc w:val="both"/>
        <w:rPr>
          <w:sz w:val="24"/>
          <w:szCs w:val="24"/>
        </w:rPr>
      </w:pPr>
      <w:r>
        <w:rPr>
          <w:sz w:val="24"/>
          <w:szCs w:val="24"/>
        </w:rPr>
        <w:t xml:space="preserve">Gregson, M, Duncan, et al. (2020) </w:t>
      </w:r>
      <w:r w:rsidRPr="00B22A35">
        <w:rPr>
          <w:i/>
          <w:iCs/>
          <w:sz w:val="24"/>
          <w:szCs w:val="24"/>
        </w:rPr>
        <w:t>Reflective teaching in further, adult, and vocational education</w:t>
      </w:r>
      <w:r>
        <w:rPr>
          <w:i/>
          <w:iCs/>
          <w:sz w:val="24"/>
          <w:szCs w:val="24"/>
        </w:rPr>
        <w:t xml:space="preserve"> </w:t>
      </w:r>
      <w:r>
        <w:rPr>
          <w:sz w:val="24"/>
          <w:szCs w:val="24"/>
        </w:rPr>
        <w:t>5</w:t>
      </w:r>
      <w:r w:rsidRPr="00B22A35">
        <w:rPr>
          <w:sz w:val="24"/>
          <w:szCs w:val="24"/>
          <w:vertAlign w:val="superscript"/>
        </w:rPr>
        <w:t>th</w:t>
      </w:r>
      <w:r>
        <w:rPr>
          <w:sz w:val="24"/>
          <w:szCs w:val="24"/>
        </w:rPr>
        <w:t xml:space="preserve"> edn. London: Bloomsbury Publishing Plc.</w:t>
      </w:r>
    </w:p>
    <w:p w14:paraId="52024638" w14:textId="77777777" w:rsidR="005F47D8" w:rsidRPr="00196E70" w:rsidRDefault="005F47D8" w:rsidP="00604522">
      <w:pPr>
        <w:spacing w:line="360" w:lineRule="auto"/>
        <w:jc w:val="both"/>
        <w:rPr>
          <w:rFonts w:ascii="Calibri" w:eastAsia="+mn-ea" w:hAnsi="Calibri" w:cs="+mn-cs"/>
          <w:color w:val="000000"/>
          <w:kern w:val="24"/>
          <w:sz w:val="24"/>
          <w:szCs w:val="24"/>
        </w:rPr>
      </w:pPr>
      <w:r w:rsidRPr="00196E70">
        <w:rPr>
          <w:rFonts w:ascii="Calibri" w:eastAsia="+mn-ea" w:hAnsi="Calibri" w:cs="+mn-cs"/>
          <w:color w:val="000000"/>
          <w:kern w:val="24"/>
          <w:sz w:val="24"/>
          <w:szCs w:val="24"/>
        </w:rPr>
        <w:t xml:space="preserve">Hye-Jin (2015) </w:t>
      </w:r>
      <w:r w:rsidRPr="00196E70">
        <w:rPr>
          <w:rFonts w:ascii="Calibri" w:eastAsia="+mn-ea" w:hAnsi="Calibri" w:cs="+mn-cs"/>
          <w:i/>
          <w:iCs/>
          <w:color w:val="000000"/>
          <w:kern w:val="24"/>
          <w:sz w:val="24"/>
          <w:szCs w:val="24"/>
        </w:rPr>
        <w:t xml:space="preserve">Sensory impairment and health related quality of life-PMC. </w:t>
      </w:r>
      <w:r w:rsidRPr="00196E70">
        <w:rPr>
          <w:rFonts w:ascii="Calibri" w:eastAsia="+mn-ea" w:hAnsi="Calibri" w:cs="+mn-cs"/>
          <w:color w:val="000000"/>
          <w:kern w:val="24"/>
          <w:sz w:val="24"/>
          <w:szCs w:val="24"/>
        </w:rPr>
        <w:t>Available at: https://www.ncbi-nih.gov&gt;pmc. (Accessed29 September 2023)</w:t>
      </w:r>
    </w:p>
    <w:p w14:paraId="3C4CB13B" w14:textId="77777777" w:rsidR="005F47D8" w:rsidRDefault="005F47D8" w:rsidP="00604522">
      <w:pPr>
        <w:spacing w:line="360" w:lineRule="auto"/>
        <w:jc w:val="both"/>
        <w:rPr>
          <w:rFonts w:ascii="Calibri" w:eastAsia="+mn-ea" w:hAnsi="Calibri" w:cs="+mn-cs"/>
          <w:color w:val="000000"/>
          <w:kern w:val="24"/>
          <w:sz w:val="24"/>
          <w:szCs w:val="24"/>
        </w:rPr>
      </w:pPr>
      <w:r w:rsidRPr="00196E70">
        <w:rPr>
          <w:rFonts w:ascii="Calibri" w:eastAsia="+mn-ea" w:hAnsi="Calibri" w:cs="+mn-cs"/>
          <w:color w:val="000000"/>
          <w:kern w:val="24"/>
          <w:sz w:val="24"/>
          <w:szCs w:val="24"/>
        </w:rPr>
        <w:t xml:space="preserve">Polanyi, M. (1962) </w:t>
      </w:r>
      <w:r w:rsidRPr="00196E70">
        <w:rPr>
          <w:rFonts w:ascii="Calibri" w:eastAsia="+mn-ea" w:hAnsi="Calibri" w:cs="+mn-cs"/>
          <w:i/>
          <w:iCs/>
          <w:color w:val="000000"/>
          <w:kern w:val="24"/>
          <w:sz w:val="24"/>
          <w:szCs w:val="24"/>
        </w:rPr>
        <w:t>Personal Knowledge towards a post-critical philosophy. London</w:t>
      </w:r>
      <w:r w:rsidRPr="00196E70">
        <w:rPr>
          <w:rFonts w:ascii="Calibri" w:eastAsia="+mn-ea" w:hAnsi="Calibri" w:cs="+mn-cs"/>
          <w:color w:val="000000"/>
          <w:kern w:val="24"/>
          <w:sz w:val="24"/>
          <w:szCs w:val="24"/>
        </w:rPr>
        <w:t>: Routledge.</w:t>
      </w:r>
    </w:p>
    <w:p w14:paraId="6538040A" w14:textId="77777777" w:rsidR="005F47D8" w:rsidRDefault="005F47D8" w:rsidP="00604522">
      <w:pPr>
        <w:spacing w:line="360" w:lineRule="auto"/>
        <w:jc w:val="both"/>
        <w:rPr>
          <w:rFonts w:ascii="Calibri" w:eastAsia="+mn-ea" w:hAnsi="Calibri" w:cs="+mn-cs"/>
          <w:color w:val="000000"/>
          <w:kern w:val="24"/>
          <w:sz w:val="24"/>
          <w:szCs w:val="24"/>
        </w:rPr>
      </w:pPr>
      <w:r>
        <w:rPr>
          <w:rFonts w:ascii="Calibri" w:eastAsia="+mn-ea" w:hAnsi="Calibri" w:cs="+mn-cs"/>
          <w:color w:val="000000"/>
          <w:kern w:val="24"/>
          <w:sz w:val="24"/>
          <w:szCs w:val="24"/>
        </w:rPr>
        <w:t>Race, P and Pickford, R. (2007</w:t>
      </w:r>
      <w:r w:rsidRPr="00960F68">
        <w:rPr>
          <w:rFonts w:ascii="Calibri" w:eastAsia="+mn-ea" w:hAnsi="Calibri" w:cs="+mn-cs"/>
          <w:i/>
          <w:iCs/>
          <w:color w:val="000000"/>
          <w:kern w:val="24"/>
          <w:sz w:val="24"/>
          <w:szCs w:val="24"/>
        </w:rPr>
        <w:t>) Making Teaching work teaching smarter in post-compulsory education.</w:t>
      </w:r>
      <w:r>
        <w:rPr>
          <w:rFonts w:ascii="Calibri" w:eastAsia="+mn-ea" w:hAnsi="Calibri" w:cs="+mn-cs"/>
          <w:i/>
          <w:iCs/>
          <w:color w:val="000000"/>
          <w:kern w:val="24"/>
          <w:sz w:val="24"/>
          <w:szCs w:val="24"/>
        </w:rPr>
        <w:t xml:space="preserve"> </w:t>
      </w:r>
      <w:r>
        <w:rPr>
          <w:rFonts w:ascii="Calibri" w:eastAsia="+mn-ea" w:hAnsi="Calibri" w:cs="+mn-cs"/>
          <w:color w:val="000000"/>
          <w:kern w:val="24"/>
          <w:sz w:val="24"/>
          <w:szCs w:val="24"/>
        </w:rPr>
        <w:t>London: Sage Publications.</w:t>
      </w:r>
    </w:p>
    <w:p w14:paraId="30FFEB25" w14:textId="77777777" w:rsidR="005F47D8" w:rsidRPr="00421DE7" w:rsidRDefault="005F47D8" w:rsidP="00604522">
      <w:pPr>
        <w:spacing w:line="360" w:lineRule="auto"/>
        <w:jc w:val="both"/>
        <w:rPr>
          <w:rFonts w:ascii="Calibri" w:eastAsia="+mn-ea" w:hAnsi="Calibri" w:cs="+mn-cs"/>
          <w:color w:val="000000"/>
          <w:kern w:val="24"/>
          <w:sz w:val="24"/>
          <w:szCs w:val="24"/>
        </w:rPr>
      </w:pPr>
      <w:r>
        <w:rPr>
          <w:rFonts w:ascii="Calibri" w:eastAsia="+mn-ea" w:hAnsi="Calibri" w:cs="+mn-cs"/>
          <w:color w:val="000000"/>
          <w:kern w:val="24"/>
          <w:sz w:val="24"/>
          <w:szCs w:val="24"/>
        </w:rPr>
        <w:t xml:space="preserve">Reece, I. Walker, S. (2004) </w:t>
      </w:r>
      <w:r w:rsidRPr="00421DE7">
        <w:rPr>
          <w:rFonts w:ascii="Calibri" w:eastAsia="+mn-ea" w:hAnsi="Calibri" w:cs="+mn-cs"/>
          <w:i/>
          <w:iCs/>
          <w:color w:val="000000"/>
          <w:kern w:val="24"/>
          <w:sz w:val="24"/>
          <w:szCs w:val="24"/>
        </w:rPr>
        <w:t>Teaching training and learning, a practical guide incorporating FENTO standards.</w:t>
      </w:r>
      <w:r>
        <w:rPr>
          <w:rFonts w:ascii="Calibri" w:eastAsia="+mn-ea" w:hAnsi="Calibri" w:cs="+mn-cs"/>
          <w:color w:val="000000"/>
          <w:kern w:val="24"/>
          <w:sz w:val="24"/>
          <w:szCs w:val="24"/>
        </w:rPr>
        <w:t xml:space="preserve"> Oxford: Alden Group Limited.</w:t>
      </w:r>
    </w:p>
    <w:p w14:paraId="64ECB96A" w14:textId="77777777" w:rsidR="005F47D8" w:rsidRDefault="005F47D8" w:rsidP="00604522">
      <w:pPr>
        <w:spacing w:line="360" w:lineRule="auto"/>
        <w:jc w:val="both"/>
        <w:rPr>
          <w:rFonts w:ascii="Calibri" w:eastAsia="+mn-ea" w:hAnsi="Calibri" w:cs="+mn-cs"/>
          <w:color w:val="000000"/>
          <w:kern w:val="24"/>
          <w:sz w:val="24"/>
          <w:szCs w:val="24"/>
        </w:rPr>
      </w:pPr>
      <w:r>
        <w:rPr>
          <w:rFonts w:ascii="Calibri" w:eastAsia="+mn-ea" w:hAnsi="Calibri" w:cs="+mn-cs"/>
          <w:color w:val="000000"/>
          <w:kern w:val="24"/>
          <w:sz w:val="24"/>
          <w:szCs w:val="24"/>
        </w:rPr>
        <w:t xml:space="preserve">Williams, B. (2017) Big Data in Education. </w:t>
      </w:r>
      <w:r w:rsidRPr="00930E00">
        <w:rPr>
          <w:rFonts w:ascii="Calibri" w:eastAsia="+mn-ea" w:hAnsi="Calibri" w:cs="+mn-cs"/>
          <w:i/>
          <w:iCs/>
          <w:color w:val="000000"/>
          <w:kern w:val="24"/>
          <w:sz w:val="24"/>
          <w:szCs w:val="24"/>
        </w:rPr>
        <w:t>The digital future of learning policy and practice</w:t>
      </w:r>
      <w:r>
        <w:rPr>
          <w:rFonts w:ascii="Calibri" w:eastAsia="+mn-ea" w:hAnsi="Calibri" w:cs="+mn-cs"/>
          <w:color w:val="000000"/>
          <w:kern w:val="24"/>
          <w:sz w:val="24"/>
          <w:szCs w:val="24"/>
        </w:rPr>
        <w:t>. London:  Sage Publications Ltd</w:t>
      </w:r>
    </w:p>
    <w:p w14:paraId="1F669B9E" w14:textId="2486C95D" w:rsidR="005F47D8" w:rsidRDefault="005F47D8" w:rsidP="00604522">
      <w:pPr>
        <w:spacing w:line="360" w:lineRule="auto"/>
        <w:jc w:val="both"/>
        <w:rPr>
          <w:rFonts w:ascii="Calibri" w:eastAsia="+mn-ea" w:hAnsi="Calibri" w:cs="+mn-cs"/>
          <w:color w:val="000000"/>
          <w:kern w:val="24"/>
          <w:sz w:val="24"/>
          <w:szCs w:val="24"/>
        </w:rPr>
      </w:pPr>
      <w:r>
        <w:rPr>
          <w:rFonts w:ascii="Calibri" w:eastAsia="+mn-ea" w:hAnsi="Calibri" w:cs="+mn-cs"/>
          <w:color w:val="000000"/>
          <w:kern w:val="24"/>
          <w:sz w:val="24"/>
          <w:szCs w:val="24"/>
        </w:rPr>
        <w:t xml:space="preserve">Yancey, K. C. (1988) </w:t>
      </w:r>
      <w:r w:rsidRPr="00F07BC7">
        <w:rPr>
          <w:rFonts w:ascii="Calibri" w:eastAsia="+mn-ea" w:hAnsi="Calibri" w:cs="+mn-cs"/>
          <w:i/>
          <w:iCs/>
          <w:color w:val="000000"/>
          <w:kern w:val="24"/>
          <w:sz w:val="24"/>
          <w:szCs w:val="24"/>
        </w:rPr>
        <w:t>Reflection in the writing classroom</w:t>
      </w:r>
      <w:r>
        <w:rPr>
          <w:rFonts w:ascii="Calibri" w:eastAsia="+mn-ea" w:hAnsi="Calibri" w:cs="+mn-cs"/>
          <w:color w:val="000000"/>
          <w:kern w:val="24"/>
          <w:sz w:val="24"/>
          <w:szCs w:val="24"/>
        </w:rPr>
        <w:t>. Logan, UT: Utah State: University Press.</w:t>
      </w:r>
    </w:p>
    <w:p w14:paraId="2CD7665F" w14:textId="10B58AC8" w:rsidR="00451E5B" w:rsidRDefault="00451E5B" w:rsidP="00604522">
      <w:pPr>
        <w:spacing w:line="360" w:lineRule="auto"/>
        <w:jc w:val="both"/>
        <w:rPr>
          <w:rFonts w:ascii="Calibri" w:eastAsia="+mn-ea" w:hAnsi="Calibri" w:cs="+mn-cs"/>
          <w:color w:val="000000"/>
          <w:kern w:val="24"/>
          <w:sz w:val="24"/>
          <w:szCs w:val="24"/>
        </w:rPr>
      </w:pPr>
    </w:p>
    <w:p w14:paraId="5E7F03FB" w14:textId="77777777" w:rsidR="00451E5B" w:rsidRDefault="00451E5B" w:rsidP="00604522">
      <w:pPr>
        <w:spacing w:line="360" w:lineRule="auto"/>
        <w:jc w:val="both"/>
        <w:rPr>
          <w:rFonts w:ascii="Calibri" w:eastAsia="+mn-ea" w:hAnsi="Calibri" w:cs="+mn-cs"/>
          <w:color w:val="000000"/>
          <w:kern w:val="24"/>
          <w:sz w:val="24"/>
          <w:szCs w:val="24"/>
        </w:rPr>
      </w:pPr>
    </w:p>
    <w:p w14:paraId="2ABE37A9" w14:textId="77777777" w:rsidR="0062233E" w:rsidRDefault="0062233E"/>
    <w:sectPr w:rsidR="006223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25F19" w14:textId="77777777" w:rsidR="004357AE" w:rsidRDefault="004357AE" w:rsidP="004357AE">
      <w:pPr>
        <w:spacing w:after="0" w:line="240" w:lineRule="auto"/>
      </w:pPr>
      <w:r>
        <w:separator/>
      </w:r>
    </w:p>
  </w:endnote>
  <w:endnote w:type="continuationSeparator" w:id="0">
    <w:p w14:paraId="60B5507B" w14:textId="77777777" w:rsidR="004357AE" w:rsidRDefault="004357AE" w:rsidP="00435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E100B" w14:textId="77777777" w:rsidR="004357AE" w:rsidRDefault="004357AE" w:rsidP="004357AE">
      <w:pPr>
        <w:spacing w:after="0" w:line="240" w:lineRule="auto"/>
      </w:pPr>
      <w:r>
        <w:separator/>
      </w:r>
    </w:p>
  </w:footnote>
  <w:footnote w:type="continuationSeparator" w:id="0">
    <w:p w14:paraId="62C23EAF" w14:textId="77777777" w:rsidR="004357AE" w:rsidRDefault="004357AE" w:rsidP="004357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B9E"/>
    <w:rsid w:val="00090B9E"/>
    <w:rsid w:val="00104FAF"/>
    <w:rsid w:val="001B5444"/>
    <w:rsid w:val="00392360"/>
    <w:rsid w:val="004357AE"/>
    <w:rsid w:val="00451E5B"/>
    <w:rsid w:val="005F47D8"/>
    <w:rsid w:val="00604522"/>
    <w:rsid w:val="00607DD2"/>
    <w:rsid w:val="0062233E"/>
    <w:rsid w:val="00683163"/>
    <w:rsid w:val="00A62883"/>
    <w:rsid w:val="00BA76A6"/>
    <w:rsid w:val="00CC7C64"/>
    <w:rsid w:val="00E96209"/>
    <w:rsid w:val="00ED7F22"/>
    <w:rsid w:val="00EF6E7C"/>
    <w:rsid w:val="00F072EA"/>
    <w:rsid w:val="00FB2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AF918"/>
  <w15:chartTrackingRefBased/>
  <w15:docId w15:val="{A9D89EB2-FD35-4F7D-A4BA-6BFB2C4A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B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090B9E"/>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90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5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7AE"/>
  </w:style>
  <w:style w:type="paragraph" w:styleId="Footer">
    <w:name w:val="footer"/>
    <w:basedOn w:val="Normal"/>
    <w:link w:val="FooterChar"/>
    <w:uiPriority w:val="99"/>
    <w:unhideWhenUsed/>
    <w:rsid w:val="004357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1179</Words>
  <Characters>6723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Angella Karim</dc:creator>
  <cp:keywords/>
  <dc:description/>
  <cp:lastModifiedBy>Angella Karim</cp:lastModifiedBy>
  <cp:revision>13</cp:revision>
  <dcterms:created xsi:type="dcterms:W3CDTF">2023-10-01T13:01:00Z</dcterms:created>
  <dcterms:modified xsi:type="dcterms:W3CDTF">2023-10-05T08:10:00Z</dcterms:modified>
</cp:coreProperties>
</file>