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79F79A" w14:textId="77777777" w:rsidR="000C685B" w:rsidRPr="002018AC" w:rsidRDefault="000C685B" w:rsidP="00695D8D">
      <w:pPr>
        <w:spacing w:line="276" w:lineRule="auto"/>
        <w:jc w:val="center"/>
        <w:rPr>
          <w:rFonts w:cs="Times New Roman"/>
          <w:b/>
          <w:sz w:val="28"/>
          <w:szCs w:val="28"/>
        </w:rPr>
      </w:pPr>
      <w:bookmarkStart w:id="0" w:name="_Hlk227592314"/>
    </w:p>
    <w:sdt>
      <w:sdtPr>
        <w:rPr>
          <w:rFonts w:eastAsia="SimSun" w:cs="Times New Roman"/>
          <w:caps/>
          <w:color w:val="156082" w:themeColor="accent1"/>
          <w:sz w:val="56"/>
          <w:szCs w:val="56"/>
          <w14:ligatures w14:val="none"/>
        </w:rPr>
        <w:alias w:val="Title"/>
        <w:tag w:val=""/>
        <w:id w:val="1735040861"/>
        <w:placeholder>
          <w:docPart w:val="EA94EE93863D4F73BBF9520F0019F31A"/>
        </w:placeholder>
        <w:dataBinding w:prefixMappings="xmlns:ns0='http://purl.org/dc/elements/1.1/' xmlns:ns1='http://schemas.openxmlformats.org/package/2006/metadata/core-properties' " w:xpath="/ns1:coreProperties[1]/ns0:title[1]" w:storeItemID="{6C3C8BC8-F283-45AE-878A-BAB7291924A1}"/>
        <w:text/>
      </w:sdtPr>
      <w:sdtEndPr/>
      <w:sdtContent>
        <w:p w14:paraId="42FA368E" w14:textId="4A0155D6" w:rsidR="000A43A6" w:rsidRPr="009D31CC" w:rsidRDefault="00EF1614" w:rsidP="000A43A6">
          <w:pPr>
            <w:pBdr>
              <w:top w:val="single" w:sz="6" w:space="23" w:color="156082" w:themeColor="accent1"/>
              <w:bottom w:val="single" w:sz="6" w:space="6" w:color="156082" w:themeColor="accent1"/>
            </w:pBdr>
            <w:spacing w:after="240"/>
            <w:jc w:val="center"/>
            <w:rPr>
              <w:rFonts w:eastAsiaTheme="majorEastAsia" w:cs="Times New Roman"/>
              <w:caps/>
              <w:color w:val="156082" w:themeColor="accent1"/>
              <w:sz w:val="72"/>
              <w:szCs w:val="72"/>
            </w:rPr>
          </w:pPr>
          <w:r w:rsidRPr="009D31CC">
            <w:rPr>
              <w:rFonts w:eastAsia="SimSun" w:cs="Times New Roman"/>
              <w:caps/>
              <w:color w:val="156082" w:themeColor="accent1"/>
              <w:sz w:val="56"/>
              <w:szCs w:val="56"/>
              <w14:ligatures w14:val="none"/>
            </w:rPr>
            <w:t xml:space="preserve">financial performance analasys and investment </w:t>
          </w:r>
          <w:r w:rsidR="009D31CC">
            <w:rPr>
              <w:rFonts w:eastAsia="SimSun" w:cs="Times New Roman"/>
              <w:caps/>
              <w:color w:val="156082" w:themeColor="accent1"/>
              <w:sz w:val="56"/>
              <w:szCs w:val="56"/>
              <w14:ligatures w14:val="none"/>
            </w:rPr>
            <w:t>aprisal</w:t>
          </w:r>
          <w:r w:rsidRPr="009D31CC">
            <w:rPr>
              <w:rFonts w:eastAsia="SimSun" w:cs="Times New Roman"/>
              <w:caps/>
              <w:color w:val="156082" w:themeColor="accent1"/>
              <w:sz w:val="56"/>
              <w:szCs w:val="56"/>
              <w14:ligatures w14:val="none"/>
            </w:rPr>
            <w:t xml:space="preserve"> : A Case study of vodafone and beard plc</w:t>
          </w:r>
        </w:p>
      </w:sdtContent>
    </w:sdt>
    <w:p w14:paraId="140BC4F9" w14:textId="13C6C5AC" w:rsidR="000A43A6" w:rsidRPr="002018AC" w:rsidRDefault="00A22E03" w:rsidP="000A43A6">
      <w:pPr>
        <w:ind w:left="360"/>
        <w:jc w:val="center"/>
        <w:rPr>
          <w:rFonts w:cs="Times New Roman"/>
          <w:color w:val="156082" w:themeColor="accent1"/>
          <w:sz w:val="28"/>
          <w:szCs w:val="28"/>
        </w:rPr>
      </w:pPr>
      <w:sdt>
        <w:sdtPr>
          <w:rPr>
            <w:rFonts w:cs="Times New Roman"/>
            <w:color w:val="156082" w:themeColor="accent1"/>
            <w:sz w:val="40"/>
            <w:szCs w:val="40"/>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r w:rsidR="00EF1614" w:rsidRPr="009D31CC">
            <w:rPr>
              <w:rFonts w:cs="Times New Roman"/>
              <w:color w:val="156082" w:themeColor="accent1"/>
              <w:sz w:val="40"/>
              <w:szCs w:val="40"/>
            </w:rPr>
            <w:t>Finance for Business Managers BMMB7005</w:t>
          </w:r>
        </w:sdtContent>
      </w:sdt>
      <w:r w:rsidR="000A43A6" w:rsidRPr="002018AC">
        <w:rPr>
          <w:rFonts w:cs="Times New Roman"/>
          <w:noProof/>
          <w:color w:val="156082" w:themeColor="accent1"/>
          <w:lang w:eastAsia="en-GB"/>
        </w:rPr>
        <mc:AlternateContent>
          <mc:Choice Requires="wps">
            <w:drawing>
              <wp:anchor distT="0" distB="0" distL="114300" distR="114300" simplePos="0" relativeHeight="251659264" behindDoc="0" locked="0" layoutInCell="1" allowOverlap="1" wp14:anchorId="1021D553" wp14:editId="7D0180A7">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inorHAnsi" w:hAnsiTheme="minorHAnsi"/>
                                <w:caps/>
                                <w:color w:val="156082" w:themeColor="accent1"/>
                                <w:sz w:val="28"/>
                                <w:szCs w:val="28"/>
                                <w14:ligatures w14:val="none"/>
                              </w:rPr>
                              <w:alias w:val="Date"/>
                              <w:tag w:val=""/>
                              <w:id w:val="197127006"/>
                              <w:dataBinding w:prefixMappings="xmlns:ns0='http://schemas.microsoft.com/office/2006/coverPageProps' " w:xpath="/ns0:CoverPageProperties[1]/ns0:PublishDate[1]" w:storeItemID="{55AF091B-3C7A-41E3-B477-F2FDAA23CFDA}"/>
                              <w:date w:fullDate="2026-04-20T00:00:00Z">
                                <w:dateFormat w:val="MMMM d, yyyy"/>
                                <w:lid w:val="en-US"/>
                                <w:storeMappedDataAs w:val="dateTime"/>
                                <w:calendar w:val="gregorian"/>
                              </w:date>
                            </w:sdtPr>
                            <w:sdtEndPr/>
                            <w:sdtContent>
                              <w:p w14:paraId="0C3157D5" w14:textId="504DF757" w:rsidR="000A43A6" w:rsidRDefault="000A43A6" w:rsidP="000A43A6">
                                <w:pPr>
                                  <w:spacing w:after="40"/>
                                  <w:jc w:val="center"/>
                                  <w:rPr>
                                    <w:caps/>
                                    <w:color w:val="156082" w:themeColor="accent1"/>
                                    <w:sz w:val="28"/>
                                    <w:szCs w:val="28"/>
                                  </w:rPr>
                                </w:pPr>
                                <w:r>
                                  <w:rPr>
                                    <w:rFonts w:asciiTheme="minorHAnsi" w:hAnsiTheme="minorHAnsi"/>
                                    <w:caps/>
                                    <w:color w:val="156082" w:themeColor="accent1"/>
                                    <w:sz w:val="28"/>
                                    <w:szCs w:val="28"/>
                                    <w:lang w:val="en-US"/>
                                    <w14:ligatures w14:val="none"/>
                                  </w:rPr>
                                  <w:t>April 20, 2026</w:t>
                                </w:r>
                              </w:p>
                            </w:sdtContent>
                          </w:sdt>
                          <w:p w14:paraId="5C034C36" w14:textId="24CE8EB7" w:rsidR="000A43A6" w:rsidRDefault="00A22E03" w:rsidP="00C15717">
                            <w:pPr>
                              <w:jc w:val="center"/>
                              <w:rPr>
                                <w:color w:val="156082" w:themeColor="accent1"/>
                              </w:rPr>
                            </w:pPr>
                            <w:sdt>
                              <w:sdtPr>
                                <w:rPr>
                                  <w:rFonts w:asciiTheme="minorHAnsi" w:hAnsiTheme="minorHAnsi"/>
                                  <w:caps/>
                                  <w:color w:val="156082" w:themeColor="accent1"/>
                                  <w:sz w:val="28"/>
                                  <w:szCs w:val="28"/>
                                  <w14:ligatures w14:val="none"/>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15717">
                                  <w:rPr>
                                    <w:rFonts w:asciiTheme="minorHAnsi" w:hAnsiTheme="minorHAnsi"/>
                                    <w:caps/>
                                    <w:color w:val="156082" w:themeColor="accent1"/>
                                    <w:sz w:val="28"/>
                                    <w:szCs w:val="28"/>
                                    <w14:ligatures w14:val="none"/>
                                  </w:rPr>
                                  <w:t>uNIVERSITY OF WALES TRINITY SAINT DAVID</w:t>
                                </w:r>
                              </w:sdtContent>
                            </w:sdt>
                          </w:p>
                          <w:p w14:paraId="058F988D" w14:textId="77777777" w:rsidR="000A43A6" w:rsidRDefault="00A22E03" w:rsidP="000A43A6">
                            <w:pPr>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0A43A6">
                                  <w:rPr>
                                    <w:color w:val="156082"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021D553"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" filled="f" stroked="f" strokeweight=".5pt">
                <v:textbox style="mso-fit-shape-to-text:t" inset="0,0,0,0">
                  <w:txbxContent>
                    <w:sdt>
                      <w:sdtPr>
                        <w:rPr>
                          <w:rFonts w:asciiTheme="minorHAnsi" w:hAnsiTheme="minorHAnsi"/>
                          <w:caps/>
                          <w:color w:val="156082" w:themeColor="accent1"/>
                          <w:sz w:val="28"/>
                          <w:szCs w:val="28"/>
                          <w14:ligatures w14:val="none"/>
                        </w:rPr>
                        <w:alias w:val="Date"/>
                        <w:tag w:val=""/>
                        <w:id w:val="197127006"/>
                        <w:dataBinding w:prefixMappings="xmlns:ns0='http://schemas.microsoft.com/office/2006/coverPageProps' " w:xpath="/ns0:CoverPageProperties[1]/ns0:PublishDate[1]" w:storeItemID="{55AF091B-3C7A-41E3-B477-F2FDAA23CFDA}"/>
                        <w:date w:fullDate="2026-04-20T00:00:00Z">
                          <w:dateFormat w:val="MMMM d, yyyy"/>
                          <w:lid w:val="en-US"/>
                          <w:storeMappedDataAs w:val="dateTime"/>
                          <w:calendar w:val="gregorian"/>
                        </w:date>
                      </w:sdtPr>
                      <w:sdtEndPr/>
                      <w:sdtContent>
                        <w:p w14:paraId="0C3157D5" w14:textId="504DF757" w:rsidR="000A43A6" w:rsidRDefault="000A43A6" w:rsidP="000A43A6">
                          <w:pPr>
                            <w:spacing w:after="40"/>
                            <w:jc w:val="center"/>
                            <w:rPr>
                              <w:caps/>
                              <w:color w:val="156082" w:themeColor="accent1"/>
                              <w:sz w:val="28"/>
                              <w:szCs w:val="28"/>
                            </w:rPr>
                          </w:pPr>
                          <w:r>
                            <w:rPr>
                              <w:rFonts w:asciiTheme="minorHAnsi" w:hAnsiTheme="minorHAnsi"/>
                              <w:caps/>
                              <w:color w:val="156082" w:themeColor="accent1"/>
                              <w:sz w:val="28"/>
                              <w:szCs w:val="28"/>
                              <w:lang w:val="en-US"/>
                              <w14:ligatures w14:val="none"/>
                            </w:rPr>
                            <w:t>April 20, 2026</w:t>
                          </w:r>
                        </w:p>
                      </w:sdtContent>
                    </w:sdt>
                    <w:p w14:paraId="5C034C36" w14:textId="24CE8EB7" w:rsidR="000A43A6" w:rsidRDefault="00A22E03" w:rsidP="00C15717">
                      <w:pPr>
                        <w:jc w:val="center"/>
                        <w:rPr>
                          <w:color w:val="156082" w:themeColor="accent1"/>
                        </w:rPr>
                      </w:pPr>
                      <w:sdt>
                        <w:sdtPr>
                          <w:rPr>
                            <w:rFonts w:asciiTheme="minorHAnsi" w:hAnsiTheme="minorHAnsi"/>
                            <w:caps/>
                            <w:color w:val="156082" w:themeColor="accent1"/>
                            <w:sz w:val="28"/>
                            <w:szCs w:val="28"/>
                            <w14:ligatures w14:val="none"/>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15717">
                            <w:rPr>
                              <w:rFonts w:asciiTheme="minorHAnsi" w:hAnsiTheme="minorHAnsi"/>
                              <w:caps/>
                              <w:color w:val="156082" w:themeColor="accent1"/>
                              <w:sz w:val="28"/>
                              <w:szCs w:val="28"/>
                              <w14:ligatures w14:val="none"/>
                            </w:rPr>
                            <w:t>uNIVERSITY OF WALES TRINITY SAINT DAVID</w:t>
                          </w:r>
                        </w:sdtContent>
                      </w:sdt>
                    </w:p>
                    <w:p w14:paraId="058F988D" w14:textId="77777777" w:rsidR="000A43A6" w:rsidRDefault="00A22E03" w:rsidP="000A43A6">
                      <w:pPr>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0A43A6">
                            <w:rPr>
                              <w:color w:val="156082" w:themeColor="accent1"/>
                            </w:rPr>
                            <w:t xml:space="preserve">     </w:t>
                          </w:r>
                        </w:sdtContent>
                      </w:sdt>
                    </w:p>
                  </w:txbxContent>
                </v:textbox>
                <w10:wrap anchorx="margin" anchory="page"/>
              </v:shape>
            </w:pict>
          </mc:Fallback>
        </mc:AlternateContent>
      </w:r>
    </w:p>
    <w:p w14:paraId="43758FFE" w14:textId="3F1598C1" w:rsidR="000A43A6" w:rsidRPr="00EF1614" w:rsidRDefault="000A43A6" w:rsidP="00EF1614">
      <w:pPr>
        <w:spacing w:before="480"/>
        <w:jc w:val="center"/>
        <w:rPr>
          <w:rFonts w:cs="Times New Roman"/>
          <w:color w:val="156082" w:themeColor="accent1"/>
        </w:rPr>
      </w:pPr>
      <w:r w:rsidRPr="009D31CC">
        <w:rPr>
          <w:rFonts w:cs="Times New Roman"/>
          <w:color w:val="156082" w:themeColor="accent1"/>
          <w:sz w:val="36"/>
          <w:szCs w:val="32"/>
        </w:rPr>
        <w:t>Name: Sayam Ahmed – 2519728</w:t>
      </w:r>
      <w:r w:rsidRPr="002018AC">
        <w:rPr>
          <w:rFonts w:cs="Times New Roman"/>
        </w:rPr>
        <w:br w:type="page"/>
      </w:r>
    </w:p>
    <w:p w14:paraId="1BB024FE" w14:textId="77777777" w:rsidR="000C685B" w:rsidRPr="002018AC" w:rsidRDefault="000C685B" w:rsidP="00695D8D">
      <w:pPr>
        <w:spacing w:line="276" w:lineRule="auto"/>
        <w:rPr>
          <w:rFonts w:cs="Times New Roman"/>
          <w:lang w:val="en-AU"/>
        </w:rPr>
      </w:pPr>
    </w:p>
    <w:p w14:paraId="682B14E0" w14:textId="77777777" w:rsidR="00A77462" w:rsidRPr="002018AC" w:rsidRDefault="00A77462" w:rsidP="00695D8D">
      <w:pPr>
        <w:spacing w:line="276" w:lineRule="auto"/>
        <w:jc w:val="center"/>
        <w:rPr>
          <w:rFonts w:cs="Times New Roman"/>
          <w:b/>
          <w:sz w:val="40"/>
          <w:lang w:val="en-AU"/>
        </w:rPr>
      </w:pPr>
      <w:r w:rsidRPr="002018AC">
        <w:rPr>
          <w:rFonts w:cs="Times New Roman"/>
          <w:b/>
          <w:sz w:val="40"/>
          <w:lang w:val="en-AU"/>
        </w:rPr>
        <w:t>Executive summary</w:t>
      </w:r>
    </w:p>
    <w:p w14:paraId="57CCCF35" w14:textId="39F95133" w:rsidR="00A77462" w:rsidRPr="002018AC" w:rsidRDefault="00A77462" w:rsidP="00695D8D">
      <w:pPr>
        <w:spacing w:line="276" w:lineRule="auto"/>
        <w:rPr>
          <w:rFonts w:cs="Times New Roman"/>
          <w:lang w:val="en-US"/>
        </w:rPr>
      </w:pPr>
      <w:r w:rsidRPr="002018AC">
        <w:rPr>
          <w:rFonts w:cs="Times New Roman"/>
          <w:lang w:val="en-US"/>
        </w:rPr>
        <w:t xml:space="preserve">This report assesses the financial performance and investment decision-making based on two business analyses that are interrelated. Part 1 analyses Vodafone Group plc in terms of FY2025 and re-presented FY2024 financial-statement data. The ratio analysis indicates that the gross margin of Vodafone has been generally stable, whereas statutory profitability has declined drastically as </w:t>
      </w:r>
      <w:r w:rsidRPr="002018AC">
        <w:rPr>
          <w:rFonts w:cs="Times New Roman"/>
          <w:bCs/>
          <w:lang w:val="en-US"/>
        </w:rPr>
        <w:t>operating profit shifted to an operating loss of €411 million</w:t>
      </w:r>
      <w:r w:rsidRPr="002018AC">
        <w:rPr>
          <w:rFonts w:cs="Times New Roman"/>
          <w:lang w:val="en-US"/>
        </w:rPr>
        <w:t xml:space="preserve">, which is primarily due to impairment charges. There was an improvement in liquidity on a continuing-operations basis, as the current ratio increased to 1.26, as compared to 0.92, </w:t>
      </w:r>
      <w:r w:rsidRPr="002018AC">
        <w:rPr>
          <w:rFonts w:cs="Times New Roman"/>
          <w:bCs/>
          <w:lang w:val="en-US"/>
        </w:rPr>
        <w:t>but this</w:t>
      </w:r>
      <w:r w:rsidRPr="002018AC">
        <w:rPr>
          <w:rFonts w:cs="Times New Roman"/>
          <w:lang w:val="en-US"/>
        </w:rPr>
        <w:t xml:space="preserve"> must be viewed with caution since disposals and held-for-sale classifications have an impact on comparability. The outcomes of efficiency indicate fewer debtor days, longer creditor days, and </w:t>
      </w:r>
      <w:r w:rsidRPr="002018AC">
        <w:rPr>
          <w:rFonts w:cs="Times New Roman"/>
          <w:bCs/>
          <w:lang w:val="en-US"/>
        </w:rPr>
        <w:t>slightly</w:t>
      </w:r>
      <w:r w:rsidRPr="002018AC">
        <w:rPr>
          <w:rFonts w:cs="Times New Roman"/>
          <w:lang w:val="en-US"/>
        </w:rPr>
        <w:t xml:space="preserve"> worse stock turnover. The gearing </w:t>
      </w:r>
      <w:r w:rsidRPr="002018AC">
        <w:rPr>
          <w:rFonts w:cs="Times New Roman"/>
          <w:bCs/>
          <w:lang w:val="en-US"/>
        </w:rPr>
        <w:t>position</w:t>
      </w:r>
      <w:r w:rsidRPr="002018AC">
        <w:rPr>
          <w:rFonts w:cs="Times New Roman"/>
          <w:lang w:val="en-US"/>
        </w:rPr>
        <w:t xml:space="preserve"> is mixed: </w:t>
      </w:r>
      <w:r w:rsidRPr="002018AC">
        <w:rPr>
          <w:rFonts w:cs="Times New Roman"/>
          <w:bCs/>
          <w:lang w:val="en-US"/>
        </w:rPr>
        <w:t>borrowings</w:t>
      </w:r>
      <w:r w:rsidRPr="002018AC">
        <w:rPr>
          <w:rFonts w:cs="Times New Roman"/>
          <w:lang w:val="en-US"/>
        </w:rPr>
        <w:t xml:space="preserve"> and net debt decreased, but borrowings in terms of net assets deteriorated, and interest cover became negative</w:t>
      </w:r>
      <w:r w:rsidR="00461154">
        <w:rPr>
          <w:rFonts w:cs="Times New Roman"/>
          <w:lang w:val="en-US"/>
        </w:rPr>
        <w:t xml:space="preserve"> </w:t>
      </w:r>
      <w:r w:rsidR="00461154" w:rsidRPr="00461154">
        <w:rPr>
          <w:rFonts w:cs="Times New Roman"/>
          <w:lang w:val="en-US"/>
        </w:rPr>
        <w:t xml:space="preserve">(Vodafone Group plc, 2025; Ali Abebe, 2022; </w:t>
      </w:r>
      <w:proofErr w:type="spellStart"/>
      <w:r w:rsidR="00461154" w:rsidRPr="00461154">
        <w:rPr>
          <w:rFonts w:cs="Times New Roman"/>
          <w:lang w:val="en-US"/>
        </w:rPr>
        <w:t>Seretidou</w:t>
      </w:r>
      <w:proofErr w:type="spellEnd"/>
      <w:r w:rsidR="00461154" w:rsidRPr="00461154">
        <w:rPr>
          <w:rFonts w:cs="Times New Roman"/>
          <w:lang w:val="en-US"/>
        </w:rPr>
        <w:t xml:space="preserve"> et al., 2025)</w:t>
      </w:r>
      <w:r w:rsidRPr="002018AC">
        <w:rPr>
          <w:rFonts w:cs="Times New Roman"/>
          <w:lang w:val="en-US"/>
        </w:rPr>
        <w:t xml:space="preserve">. </w:t>
      </w:r>
    </w:p>
    <w:p w14:paraId="6CD3FA54" w14:textId="77777777" w:rsidR="00461154" w:rsidRPr="00461154" w:rsidRDefault="00A77462" w:rsidP="00461154">
      <w:pPr>
        <w:rPr>
          <w:rFonts w:cs="Times New Roman"/>
          <w:lang w:val="en-US"/>
        </w:rPr>
      </w:pPr>
      <w:r w:rsidRPr="002018AC">
        <w:rPr>
          <w:rFonts w:cs="Times New Roman"/>
          <w:lang w:val="en-US"/>
        </w:rPr>
        <w:t xml:space="preserve">Part 2 analyses three recommended investment options of Beard Plc in terms of NPV, IRR, and capital </w:t>
      </w:r>
      <w:r w:rsidRPr="002018AC">
        <w:rPr>
          <w:rFonts w:cs="Times New Roman"/>
          <w:bCs/>
          <w:lang w:val="en-US"/>
        </w:rPr>
        <w:t>rationing</w:t>
      </w:r>
      <w:r w:rsidRPr="002018AC">
        <w:rPr>
          <w:rFonts w:cs="Times New Roman"/>
          <w:lang w:val="en-US"/>
        </w:rPr>
        <w:t xml:space="preserve">. The reason why </w:t>
      </w:r>
      <w:r w:rsidRPr="002018AC">
        <w:rPr>
          <w:rFonts w:cs="Times New Roman"/>
          <w:bCs/>
          <w:lang w:val="en-US"/>
        </w:rPr>
        <w:t>Option</w:t>
      </w:r>
      <w:r w:rsidRPr="002018AC">
        <w:rPr>
          <w:rFonts w:cs="Times New Roman"/>
          <w:lang w:val="en-US"/>
        </w:rPr>
        <w:t xml:space="preserve"> A should be rejected is that it has a negative NPV of £</w:t>
      </w:r>
      <w:r w:rsidRPr="002018AC">
        <w:rPr>
          <w:rFonts w:cs="Times New Roman"/>
          <w:bCs/>
          <w:lang w:val="en-US"/>
        </w:rPr>
        <w:t>3.263</w:t>
      </w:r>
      <w:r w:rsidRPr="002018AC">
        <w:rPr>
          <w:rFonts w:cs="Times New Roman"/>
          <w:lang w:val="en-US"/>
        </w:rPr>
        <w:t>k. Option B is also a viable option with an NPV of £</w:t>
      </w:r>
      <w:r w:rsidRPr="002018AC">
        <w:rPr>
          <w:rFonts w:cs="Times New Roman"/>
          <w:bCs/>
          <w:lang w:val="en-US"/>
        </w:rPr>
        <w:t>73.952</w:t>
      </w:r>
      <w:r w:rsidRPr="002018AC">
        <w:rPr>
          <w:rFonts w:cs="Times New Roman"/>
          <w:lang w:val="en-US"/>
        </w:rPr>
        <w:t xml:space="preserve">k, but the best single option is </w:t>
      </w:r>
      <w:r w:rsidRPr="002018AC">
        <w:rPr>
          <w:rFonts w:cs="Times New Roman"/>
          <w:bCs/>
          <w:lang w:val="en-US"/>
        </w:rPr>
        <w:t>Option</w:t>
      </w:r>
      <w:r w:rsidRPr="002018AC">
        <w:rPr>
          <w:rFonts w:cs="Times New Roman"/>
          <w:lang w:val="en-US"/>
        </w:rPr>
        <w:t xml:space="preserve"> C with an NPV of £</w:t>
      </w:r>
      <w:r w:rsidRPr="002018AC">
        <w:rPr>
          <w:rFonts w:cs="Times New Roman"/>
          <w:bCs/>
          <w:lang w:val="en-US"/>
        </w:rPr>
        <w:t>91.226</w:t>
      </w:r>
      <w:r w:rsidRPr="002018AC">
        <w:rPr>
          <w:rFonts w:cs="Times New Roman"/>
          <w:lang w:val="en-US"/>
        </w:rPr>
        <w:t xml:space="preserve">k and an approximate IRR of 8.57%, which is above the 5% cost of capital. When there is a constraint in the amount of funds available of </w:t>
      </w:r>
      <w:r w:rsidRPr="002018AC">
        <w:rPr>
          <w:rFonts w:cs="Times New Roman"/>
          <w:bCs/>
          <w:lang w:val="en-US"/>
        </w:rPr>
        <w:t>£1.5</w:t>
      </w:r>
      <w:r w:rsidRPr="002018AC">
        <w:rPr>
          <w:rFonts w:cs="Times New Roman"/>
          <w:lang w:val="en-US"/>
        </w:rPr>
        <w:t xml:space="preserve"> million and the projects can be divided, then the best policy would be to pursue all of </w:t>
      </w:r>
      <w:r w:rsidRPr="002018AC">
        <w:rPr>
          <w:rFonts w:cs="Times New Roman"/>
          <w:bCs/>
          <w:lang w:val="en-US"/>
        </w:rPr>
        <w:t>Option</w:t>
      </w:r>
      <w:r w:rsidRPr="002018AC">
        <w:rPr>
          <w:rFonts w:cs="Times New Roman"/>
          <w:lang w:val="en-US"/>
        </w:rPr>
        <w:t xml:space="preserve"> C and 55.56% of </w:t>
      </w:r>
      <w:r w:rsidRPr="002018AC">
        <w:rPr>
          <w:rFonts w:cs="Times New Roman"/>
          <w:bCs/>
          <w:lang w:val="en-US"/>
        </w:rPr>
        <w:t>Option</w:t>
      </w:r>
      <w:r w:rsidRPr="002018AC">
        <w:rPr>
          <w:rFonts w:cs="Times New Roman"/>
          <w:lang w:val="en-US"/>
        </w:rPr>
        <w:t xml:space="preserve"> B, giving a total NPV of </w:t>
      </w:r>
      <w:r w:rsidRPr="002018AC">
        <w:rPr>
          <w:rFonts w:cs="Times New Roman"/>
          <w:bCs/>
          <w:lang w:val="en-US"/>
        </w:rPr>
        <w:t>£132.310</w:t>
      </w:r>
      <w:r w:rsidRPr="002018AC">
        <w:rPr>
          <w:rFonts w:cs="Times New Roman"/>
          <w:lang w:val="en-US"/>
        </w:rPr>
        <w:t>k. The two analyses emphasize that numbers must be contextually judged by managers before they can be approved</w:t>
      </w:r>
      <w:r w:rsidR="00461154">
        <w:rPr>
          <w:rFonts w:cs="Times New Roman"/>
          <w:lang w:val="en-US"/>
        </w:rPr>
        <w:t xml:space="preserve"> </w:t>
      </w:r>
      <w:r w:rsidR="00461154" w:rsidRPr="00461154">
        <w:rPr>
          <w:rFonts w:cs="Times New Roman"/>
          <w:lang w:val="en-US"/>
        </w:rPr>
        <w:t xml:space="preserve">action (Sokolov, 2024; </w:t>
      </w:r>
      <w:proofErr w:type="spellStart"/>
      <w:r w:rsidR="00461154" w:rsidRPr="00461154">
        <w:rPr>
          <w:rFonts w:cs="Times New Roman"/>
          <w:lang w:val="en-US"/>
        </w:rPr>
        <w:t>Purnamasari</w:t>
      </w:r>
      <w:proofErr w:type="spellEnd"/>
      <w:r w:rsidR="00461154" w:rsidRPr="00461154">
        <w:rPr>
          <w:rFonts w:cs="Times New Roman"/>
          <w:lang w:val="en-US"/>
        </w:rPr>
        <w:t xml:space="preserve"> and </w:t>
      </w:r>
      <w:proofErr w:type="spellStart"/>
      <w:r w:rsidR="00461154" w:rsidRPr="00461154">
        <w:rPr>
          <w:rFonts w:cs="Times New Roman"/>
          <w:lang w:val="en-US"/>
        </w:rPr>
        <w:t>Adriza</w:t>
      </w:r>
      <w:proofErr w:type="spellEnd"/>
      <w:r w:rsidR="00461154" w:rsidRPr="00461154">
        <w:rPr>
          <w:rFonts w:cs="Times New Roman"/>
          <w:lang w:val="en-US"/>
        </w:rPr>
        <w:t xml:space="preserve">, 2024; Hartmann and </w:t>
      </w:r>
      <w:proofErr w:type="spellStart"/>
      <w:r w:rsidR="00461154" w:rsidRPr="00461154">
        <w:rPr>
          <w:rFonts w:cs="Times New Roman"/>
          <w:lang w:val="en-US"/>
        </w:rPr>
        <w:t>Weißenberger</w:t>
      </w:r>
      <w:proofErr w:type="spellEnd"/>
      <w:r w:rsidR="00461154" w:rsidRPr="00461154">
        <w:rPr>
          <w:rFonts w:cs="Times New Roman"/>
          <w:lang w:val="en-US"/>
        </w:rPr>
        <w:t>, 2024).</w:t>
      </w:r>
    </w:p>
    <w:p w14:paraId="67360B6E" w14:textId="1B37698B" w:rsidR="009A74D4" w:rsidRPr="002018AC" w:rsidRDefault="009A74D4" w:rsidP="00695D8D">
      <w:pPr>
        <w:spacing w:line="276" w:lineRule="auto"/>
        <w:rPr>
          <w:rFonts w:cs="Times New Roman"/>
          <w:lang w:val="en-US"/>
        </w:rPr>
      </w:pPr>
    </w:p>
    <w:p w14:paraId="2ADB8B38" w14:textId="77777777" w:rsidR="009A74D4" w:rsidRPr="002018AC" w:rsidRDefault="009A74D4" w:rsidP="00695D8D">
      <w:pPr>
        <w:spacing w:after="0" w:line="276" w:lineRule="auto"/>
        <w:jc w:val="left"/>
        <w:rPr>
          <w:rFonts w:cs="Times New Roman"/>
          <w:lang w:val="en-US"/>
        </w:rPr>
      </w:pPr>
      <w:r w:rsidRPr="002018AC">
        <w:rPr>
          <w:rFonts w:cs="Times New Roman"/>
          <w:lang w:val="en-US"/>
        </w:rPr>
        <w:br w:type="page"/>
      </w:r>
    </w:p>
    <w:sdt>
      <w:sdtPr>
        <w:rPr>
          <w:rFonts w:ascii="Times New Roman" w:eastAsiaTheme="minorHAnsi" w:hAnsi="Times New Roman" w:cs="Times New Roman"/>
          <w:b w:val="0"/>
          <w:bCs w:val="0"/>
          <w:smallCaps w:val="0"/>
          <w:color w:val="auto"/>
          <w:sz w:val="24"/>
          <w:szCs w:val="22"/>
          <w:u w:val="none"/>
          <w:lang w:val="en-GB"/>
          <w14:ligatures w14:val="standardContextual"/>
        </w:rPr>
        <w:id w:val="-1491859793"/>
        <w:docPartObj>
          <w:docPartGallery w:val="Table of Contents"/>
          <w:docPartUnique/>
        </w:docPartObj>
      </w:sdtPr>
      <w:sdtEndPr>
        <w:rPr>
          <w:noProof/>
        </w:rPr>
      </w:sdtEndPr>
      <w:sdtContent>
        <w:p w14:paraId="3C2108A8" w14:textId="5211A6EF" w:rsidR="009A74D4" w:rsidRPr="002018AC" w:rsidRDefault="009A74D4" w:rsidP="00695D8D">
          <w:pPr>
            <w:pStyle w:val="TOCHeading"/>
            <w:spacing w:line="276" w:lineRule="auto"/>
            <w:rPr>
              <w:rFonts w:ascii="Times New Roman" w:hAnsi="Times New Roman" w:cs="Times New Roman"/>
            </w:rPr>
          </w:pPr>
          <w:r w:rsidRPr="002018AC">
            <w:rPr>
              <w:rFonts w:ascii="Times New Roman" w:hAnsi="Times New Roman" w:cs="Times New Roman"/>
            </w:rPr>
            <w:t>Contents</w:t>
          </w:r>
        </w:p>
        <w:p w14:paraId="6D92E11C" w14:textId="7C292762" w:rsidR="00A534A0" w:rsidRDefault="009A74D4">
          <w:pPr>
            <w:pStyle w:val="TOC2"/>
            <w:tabs>
              <w:tab w:val="right" w:leader="underscore" w:pos="9350"/>
            </w:tabs>
            <w:rPr>
              <w:rFonts w:eastAsiaTheme="minorEastAsia"/>
              <w:b w:val="0"/>
              <w:bCs w:val="0"/>
              <w:noProof/>
              <w:lang w:eastAsia="en-GB"/>
              <w14:ligatures w14:val="none"/>
            </w:rPr>
          </w:pPr>
          <w:r w:rsidRPr="002018AC">
            <w:rPr>
              <w:rFonts w:ascii="Times New Roman" w:hAnsi="Times New Roman" w:cs="Times New Roman"/>
              <w:b w:val="0"/>
              <w:bCs w:val="0"/>
            </w:rPr>
            <w:fldChar w:fldCharType="begin"/>
          </w:r>
          <w:r w:rsidRPr="002018AC">
            <w:rPr>
              <w:rFonts w:ascii="Times New Roman" w:hAnsi="Times New Roman" w:cs="Times New Roman"/>
              <w:b w:val="0"/>
              <w:bCs w:val="0"/>
            </w:rPr>
            <w:instrText xml:space="preserve"> TOC \o "1-3" \h \z \u </w:instrText>
          </w:r>
          <w:r w:rsidRPr="002018AC">
            <w:rPr>
              <w:rFonts w:ascii="Times New Roman" w:hAnsi="Times New Roman" w:cs="Times New Roman"/>
              <w:b w:val="0"/>
              <w:bCs w:val="0"/>
            </w:rPr>
            <w:fldChar w:fldCharType="separate"/>
          </w:r>
          <w:hyperlink w:anchor="_Toc227609555" w:history="1">
            <w:r w:rsidR="00A534A0" w:rsidRPr="00A17EA6">
              <w:rPr>
                <w:rStyle w:val="Hyperlink"/>
                <w:rFonts w:cs="Times New Roman"/>
                <w:noProof/>
                <w:lang w:val="en-US"/>
              </w:rPr>
              <w:t>01 Introduction</w:t>
            </w:r>
            <w:r w:rsidR="00A534A0">
              <w:rPr>
                <w:noProof/>
                <w:webHidden/>
              </w:rPr>
              <w:tab/>
            </w:r>
            <w:r w:rsidR="00A534A0">
              <w:rPr>
                <w:noProof/>
                <w:webHidden/>
              </w:rPr>
              <w:fldChar w:fldCharType="begin"/>
            </w:r>
            <w:r w:rsidR="00A534A0">
              <w:rPr>
                <w:noProof/>
                <w:webHidden/>
              </w:rPr>
              <w:instrText xml:space="preserve"> PAGEREF _Toc227609555 \h </w:instrText>
            </w:r>
            <w:r w:rsidR="00A534A0">
              <w:rPr>
                <w:noProof/>
                <w:webHidden/>
              </w:rPr>
            </w:r>
            <w:r w:rsidR="00A534A0">
              <w:rPr>
                <w:noProof/>
                <w:webHidden/>
              </w:rPr>
              <w:fldChar w:fldCharType="separate"/>
            </w:r>
            <w:r w:rsidR="00A534A0">
              <w:rPr>
                <w:noProof/>
                <w:webHidden/>
              </w:rPr>
              <w:t>5</w:t>
            </w:r>
            <w:r w:rsidR="00A534A0">
              <w:rPr>
                <w:noProof/>
                <w:webHidden/>
              </w:rPr>
              <w:fldChar w:fldCharType="end"/>
            </w:r>
          </w:hyperlink>
        </w:p>
        <w:p w14:paraId="36D2CF4E" w14:textId="18712BE0" w:rsidR="00A534A0" w:rsidRDefault="00A22E03">
          <w:pPr>
            <w:pStyle w:val="TOC1"/>
            <w:tabs>
              <w:tab w:val="left" w:pos="480"/>
              <w:tab w:val="right" w:leader="underscore" w:pos="9350"/>
            </w:tabs>
            <w:rPr>
              <w:rFonts w:eastAsiaTheme="minorEastAsia"/>
              <w:b w:val="0"/>
              <w:bCs w:val="0"/>
              <w:i w:val="0"/>
              <w:iCs w:val="0"/>
              <w:noProof/>
              <w:sz w:val="22"/>
              <w:szCs w:val="22"/>
              <w:lang w:eastAsia="en-GB"/>
              <w14:ligatures w14:val="none"/>
            </w:rPr>
          </w:pPr>
          <w:hyperlink w:anchor="_Toc227609556" w:history="1">
            <w:r w:rsidR="00A534A0" w:rsidRPr="00A17EA6">
              <w:rPr>
                <w:rStyle w:val="Hyperlink"/>
                <w:rFonts w:cs="Times New Roman"/>
                <w:noProof/>
                <w:lang w:val="en-US"/>
              </w:rPr>
              <w:t>1.</w:t>
            </w:r>
            <w:r w:rsidR="00A534A0">
              <w:rPr>
                <w:rFonts w:eastAsiaTheme="minorEastAsia"/>
                <w:b w:val="0"/>
                <w:bCs w:val="0"/>
                <w:i w:val="0"/>
                <w:iCs w:val="0"/>
                <w:noProof/>
                <w:sz w:val="22"/>
                <w:szCs w:val="22"/>
                <w:lang w:eastAsia="en-GB"/>
                <w14:ligatures w14:val="none"/>
              </w:rPr>
              <w:tab/>
            </w:r>
            <w:r w:rsidR="00A534A0" w:rsidRPr="00A17EA6">
              <w:rPr>
                <w:rStyle w:val="Hyperlink"/>
                <w:rFonts w:cs="Times New Roman"/>
                <w:noProof/>
                <w:lang w:val="en-US"/>
              </w:rPr>
              <w:t>Part 1 Vodafone Group Plc</w:t>
            </w:r>
            <w:r w:rsidR="00A534A0">
              <w:rPr>
                <w:noProof/>
                <w:webHidden/>
              </w:rPr>
              <w:tab/>
            </w:r>
            <w:r w:rsidR="00A534A0">
              <w:rPr>
                <w:noProof/>
                <w:webHidden/>
              </w:rPr>
              <w:fldChar w:fldCharType="begin"/>
            </w:r>
            <w:r w:rsidR="00A534A0">
              <w:rPr>
                <w:noProof/>
                <w:webHidden/>
              </w:rPr>
              <w:instrText xml:space="preserve"> PAGEREF _Toc227609556 \h </w:instrText>
            </w:r>
            <w:r w:rsidR="00A534A0">
              <w:rPr>
                <w:noProof/>
                <w:webHidden/>
              </w:rPr>
            </w:r>
            <w:r w:rsidR="00A534A0">
              <w:rPr>
                <w:noProof/>
                <w:webHidden/>
              </w:rPr>
              <w:fldChar w:fldCharType="separate"/>
            </w:r>
            <w:r w:rsidR="00A534A0">
              <w:rPr>
                <w:noProof/>
                <w:webHidden/>
              </w:rPr>
              <w:t>6</w:t>
            </w:r>
            <w:r w:rsidR="00A534A0">
              <w:rPr>
                <w:noProof/>
                <w:webHidden/>
              </w:rPr>
              <w:fldChar w:fldCharType="end"/>
            </w:r>
          </w:hyperlink>
        </w:p>
        <w:p w14:paraId="5067BEF9" w14:textId="58D6364B" w:rsidR="00A534A0" w:rsidRDefault="00A22E03">
          <w:pPr>
            <w:pStyle w:val="TOC2"/>
            <w:tabs>
              <w:tab w:val="left" w:pos="960"/>
              <w:tab w:val="right" w:leader="underscore" w:pos="9350"/>
            </w:tabs>
            <w:rPr>
              <w:rFonts w:eastAsiaTheme="minorEastAsia"/>
              <w:b w:val="0"/>
              <w:bCs w:val="0"/>
              <w:noProof/>
              <w:lang w:eastAsia="en-GB"/>
              <w14:ligatures w14:val="none"/>
            </w:rPr>
          </w:pPr>
          <w:hyperlink w:anchor="_Toc227609557" w:history="1">
            <w:r w:rsidR="00A534A0" w:rsidRPr="00A17EA6">
              <w:rPr>
                <w:rStyle w:val="Hyperlink"/>
                <w:rFonts w:cs="Times New Roman"/>
                <w:noProof/>
                <w:lang w:val="en-US"/>
              </w:rPr>
              <w:t>1.1</w:t>
            </w:r>
            <w:r w:rsidR="00A534A0">
              <w:rPr>
                <w:rFonts w:eastAsiaTheme="minorEastAsia"/>
                <w:b w:val="0"/>
                <w:bCs w:val="0"/>
                <w:noProof/>
                <w:lang w:eastAsia="en-GB"/>
                <w14:ligatures w14:val="none"/>
              </w:rPr>
              <w:tab/>
            </w:r>
            <w:r w:rsidR="00A534A0" w:rsidRPr="00A17EA6">
              <w:rPr>
                <w:rStyle w:val="Hyperlink"/>
                <w:rFonts w:cs="Times New Roman"/>
                <w:noProof/>
                <w:lang w:val="en-US"/>
              </w:rPr>
              <w:t>Scope, Source Base and Calculation Method</w:t>
            </w:r>
            <w:r w:rsidR="00A534A0">
              <w:rPr>
                <w:noProof/>
                <w:webHidden/>
              </w:rPr>
              <w:tab/>
            </w:r>
            <w:r w:rsidR="00A534A0">
              <w:rPr>
                <w:noProof/>
                <w:webHidden/>
              </w:rPr>
              <w:fldChar w:fldCharType="begin"/>
            </w:r>
            <w:r w:rsidR="00A534A0">
              <w:rPr>
                <w:noProof/>
                <w:webHidden/>
              </w:rPr>
              <w:instrText xml:space="preserve"> PAGEREF _Toc227609557 \h </w:instrText>
            </w:r>
            <w:r w:rsidR="00A534A0">
              <w:rPr>
                <w:noProof/>
                <w:webHidden/>
              </w:rPr>
            </w:r>
            <w:r w:rsidR="00A534A0">
              <w:rPr>
                <w:noProof/>
                <w:webHidden/>
              </w:rPr>
              <w:fldChar w:fldCharType="separate"/>
            </w:r>
            <w:r w:rsidR="00A534A0">
              <w:rPr>
                <w:noProof/>
                <w:webHidden/>
              </w:rPr>
              <w:t>6</w:t>
            </w:r>
            <w:r w:rsidR="00A534A0">
              <w:rPr>
                <w:noProof/>
                <w:webHidden/>
              </w:rPr>
              <w:fldChar w:fldCharType="end"/>
            </w:r>
          </w:hyperlink>
        </w:p>
        <w:p w14:paraId="371635EB" w14:textId="3C850C9D" w:rsidR="00A534A0" w:rsidRDefault="00A22E03">
          <w:pPr>
            <w:pStyle w:val="TOC2"/>
            <w:tabs>
              <w:tab w:val="left" w:pos="960"/>
              <w:tab w:val="right" w:leader="underscore" w:pos="9350"/>
            </w:tabs>
            <w:rPr>
              <w:rFonts w:eastAsiaTheme="minorEastAsia"/>
              <w:b w:val="0"/>
              <w:bCs w:val="0"/>
              <w:noProof/>
              <w:lang w:eastAsia="en-GB"/>
              <w14:ligatures w14:val="none"/>
            </w:rPr>
          </w:pPr>
          <w:hyperlink w:anchor="_Toc227609558" w:history="1">
            <w:r w:rsidR="00A534A0" w:rsidRPr="00A17EA6">
              <w:rPr>
                <w:rStyle w:val="Hyperlink"/>
                <w:rFonts w:cs="Times New Roman"/>
                <w:noProof/>
              </w:rPr>
              <w:t>1.2</w:t>
            </w:r>
            <w:r w:rsidR="00A534A0">
              <w:rPr>
                <w:rFonts w:eastAsiaTheme="minorEastAsia"/>
                <w:b w:val="0"/>
                <w:bCs w:val="0"/>
                <w:noProof/>
                <w:lang w:eastAsia="en-GB"/>
                <w14:ligatures w14:val="none"/>
              </w:rPr>
              <w:tab/>
            </w:r>
            <w:r w:rsidR="00A534A0" w:rsidRPr="00A17EA6">
              <w:rPr>
                <w:rStyle w:val="Hyperlink"/>
                <w:rFonts w:cs="Times New Roman"/>
                <w:noProof/>
              </w:rPr>
              <w:t>Ratio Results summary</w:t>
            </w:r>
            <w:r w:rsidR="00A534A0">
              <w:rPr>
                <w:noProof/>
                <w:webHidden/>
              </w:rPr>
              <w:tab/>
            </w:r>
            <w:r w:rsidR="00A534A0">
              <w:rPr>
                <w:noProof/>
                <w:webHidden/>
              </w:rPr>
              <w:fldChar w:fldCharType="begin"/>
            </w:r>
            <w:r w:rsidR="00A534A0">
              <w:rPr>
                <w:noProof/>
                <w:webHidden/>
              </w:rPr>
              <w:instrText xml:space="preserve"> PAGEREF _Toc227609558 \h </w:instrText>
            </w:r>
            <w:r w:rsidR="00A534A0">
              <w:rPr>
                <w:noProof/>
                <w:webHidden/>
              </w:rPr>
            </w:r>
            <w:r w:rsidR="00A534A0">
              <w:rPr>
                <w:noProof/>
                <w:webHidden/>
              </w:rPr>
              <w:fldChar w:fldCharType="separate"/>
            </w:r>
            <w:r w:rsidR="00A534A0">
              <w:rPr>
                <w:noProof/>
                <w:webHidden/>
              </w:rPr>
              <w:t>7</w:t>
            </w:r>
            <w:r w:rsidR="00A534A0">
              <w:rPr>
                <w:noProof/>
                <w:webHidden/>
              </w:rPr>
              <w:fldChar w:fldCharType="end"/>
            </w:r>
          </w:hyperlink>
        </w:p>
        <w:p w14:paraId="6A1F3B94" w14:textId="10939120" w:rsidR="00A534A0" w:rsidRDefault="00A22E03">
          <w:pPr>
            <w:pStyle w:val="TOC2"/>
            <w:tabs>
              <w:tab w:val="left" w:pos="960"/>
              <w:tab w:val="right" w:leader="underscore" w:pos="9350"/>
            </w:tabs>
            <w:rPr>
              <w:rFonts w:eastAsiaTheme="minorEastAsia"/>
              <w:b w:val="0"/>
              <w:bCs w:val="0"/>
              <w:noProof/>
              <w:lang w:eastAsia="en-GB"/>
              <w14:ligatures w14:val="none"/>
            </w:rPr>
          </w:pPr>
          <w:hyperlink w:anchor="_Toc227609559" w:history="1">
            <w:r w:rsidR="00A534A0" w:rsidRPr="00A17EA6">
              <w:rPr>
                <w:rStyle w:val="Hyperlink"/>
                <w:rFonts w:cs="Times New Roman"/>
                <w:noProof/>
              </w:rPr>
              <w:t>1.3</w:t>
            </w:r>
            <w:r w:rsidR="00A534A0">
              <w:rPr>
                <w:rFonts w:eastAsiaTheme="minorEastAsia"/>
                <w:b w:val="0"/>
                <w:bCs w:val="0"/>
                <w:noProof/>
                <w:lang w:eastAsia="en-GB"/>
                <w14:ligatures w14:val="none"/>
              </w:rPr>
              <w:tab/>
            </w:r>
            <w:r w:rsidR="00A534A0" w:rsidRPr="00A17EA6">
              <w:rPr>
                <w:rStyle w:val="Hyperlink"/>
                <w:rFonts w:cs="Times New Roman"/>
                <w:noProof/>
              </w:rPr>
              <w:t>Critical evaluation of the ratios</w:t>
            </w:r>
            <w:r w:rsidR="00A534A0">
              <w:rPr>
                <w:noProof/>
                <w:webHidden/>
              </w:rPr>
              <w:tab/>
            </w:r>
            <w:r w:rsidR="00A534A0">
              <w:rPr>
                <w:noProof/>
                <w:webHidden/>
              </w:rPr>
              <w:fldChar w:fldCharType="begin"/>
            </w:r>
            <w:r w:rsidR="00A534A0">
              <w:rPr>
                <w:noProof/>
                <w:webHidden/>
              </w:rPr>
              <w:instrText xml:space="preserve"> PAGEREF _Toc227609559 \h </w:instrText>
            </w:r>
            <w:r w:rsidR="00A534A0">
              <w:rPr>
                <w:noProof/>
                <w:webHidden/>
              </w:rPr>
            </w:r>
            <w:r w:rsidR="00A534A0">
              <w:rPr>
                <w:noProof/>
                <w:webHidden/>
              </w:rPr>
              <w:fldChar w:fldCharType="separate"/>
            </w:r>
            <w:r w:rsidR="00A534A0">
              <w:rPr>
                <w:noProof/>
                <w:webHidden/>
              </w:rPr>
              <w:t>8</w:t>
            </w:r>
            <w:r w:rsidR="00A534A0">
              <w:rPr>
                <w:noProof/>
                <w:webHidden/>
              </w:rPr>
              <w:fldChar w:fldCharType="end"/>
            </w:r>
          </w:hyperlink>
        </w:p>
        <w:p w14:paraId="4B3D9A58" w14:textId="7CAF75A5" w:rsidR="00A534A0" w:rsidRDefault="00A22E03">
          <w:pPr>
            <w:pStyle w:val="TOC3"/>
            <w:tabs>
              <w:tab w:val="left" w:pos="1200"/>
              <w:tab w:val="right" w:leader="underscore" w:pos="9350"/>
            </w:tabs>
            <w:rPr>
              <w:rFonts w:eastAsiaTheme="minorEastAsia"/>
              <w:noProof/>
              <w:sz w:val="22"/>
              <w:szCs w:val="22"/>
              <w:lang w:eastAsia="en-GB"/>
              <w14:ligatures w14:val="none"/>
            </w:rPr>
          </w:pPr>
          <w:hyperlink w:anchor="_Toc227609560" w:history="1">
            <w:r w:rsidR="00A534A0" w:rsidRPr="00A17EA6">
              <w:rPr>
                <w:rStyle w:val="Hyperlink"/>
                <w:rFonts w:cs="Times New Roman"/>
                <w:noProof/>
                <w:lang w:val="en-AU"/>
              </w:rPr>
              <w:t>1.3.1</w:t>
            </w:r>
            <w:r w:rsidR="00A534A0">
              <w:rPr>
                <w:rFonts w:eastAsiaTheme="minorEastAsia"/>
                <w:noProof/>
                <w:sz w:val="22"/>
                <w:szCs w:val="22"/>
                <w:lang w:eastAsia="en-GB"/>
                <w14:ligatures w14:val="none"/>
              </w:rPr>
              <w:tab/>
            </w:r>
            <w:r w:rsidR="00A534A0" w:rsidRPr="00A17EA6">
              <w:rPr>
                <w:rStyle w:val="Hyperlink"/>
                <w:rFonts w:cs="Times New Roman"/>
                <w:noProof/>
                <w:lang w:val="en-AU"/>
              </w:rPr>
              <w:t>Profitability</w:t>
            </w:r>
            <w:r w:rsidR="00A534A0">
              <w:rPr>
                <w:noProof/>
                <w:webHidden/>
              </w:rPr>
              <w:tab/>
            </w:r>
            <w:r w:rsidR="00A534A0">
              <w:rPr>
                <w:noProof/>
                <w:webHidden/>
              </w:rPr>
              <w:fldChar w:fldCharType="begin"/>
            </w:r>
            <w:r w:rsidR="00A534A0">
              <w:rPr>
                <w:noProof/>
                <w:webHidden/>
              </w:rPr>
              <w:instrText xml:space="preserve"> PAGEREF _Toc227609560 \h </w:instrText>
            </w:r>
            <w:r w:rsidR="00A534A0">
              <w:rPr>
                <w:noProof/>
                <w:webHidden/>
              </w:rPr>
            </w:r>
            <w:r w:rsidR="00A534A0">
              <w:rPr>
                <w:noProof/>
                <w:webHidden/>
              </w:rPr>
              <w:fldChar w:fldCharType="separate"/>
            </w:r>
            <w:r w:rsidR="00A534A0">
              <w:rPr>
                <w:noProof/>
                <w:webHidden/>
              </w:rPr>
              <w:t>8</w:t>
            </w:r>
            <w:r w:rsidR="00A534A0">
              <w:rPr>
                <w:noProof/>
                <w:webHidden/>
              </w:rPr>
              <w:fldChar w:fldCharType="end"/>
            </w:r>
          </w:hyperlink>
        </w:p>
        <w:p w14:paraId="15570C4C" w14:textId="56439804" w:rsidR="00A534A0" w:rsidRDefault="00A22E03">
          <w:pPr>
            <w:pStyle w:val="TOC3"/>
            <w:tabs>
              <w:tab w:val="left" w:pos="1200"/>
              <w:tab w:val="right" w:leader="underscore" w:pos="9350"/>
            </w:tabs>
            <w:rPr>
              <w:rFonts w:eastAsiaTheme="minorEastAsia"/>
              <w:noProof/>
              <w:sz w:val="22"/>
              <w:szCs w:val="22"/>
              <w:lang w:eastAsia="en-GB"/>
              <w14:ligatures w14:val="none"/>
            </w:rPr>
          </w:pPr>
          <w:hyperlink w:anchor="_Toc227609561" w:history="1">
            <w:r w:rsidR="00A534A0" w:rsidRPr="00A17EA6">
              <w:rPr>
                <w:rStyle w:val="Hyperlink"/>
                <w:rFonts w:cs="Times New Roman"/>
                <w:noProof/>
                <w:lang w:val="en-AU"/>
              </w:rPr>
              <w:t>1.3.2</w:t>
            </w:r>
            <w:r w:rsidR="00A534A0">
              <w:rPr>
                <w:rFonts w:eastAsiaTheme="minorEastAsia"/>
                <w:noProof/>
                <w:sz w:val="22"/>
                <w:szCs w:val="22"/>
                <w:lang w:eastAsia="en-GB"/>
                <w14:ligatures w14:val="none"/>
              </w:rPr>
              <w:tab/>
            </w:r>
            <w:r w:rsidR="00A534A0" w:rsidRPr="00A17EA6">
              <w:rPr>
                <w:rStyle w:val="Hyperlink"/>
                <w:rFonts w:cs="Times New Roman"/>
                <w:noProof/>
                <w:lang w:val="en-AU"/>
              </w:rPr>
              <w:t>Efficiency</w:t>
            </w:r>
            <w:r w:rsidR="00A534A0">
              <w:rPr>
                <w:noProof/>
                <w:webHidden/>
              </w:rPr>
              <w:tab/>
            </w:r>
            <w:r w:rsidR="00A534A0">
              <w:rPr>
                <w:noProof/>
                <w:webHidden/>
              </w:rPr>
              <w:fldChar w:fldCharType="begin"/>
            </w:r>
            <w:r w:rsidR="00A534A0">
              <w:rPr>
                <w:noProof/>
                <w:webHidden/>
              </w:rPr>
              <w:instrText xml:space="preserve"> PAGEREF _Toc227609561 \h </w:instrText>
            </w:r>
            <w:r w:rsidR="00A534A0">
              <w:rPr>
                <w:noProof/>
                <w:webHidden/>
              </w:rPr>
            </w:r>
            <w:r w:rsidR="00A534A0">
              <w:rPr>
                <w:noProof/>
                <w:webHidden/>
              </w:rPr>
              <w:fldChar w:fldCharType="separate"/>
            </w:r>
            <w:r w:rsidR="00A534A0">
              <w:rPr>
                <w:noProof/>
                <w:webHidden/>
              </w:rPr>
              <w:t>8</w:t>
            </w:r>
            <w:r w:rsidR="00A534A0">
              <w:rPr>
                <w:noProof/>
                <w:webHidden/>
              </w:rPr>
              <w:fldChar w:fldCharType="end"/>
            </w:r>
          </w:hyperlink>
        </w:p>
        <w:p w14:paraId="477F696B" w14:textId="5C3681D0" w:rsidR="00A534A0" w:rsidRDefault="00A22E03">
          <w:pPr>
            <w:pStyle w:val="TOC3"/>
            <w:tabs>
              <w:tab w:val="left" w:pos="1200"/>
              <w:tab w:val="right" w:leader="underscore" w:pos="9350"/>
            </w:tabs>
            <w:rPr>
              <w:rFonts w:eastAsiaTheme="minorEastAsia"/>
              <w:noProof/>
              <w:sz w:val="22"/>
              <w:szCs w:val="22"/>
              <w:lang w:eastAsia="en-GB"/>
              <w14:ligatures w14:val="none"/>
            </w:rPr>
          </w:pPr>
          <w:hyperlink w:anchor="_Toc227609562" w:history="1">
            <w:r w:rsidR="00A534A0" w:rsidRPr="00A17EA6">
              <w:rPr>
                <w:rStyle w:val="Hyperlink"/>
                <w:rFonts w:cs="Times New Roman"/>
                <w:noProof/>
                <w:lang w:val="en-US"/>
              </w:rPr>
              <w:t>1.3.3</w:t>
            </w:r>
            <w:r w:rsidR="00A534A0">
              <w:rPr>
                <w:rFonts w:eastAsiaTheme="minorEastAsia"/>
                <w:noProof/>
                <w:sz w:val="22"/>
                <w:szCs w:val="22"/>
                <w:lang w:eastAsia="en-GB"/>
                <w14:ligatures w14:val="none"/>
              </w:rPr>
              <w:tab/>
            </w:r>
            <w:r w:rsidR="00A534A0" w:rsidRPr="00A17EA6">
              <w:rPr>
                <w:rStyle w:val="Hyperlink"/>
                <w:rFonts w:cs="Times New Roman"/>
                <w:noProof/>
                <w:lang w:val="en-US"/>
              </w:rPr>
              <w:t>Liquidity</w:t>
            </w:r>
            <w:r w:rsidR="00A534A0">
              <w:rPr>
                <w:noProof/>
                <w:webHidden/>
              </w:rPr>
              <w:tab/>
            </w:r>
            <w:r w:rsidR="00A534A0">
              <w:rPr>
                <w:noProof/>
                <w:webHidden/>
              </w:rPr>
              <w:fldChar w:fldCharType="begin"/>
            </w:r>
            <w:r w:rsidR="00A534A0">
              <w:rPr>
                <w:noProof/>
                <w:webHidden/>
              </w:rPr>
              <w:instrText xml:space="preserve"> PAGEREF _Toc227609562 \h </w:instrText>
            </w:r>
            <w:r w:rsidR="00A534A0">
              <w:rPr>
                <w:noProof/>
                <w:webHidden/>
              </w:rPr>
            </w:r>
            <w:r w:rsidR="00A534A0">
              <w:rPr>
                <w:noProof/>
                <w:webHidden/>
              </w:rPr>
              <w:fldChar w:fldCharType="separate"/>
            </w:r>
            <w:r w:rsidR="00A534A0">
              <w:rPr>
                <w:noProof/>
                <w:webHidden/>
              </w:rPr>
              <w:t>9</w:t>
            </w:r>
            <w:r w:rsidR="00A534A0">
              <w:rPr>
                <w:noProof/>
                <w:webHidden/>
              </w:rPr>
              <w:fldChar w:fldCharType="end"/>
            </w:r>
          </w:hyperlink>
        </w:p>
        <w:p w14:paraId="7DFC1558" w14:textId="1933513C" w:rsidR="00A534A0" w:rsidRDefault="00A22E03">
          <w:pPr>
            <w:pStyle w:val="TOC3"/>
            <w:tabs>
              <w:tab w:val="left" w:pos="1200"/>
              <w:tab w:val="right" w:leader="underscore" w:pos="9350"/>
            </w:tabs>
            <w:rPr>
              <w:rFonts w:eastAsiaTheme="minorEastAsia"/>
              <w:noProof/>
              <w:sz w:val="22"/>
              <w:szCs w:val="22"/>
              <w:lang w:eastAsia="en-GB"/>
              <w14:ligatures w14:val="none"/>
            </w:rPr>
          </w:pPr>
          <w:hyperlink w:anchor="_Toc227609563" w:history="1">
            <w:r w:rsidR="00A534A0" w:rsidRPr="00A17EA6">
              <w:rPr>
                <w:rStyle w:val="Hyperlink"/>
                <w:rFonts w:cs="Times New Roman"/>
                <w:noProof/>
                <w:lang w:val="en-AU"/>
              </w:rPr>
              <w:t>1.3.4</w:t>
            </w:r>
            <w:r w:rsidR="00A534A0">
              <w:rPr>
                <w:rFonts w:eastAsiaTheme="minorEastAsia"/>
                <w:noProof/>
                <w:sz w:val="22"/>
                <w:szCs w:val="22"/>
                <w:lang w:eastAsia="en-GB"/>
                <w14:ligatures w14:val="none"/>
              </w:rPr>
              <w:tab/>
            </w:r>
            <w:r w:rsidR="00A534A0" w:rsidRPr="00A17EA6">
              <w:rPr>
                <w:rStyle w:val="Hyperlink"/>
                <w:rFonts w:cs="Times New Roman"/>
                <w:noProof/>
                <w:lang w:val="en-AU"/>
              </w:rPr>
              <w:t>Investment ratios</w:t>
            </w:r>
            <w:r w:rsidR="00A534A0">
              <w:rPr>
                <w:noProof/>
                <w:webHidden/>
              </w:rPr>
              <w:tab/>
            </w:r>
            <w:r w:rsidR="00A534A0">
              <w:rPr>
                <w:noProof/>
                <w:webHidden/>
              </w:rPr>
              <w:fldChar w:fldCharType="begin"/>
            </w:r>
            <w:r w:rsidR="00A534A0">
              <w:rPr>
                <w:noProof/>
                <w:webHidden/>
              </w:rPr>
              <w:instrText xml:space="preserve"> PAGEREF _Toc227609563 \h </w:instrText>
            </w:r>
            <w:r w:rsidR="00A534A0">
              <w:rPr>
                <w:noProof/>
                <w:webHidden/>
              </w:rPr>
            </w:r>
            <w:r w:rsidR="00A534A0">
              <w:rPr>
                <w:noProof/>
                <w:webHidden/>
              </w:rPr>
              <w:fldChar w:fldCharType="separate"/>
            </w:r>
            <w:r w:rsidR="00A534A0">
              <w:rPr>
                <w:noProof/>
                <w:webHidden/>
              </w:rPr>
              <w:t>10</w:t>
            </w:r>
            <w:r w:rsidR="00A534A0">
              <w:rPr>
                <w:noProof/>
                <w:webHidden/>
              </w:rPr>
              <w:fldChar w:fldCharType="end"/>
            </w:r>
          </w:hyperlink>
        </w:p>
        <w:p w14:paraId="4ACBCB40" w14:textId="395A10C0" w:rsidR="00A534A0" w:rsidRDefault="00A22E03">
          <w:pPr>
            <w:pStyle w:val="TOC3"/>
            <w:tabs>
              <w:tab w:val="left" w:pos="1200"/>
              <w:tab w:val="right" w:leader="underscore" w:pos="9350"/>
            </w:tabs>
            <w:rPr>
              <w:rFonts w:eastAsiaTheme="minorEastAsia"/>
              <w:noProof/>
              <w:sz w:val="22"/>
              <w:szCs w:val="22"/>
              <w:lang w:eastAsia="en-GB"/>
              <w14:ligatures w14:val="none"/>
            </w:rPr>
          </w:pPr>
          <w:hyperlink w:anchor="_Toc227609564" w:history="1">
            <w:r w:rsidR="00A534A0" w:rsidRPr="00A17EA6">
              <w:rPr>
                <w:rStyle w:val="Hyperlink"/>
                <w:rFonts w:cs="Times New Roman"/>
                <w:noProof/>
                <w:lang w:val="en-AU"/>
              </w:rPr>
              <w:t>1.3.5</w:t>
            </w:r>
            <w:r w:rsidR="00A534A0">
              <w:rPr>
                <w:rFonts w:eastAsiaTheme="minorEastAsia"/>
                <w:noProof/>
                <w:sz w:val="22"/>
                <w:szCs w:val="22"/>
                <w:lang w:eastAsia="en-GB"/>
                <w14:ligatures w14:val="none"/>
              </w:rPr>
              <w:tab/>
            </w:r>
            <w:r w:rsidR="00A534A0" w:rsidRPr="00A17EA6">
              <w:rPr>
                <w:rStyle w:val="Hyperlink"/>
                <w:rFonts w:cs="Times New Roman"/>
                <w:noProof/>
                <w:lang w:val="en-AU"/>
              </w:rPr>
              <w:t>Gearing and interest cover</w:t>
            </w:r>
            <w:r w:rsidR="00A534A0">
              <w:rPr>
                <w:noProof/>
                <w:webHidden/>
              </w:rPr>
              <w:tab/>
            </w:r>
            <w:r w:rsidR="00A534A0">
              <w:rPr>
                <w:noProof/>
                <w:webHidden/>
              </w:rPr>
              <w:fldChar w:fldCharType="begin"/>
            </w:r>
            <w:r w:rsidR="00A534A0">
              <w:rPr>
                <w:noProof/>
                <w:webHidden/>
              </w:rPr>
              <w:instrText xml:space="preserve"> PAGEREF _Toc227609564 \h </w:instrText>
            </w:r>
            <w:r w:rsidR="00A534A0">
              <w:rPr>
                <w:noProof/>
                <w:webHidden/>
              </w:rPr>
            </w:r>
            <w:r w:rsidR="00A534A0">
              <w:rPr>
                <w:noProof/>
                <w:webHidden/>
              </w:rPr>
              <w:fldChar w:fldCharType="separate"/>
            </w:r>
            <w:r w:rsidR="00A534A0">
              <w:rPr>
                <w:noProof/>
                <w:webHidden/>
              </w:rPr>
              <w:t>10</w:t>
            </w:r>
            <w:r w:rsidR="00A534A0">
              <w:rPr>
                <w:noProof/>
                <w:webHidden/>
              </w:rPr>
              <w:fldChar w:fldCharType="end"/>
            </w:r>
          </w:hyperlink>
        </w:p>
        <w:p w14:paraId="074140E0" w14:textId="2837253F" w:rsidR="00A534A0" w:rsidRDefault="00A22E03">
          <w:pPr>
            <w:pStyle w:val="TOC3"/>
            <w:tabs>
              <w:tab w:val="left" w:pos="1200"/>
              <w:tab w:val="right" w:leader="underscore" w:pos="9350"/>
            </w:tabs>
            <w:rPr>
              <w:rFonts w:eastAsiaTheme="minorEastAsia"/>
              <w:noProof/>
              <w:sz w:val="22"/>
              <w:szCs w:val="22"/>
              <w:lang w:eastAsia="en-GB"/>
              <w14:ligatures w14:val="none"/>
            </w:rPr>
          </w:pPr>
          <w:hyperlink w:anchor="_Toc227609565" w:history="1">
            <w:r w:rsidR="00A534A0" w:rsidRPr="00A17EA6">
              <w:rPr>
                <w:rStyle w:val="Hyperlink"/>
                <w:rFonts w:cs="Times New Roman"/>
                <w:noProof/>
                <w:lang w:val="en-US"/>
              </w:rPr>
              <w:t>1.3.6</w:t>
            </w:r>
            <w:r w:rsidR="00A534A0">
              <w:rPr>
                <w:rFonts w:eastAsiaTheme="minorEastAsia"/>
                <w:noProof/>
                <w:sz w:val="22"/>
                <w:szCs w:val="22"/>
                <w:lang w:eastAsia="en-GB"/>
                <w14:ligatures w14:val="none"/>
              </w:rPr>
              <w:tab/>
            </w:r>
            <w:r w:rsidR="00A534A0" w:rsidRPr="00A17EA6">
              <w:rPr>
                <w:rStyle w:val="Hyperlink"/>
                <w:rFonts w:cs="Times New Roman"/>
                <w:noProof/>
                <w:lang w:val="en-US"/>
              </w:rPr>
              <w:t>Weaknesses of Ratio analysis</w:t>
            </w:r>
            <w:r w:rsidR="00A534A0">
              <w:rPr>
                <w:noProof/>
                <w:webHidden/>
              </w:rPr>
              <w:tab/>
            </w:r>
            <w:r w:rsidR="00A534A0">
              <w:rPr>
                <w:noProof/>
                <w:webHidden/>
              </w:rPr>
              <w:fldChar w:fldCharType="begin"/>
            </w:r>
            <w:r w:rsidR="00A534A0">
              <w:rPr>
                <w:noProof/>
                <w:webHidden/>
              </w:rPr>
              <w:instrText xml:space="preserve"> PAGEREF _Toc227609565 \h </w:instrText>
            </w:r>
            <w:r w:rsidR="00A534A0">
              <w:rPr>
                <w:noProof/>
                <w:webHidden/>
              </w:rPr>
            </w:r>
            <w:r w:rsidR="00A534A0">
              <w:rPr>
                <w:noProof/>
                <w:webHidden/>
              </w:rPr>
              <w:fldChar w:fldCharType="separate"/>
            </w:r>
            <w:r w:rsidR="00A534A0">
              <w:rPr>
                <w:noProof/>
                <w:webHidden/>
              </w:rPr>
              <w:t>11</w:t>
            </w:r>
            <w:r w:rsidR="00A534A0">
              <w:rPr>
                <w:noProof/>
                <w:webHidden/>
              </w:rPr>
              <w:fldChar w:fldCharType="end"/>
            </w:r>
          </w:hyperlink>
        </w:p>
        <w:p w14:paraId="6D62970E" w14:textId="071AB097" w:rsidR="00A534A0" w:rsidRDefault="00A22E03">
          <w:pPr>
            <w:pStyle w:val="TOC1"/>
            <w:tabs>
              <w:tab w:val="left" w:pos="480"/>
              <w:tab w:val="right" w:leader="underscore" w:pos="9350"/>
            </w:tabs>
            <w:rPr>
              <w:rFonts w:eastAsiaTheme="minorEastAsia"/>
              <w:b w:val="0"/>
              <w:bCs w:val="0"/>
              <w:i w:val="0"/>
              <w:iCs w:val="0"/>
              <w:noProof/>
              <w:sz w:val="22"/>
              <w:szCs w:val="22"/>
              <w:lang w:eastAsia="en-GB"/>
              <w14:ligatures w14:val="none"/>
            </w:rPr>
          </w:pPr>
          <w:hyperlink w:anchor="_Toc227609566" w:history="1">
            <w:r w:rsidR="00A534A0" w:rsidRPr="00A17EA6">
              <w:rPr>
                <w:rStyle w:val="Hyperlink"/>
                <w:rFonts w:cs="Times New Roman"/>
                <w:noProof/>
                <w:lang w:val="en-US"/>
              </w:rPr>
              <w:t>2.</w:t>
            </w:r>
            <w:r w:rsidR="00A534A0">
              <w:rPr>
                <w:rFonts w:eastAsiaTheme="minorEastAsia"/>
                <w:b w:val="0"/>
                <w:bCs w:val="0"/>
                <w:i w:val="0"/>
                <w:iCs w:val="0"/>
                <w:noProof/>
                <w:sz w:val="22"/>
                <w:szCs w:val="22"/>
                <w:lang w:eastAsia="en-GB"/>
                <w14:ligatures w14:val="none"/>
              </w:rPr>
              <w:tab/>
            </w:r>
            <w:r w:rsidR="00A534A0" w:rsidRPr="00A17EA6">
              <w:rPr>
                <w:rStyle w:val="Hyperlink"/>
                <w:rFonts w:cs="Times New Roman"/>
                <w:noProof/>
                <w:lang w:val="en-US"/>
              </w:rPr>
              <w:t>Part 2 Investment Appraisal of Beard Plc</w:t>
            </w:r>
            <w:r w:rsidR="00A534A0">
              <w:rPr>
                <w:noProof/>
                <w:webHidden/>
              </w:rPr>
              <w:tab/>
            </w:r>
            <w:r w:rsidR="00A534A0">
              <w:rPr>
                <w:noProof/>
                <w:webHidden/>
              </w:rPr>
              <w:fldChar w:fldCharType="begin"/>
            </w:r>
            <w:r w:rsidR="00A534A0">
              <w:rPr>
                <w:noProof/>
                <w:webHidden/>
              </w:rPr>
              <w:instrText xml:space="preserve"> PAGEREF _Toc227609566 \h </w:instrText>
            </w:r>
            <w:r w:rsidR="00A534A0">
              <w:rPr>
                <w:noProof/>
                <w:webHidden/>
              </w:rPr>
            </w:r>
            <w:r w:rsidR="00A534A0">
              <w:rPr>
                <w:noProof/>
                <w:webHidden/>
              </w:rPr>
              <w:fldChar w:fldCharType="separate"/>
            </w:r>
            <w:r w:rsidR="00A534A0">
              <w:rPr>
                <w:noProof/>
                <w:webHidden/>
              </w:rPr>
              <w:t>12</w:t>
            </w:r>
            <w:r w:rsidR="00A534A0">
              <w:rPr>
                <w:noProof/>
                <w:webHidden/>
              </w:rPr>
              <w:fldChar w:fldCharType="end"/>
            </w:r>
          </w:hyperlink>
        </w:p>
        <w:p w14:paraId="7A49F170" w14:textId="566BDDA9" w:rsidR="00A534A0" w:rsidRDefault="00A22E03">
          <w:pPr>
            <w:pStyle w:val="TOC2"/>
            <w:tabs>
              <w:tab w:val="left" w:pos="960"/>
              <w:tab w:val="right" w:leader="underscore" w:pos="9350"/>
            </w:tabs>
            <w:rPr>
              <w:rFonts w:eastAsiaTheme="minorEastAsia"/>
              <w:b w:val="0"/>
              <w:bCs w:val="0"/>
              <w:noProof/>
              <w:lang w:eastAsia="en-GB"/>
              <w14:ligatures w14:val="none"/>
            </w:rPr>
          </w:pPr>
          <w:hyperlink w:anchor="_Toc227609567" w:history="1">
            <w:r w:rsidR="00A534A0" w:rsidRPr="00A17EA6">
              <w:rPr>
                <w:rStyle w:val="Hyperlink"/>
                <w:rFonts w:cs="Times New Roman"/>
                <w:noProof/>
                <w:lang w:val="en-US"/>
              </w:rPr>
              <w:t>2.1</w:t>
            </w:r>
            <w:r w:rsidR="00A534A0">
              <w:rPr>
                <w:rFonts w:eastAsiaTheme="minorEastAsia"/>
                <w:b w:val="0"/>
                <w:bCs w:val="0"/>
                <w:noProof/>
                <w:lang w:eastAsia="en-GB"/>
                <w14:ligatures w14:val="none"/>
              </w:rPr>
              <w:tab/>
            </w:r>
            <w:r w:rsidR="00A534A0" w:rsidRPr="00A17EA6">
              <w:rPr>
                <w:rStyle w:val="Hyperlink"/>
                <w:rFonts w:cs="Times New Roman"/>
                <w:noProof/>
                <w:lang w:val="en-US"/>
              </w:rPr>
              <w:t>Basis of appraisal and assumptions</w:t>
            </w:r>
            <w:r w:rsidR="00A534A0">
              <w:rPr>
                <w:noProof/>
                <w:webHidden/>
              </w:rPr>
              <w:tab/>
            </w:r>
            <w:r w:rsidR="00A534A0">
              <w:rPr>
                <w:noProof/>
                <w:webHidden/>
              </w:rPr>
              <w:fldChar w:fldCharType="begin"/>
            </w:r>
            <w:r w:rsidR="00A534A0">
              <w:rPr>
                <w:noProof/>
                <w:webHidden/>
              </w:rPr>
              <w:instrText xml:space="preserve"> PAGEREF _Toc227609567 \h </w:instrText>
            </w:r>
            <w:r w:rsidR="00A534A0">
              <w:rPr>
                <w:noProof/>
                <w:webHidden/>
              </w:rPr>
            </w:r>
            <w:r w:rsidR="00A534A0">
              <w:rPr>
                <w:noProof/>
                <w:webHidden/>
              </w:rPr>
              <w:fldChar w:fldCharType="separate"/>
            </w:r>
            <w:r w:rsidR="00A534A0">
              <w:rPr>
                <w:noProof/>
                <w:webHidden/>
              </w:rPr>
              <w:t>12</w:t>
            </w:r>
            <w:r w:rsidR="00A534A0">
              <w:rPr>
                <w:noProof/>
                <w:webHidden/>
              </w:rPr>
              <w:fldChar w:fldCharType="end"/>
            </w:r>
          </w:hyperlink>
        </w:p>
        <w:p w14:paraId="01C0518C" w14:textId="13BECE26" w:rsidR="00A534A0" w:rsidRDefault="00A22E03">
          <w:pPr>
            <w:pStyle w:val="TOC2"/>
            <w:tabs>
              <w:tab w:val="left" w:pos="960"/>
              <w:tab w:val="right" w:leader="underscore" w:pos="9350"/>
            </w:tabs>
            <w:rPr>
              <w:rFonts w:eastAsiaTheme="minorEastAsia"/>
              <w:b w:val="0"/>
              <w:bCs w:val="0"/>
              <w:noProof/>
              <w:lang w:eastAsia="en-GB"/>
              <w14:ligatures w14:val="none"/>
            </w:rPr>
          </w:pPr>
          <w:hyperlink w:anchor="_Toc227609568" w:history="1">
            <w:r w:rsidR="00A534A0" w:rsidRPr="00A17EA6">
              <w:rPr>
                <w:rStyle w:val="Hyperlink"/>
                <w:rFonts w:cs="Times New Roman"/>
                <w:noProof/>
                <w:lang w:val="en-US"/>
              </w:rPr>
              <w:t>2.2</w:t>
            </w:r>
            <w:r w:rsidR="00A534A0">
              <w:rPr>
                <w:rFonts w:eastAsiaTheme="minorEastAsia"/>
                <w:b w:val="0"/>
                <w:bCs w:val="0"/>
                <w:noProof/>
                <w:lang w:eastAsia="en-GB"/>
                <w14:ligatures w14:val="none"/>
              </w:rPr>
              <w:tab/>
            </w:r>
            <w:r w:rsidR="00A534A0" w:rsidRPr="00A17EA6">
              <w:rPr>
                <w:rStyle w:val="Hyperlink"/>
                <w:rFonts w:cs="Times New Roman"/>
                <w:noProof/>
                <w:lang w:val="en-US"/>
              </w:rPr>
              <w:t>Discussion of the three investments</w:t>
            </w:r>
            <w:r w:rsidR="00A534A0">
              <w:rPr>
                <w:noProof/>
                <w:webHidden/>
              </w:rPr>
              <w:tab/>
            </w:r>
            <w:r w:rsidR="00A534A0">
              <w:rPr>
                <w:noProof/>
                <w:webHidden/>
              </w:rPr>
              <w:fldChar w:fldCharType="begin"/>
            </w:r>
            <w:r w:rsidR="00A534A0">
              <w:rPr>
                <w:noProof/>
                <w:webHidden/>
              </w:rPr>
              <w:instrText xml:space="preserve"> PAGEREF _Toc227609568 \h </w:instrText>
            </w:r>
            <w:r w:rsidR="00A534A0">
              <w:rPr>
                <w:noProof/>
                <w:webHidden/>
              </w:rPr>
            </w:r>
            <w:r w:rsidR="00A534A0">
              <w:rPr>
                <w:noProof/>
                <w:webHidden/>
              </w:rPr>
              <w:fldChar w:fldCharType="separate"/>
            </w:r>
            <w:r w:rsidR="00A534A0">
              <w:rPr>
                <w:noProof/>
                <w:webHidden/>
              </w:rPr>
              <w:t>13</w:t>
            </w:r>
            <w:r w:rsidR="00A534A0">
              <w:rPr>
                <w:noProof/>
                <w:webHidden/>
              </w:rPr>
              <w:fldChar w:fldCharType="end"/>
            </w:r>
          </w:hyperlink>
        </w:p>
        <w:p w14:paraId="4A052513" w14:textId="617E2222" w:rsidR="00A534A0" w:rsidRDefault="00A22E03">
          <w:pPr>
            <w:pStyle w:val="TOC2"/>
            <w:tabs>
              <w:tab w:val="left" w:pos="960"/>
              <w:tab w:val="right" w:leader="underscore" w:pos="9350"/>
            </w:tabs>
            <w:rPr>
              <w:rFonts w:eastAsiaTheme="minorEastAsia"/>
              <w:b w:val="0"/>
              <w:bCs w:val="0"/>
              <w:noProof/>
              <w:lang w:eastAsia="en-GB"/>
              <w14:ligatures w14:val="none"/>
            </w:rPr>
          </w:pPr>
          <w:hyperlink w:anchor="_Toc227609569" w:history="1">
            <w:r w:rsidR="00A534A0" w:rsidRPr="00A17EA6">
              <w:rPr>
                <w:rStyle w:val="Hyperlink"/>
                <w:rFonts w:cs="Times New Roman"/>
                <w:noProof/>
                <w:lang w:val="en-AU"/>
              </w:rPr>
              <w:t>2.3</w:t>
            </w:r>
            <w:r w:rsidR="00A534A0">
              <w:rPr>
                <w:rFonts w:eastAsiaTheme="minorEastAsia"/>
                <w:b w:val="0"/>
                <w:bCs w:val="0"/>
                <w:noProof/>
                <w:lang w:eastAsia="en-GB"/>
                <w14:ligatures w14:val="none"/>
              </w:rPr>
              <w:tab/>
            </w:r>
            <w:r w:rsidR="00A534A0" w:rsidRPr="00A17EA6">
              <w:rPr>
                <w:rStyle w:val="Hyperlink"/>
                <w:rFonts w:cs="Times New Roman"/>
                <w:noProof/>
                <w:lang w:val="en-AU"/>
              </w:rPr>
              <w:t>Approximate IRR of the recommended option</w:t>
            </w:r>
            <w:r w:rsidR="00A534A0">
              <w:rPr>
                <w:noProof/>
                <w:webHidden/>
              </w:rPr>
              <w:tab/>
            </w:r>
            <w:r w:rsidR="00A534A0">
              <w:rPr>
                <w:noProof/>
                <w:webHidden/>
              </w:rPr>
              <w:fldChar w:fldCharType="begin"/>
            </w:r>
            <w:r w:rsidR="00A534A0">
              <w:rPr>
                <w:noProof/>
                <w:webHidden/>
              </w:rPr>
              <w:instrText xml:space="preserve"> PAGEREF _Toc227609569 \h </w:instrText>
            </w:r>
            <w:r w:rsidR="00A534A0">
              <w:rPr>
                <w:noProof/>
                <w:webHidden/>
              </w:rPr>
            </w:r>
            <w:r w:rsidR="00A534A0">
              <w:rPr>
                <w:noProof/>
                <w:webHidden/>
              </w:rPr>
              <w:fldChar w:fldCharType="separate"/>
            </w:r>
            <w:r w:rsidR="00A534A0">
              <w:rPr>
                <w:noProof/>
                <w:webHidden/>
              </w:rPr>
              <w:t>13</w:t>
            </w:r>
            <w:r w:rsidR="00A534A0">
              <w:rPr>
                <w:noProof/>
                <w:webHidden/>
              </w:rPr>
              <w:fldChar w:fldCharType="end"/>
            </w:r>
          </w:hyperlink>
        </w:p>
        <w:p w14:paraId="426C331B" w14:textId="1BC67C7E" w:rsidR="00A534A0" w:rsidRDefault="00A22E03">
          <w:pPr>
            <w:pStyle w:val="TOC2"/>
            <w:tabs>
              <w:tab w:val="left" w:pos="960"/>
              <w:tab w:val="right" w:leader="underscore" w:pos="9350"/>
            </w:tabs>
            <w:rPr>
              <w:rFonts w:eastAsiaTheme="minorEastAsia"/>
              <w:b w:val="0"/>
              <w:bCs w:val="0"/>
              <w:noProof/>
              <w:lang w:eastAsia="en-GB"/>
              <w14:ligatures w14:val="none"/>
            </w:rPr>
          </w:pPr>
          <w:hyperlink w:anchor="_Toc227609570" w:history="1">
            <w:r w:rsidR="00A534A0" w:rsidRPr="00A17EA6">
              <w:rPr>
                <w:rStyle w:val="Hyperlink"/>
                <w:rFonts w:cs="Times New Roman"/>
                <w:noProof/>
                <w:lang w:val="en-US"/>
              </w:rPr>
              <w:t>2.4</w:t>
            </w:r>
            <w:r w:rsidR="00A534A0">
              <w:rPr>
                <w:rFonts w:eastAsiaTheme="minorEastAsia"/>
                <w:b w:val="0"/>
                <w:bCs w:val="0"/>
                <w:noProof/>
                <w:lang w:eastAsia="en-GB"/>
                <w14:ligatures w14:val="none"/>
              </w:rPr>
              <w:tab/>
            </w:r>
            <w:r w:rsidR="00A534A0" w:rsidRPr="00A17EA6">
              <w:rPr>
                <w:rStyle w:val="Hyperlink"/>
                <w:rFonts w:cs="Times New Roman"/>
                <w:noProof/>
                <w:lang w:val="en-US"/>
              </w:rPr>
              <w:t>Theoretical case for NPV</w:t>
            </w:r>
            <w:r w:rsidR="00A534A0">
              <w:rPr>
                <w:noProof/>
                <w:webHidden/>
              </w:rPr>
              <w:tab/>
            </w:r>
            <w:r w:rsidR="00A534A0">
              <w:rPr>
                <w:noProof/>
                <w:webHidden/>
              </w:rPr>
              <w:fldChar w:fldCharType="begin"/>
            </w:r>
            <w:r w:rsidR="00A534A0">
              <w:rPr>
                <w:noProof/>
                <w:webHidden/>
              </w:rPr>
              <w:instrText xml:space="preserve"> PAGEREF _Toc227609570 \h </w:instrText>
            </w:r>
            <w:r w:rsidR="00A534A0">
              <w:rPr>
                <w:noProof/>
                <w:webHidden/>
              </w:rPr>
            </w:r>
            <w:r w:rsidR="00A534A0">
              <w:rPr>
                <w:noProof/>
                <w:webHidden/>
              </w:rPr>
              <w:fldChar w:fldCharType="separate"/>
            </w:r>
            <w:r w:rsidR="00A534A0">
              <w:rPr>
                <w:noProof/>
                <w:webHidden/>
              </w:rPr>
              <w:t>14</w:t>
            </w:r>
            <w:r w:rsidR="00A534A0">
              <w:rPr>
                <w:noProof/>
                <w:webHidden/>
              </w:rPr>
              <w:fldChar w:fldCharType="end"/>
            </w:r>
          </w:hyperlink>
        </w:p>
        <w:p w14:paraId="4BF15E30" w14:textId="3AA0B2FD" w:rsidR="00A534A0" w:rsidRDefault="00A22E03">
          <w:pPr>
            <w:pStyle w:val="TOC2"/>
            <w:tabs>
              <w:tab w:val="left" w:pos="960"/>
              <w:tab w:val="right" w:leader="underscore" w:pos="9350"/>
            </w:tabs>
            <w:rPr>
              <w:rFonts w:eastAsiaTheme="minorEastAsia"/>
              <w:b w:val="0"/>
              <w:bCs w:val="0"/>
              <w:noProof/>
              <w:lang w:eastAsia="en-GB"/>
              <w14:ligatures w14:val="none"/>
            </w:rPr>
          </w:pPr>
          <w:hyperlink w:anchor="_Toc227609571" w:history="1">
            <w:r w:rsidR="00A534A0" w:rsidRPr="00A17EA6">
              <w:rPr>
                <w:rStyle w:val="Hyperlink"/>
                <w:rFonts w:cs="Times New Roman"/>
                <w:noProof/>
                <w:lang w:val="en-US"/>
              </w:rPr>
              <w:t>2.5</w:t>
            </w:r>
            <w:r w:rsidR="00A534A0">
              <w:rPr>
                <w:rFonts w:eastAsiaTheme="minorEastAsia"/>
                <w:b w:val="0"/>
                <w:bCs w:val="0"/>
                <w:noProof/>
                <w:lang w:eastAsia="en-GB"/>
                <w14:ligatures w14:val="none"/>
              </w:rPr>
              <w:tab/>
            </w:r>
            <w:r w:rsidR="00A534A0" w:rsidRPr="00A17EA6">
              <w:rPr>
                <w:rStyle w:val="Hyperlink"/>
                <w:rFonts w:cs="Times New Roman"/>
                <w:noProof/>
                <w:lang w:val="en-US"/>
              </w:rPr>
              <w:t>Reasons why non-discounting techniques are still popular</w:t>
            </w:r>
            <w:r w:rsidR="00A534A0">
              <w:rPr>
                <w:noProof/>
                <w:webHidden/>
              </w:rPr>
              <w:tab/>
            </w:r>
            <w:r w:rsidR="00A534A0">
              <w:rPr>
                <w:noProof/>
                <w:webHidden/>
              </w:rPr>
              <w:fldChar w:fldCharType="begin"/>
            </w:r>
            <w:r w:rsidR="00A534A0">
              <w:rPr>
                <w:noProof/>
                <w:webHidden/>
              </w:rPr>
              <w:instrText xml:space="preserve"> PAGEREF _Toc227609571 \h </w:instrText>
            </w:r>
            <w:r w:rsidR="00A534A0">
              <w:rPr>
                <w:noProof/>
                <w:webHidden/>
              </w:rPr>
            </w:r>
            <w:r w:rsidR="00A534A0">
              <w:rPr>
                <w:noProof/>
                <w:webHidden/>
              </w:rPr>
              <w:fldChar w:fldCharType="separate"/>
            </w:r>
            <w:r w:rsidR="00A534A0">
              <w:rPr>
                <w:noProof/>
                <w:webHidden/>
              </w:rPr>
              <w:t>15</w:t>
            </w:r>
            <w:r w:rsidR="00A534A0">
              <w:rPr>
                <w:noProof/>
                <w:webHidden/>
              </w:rPr>
              <w:fldChar w:fldCharType="end"/>
            </w:r>
          </w:hyperlink>
        </w:p>
        <w:p w14:paraId="05B726F1" w14:textId="33C11A3C" w:rsidR="00A534A0" w:rsidRDefault="00A22E03">
          <w:pPr>
            <w:pStyle w:val="TOC2"/>
            <w:tabs>
              <w:tab w:val="left" w:pos="960"/>
              <w:tab w:val="right" w:leader="underscore" w:pos="9350"/>
            </w:tabs>
            <w:rPr>
              <w:rFonts w:eastAsiaTheme="minorEastAsia"/>
              <w:b w:val="0"/>
              <w:bCs w:val="0"/>
              <w:noProof/>
              <w:lang w:eastAsia="en-GB"/>
              <w14:ligatures w14:val="none"/>
            </w:rPr>
          </w:pPr>
          <w:hyperlink w:anchor="_Toc227609572" w:history="1">
            <w:r w:rsidR="00A534A0" w:rsidRPr="00A17EA6">
              <w:rPr>
                <w:rStyle w:val="Hyperlink"/>
                <w:rFonts w:cs="Times New Roman"/>
                <w:noProof/>
                <w:lang w:val="en-US"/>
              </w:rPr>
              <w:t>2.6</w:t>
            </w:r>
            <w:r w:rsidR="00A534A0">
              <w:rPr>
                <w:rFonts w:eastAsiaTheme="minorEastAsia"/>
                <w:b w:val="0"/>
                <w:bCs w:val="0"/>
                <w:noProof/>
                <w:lang w:eastAsia="en-GB"/>
                <w14:ligatures w14:val="none"/>
              </w:rPr>
              <w:tab/>
            </w:r>
            <w:r w:rsidR="00A534A0" w:rsidRPr="00A17EA6">
              <w:rPr>
                <w:rStyle w:val="Hyperlink"/>
                <w:rFonts w:cs="Times New Roman"/>
                <w:noProof/>
                <w:lang w:val="en-US"/>
              </w:rPr>
              <w:t>Pre-final investment decision factors</w:t>
            </w:r>
            <w:r w:rsidR="00A534A0">
              <w:rPr>
                <w:noProof/>
                <w:webHidden/>
              </w:rPr>
              <w:tab/>
            </w:r>
            <w:r w:rsidR="00A534A0">
              <w:rPr>
                <w:noProof/>
                <w:webHidden/>
              </w:rPr>
              <w:fldChar w:fldCharType="begin"/>
            </w:r>
            <w:r w:rsidR="00A534A0">
              <w:rPr>
                <w:noProof/>
                <w:webHidden/>
              </w:rPr>
              <w:instrText xml:space="preserve"> PAGEREF _Toc227609572 \h </w:instrText>
            </w:r>
            <w:r w:rsidR="00A534A0">
              <w:rPr>
                <w:noProof/>
                <w:webHidden/>
              </w:rPr>
            </w:r>
            <w:r w:rsidR="00A534A0">
              <w:rPr>
                <w:noProof/>
                <w:webHidden/>
              </w:rPr>
              <w:fldChar w:fldCharType="separate"/>
            </w:r>
            <w:r w:rsidR="00A534A0">
              <w:rPr>
                <w:noProof/>
                <w:webHidden/>
              </w:rPr>
              <w:t>15</w:t>
            </w:r>
            <w:r w:rsidR="00A534A0">
              <w:rPr>
                <w:noProof/>
                <w:webHidden/>
              </w:rPr>
              <w:fldChar w:fldCharType="end"/>
            </w:r>
          </w:hyperlink>
        </w:p>
        <w:p w14:paraId="5E5D944F" w14:textId="6FA5C435" w:rsidR="00A534A0" w:rsidRDefault="00A22E03">
          <w:pPr>
            <w:pStyle w:val="TOC2"/>
            <w:tabs>
              <w:tab w:val="left" w:pos="960"/>
              <w:tab w:val="right" w:leader="underscore" w:pos="9350"/>
            </w:tabs>
            <w:rPr>
              <w:rFonts w:eastAsiaTheme="minorEastAsia"/>
              <w:b w:val="0"/>
              <w:bCs w:val="0"/>
              <w:noProof/>
              <w:lang w:eastAsia="en-GB"/>
              <w14:ligatures w14:val="none"/>
            </w:rPr>
          </w:pPr>
          <w:hyperlink w:anchor="_Toc227609573" w:history="1">
            <w:r w:rsidR="00A534A0" w:rsidRPr="00A17EA6">
              <w:rPr>
                <w:rStyle w:val="Hyperlink"/>
                <w:rFonts w:cs="Times New Roman"/>
                <w:noProof/>
                <w:lang w:val="en-AU"/>
              </w:rPr>
              <w:t>2.7</w:t>
            </w:r>
            <w:r w:rsidR="00A534A0">
              <w:rPr>
                <w:rFonts w:eastAsiaTheme="minorEastAsia"/>
                <w:b w:val="0"/>
                <w:bCs w:val="0"/>
                <w:noProof/>
                <w:lang w:eastAsia="en-GB"/>
                <w14:ligatures w14:val="none"/>
              </w:rPr>
              <w:tab/>
            </w:r>
            <w:r w:rsidR="00A534A0" w:rsidRPr="00A17EA6">
              <w:rPr>
                <w:rStyle w:val="Hyperlink"/>
                <w:rFonts w:cs="Times New Roman"/>
                <w:noProof/>
                <w:lang w:val="en-AU"/>
              </w:rPr>
              <w:t>Capital rationing decision</w:t>
            </w:r>
            <w:r w:rsidR="00A534A0">
              <w:rPr>
                <w:noProof/>
                <w:webHidden/>
              </w:rPr>
              <w:tab/>
            </w:r>
            <w:r w:rsidR="00A534A0">
              <w:rPr>
                <w:noProof/>
                <w:webHidden/>
              </w:rPr>
              <w:fldChar w:fldCharType="begin"/>
            </w:r>
            <w:r w:rsidR="00A534A0">
              <w:rPr>
                <w:noProof/>
                <w:webHidden/>
              </w:rPr>
              <w:instrText xml:space="preserve"> PAGEREF _Toc227609573 \h </w:instrText>
            </w:r>
            <w:r w:rsidR="00A534A0">
              <w:rPr>
                <w:noProof/>
                <w:webHidden/>
              </w:rPr>
            </w:r>
            <w:r w:rsidR="00A534A0">
              <w:rPr>
                <w:noProof/>
                <w:webHidden/>
              </w:rPr>
              <w:fldChar w:fldCharType="separate"/>
            </w:r>
            <w:r w:rsidR="00A534A0">
              <w:rPr>
                <w:noProof/>
                <w:webHidden/>
              </w:rPr>
              <w:t>16</w:t>
            </w:r>
            <w:r w:rsidR="00A534A0">
              <w:rPr>
                <w:noProof/>
                <w:webHidden/>
              </w:rPr>
              <w:fldChar w:fldCharType="end"/>
            </w:r>
          </w:hyperlink>
        </w:p>
        <w:p w14:paraId="470F93B5" w14:textId="4EF09EBF" w:rsidR="00A534A0" w:rsidRDefault="00A22E03">
          <w:pPr>
            <w:pStyle w:val="TOC2"/>
            <w:tabs>
              <w:tab w:val="left" w:pos="960"/>
              <w:tab w:val="right" w:leader="underscore" w:pos="9350"/>
            </w:tabs>
            <w:rPr>
              <w:rFonts w:eastAsiaTheme="minorEastAsia"/>
              <w:b w:val="0"/>
              <w:bCs w:val="0"/>
              <w:noProof/>
              <w:lang w:eastAsia="en-GB"/>
              <w14:ligatures w14:val="none"/>
            </w:rPr>
          </w:pPr>
          <w:hyperlink w:anchor="_Toc227609574" w:history="1">
            <w:r w:rsidR="00A534A0" w:rsidRPr="00A17EA6">
              <w:rPr>
                <w:rStyle w:val="Hyperlink"/>
                <w:rFonts w:cs="Times New Roman"/>
                <w:noProof/>
                <w:lang w:val="en-AU"/>
              </w:rPr>
              <w:t>2.8</w:t>
            </w:r>
            <w:r w:rsidR="00A534A0">
              <w:rPr>
                <w:rFonts w:eastAsiaTheme="minorEastAsia"/>
                <w:b w:val="0"/>
                <w:bCs w:val="0"/>
                <w:noProof/>
                <w:lang w:eastAsia="en-GB"/>
                <w14:ligatures w14:val="none"/>
              </w:rPr>
              <w:tab/>
            </w:r>
            <w:r w:rsidR="00A534A0" w:rsidRPr="00A17EA6">
              <w:rPr>
                <w:rStyle w:val="Hyperlink"/>
                <w:rFonts w:cs="Times New Roman"/>
                <w:noProof/>
                <w:lang w:val="en-AU"/>
              </w:rPr>
              <w:t>Financing the investment programme</w:t>
            </w:r>
            <w:r w:rsidR="00A534A0">
              <w:rPr>
                <w:noProof/>
                <w:webHidden/>
              </w:rPr>
              <w:tab/>
            </w:r>
            <w:r w:rsidR="00A534A0">
              <w:rPr>
                <w:noProof/>
                <w:webHidden/>
              </w:rPr>
              <w:fldChar w:fldCharType="begin"/>
            </w:r>
            <w:r w:rsidR="00A534A0">
              <w:rPr>
                <w:noProof/>
                <w:webHidden/>
              </w:rPr>
              <w:instrText xml:space="preserve"> PAGEREF _Toc227609574 \h </w:instrText>
            </w:r>
            <w:r w:rsidR="00A534A0">
              <w:rPr>
                <w:noProof/>
                <w:webHidden/>
              </w:rPr>
            </w:r>
            <w:r w:rsidR="00A534A0">
              <w:rPr>
                <w:noProof/>
                <w:webHidden/>
              </w:rPr>
              <w:fldChar w:fldCharType="separate"/>
            </w:r>
            <w:r w:rsidR="00A534A0">
              <w:rPr>
                <w:noProof/>
                <w:webHidden/>
              </w:rPr>
              <w:t>17</w:t>
            </w:r>
            <w:r w:rsidR="00A534A0">
              <w:rPr>
                <w:noProof/>
                <w:webHidden/>
              </w:rPr>
              <w:fldChar w:fldCharType="end"/>
            </w:r>
          </w:hyperlink>
        </w:p>
        <w:p w14:paraId="3BA26E01" w14:textId="5B9F2D27" w:rsidR="00A534A0" w:rsidRDefault="00A22E03">
          <w:pPr>
            <w:pStyle w:val="TOC2"/>
            <w:tabs>
              <w:tab w:val="right" w:leader="underscore" w:pos="9350"/>
            </w:tabs>
            <w:rPr>
              <w:rFonts w:eastAsiaTheme="minorEastAsia"/>
              <w:b w:val="0"/>
              <w:bCs w:val="0"/>
              <w:noProof/>
              <w:lang w:eastAsia="en-GB"/>
              <w14:ligatures w14:val="none"/>
            </w:rPr>
          </w:pPr>
          <w:hyperlink w:anchor="_Toc227609575" w:history="1">
            <w:r w:rsidR="00A534A0" w:rsidRPr="00A17EA6">
              <w:rPr>
                <w:rStyle w:val="Hyperlink"/>
                <w:noProof/>
                <w:lang w:val="en-US"/>
              </w:rPr>
              <w:t>2.9 Recommendation</w:t>
            </w:r>
            <w:r w:rsidR="00A534A0">
              <w:rPr>
                <w:noProof/>
                <w:webHidden/>
              </w:rPr>
              <w:tab/>
            </w:r>
            <w:r w:rsidR="00A534A0">
              <w:rPr>
                <w:noProof/>
                <w:webHidden/>
              </w:rPr>
              <w:fldChar w:fldCharType="begin"/>
            </w:r>
            <w:r w:rsidR="00A534A0">
              <w:rPr>
                <w:noProof/>
                <w:webHidden/>
              </w:rPr>
              <w:instrText xml:space="preserve"> PAGEREF _Toc227609575 \h </w:instrText>
            </w:r>
            <w:r w:rsidR="00A534A0">
              <w:rPr>
                <w:noProof/>
                <w:webHidden/>
              </w:rPr>
            </w:r>
            <w:r w:rsidR="00A534A0">
              <w:rPr>
                <w:noProof/>
                <w:webHidden/>
              </w:rPr>
              <w:fldChar w:fldCharType="separate"/>
            </w:r>
            <w:r w:rsidR="00A534A0">
              <w:rPr>
                <w:noProof/>
                <w:webHidden/>
              </w:rPr>
              <w:t>18</w:t>
            </w:r>
            <w:r w:rsidR="00A534A0">
              <w:rPr>
                <w:noProof/>
                <w:webHidden/>
              </w:rPr>
              <w:fldChar w:fldCharType="end"/>
            </w:r>
          </w:hyperlink>
        </w:p>
        <w:p w14:paraId="616301BD" w14:textId="2EE43581" w:rsidR="00A534A0" w:rsidRDefault="00A22E03">
          <w:pPr>
            <w:pStyle w:val="TOC2"/>
            <w:tabs>
              <w:tab w:val="right" w:leader="underscore" w:pos="9350"/>
            </w:tabs>
            <w:rPr>
              <w:rFonts w:eastAsiaTheme="minorEastAsia"/>
              <w:b w:val="0"/>
              <w:bCs w:val="0"/>
              <w:noProof/>
              <w:lang w:eastAsia="en-GB"/>
              <w14:ligatures w14:val="none"/>
            </w:rPr>
          </w:pPr>
          <w:hyperlink w:anchor="_Toc227609576" w:history="1">
            <w:r w:rsidR="00A534A0" w:rsidRPr="00A17EA6">
              <w:rPr>
                <w:rStyle w:val="Hyperlink"/>
                <w:rFonts w:cs="Times New Roman"/>
                <w:noProof/>
                <w:lang w:val="en-US"/>
              </w:rPr>
              <w:t>2.10 Conclusion</w:t>
            </w:r>
            <w:r w:rsidR="00A534A0">
              <w:rPr>
                <w:noProof/>
                <w:webHidden/>
              </w:rPr>
              <w:tab/>
            </w:r>
            <w:r w:rsidR="00A534A0">
              <w:rPr>
                <w:noProof/>
                <w:webHidden/>
              </w:rPr>
              <w:fldChar w:fldCharType="begin"/>
            </w:r>
            <w:r w:rsidR="00A534A0">
              <w:rPr>
                <w:noProof/>
                <w:webHidden/>
              </w:rPr>
              <w:instrText xml:space="preserve"> PAGEREF _Toc227609576 \h </w:instrText>
            </w:r>
            <w:r w:rsidR="00A534A0">
              <w:rPr>
                <w:noProof/>
                <w:webHidden/>
              </w:rPr>
            </w:r>
            <w:r w:rsidR="00A534A0">
              <w:rPr>
                <w:noProof/>
                <w:webHidden/>
              </w:rPr>
              <w:fldChar w:fldCharType="separate"/>
            </w:r>
            <w:r w:rsidR="00A534A0">
              <w:rPr>
                <w:noProof/>
                <w:webHidden/>
              </w:rPr>
              <w:t>20</w:t>
            </w:r>
            <w:r w:rsidR="00A534A0">
              <w:rPr>
                <w:noProof/>
                <w:webHidden/>
              </w:rPr>
              <w:fldChar w:fldCharType="end"/>
            </w:r>
          </w:hyperlink>
        </w:p>
        <w:p w14:paraId="2E46A6A6" w14:textId="2F6CFB60" w:rsidR="00A534A0" w:rsidRDefault="00A22E03">
          <w:pPr>
            <w:pStyle w:val="TOC1"/>
            <w:tabs>
              <w:tab w:val="left" w:pos="480"/>
              <w:tab w:val="right" w:leader="underscore" w:pos="9350"/>
            </w:tabs>
            <w:rPr>
              <w:rFonts w:eastAsiaTheme="minorEastAsia"/>
              <w:b w:val="0"/>
              <w:bCs w:val="0"/>
              <w:i w:val="0"/>
              <w:iCs w:val="0"/>
              <w:noProof/>
              <w:sz w:val="22"/>
              <w:szCs w:val="22"/>
              <w:lang w:eastAsia="en-GB"/>
              <w14:ligatures w14:val="none"/>
            </w:rPr>
          </w:pPr>
          <w:hyperlink w:anchor="_Toc227609577" w:history="1">
            <w:r w:rsidR="00A534A0" w:rsidRPr="00A17EA6">
              <w:rPr>
                <w:rStyle w:val="Hyperlink"/>
                <w:rFonts w:cs="Times New Roman"/>
                <w:noProof/>
                <w:lang w:val="en-AU"/>
              </w:rPr>
              <w:t>3.</w:t>
            </w:r>
            <w:r w:rsidR="00A534A0">
              <w:rPr>
                <w:rFonts w:eastAsiaTheme="minorEastAsia"/>
                <w:b w:val="0"/>
                <w:bCs w:val="0"/>
                <w:i w:val="0"/>
                <w:iCs w:val="0"/>
                <w:noProof/>
                <w:sz w:val="22"/>
                <w:szCs w:val="22"/>
                <w:lang w:eastAsia="en-GB"/>
                <w14:ligatures w14:val="none"/>
              </w:rPr>
              <w:tab/>
            </w:r>
            <w:r w:rsidR="00A534A0" w:rsidRPr="00A17EA6">
              <w:rPr>
                <w:rStyle w:val="Hyperlink"/>
                <w:rFonts w:cs="Times New Roman"/>
                <w:noProof/>
                <w:lang w:val="en-AU"/>
              </w:rPr>
              <w:t>Reference list</w:t>
            </w:r>
            <w:r w:rsidR="00A534A0">
              <w:rPr>
                <w:noProof/>
                <w:webHidden/>
              </w:rPr>
              <w:tab/>
            </w:r>
            <w:r w:rsidR="00A534A0">
              <w:rPr>
                <w:noProof/>
                <w:webHidden/>
              </w:rPr>
              <w:fldChar w:fldCharType="begin"/>
            </w:r>
            <w:r w:rsidR="00A534A0">
              <w:rPr>
                <w:noProof/>
                <w:webHidden/>
              </w:rPr>
              <w:instrText xml:space="preserve"> PAGEREF _Toc227609577 \h </w:instrText>
            </w:r>
            <w:r w:rsidR="00A534A0">
              <w:rPr>
                <w:noProof/>
                <w:webHidden/>
              </w:rPr>
            </w:r>
            <w:r w:rsidR="00A534A0">
              <w:rPr>
                <w:noProof/>
                <w:webHidden/>
              </w:rPr>
              <w:fldChar w:fldCharType="separate"/>
            </w:r>
            <w:r w:rsidR="00A534A0">
              <w:rPr>
                <w:noProof/>
                <w:webHidden/>
              </w:rPr>
              <w:t>21</w:t>
            </w:r>
            <w:r w:rsidR="00A534A0">
              <w:rPr>
                <w:noProof/>
                <w:webHidden/>
              </w:rPr>
              <w:fldChar w:fldCharType="end"/>
            </w:r>
          </w:hyperlink>
        </w:p>
        <w:p w14:paraId="6773F2DD" w14:textId="35F1E9FB" w:rsidR="00A534A0" w:rsidRDefault="00A22E03">
          <w:pPr>
            <w:pStyle w:val="TOC1"/>
            <w:tabs>
              <w:tab w:val="left" w:pos="480"/>
              <w:tab w:val="right" w:leader="underscore" w:pos="9350"/>
            </w:tabs>
            <w:rPr>
              <w:rFonts w:eastAsiaTheme="minorEastAsia"/>
              <w:b w:val="0"/>
              <w:bCs w:val="0"/>
              <w:i w:val="0"/>
              <w:iCs w:val="0"/>
              <w:noProof/>
              <w:sz w:val="22"/>
              <w:szCs w:val="22"/>
              <w:lang w:eastAsia="en-GB"/>
              <w14:ligatures w14:val="none"/>
            </w:rPr>
          </w:pPr>
          <w:hyperlink w:anchor="_Toc227609578" w:history="1">
            <w:r w:rsidR="00A534A0" w:rsidRPr="00A17EA6">
              <w:rPr>
                <w:rStyle w:val="Hyperlink"/>
                <w:rFonts w:cs="Times New Roman"/>
                <w:noProof/>
                <w:lang w:val="en-AU"/>
              </w:rPr>
              <w:t>4.</w:t>
            </w:r>
            <w:r w:rsidR="00A534A0">
              <w:rPr>
                <w:rFonts w:eastAsiaTheme="minorEastAsia"/>
                <w:b w:val="0"/>
                <w:bCs w:val="0"/>
                <w:i w:val="0"/>
                <w:iCs w:val="0"/>
                <w:noProof/>
                <w:sz w:val="22"/>
                <w:szCs w:val="22"/>
                <w:lang w:eastAsia="en-GB"/>
                <w14:ligatures w14:val="none"/>
              </w:rPr>
              <w:tab/>
            </w:r>
            <w:r w:rsidR="00A534A0" w:rsidRPr="00A17EA6">
              <w:rPr>
                <w:rStyle w:val="Hyperlink"/>
                <w:rFonts w:cs="Times New Roman"/>
                <w:noProof/>
                <w:lang w:val="en-AU"/>
              </w:rPr>
              <w:t>Appendices</w:t>
            </w:r>
            <w:r w:rsidR="00A534A0">
              <w:rPr>
                <w:noProof/>
                <w:webHidden/>
              </w:rPr>
              <w:tab/>
            </w:r>
            <w:r w:rsidR="00A534A0">
              <w:rPr>
                <w:noProof/>
                <w:webHidden/>
              </w:rPr>
              <w:fldChar w:fldCharType="begin"/>
            </w:r>
            <w:r w:rsidR="00A534A0">
              <w:rPr>
                <w:noProof/>
                <w:webHidden/>
              </w:rPr>
              <w:instrText xml:space="preserve"> PAGEREF _Toc227609578 \h </w:instrText>
            </w:r>
            <w:r w:rsidR="00A534A0">
              <w:rPr>
                <w:noProof/>
                <w:webHidden/>
              </w:rPr>
            </w:r>
            <w:r w:rsidR="00A534A0">
              <w:rPr>
                <w:noProof/>
                <w:webHidden/>
              </w:rPr>
              <w:fldChar w:fldCharType="separate"/>
            </w:r>
            <w:r w:rsidR="00A534A0">
              <w:rPr>
                <w:noProof/>
                <w:webHidden/>
              </w:rPr>
              <w:t>25</w:t>
            </w:r>
            <w:r w:rsidR="00A534A0">
              <w:rPr>
                <w:noProof/>
                <w:webHidden/>
              </w:rPr>
              <w:fldChar w:fldCharType="end"/>
            </w:r>
          </w:hyperlink>
        </w:p>
        <w:p w14:paraId="6638E9D7" w14:textId="3EC18528" w:rsidR="00A534A0" w:rsidRDefault="00A22E03">
          <w:pPr>
            <w:pStyle w:val="TOC2"/>
            <w:tabs>
              <w:tab w:val="left" w:pos="960"/>
              <w:tab w:val="right" w:leader="underscore" w:pos="9350"/>
            </w:tabs>
            <w:rPr>
              <w:rFonts w:eastAsiaTheme="minorEastAsia"/>
              <w:b w:val="0"/>
              <w:bCs w:val="0"/>
              <w:noProof/>
              <w:lang w:eastAsia="en-GB"/>
              <w14:ligatures w14:val="none"/>
            </w:rPr>
          </w:pPr>
          <w:hyperlink w:anchor="_Toc227609579" w:history="1">
            <w:r w:rsidR="00A534A0" w:rsidRPr="00A17EA6">
              <w:rPr>
                <w:rStyle w:val="Hyperlink"/>
                <w:rFonts w:cs="Times New Roman"/>
                <w:noProof/>
              </w:rPr>
              <w:t>4.1</w:t>
            </w:r>
            <w:r w:rsidR="00A534A0">
              <w:rPr>
                <w:rFonts w:eastAsiaTheme="minorEastAsia"/>
                <w:b w:val="0"/>
                <w:bCs w:val="0"/>
                <w:noProof/>
                <w:lang w:eastAsia="en-GB"/>
                <w14:ligatures w14:val="none"/>
              </w:rPr>
              <w:tab/>
            </w:r>
            <w:r w:rsidR="00A534A0" w:rsidRPr="00A17EA6">
              <w:rPr>
                <w:rStyle w:val="Hyperlink"/>
                <w:rFonts w:cs="Times New Roman"/>
                <w:noProof/>
              </w:rPr>
              <w:t>Appendix A</w:t>
            </w:r>
            <w:r w:rsidR="00A534A0">
              <w:rPr>
                <w:noProof/>
                <w:webHidden/>
              </w:rPr>
              <w:tab/>
            </w:r>
            <w:r w:rsidR="00A534A0">
              <w:rPr>
                <w:noProof/>
                <w:webHidden/>
              </w:rPr>
              <w:fldChar w:fldCharType="begin"/>
            </w:r>
            <w:r w:rsidR="00A534A0">
              <w:rPr>
                <w:noProof/>
                <w:webHidden/>
              </w:rPr>
              <w:instrText xml:space="preserve"> PAGEREF _Toc227609579 \h </w:instrText>
            </w:r>
            <w:r w:rsidR="00A534A0">
              <w:rPr>
                <w:noProof/>
                <w:webHidden/>
              </w:rPr>
            </w:r>
            <w:r w:rsidR="00A534A0">
              <w:rPr>
                <w:noProof/>
                <w:webHidden/>
              </w:rPr>
              <w:fldChar w:fldCharType="separate"/>
            </w:r>
            <w:r w:rsidR="00A534A0">
              <w:rPr>
                <w:noProof/>
                <w:webHidden/>
              </w:rPr>
              <w:t>25</w:t>
            </w:r>
            <w:r w:rsidR="00A534A0">
              <w:rPr>
                <w:noProof/>
                <w:webHidden/>
              </w:rPr>
              <w:fldChar w:fldCharType="end"/>
            </w:r>
          </w:hyperlink>
        </w:p>
        <w:p w14:paraId="306FC9FA" w14:textId="64F5D0DE" w:rsidR="00A534A0" w:rsidRDefault="00A22E03">
          <w:pPr>
            <w:pStyle w:val="TOC2"/>
            <w:tabs>
              <w:tab w:val="left" w:pos="960"/>
              <w:tab w:val="right" w:leader="underscore" w:pos="9350"/>
            </w:tabs>
            <w:rPr>
              <w:rFonts w:eastAsiaTheme="minorEastAsia"/>
              <w:b w:val="0"/>
              <w:bCs w:val="0"/>
              <w:noProof/>
              <w:lang w:eastAsia="en-GB"/>
              <w14:ligatures w14:val="none"/>
            </w:rPr>
          </w:pPr>
          <w:hyperlink w:anchor="_Toc227609580" w:history="1">
            <w:r w:rsidR="00A534A0" w:rsidRPr="00A17EA6">
              <w:rPr>
                <w:rStyle w:val="Hyperlink"/>
                <w:rFonts w:cs="Times New Roman"/>
                <w:noProof/>
              </w:rPr>
              <w:t>4.2</w:t>
            </w:r>
            <w:r w:rsidR="00A534A0">
              <w:rPr>
                <w:rFonts w:eastAsiaTheme="minorEastAsia"/>
                <w:b w:val="0"/>
                <w:bCs w:val="0"/>
                <w:noProof/>
                <w:lang w:eastAsia="en-GB"/>
                <w14:ligatures w14:val="none"/>
              </w:rPr>
              <w:tab/>
            </w:r>
            <w:r w:rsidR="00A534A0" w:rsidRPr="00A17EA6">
              <w:rPr>
                <w:rStyle w:val="Hyperlink"/>
                <w:rFonts w:cs="Times New Roman"/>
                <w:noProof/>
              </w:rPr>
              <w:t>Appendix B: full ratio calculations</w:t>
            </w:r>
            <w:r w:rsidR="00A534A0">
              <w:rPr>
                <w:noProof/>
                <w:webHidden/>
              </w:rPr>
              <w:tab/>
            </w:r>
            <w:r w:rsidR="00A534A0">
              <w:rPr>
                <w:noProof/>
                <w:webHidden/>
              </w:rPr>
              <w:fldChar w:fldCharType="begin"/>
            </w:r>
            <w:r w:rsidR="00A534A0">
              <w:rPr>
                <w:noProof/>
                <w:webHidden/>
              </w:rPr>
              <w:instrText xml:space="preserve"> PAGEREF _Toc227609580 \h </w:instrText>
            </w:r>
            <w:r w:rsidR="00A534A0">
              <w:rPr>
                <w:noProof/>
                <w:webHidden/>
              </w:rPr>
            </w:r>
            <w:r w:rsidR="00A534A0">
              <w:rPr>
                <w:noProof/>
                <w:webHidden/>
              </w:rPr>
              <w:fldChar w:fldCharType="separate"/>
            </w:r>
            <w:r w:rsidR="00A534A0">
              <w:rPr>
                <w:noProof/>
                <w:webHidden/>
              </w:rPr>
              <w:t>29</w:t>
            </w:r>
            <w:r w:rsidR="00A534A0">
              <w:rPr>
                <w:noProof/>
                <w:webHidden/>
              </w:rPr>
              <w:fldChar w:fldCharType="end"/>
            </w:r>
          </w:hyperlink>
        </w:p>
        <w:p w14:paraId="4BA452BD" w14:textId="6B6C1572" w:rsidR="00A534A0" w:rsidRDefault="00A22E03">
          <w:pPr>
            <w:pStyle w:val="TOC3"/>
            <w:tabs>
              <w:tab w:val="left" w:pos="1200"/>
              <w:tab w:val="right" w:leader="underscore" w:pos="9350"/>
            </w:tabs>
            <w:rPr>
              <w:rFonts w:eastAsiaTheme="minorEastAsia"/>
              <w:noProof/>
              <w:sz w:val="22"/>
              <w:szCs w:val="22"/>
              <w:lang w:eastAsia="en-GB"/>
              <w14:ligatures w14:val="none"/>
            </w:rPr>
          </w:pPr>
          <w:hyperlink w:anchor="_Toc227609581" w:history="1">
            <w:r w:rsidR="00A534A0" w:rsidRPr="00A17EA6">
              <w:rPr>
                <w:rStyle w:val="Hyperlink"/>
                <w:rFonts w:cs="Times New Roman"/>
                <w:noProof/>
                <w:lang w:val="en-AU"/>
              </w:rPr>
              <w:t>4.2.1</w:t>
            </w:r>
            <w:r w:rsidR="00A534A0">
              <w:rPr>
                <w:rFonts w:eastAsiaTheme="minorEastAsia"/>
                <w:noProof/>
                <w:sz w:val="22"/>
                <w:szCs w:val="22"/>
                <w:lang w:eastAsia="en-GB"/>
                <w14:ligatures w14:val="none"/>
              </w:rPr>
              <w:tab/>
            </w:r>
            <w:r w:rsidR="00A534A0" w:rsidRPr="00A17EA6">
              <w:rPr>
                <w:rStyle w:val="Hyperlink"/>
                <w:rFonts w:cs="Times New Roman"/>
                <w:noProof/>
                <w:lang w:val="en-AU"/>
              </w:rPr>
              <w:t>Appendix B1: Source figures used</w:t>
            </w:r>
            <w:r w:rsidR="00A534A0">
              <w:rPr>
                <w:noProof/>
                <w:webHidden/>
              </w:rPr>
              <w:tab/>
            </w:r>
            <w:r w:rsidR="00A534A0">
              <w:rPr>
                <w:noProof/>
                <w:webHidden/>
              </w:rPr>
              <w:fldChar w:fldCharType="begin"/>
            </w:r>
            <w:r w:rsidR="00A534A0">
              <w:rPr>
                <w:noProof/>
                <w:webHidden/>
              </w:rPr>
              <w:instrText xml:space="preserve"> PAGEREF _Toc227609581 \h </w:instrText>
            </w:r>
            <w:r w:rsidR="00A534A0">
              <w:rPr>
                <w:noProof/>
                <w:webHidden/>
              </w:rPr>
            </w:r>
            <w:r w:rsidR="00A534A0">
              <w:rPr>
                <w:noProof/>
                <w:webHidden/>
              </w:rPr>
              <w:fldChar w:fldCharType="separate"/>
            </w:r>
            <w:r w:rsidR="00A534A0">
              <w:rPr>
                <w:noProof/>
                <w:webHidden/>
              </w:rPr>
              <w:t>29</w:t>
            </w:r>
            <w:r w:rsidR="00A534A0">
              <w:rPr>
                <w:noProof/>
                <w:webHidden/>
              </w:rPr>
              <w:fldChar w:fldCharType="end"/>
            </w:r>
          </w:hyperlink>
        </w:p>
        <w:p w14:paraId="7A06EB1B" w14:textId="2CA19ED7" w:rsidR="00A534A0" w:rsidRDefault="00A22E03">
          <w:pPr>
            <w:pStyle w:val="TOC3"/>
            <w:tabs>
              <w:tab w:val="left" w:pos="1200"/>
              <w:tab w:val="right" w:leader="underscore" w:pos="9350"/>
            </w:tabs>
            <w:rPr>
              <w:rFonts w:eastAsiaTheme="minorEastAsia"/>
              <w:noProof/>
              <w:sz w:val="22"/>
              <w:szCs w:val="22"/>
              <w:lang w:eastAsia="en-GB"/>
              <w14:ligatures w14:val="none"/>
            </w:rPr>
          </w:pPr>
          <w:hyperlink w:anchor="_Toc227609582" w:history="1">
            <w:r w:rsidR="00A534A0" w:rsidRPr="00A17EA6">
              <w:rPr>
                <w:rStyle w:val="Hyperlink"/>
                <w:rFonts w:cs="Times New Roman"/>
                <w:noProof/>
              </w:rPr>
              <w:t>4.2.2</w:t>
            </w:r>
            <w:r w:rsidR="00A534A0">
              <w:rPr>
                <w:rFonts w:eastAsiaTheme="minorEastAsia"/>
                <w:noProof/>
                <w:sz w:val="22"/>
                <w:szCs w:val="22"/>
                <w:lang w:eastAsia="en-GB"/>
                <w14:ligatures w14:val="none"/>
              </w:rPr>
              <w:tab/>
            </w:r>
            <w:r w:rsidR="00A534A0" w:rsidRPr="00A17EA6">
              <w:rPr>
                <w:rStyle w:val="Hyperlink"/>
                <w:rFonts w:cs="Times New Roman"/>
                <w:noProof/>
              </w:rPr>
              <w:t>Appendix B2: profitability ratios</w:t>
            </w:r>
            <w:r w:rsidR="00A534A0">
              <w:rPr>
                <w:noProof/>
                <w:webHidden/>
              </w:rPr>
              <w:tab/>
            </w:r>
            <w:r w:rsidR="00A534A0">
              <w:rPr>
                <w:noProof/>
                <w:webHidden/>
              </w:rPr>
              <w:fldChar w:fldCharType="begin"/>
            </w:r>
            <w:r w:rsidR="00A534A0">
              <w:rPr>
                <w:noProof/>
                <w:webHidden/>
              </w:rPr>
              <w:instrText xml:space="preserve"> PAGEREF _Toc227609582 \h </w:instrText>
            </w:r>
            <w:r w:rsidR="00A534A0">
              <w:rPr>
                <w:noProof/>
                <w:webHidden/>
              </w:rPr>
            </w:r>
            <w:r w:rsidR="00A534A0">
              <w:rPr>
                <w:noProof/>
                <w:webHidden/>
              </w:rPr>
              <w:fldChar w:fldCharType="separate"/>
            </w:r>
            <w:r w:rsidR="00A534A0">
              <w:rPr>
                <w:noProof/>
                <w:webHidden/>
              </w:rPr>
              <w:t>31</w:t>
            </w:r>
            <w:r w:rsidR="00A534A0">
              <w:rPr>
                <w:noProof/>
                <w:webHidden/>
              </w:rPr>
              <w:fldChar w:fldCharType="end"/>
            </w:r>
          </w:hyperlink>
        </w:p>
        <w:p w14:paraId="767671D4" w14:textId="78D72799" w:rsidR="00A534A0" w:rsidRDefault="00A22E03">
          <w:pPr>
            <w:pStyle w:val="TOC3"/>
            <w:tabs>
              <w:tab w:val="left" w:pos="1200"/>
              <w:tab w:val="right" w:leader="underscore" w:pos="9350"/>
            </w:tabs>
            <w:rPr>
              <w:rFonts w:eastAsiaTheme="minorEastAsia"/>
              <w:noProof/>
              <w:sz w:val="22"/>
              <w:szCs w:val="22"/>
              <w:lang w:eastAsia="en-GB"/>
              <w14:ligatures w14:val="none"/>
            </w:rPr>
          </w:pPr>
          <w:hyperlink w:anchor="_Toc227609583" w:history="1">
            <w:r w:rsidR="00A534A0" w:rsidRPr="00A17EA6">
              <w:rPr>
                <w:rStyle w:val="Hyperlink"/>
                <w:rFonts w:cs="Times New Roman"/>
                <w:noProof/>
                <w:lang w:val="en-AU"/>
              </w:rPr>
              <w:t>4.2.3</w:t>
            </w:r>
            <w:r w:rsidR="00A534A0">
              <w:rPr>
                <w:rFonts w:eastAsiaTheme="minorEastAsia"/>
                <w:noProof/>
                <w:sz w:val="22"/>
                <w:szCs w:val="22"/>
                <w:lang w:eastAsia="en-GB"/>
                <w14:ligatures w14:val="none"/>
              </w:rPr>
              <w:tab/>
            </w:r>
            <w:r w:rsidR="00A534A0" w:rsidRPr="00A17EA6">
              <w:rPr>
                <w:rStyle w:val="Hyperlink"/>
                <w:rFonts w:cs="Times New Roman"/>
                <w:noProof/>
                <w:lang w:val="en-AU"/>
              </w:rPr>
              <w:t>Appendix B3: efficiency ratios</w:t>
            </w:r>
            <w:r w:rsidR="00A534A0">
              <w:rPr>
                <w:noProof/>
                <w:webHidden/>
              </w:rPr>
              <w:tab/>
            </w:r>
            <w:r w:rsidR="00A534A0">
              <w:rPr>
                <w:noProof/>
                <w:webHidden/>
              </w:rPr>
              <w:fldChar w:fldCharType="begin"/>
            </w:r>
            <w:r w:rsidR="00A534A0">
              <w:rPr>
                <w:noProof/>
                <w:webHidden/>
              </w:rPr>
              <w:instrText xml:space="preserve"> PAGEREF _Toc227609583 \h </w:instrText>
            </w:r>
            <w:r w:rsidR="00A534A0">
              <w:rPr>
                <w:noProof/>
                <w:webHidden/>
              </w:rPr>
            </w:r>
            <w:r w:rsidR="00A534A0">
              <w:rPr>
                <w:noProof/>
                <w:webHidden/>
              </w:rPr>
              <w:fldChar w:fldCharType="separate"/>
            </w:r>
            <w:r w:rsidR="00A534A0">
              <w:rPr>
                <w:noProof/>
                <w:webHidden/>
              </w:rPr>
              <w:t>32</w:t>
            </w:r>
            <w:r w:rsidR="00A534A0">
              <w:rPr>
                <w:noProof/>
                <w:webHidden/>
              </w:rPr>
              <w:fldChar w:fldCharType="end"/>
            </w:r>
          </w:hyperlink>
        </w:p>
        <w:p w14:paraId="38F9B825" w14:textId="3ADAFD73" w:rsidR="00A534A0" w:rsidRDefault="00A22E03">
          <w:pPr>
            <w:pStyle w:val="TOC3"/>
            <w:tabs>
              <w:tab w:val="left" w:pos="1200"/>
              <w:tab w:val="right" w:leader="underscore" w:pos="9350"/>
            </w:tabs>
            <w:rPr>
              <w:rFonts w:eastAsiaTheme="minorEastAsia"/>
              <w:noProof/>
              <w:sz w:val="22"/>
              <w:szCs w:val="22"/>
              <w:lang w:eastAsia="en-GB"/>
              <w14:ligatures w14:val="none"/>
            </w:rPr>
          </w:pPr>
          <w:hyperlink w:anchor="_Toc227609584" w:history="1">
            <w:r w:rsidR="00A534A0" w:rsidRPr="00A17EA6">
              <w:rPr>
                <w:rStyle w:val="Hyperlink"/>
                <w:rFonts w:cs="Times New Roman"/>
                <w:noProof/>
                <w:lang w:val="en-AU"/>
              </w:rPr>
              <w:t>4.2.4</w:t>
            </w:r>
            <w:r w:rsidR="00A534A0">
              <w:rPr>
                <w:rFonts w:eastAsiaTheme="minorEastAsia"/>
                <w:noProof/>
                <w:sz w:val="22"/>
                <w:szCs w:val="22"/>
                <w:lang w:eastAsia="en-GB"/>
                <w14:ligatures w14:val="none"/>
              </w:rPr>
              <w:tab/>
            </w:r>
            <w:r w:rsidR="00A534A0" w:rsidRPr="00A17EA6">
              <w:rPr>
                <w:rStyle w:val="Hyperlink"/>
                <w:rFonts w:cs="Times New Roman"/>
                <w:noProof/>
                <w:lang w:val="en-AU"/>
              </w:rPr>
              <w:t>Appendix B4: liquidity ratios</w:t>
            </w:r>
            <w:r w:rsidR="00A534A0">
              <w:rPr>
                <w:noProof/>
                <w:webHidden/>
              </w:rPr>
              <w:tab/>
            </w:r>
            <w:r w:rsidR="00A534A0">
              <w:rPr>
                <w:noProof/>
                <w:webHidden/>
              </w:rPr>
              <w:fldChar w:fldCharType="begin"/>
            </w:r>
            <w:r w:rsidR="00A534A0">
              <w:rPr>
                <w:noProof/>
                <w:webHidden/>
              </w:rPr>
              <w:instrText xml:space="preserve"> PAGEREF _Toc227609584 \h </w:instrText>
            </w:r>
            <w:r w:rsidR="00A534A0">
              <w:rPr>
                <w:noProof/>
                <w:webHidden/>
              </w:rPr>
            </w:r>
            <w:r w:rsidR="00A534A0">
              <w:rPr>
                <w:noProof/>
                <w:webHidden/>
              </w:rPr>
              <w:fldChar w:fldCharType="separate"/>
            </w:r>
            <w:r w:rsidR="00A534A0">
              <w:rPr>
                <w:noProof/>
                <w:webHidden/>
              </w:rPr>
              <w:t>33</w:t>
            </w:r>
            <w:r w:rsidR="00A534A0">
              <w:rPr>
                <w:noProof/>
                <w:webHidden/>
              </w:rPr>
              <w:fldChar w:fldCharType="end"/>
            </w:r>
          </w:hyperlink>
        </w:p>
        <w:p w14:paraId="5F1A2D18" w14:textId="388CEBEC" w:rsidR="00A534A0" w:rsidRDefault="00A22E03">
          <w:pPr>
            <w:pStyle w:val="TOC3"/>
            <w:tabs>
              <w:tab w:val="left" w:pos="1200"/>
              <w:tab w:val="right" w:leader="underscore" w:pos="9350"/>
            </w:tabs>
            <w:rPr>
              <w:rFonts w:eastAsiaTheme="minorEastAsia"/>
              <w:noProof/>
              <w:sz w:val="22"/>
              <w:szCs w:val="22"/>
              <w:lang w:eastAsia="en-GB"/>
              <w14:ligatures w14:val="none"/>
            </w:rPr>
          </w:pPr>
          <w:hyperlink w:anchor="_Toc227609585" w:history="1">
            <w:r w:rsidR="00A534A0" w:rsidRPr="00A17EA6">
              <w:rPr>
                <w:rStyle w:val="Hyperlink"/>
                <w:rFonts w:cs="Times New Roman"/>
                <w:noProof/>
                <w:lang w:val="en-AU"/>
              </w:rPr>
              <w:t>4.2.5</w:t>
            </w:r>
            <w:r w:rsidR="00A534A0">
              <w:rPr>
                <w:rFonts w:eastAsiaTheme="minorEastAsia"/>
                <w:noProof/>
                <w:sz w:val="22"/>
                <w:szCs w:val="22"/>
                <w:lang w:eastAsia="en-GB"/>
                <w14:ligatures w14:val="none"/>
              </w:rPr>
              <w:tab/>
            </w:r>
            <w:r w:rsidR="00A534A0" w:rsidRPr="00A17EA6">
              <w:rPr>
                <w:rStyle w:val="Hyperlink"/>
                <w:rFonts w:cs="Times New Roman"/>
                <w:noProof/>
                <w:lang w:val="en-AU"/>
              </w:rPr>
              <w:t>Appendix B5: investment ratios</w:t>
            </w:r>
            <w:r w:rsidR="00A534A0">
              <w:rPr>
                <w:noProof/>
                <w:webHidden/>
              </w:rPr>
              <w:tab/>
            </w:r>
            <w:r w:rsidR="00A534A0">
              <w:rPr>
                <w:noProof/>
                <w:webHidden/>
              </w:rPr>
              <w:fldChar w:fldCharType="begin"/>
            </w:r>
            <w:r w:rsidR="00A534A0">
              <w:rPr>
                <w:noProof/>
                <w:webHidden/>
              </w:rPr>
              <w:instrText xml:space="preserve"> PAGEREF _Toc227609585 \h </w:instrText>
            </w:r>
            <w:r w:rsidR="00A534A0">
              <w:rPr>
                <w:noProof/>
                <w:webHidden/>
              </w:rPr>
            </w:r>
            <w:r w:rsidR="00A534A0">
              <w:rPr>
                <w:noProof/>
                <w:webHidden/>
              </w:rPr>
              <w:fldChar w:fldCharType="separate"/>
            </w:r>
            <w:r w:rsidR="00A534A0">
              <w:rPr>
                <w:noProof/>
                <w:webHidden/>
              </w:rPr>
              <w:t>34</w:t>
            </w:r>
            <w:r w:rsidR="00A534A0">
              <w:rPr>
                <w:noProof/>
                <w:webHidden/>
              </w:rPr>
              <w:fldChar w:fldCharType="end"/>
            </w:r>
          </w:hyperlink>
        </w:p>
        <w:p w14:paraId="0A40E0C4" w14:textId="03BBBE73" w:rsidR="00A534A0" w:rsidRDefault="00A22E03">
          <w:pPr>
            <w:pStyle w:val="TOC3"/>
            <w:tabs>
              <w:tab w:val="left" w:pos="1200"/>
              <w:tab w:val="right" w:leader="underscore" w:pos="9350"/>
            </w:tabs>
            <w:rPr>
              <w:rFonts w:eastAsiaTheme="minorEastAsia"/>
              <w:noProof/>
              <w:sz w:val="22"/>
              <w:szCs w:val="22"/>
              <w:lang w:eastAsia="en-GB"/>
              <w14:ligatures w14:val="none"/>
            </w:rPr>
          </w:pPr>
          <w:hyperlink w:anchor="_Toc227609586" w:history="1">
            <w:r w:rsidR="00A534A0" w:rsidRPr="00A17EA6">
              <w:rPr>
                <w:rStyle w:val="Hyperlink"/>
                <w:rFonts w:cs="Times New Roman"/>
                <w:noProof/>
                <w:lang w:val="en-AU"/>
              </w:rPr>
              <w:t>4.2.6</w:t>
            </w:r>
            <w:r w:rsidR="00A534A0">
              <w:rPr>
                <w:rFonts w:eastAsiaTheme="minorEastAsia"/>
                <w:noProof/>
                <w:sz w:val="22"/>
                <w:szCs w:val="22"/>
                <w:lang w:eastAsia="en-GB"/>
                <w14:ligatures w14:val="none"/>
              </w:rPr>
              <w:tab/>
            </w:r>
            <w:r w:rsidR="00A534A0" w:rsidRPr="00A17EA6">
              <w:rPr>
                <w:rStyle w:val="Hyperlink"/>
                <w:rFonts w:cs="Times New Roman"/>
                <w:noProof/>
                <w:lang w:val="en-AU"/>
              </w:rPr>
              <w:t>Appendix B6: gearing ratios</w:t>
            </w:r>
            <w:r w:rsidR="00A534A0">
              <w:rPr>
                <w:noProof/>
                <w:webHidden/>
              </w:rPr>
              <w:tab/>
            </w:r>
            <w:r w:rsidR="00A534A0">
              <w:rPr>
                <w:noProof/>
                <w:webHidden/>
              </w:rPr>
              <w:fldChar w:fldCharType="begin"/>
            </w:r>
            <w:r w:rsidR="00A534A0">
              <w:rPr>
                <w:noProof/>
                <w:webHidden/>
              </w:rPr>
              <w:instrText xml:space="preserve"> PAGEREF _Toc227609586 \h </w:instrText>
            </w:r>
            <w:r w:rsidR="00A534A0">
              <w:rPr>
                <w:noProof/>
                <w:webHidden/>
              </w:rPr>
            </w:r>
            <w:r w:rsidR="00A534A0">
              <w:rPr>
                <w:noProof/>
                <w:webHidden/>
              </w:rPr>
              <w:fldChar w:fldCharType="separate"/>
            </w:r>
            <w:r w:rsidR="00A534A0">
              <w:rPr>
                <w:noProof/>
                <w:webHidden/>
              </w:rPr>
              <w:t>34</w:t>
            </w:r>
            <w:r w:rsidR="00A534A0">
              <w:rPr>
                <w:noProof/>
                <w:webHidden/>
              </w:rPr>
              <w:fldChar w:fldCharType="end"/>
            </w:r>
          </w:hyperlink>
        </w:p>
        <w:p w14:paraId="75FB7A05" w14:textId="75405E80" w:rsidR="00A534A0" w:rsidRDefault="00A22E03">
          <w:pPr>
            <w:pStyle w:val="TOC2"/>
            <w:tabs>
              <w:tab w:val="left" w:pos="960"/>
              <w:tab w:val="right" w:leader="underscore" w:pos="9350"/>
            </w:tabs>
            <w:rPr>
              <w:rFonts w:eastAsiaTheme="minorEastAsia"/>
              <w:b w:val="0"/>
              <w:bCs w:val="0"/>
              <w:noProof/>
              <w:lang w:eastAsia="en-GB"/>
              <w14:ligatures w14:val="none"/>
            </w:rPr>
          </w:pPr>
          <w:hyperlink w:anchor="_Toc227609587" w:history="1">
            <w:r w:rsidR="00A534A0" w:rsidRPr="00A17EA6">
              <w:rPr>
                <w:rStyle w:val="Hyperlink"/>
                <w:rFonts w:cs="Times New Roman"/>
                <w:noProof/>
                <w:lang w:val="en-AU"/>
              </w:rPr>
              <w:t>4.3</w:t>
            </w:r>
            <w:r w:rsidR="00A534A0">
              <w:rPr>
                <w:rFonts w:eastAsiaTheme="minorEastAsia"/>
                <w:b w:val="0"/>
                <w:bCs w:val="0"/>
                <w:noProof/>
                <w:lang w:eastAsia="en-GB"/>
                <w14:ligatures w14:val="none"/>
              </w:rPr>
              <w:tab/>
            </w:r>
            <w:r w:rsidR="00A534A0" w:rsidRPr="00A17EA6">
              <w:rPr>
                <w:rStyle w:val="Hyperlink"/>
                <w:rFonts w:cs="Times New Roman"/>
                <w:noProof/>
                <w:lang w:val="en-AU"/>
              </w:rPr>
              <w:t>Appendix C: Capital allowances and after-tax cash flows</w:t>
            </w:r>
            <w:r w:rsidR="00A534A0">
              <w:rPr>
                <w:noProof/>
                <w:webHidden/>
              </w:rPr>
              <w:tab/>
            </w:r>
            <w:r w:rsidR="00A534A0">
              <w:rPr>
                <w:noProof/>
                <w:webHidden/>
              </w:rPr>
              <w:fldChar w:fldCharType="begin"/>
            </w:r>
            <w:r w:rsidR="00A534A0">
              <w:rPr>
                <w:noProof/>
                <w:webHidden/>
              </w:rPr>
              <w:instrText xml:space="preserve"> PAGEREF _Toc227609587 \h </w:instrText>
            </w:r>
            <w:r w:rsidR="00A534A0">
              <w:rPr>
                <w:noProof/>
                <w:webHidden/>
              </w:rPr>
            </w:r>
            <w:r w:rsidR="00A534A0">
              <w:rPr>
                <w:noProof/>
                <w:webHidden/>
              </w:rPr>
              <w:fldChar w:fldCharType="separate"/>
            </w:r>
            <w:r w:rsidR="00A534A0">
              <w:rPr>
                <w:noProof/>
                <w:webHidden/>
              </w:rPr>
              <w:t>35</w:t>
            </w:r>
            <w:r w:rsidR="00A534A0">
              <w:rPr>
                <w:noProof/>
                <w:webHidden/>
              </w:rPr>
              <w:fldChar w:fldCharType="end"/>
            </w:r>
          </w:hyperlink>
        </w:p>
        <w:p w14:paraId="4B850235" w14:textId="386E061B" w:rsidR="00A534A0" w:rsidRDefault="00A22E03">
          <w:pPr>
            <w:pStyle w:val="TOC3"/>
            <w:tabs>
              <w:tab w:val="left" w:pos="1200"/>
              <w:tab w:val="right" w:leader="underscore" w:pos="9350"/>
            </w:tabs>
            <w:rPr>
              <w:rFonts w:eastAsiaTheme="minorEastAsia"/>
              <w:noProof/>
              <w:sz w:val="22"/>
              <w:szCs w:val="22"/>
              <w:lang w:eastAsia="en-GB"/>
              <w14:ligatures w14:val="none"/>
            </w:rPr>
          </w:pPr>
          <w:hyperlink w:anchor="_Toc227609588" w:history="1">
            <w:r w:rsidR="00A534A0" w:rsidRPr="00A17EA6">
              <w:rPr>
                <w:rStyle w:val="Hyperlink"/>
                <w:rFonts w:cs="Times New Roman"/>
                <w:noProof/>
                <w:lang w:val="en-AU"/>
              </w:rPr>
              <w:t>4.3.1</w:t>
            </w:r>
            <w:r w:rsidR="00A534A0">
              <w:rPr>
                <w:rFonts w:eastAsiaTheme="minorEastAsia"/>
                <w:noProof/>
                <w:sz w:val="22"/>
                <w:szCs w:val="22"/>
                <w:lang w:eastAsia="en-GB"/>
                <w14:ligatures w14:val="none"/>
              </w:rPr>
              <w:tab/>
            </w:r>
            <w:r w:rsidR="00A534A0" w:rsidRPr="00A17EA6">
              <w:rPr>
                <w:rStyle w:val="Hyperlink"/>
                <w:rFonts w:cs="Times New Roman"/>
                <w:noProof/>
                <w:lang w:val="en-AU"/>
              </w:rPr>
              <w:t>C1. Capital allowance calculation</w:t>
            </w:r>
            <w:r w:rsidR="00A534A0">
              <w:rPr>
                <w:noProof/>
                <w:webHidden/>
              </w:rPr>
              <w:tab/>
            </w:r>
            <w:r w:rsidR="00A534A0">
              <w:rPr>
                <w:noProof/>
                <w:webHidden/>
              </w:rPr>
              <w:fldChar w:fldCharType="begin"/>
            </w:r>
            <w:r w:rsidR="00A534A0">
              <w:rPr>
                <w:noProof/>
                <w:webHidden/>
              </w:rPr>
              <w:instrText xml:space="preserve"> PAGEREF _Toc227609588 \h </w:instrText>
            </w:r>
            <w:r w:rsidR="00A534A0">
              <w:rPr>
                <w:noProof/>
                <w:webHidden/>
              </w:rPr>
            </w:r>
            <w:r w:rsidR="00A534A0">
              <w:rPr>
                <w:noProof/>
                <w:webHidden/>
              </w:rPr>
              <w:fldChar w:fldCharType="separate"/>
            </w:r>
            <w:r w:rsidR="00A534A0">
              <w:rPr>
                <w:noProof/>
                <w:webHidden/>
              </w:rPr>
              <w:t>35</w:t>
            </w:r>
            <w:r w:rsidR="00A534A0">
              <w:rPr>
                <w:noProof/>
                <w:webHidden/>
              </w:rPr>
              <w:fldChar w:fldCharType="end"/>
            </w:r>
          </w:hyperlink>
        </w:p>
        <w:p w14:paraId="48B296C7" w14:textId="49705553" w:rsidR="00A534A0" w:rsidRDefault="00A22E03">
          <w:pPr>
            <w:pStyle w:val="TOC3"/>
            <w:tabs>
              <w:tab w:val="left" w:pos="1200"/>
              <w:tab w:val="right" w:leader="underscore" w:pos="9350"/>
            </w:tabs>
            <w:rPr>
              <w:rFonts w:eastAsiaTheme="minorEastAsia"/>
              <w:noProof/>
              <w:sz w:val="22"/>
              <w:szCs w:val="22"/>
              <w:lang w:eastAsia="en-GB"/>
              <w14:ligatures w14:val="none"/>
            </w:rPr>
          </w:pPr>
          <w:hyperlink w:anchor="_Toc227609589" w:history="1">
            <w:r w:rsidR="00A534A0" w:rsidRPr="00A17EA6">
              <w:rPr>
                <w:rStyle w:val="Hyperlink"/>
                <w:rFonts w:cs="Times New Roman"/>
                <w:noProof/>
                <w:lang w:val="en-AU"/>
              </w:rPr>
              <w:t>1.1.1</w:t>
            </w:r>
            <w:r w:rsidR="00A534A0">
              <w:rPr>
                <w:rFonts w:eastAsiaTheme="minorEastAsia"/>
                <w:noProof/>
                <w:sz w:val="22"/>
                <w:szCs w:val="22"/>
                <w:lang w:eastAsia="en-GB"/>
                <w14:ligatures w14:val="none"/>
              </w:rPr>
              <w:tab/>
            </w:r>
            <w:r w:rsidR="00A534A0" w:rsidRPr="00A17EA6">
              <w:rPr>
                <w:rStyle w:val="Hyperlink"/>
                <w:rFonts w:cs="Times New Roman"/>
                <w:noProof/>
                <w:lang w:val="en-AU"/>
              </w:rPr>
              <w:t>C2. Discount factors at 5%</w:t>
            </w:r>
            <w:r w:rsidR="00A534A0">
              <w:rPr>
                <w:noProof/>
                <w:webHidden/>
              </w:rPr>
              <w:tab/>
            </w:r>
            <w:r w:rsidR="00A534A0">
              <w:rPr>
                <w:noProof/>
                <w:webHidden/>
              </w:rPr>
              <w:fldChar w:fldCharType="begin"/>
            </w:r>
            <w:r w:rsidR="00A534A0">
              <w:rPr>
                <w:noProof/>
                <w:webHidden/>
              </w:rPr>
              <w:instrText xml:space="preserve"> PAGEREF _Toc227609589 \h </w:instrText>
            </w:r>
            <w:r w:rsidR="00A534A0">
              <w:rPr>
                <w:noProof/>
                <w:webHidden/>
              </w:rPr>
            </w:r>
            <w:r w:rsidR="00A534A0">
              <w:rPr>
                <w:noProof/>
                <w:webHidden/>
              </w:rPr>
              <w:fldChar w:fldCharType="separate"/>
            </w:r>
            <w:r w:rsidR="00A534A0">
              <w:rPr>
                <w:noProof/>
                <w:webHidden/>
              </w:rPr>
              <w:t>35</w:t>
            </w:r>
            <w:r w:rsidR="00A534A0">
              <w:rPr>
                <w:noProof/>
                <w:webHidden/>
              </w:rPr>
              <w:fldChar w:fldCharType="end"/>
            </w:r>
          </w:hyperlink>
        </w:p>
        <w:p w14:paraId="064F1CE0" w14:textId="7C5954F8" w:rsidR="00A534A0" w:rsidRDefault="00A22E03">
          <w:pPr>
            <w:pStyle w:val="TOC2"/>
            <w:tabs>
              <w:tab w:val="left" w:pos="960"/>
              <w:tab w:val="right" w:leader="underscore" w:pos="9350"/>
            </w:tabs>
            <w:rPr>
              <w:rFonts w:eastAsiaTheme="minorEastAsia"/>
              <w:b w:val="0"/>
              <w:bCs w:val="0"/>
              <w:noProof/>
              <w:lang w:eastAsia="en-GB"/>
              <w14:ligatures w14:val="none"/>
            </w:rPr>
          </w:pPr>
          <w:hyperlink w:anchor="_Toc227609590" w:history="1">
            <w:r w:rsidR="00A534A0" w:rsidRPr="00A17EA6">
              <w:rPr>
                <w:rStyle w:val="Hyperlink"/>
                <w:rFonts w:cs="Times New Roman"/>
                <w:noProof/>
                <w:lang w:val="en-AU"/>
              </w:rPr>
              <w:t>4.4</w:t>
            </w:r>
            <w:r w:rsidR="00A534A0">
              <w:rPr>
                <w:rFonts w:eastAsiaTheme="minorEastAsia"/>
                <w:b w:val="0"/>
                <w:bCs w:val="0"/>
                <w:noProof/>
                <w:lang w:eastAsia="en-GB"/>
                <w14:ligatures w14:val="none"/>
              </w:rPr>
              <w:tab/>
            </w:r>
            <w:r w:rsidR="00A534A0" w:rsidRPr="00A17EA6">
              <w:rPr>
                <w:rStyle w:val="Hyperlink"/>
                <w:rFonts w:cs="Times New Roman"/>
                <w:noProof/>
                <w:lang w:val="en-AU"/>
              </w:rPr>
              <w:t>Appendix D: NPV calculations</w:t>
            </w:r>
            <w:r w:rsidR="00A534A0">
              <w:rPr>
                <w:noProof/>
                <w:webHidden/>
              </w:rPr>
              <w:tab/>
            </w:r>
            <w:r w:rsidR="00A534A0">
              <w:rPr>
                <w:noProof/>
                <w:webHidden/>
              </w:rPr>
              <w:fldChar w:fldCharType="begin"/>
            </w:r>
            <w:r w:rsidR="00A534A0">
              <w:rPr>
                <w:noProof/>
                <w:webHidden/>
              </w:rPr>
              <w:instrText xml:space="preserve"> PAGEREF _Toc227609590 \h </w:instrText>
            </w:r>
            <w:r w:rsidR="00A534A0">
              <w:rPr>
                <w:noProof/>
                <w:webHidden/>
              </w:rPr>
            </w:r>
            <w:r w:rsidR="00A534A0">
              <w:rPr>
                <w:noProof/>
                <w:webHidden/>
              </w:rPr>
              <w:fldChar w:fldCharType="separate"/>
            </w:r>
            <w:r w:rsidR="00A534A0">
              <w:rPr>
                <w:noProof/>
                <w:webHidden/>
              </w:rPr>
              <w:t>36</w:t>
            </w:r>
            <w:r w:rsidR="00A534A0">
              <w:rPr>
                <w:noProof/>
                <w:webHidden/>
              </w:rPr>
              <w:fldChar w:fldCharType="end"/>
            </w:r>
          </w:hyperlink>
        </w:p>
        <w:p w14:paraId="241362EB" w14:textId="19C00C4C" w:rsidR="00A534A0" w:rsidRDefault="00A22E03">
          <w:pPr>
            <w:pStyle w:val="TOC3"/>
            <w:tabs>
              <w:tab w:val="left" w:pos="1200"/>
              <w:tab w:val="right" w:leader="underscore" w:pos="9350"/>
            </w:tabs>
            <w:rPr>
              <w:rFonts w:eastAsiaTheme="minorEastAsia"/>
              <w:noProof/>
              <w:sz w:val="22"/>
              <w:szCs w:val="22"/>
              <w:lang w:eastAsia="en-GB"/>
              <w14:ligatures w14:val="none"/>
            </w:rPr>
          </w:pPr>
          <w:hyperlink w:anchor="_Toc227609591" w:history="1">
            <w:r w:rsidR="00A534A0" w:rsidRPr="00A17EA6">
              <w:rPr>
                <w:rStyle w:val="Hyperlink"/>
                <w:rFonts w:cs="Times New Roman"/>
                <w:noProof/>
                <w:lang w:val="en-AU"/>
              </w:rPr>
              <w:t>4.4.1</w:t>
            </w:r>
            <w:r w:rsidR="00A534A0">
              <w:rPr>
                <w:rFonts w:eastAsiaTheme="minorEastAsia"/>
                <w:noProof/>
                <w:sz w:val="22"/>
                <w:szCs w:val="22"/>
                <w:lang w:eastAsia="en-GB"/>
                <w14:ligatures w14:val="none"/>
              </w:rPr>
              <w:tab/>
            </w:r>
            <w:r w:rsidR="00A534A0" w:rsidRPr="00A17EA6">
              <w:rPr>
                <w:rStyle w:val="Hyperlink"/>
                <w:rFonts w:cs="Times New Roman"/>
                <w:noProof/>
                <w:lang w:val="en-AU"/>
              </w:rPr>
              <w:t>D1. Option A: Expand retail outlet</w:t>
            </w:r>
            <w:r w:rsidR="00A534A0">
              <w:rPr>
                <w:noProof/>
                <w:webHidden/>
              </w:rPr>
              <w:tab/>
            </w:r>
            <w:r w:rsidR="00A534A0">
              <w:rPr>
                <w:noProof/>
                <w:webHidden/>
              </w:rPr>
              <w:fldChar w:fldCharType="begin"/>
            </w:r>
            <w:r w:rsidR="00A534A0">
              <w:rPr>
                <w:noProof/>
                <w:webHidden/>
              </w:rPr>
              <w:instrText xml:space="preserve"> PAGEREF _Toc227609591 \h </w:instrText>
            </w:r>
            <w:r w:rsidR="00A534A0">
              <w:rPr>
                <w:noProof/>
                <w:webHidden/>
              </w:rPr>
            </w:r>
            <w:r w:rsidR="00A534A0">
              <w:rPr>
                <w:noProof/>
                <w:webHidden/>
              </w:rPr>
              <w:fldChar w:fldCharType="separate"/>
            </w:r>
            <w:r w:rsidR="00A534A0">
              <w:rPr>
                <w:noProof/>
                <w:webHidden/>
              </w:rPr>
              <w:t>36</w:t>
            </w:r>
            <w:r w:rsidR="00A534A0">
              <w:rPr>
                <w:noProof/>
                <w:webHidden/>
              </w:rPr>
              <w:fldChar w:fldCharType="end"/>
            </w:r>
          </w:hyperlink>
        </w:p>
        <w:p w14:paraId="16C684ED" w14:textId="74F73ED1" w:rsidR="00A534A0" w:rsidRDefault="00A22E03">
          <w:pPr>
            <w:pStyle w:val="TOC3"/>
            <w:tabs>
              <w:tab w:val="left" w:pos="1200"/>
              <w:tab w:val="right" w:leader="underscore" w:pos="9350"/>
            </w:tabs>
            <w:rPr>
              <w:rFonts w:eastAsiaTheme="minorEastAsia"/>
              <w:noProof/>
              <w:sz w:val="22"/>
              <w:szCs w:val="22"/>
              <w:lang w:eastAsia="en-GB"/>
              <w14:ligatures w14:val="none"/>
            </w:rPr>
          </w:pPr>
          <w:hyperlink w:anchor="_Toc227609592" w:history="1">
            <w:r w:rsidR="00A534A0" w:rsidRPr="00A17EA6">
              <w:rPr>
                <w:rStyle w:val="Hyperlink"/>
                <w:rFonts w:cs="Times New Roman"/>
                <w:noProof/>
                <w:lang w:val="en-AU"/>
              </w:rPr>
              <w:t>4.4.2</w:t>
            </w:r>
            <w:r w:rsidR="00A534A0">
              <w:rPr>
                <w:rFonts w:eastAsiaTheme="minorEastAsia"/>
                <w:noProof/>
                <w:sz w:val="22"/>
                <w:szCs w:val="22"/>
                <w:lang w:eastAsia="en-GB"/>
                <w14:ligatures w14:val="none"/>
              </w:rPr>
              <w:tab/>
            </w:r>
            <w:r w:rsidR="00A534A0" w:rsidRPr="00A17EA6">
              <w:rPr>
                <w:rStyle w:val="Hyperlink"/>
                <w:rFonts w:cs="Times New Roman"/>
                <w:noProof/>
                <w:lang w:val="en-AU"/>
              </w:rPr>
              <w:t>D2. Option B: Develop internet sales</w:t>
            </w:r>
            <w:r w:rsidR="00A534A0">
              <w:rPr>
                <w:noProof/>
                <w:webHidden/>
              </w:rPr>
              <w:tab/>
            </w:r>
            <w:r w:rsidR="00A534A0">
              <w:rPr>
                <w:noProof/>
                <w:webHidden/>
              </w:rPr>
              <w:fldChar w:fldCharType="begin"/>
            </w:r>
            <w:r w:rsidR="00A534A0">
              <w:rPr>
                <w:noProof/>
                <w:webHidden/>
              </w:rPr>
              <w:instrText xml:space="preserve"> PAGEREF _Toc227609592 \h </w:instrText>
            </w:r>
            <w:r w:rsidR="00A534A0">
              <w:rPr>
                <w:noProof/>
                <w:webHidden/>
              </w:rPr>
            </w:r>
            <w:r w:rsidR="00A534A0">
              <w:rPr>
                <w:noProof/>
                <w:webHidden/>
              </w:rPr>
              <w:fldChar w:fldCharType="separate"/>
            </w:r>
            <w:r w:rsidR="00A534A0">
              <w:rPr>
                <w:noProof/>
                <w:webHidden/>
              </w:rPr>
              <w:t>36</w:t>
            </w:r>
            <w:r w:rsidR="00A534A0">
              <w:rPr>
                <w:noProof/>
                <w:webHidden/>
              </w:rPr>
              <w:fldChar w:fldCharType="end"/>
            </w:r>
          </w:hyperlink>
        </w:p>
        <w:p w14:paraId="58E62A60" w14:textId="30931194" w:rsidR="00A534A0" w:rsidRDefault="00A22E03">
          <w:pPr>
            <w:pStyle w:val="TOC3"/>
            <w:tabs>
              <w:tab w:val="left" w:pos="1200"/>
              <w:tab w:val="right" w:leader="underscore" w:pos="9350"/>
            </w:tabs>
            <w:rPr>
              <w:rFonts w:eastAsiaTheme="minorEastAsia"/>
              <w:noProof/>
              <w:sz w:val="22"/>
              <w:szCs w:val="22"/>
              <w:lang w:eastAsia="en-GB"/>
              <w14:ligatures w14:val="none"/>
            </w:rPr>
          </w:pPr>
          <w:hyperlink w:anchor="_Toc227609593" w:history="1">
            <w:r w:rsidR="00A534A0" w:rsidRPr="00A17EA6">
              <w:rPr>
                <w:rStyle w:val="Hyperlink"/>
                <w:rFonts w:cs="Times New Roman"/>
                <w:noProof/>
                <w:lang w:val="en-AU"/>
              </w:rPr>
              <w:t>4.4.3</w:t>
            </w:r>
            <w:r w:rsidR="00A534A0">
              <w:rPr>
                <w:rFonts w:eastAsiaTheme="minorEastAsia"/>
                <w:noProof/>
                <w:sz w:val="22"/>
                <w:szCs w:val="22"/>
                <w:lang w:eastAsia="en-GB"/>
                <w14:ligatures w14:val="none"/>
              </w:rPr>
              <w:tab/>
            </w:r>
            <w:r w:rsidR="00A534A0" w:rsidRPr="00A17EA6">
              <w:rPr>
                <w:rStyle w:val="Hyperlink"/>
                <w:rFonts w:cs="Times New Roman"/>
                <w:noProof/>
                <w:lang w:val="en-AU"/>
              </w:rPr>
              <w:t>D3. Option C: Produce purses and wallets</w:t>
            </w:r>
            <w:r w:rsidR="00A534A0">
              <w:rPr>
                <w:noProof/>
                <w:webHidden/>
              </w:rPr>
              <w:tab/>
            </w:r>
            <w:r w:rsidR="00A534A0">
              <w:rPr>
                <w:noProof/>
                <w:webHidden/>
              </w:rPr>
              <w:fldChar w:fldCharType="begin"/>
            </w:r>
            <w:r w:rsidR="00A534A0">
              <w:rPr>
                <w:noProof/>
                <w:webHidden/>
              </w:rPr>
              <w:instrText xml:space="preserve"> PAGEREF _Toc227609593 \h </w:instrText>
            </w:r>
            <w:r w:rsidR="00A534A0">
              <w:rPr>
                <w:noProof/>
                <w:webHidden/>
              </w:rPr>
            </w:r>
            <w:r w:rsidR="00A534A0">
              <w:rPr>
                <w:noProof/>
                <w:webHidden/>
              </w:rPr>
              <w:fldChar w:fldCharType="separate"/>
            </w:r>
            <w:r w:rsidR="00A534A0">
              <w:rPr>
                <w:noProof/>
                <w:webHidden/>
              </w:rPr>
              <w:t>37</w:t>
            </w:r>
            <w:r w:rsidR="00A534A0">
              <w:rPr>
                <w:noProof/>
                <w:webHidden/>
              </w:rPr>
              <w:fldChar w:fldCharType="end"/>
            </w:r>
          </w:hyperlink>
        </w:p>
        <w:p w14:paraId="10F47A26" w14:textId="7634E64A" w:rsidR="00A534A0" w:rsidRDefault="00A22E03">
          <w:pPr>
            <w:pStyle w:val="TOC2"/>
            <w:tabs>
              <w:tab w:val="left" w:pos="960"/>
              <w:tab w:val="right" w:leader="underscore" w:pos="9350"/>
            </w:tabs>
            <w:rPr>
              <w:rFonts w:eastAsiaTheme="minorEastAsia"/>
              <w:b w:val="0"/>
              <w:bCs w:val="0"/>
              <w:noProof/>
              <w:lang w:eastAsia="en-GB"/>
              <w14:ligatures w14:val="none"/>
            </w:rPr>
          </w:pPr>
          <w:hyperlink w:anchor="_Toc227609594" w:history="1">
            <w:r w:rsidR="00A534A0" w:rsidRPr="00A17EA6">
              <w:rPr>
                <w:rStyle w:val="Hyperlink"/>
                <w:rFonts w:cs="Times New Roman"/>
                <w:noProof/>
                <w:lang w:val="en-AU"/>
              </w:rPr>
              <w:t>4.5</w:t>
            </w:r>
            <w:r w:rsidR="00A534A0">
              <w:rPr>
                <w:rFonts w:eastAsiaTheme="minorEastAsia"/>
                <w:b w:val="0"/>
                <w:bCs w:val="0"/>
                <w:noProof/>
                <w:lang w:eastAsia="en-GB"/>
                <w14:ligatures w14:val="none"/>
              </w:rPr>
              <w:tab/>
            </w:r>
            <w:r w:rsidR="00A534A0" w:rsidRPr="00A17EA6">
              <w:rPr>
                <w:rStyle w:val="Hyperlink"/>
                <w:rFonts w:cs="Times New Roman"/>
                <w:noProof/>
                <w:lang w:val="en-AU"/>
              </w:rPr>
              <w:t>Appendix E: IRR calculation for Option C</w:t>
            </w:r>
            <w:r w:rsidR="00A534A0">
              <w:rPr>
                <w:noProof/>
                <w:webHidden/>
              </w:rPr>
              <w:tab/>
            </w:r>
            <w:r w:rsidR="00A534A0">
              <w:rPr>
                <w:noProof/>
                <w:webHidden/>
              </w:rPr>
              <w:fldChar w:fldCharType="begin"/>
            </w:r>
            <w:r w:rsidR="00A534A0">
              <w:rPr>
                <w:noProof/>
                <w:webHidden/>
              </w:rPr>
              <w:instrText xml:space="preserve"> PAGEREF _Toc227609594 \h </w:instrText>
            </w:r>
            <w:r w:rsidR="00A534A0">
              <w:rPr>
                <w:noProof/>
                <w:webHidden/>
              </w:rPr>
            </w:r>
            <w:r w:rsidR="00A534A0">
              <w:rPr>
                <w:noProof/>
                <w:webHidden/>
              </w:rPr>
              <w:fldChar w:fldCharType="separate"/>
            </w:r>
            <w:r w:rsidR="00A534A0">
              <w:rPr>
                <w:noProof/>
                <w:webHidden/>
              </w:rPr>
              <w:t>38</w:t>
            </w:r>
            <w:r w:rsidR="00A534A0">
              <w:rPr>
                <w:noProof/>
                <w:webHidden/>
              </w:rPr>
              <w:fldChar w:fldCharType="end"/>
            </w:r>
          </w:hyperlink>
        </w:p>
        <w:p w14:paraId="0DFEAC0B" w14:textId="51E143AA" w:rsidR="00A534A0" w:rsidRDefault="00A22E03">
          <w:pPr>
            <w:pStyle w:val="TOC2"/>
            <w:tabs>
              <w:tab w:val="left" w:pos="960"/>
              <w:tab w:val="right" w:leader="underscore" w:pos="9350"/>
            </w:tabs>
            <w:rPr>
              <w:rFonts w:eastAsiaTheme="minorEastAsia"/>
              <w:b w:val="0"/>
              <w:bCs w:val="0"/>
              <w:noProof/>
              <w:lang w:eastAsia="en-GB"/>
              <w14:ligatures w14:val="none"/>
            </w:rPr>
          </w:pPr>
          <w:hyperlink w:anchor="_Toc227609595" w:history="1">
            <w:r w:rsidR="00A534A0" w:rsidRPr="00A17EA6">
              <w:rPr>
                <w:rStyle w:val="Hyperlink"/>
                <w:rFonts w:cs="Times New Roman"/>
                <w:noProof/>
                <w:lang w:val="en-AU"/>
              </w:rPr>
              <w:t>4.6</w:t>
            </w:r>
            <w:r w:rsidR="00A534A0">
              <w:rPr>
                <w:rFonts w:eastAsiaTheme="minorEastAsia"/>
                <w:b w:val="0"/>
                <w:bCs w:val="0"/>
                <w:noProof/>
                <w:lang w:eastAsia="en-GB"/>
                <w14:ligatures w14:val="none"/>
              </w:rPr>
              <w:tab/>
            </w:r>
            <w:r w:rsidR="00A534A0" w:rsidRPr="00A17EA6">
              <w:rPr>
                <w:rStyle w:val="Hyperlink"/>
                <w:rFonts w:cs="Times New Roman"/>
                <w:noProof/>
                <w:lang w:val="en-AU"/>
              </w:rPr>
              <w:t>Appendix F: Capital rationing calculation</w:t>
            </w:r>
            <w:r w:rsidR="00A534A0">
              <w:rPr>
                <w:noProof/>
                <w:webHidden/>
              </w:rPr>
              <w:tab/>
            </w:r>
            <w:r w:rsidR="00A534A0">
              <w:rPr>
                <w:noProof/>
                <w:webHidden/>
              </w:rPr>
              <w:fldChar w:fldCharType="begin"/>
            </w:r>
            <w:r w:rsidR="00A534A0">
              <w:rPr>
                <w:noProof/>
                <w:webHidden/>
              </w:rPr>
              <w:instrText xml:space="preserve"> PAGEREF _Toc227609595 \h </w:instrText>
            </w:r>
            <w:r w:rsidR="00A534A0">
              <w:rPr>
                <w:noProof/>
                <w:webHidden/>
              </w:rPr>
            </w:r>
            <w:r w:rsidR="00A534A0">
              <w:rPr>
                <w:noProof/>
                <w:webHidden/>
              </w:rPr>
              <w:fldChar w:fldCharType="separate"/>
            </w:r>
            <w:r w:rsidR="00A534A0">
              <w:rPr>
                <w:noProof/>
                <w:webHidden/>
              </w:rPr>
              <w:t>39</w:t>
            </w:r>
            <w:r w:rsidR="00A534A0">
              <w:rPr>
                <w:noProof/>
                <w:webHidden/>
              </w:rPr>
              <w:fldChar w:fldCharType="end"/>
            </w:r>
          </w:hyperlink>
        </w:p>
        <w:p w14:paraId="5A55E175" w14:textId="7E1AEA39" w:rsidR="009A74D4" w:rsidRPr="002018AC" w:rsidRDefault="009A74D4" w:rsidP="00695D8D">
          <w:pPr>
            <w:spacing w:line="276" w:lineRule="auto"/>
            <w:rPr>
              <w:rFonts w:cs="Times New Roman"/>
            </w:rPr>
          </w:pPr>
          <w:r w:rsidRPr="002018AC">
            <w:rPr>
              <w:rFonts w:cs="Times New Roman"/>
              <w:b/>
              <w:bCs/>
              <w:i/>
              <w:iCs/>
              <w:szCs w:val="24"/>
            </w:rPr>
            <w:fldChar w:fldCharType="end"/>
          </w:r>
        </w:p>
      </w:sdtContent>
    </w:sdt>
    <w:p w14:paraId="30451243" w14:textId="77777777" w:rsidR="000C685B" w:rsidRPr="002018AC" w:rsidRDefault="000C685B" w:rsidP="00695D8D">
      <w:pPr>
        <w:spacing w:line="276" w:lineRule="auto"/>
        <w:rPr>
          <w:rFonts w:cs="Times New Roman"/>
          <w:lang w:val="en-US"/>
        </w:rPr>
      </w:pPr>
    </w:p>
    <w:p w14:paraId="27A994DD" w14:textId="77777777" w:rsidR="00695D8D" w:rsidRPr="002018AC" w:rsidRDefault="00695D8D" w:rsidP="00695D8D">
      <w:pPr>
        <w:spacing w:after="0" w:line="276" w:lineRule="auto"/>
        <w:jc w:val="left"/>
        <w:rPr>
          <w:rFonts w:eastAsiaTheme="majorEastAsia" w:cs="Times New Roman"/>
          <w:b/>
          <w:color w:val="4C94D8" w:themeColor="text2" w:themeTint="80"/>
          <w:sz w:val="36"/>
          <w:szCs w:val="32"/>
          <w:lang w:val="en-US"/>
        </w:rPr>
      </w:pPr>
      <w:r w:rsidRPr="002018AC">
        <w:rPr>
          <w:rFonts w:cs="Times New Roman"/>
          <w:lang w:val="en-US"/>
        </w:rPr>
        <w:br w:type="page"/>
      </w:r>
    </w:p>
    <w:p w14:paraId="65251FF8" w14:textId="3D99C28C" w:rsidR="00695D8D" w:rsidRPr="002018AC" w:rsidRDefault="00A534A0" w:rsidP="00695D8D">
      <w:pPr>
        <w:pStyle w:val="Heading2"/>
        <w:spacing w:line="276" w:lineRule="auto"/>
        <w:rPr>
          <w:rFonts w:cs="Times New Roman"/>
          <w:lang w:val="en-US"/>
        </w:rPr>
      </w:pPr>
      <w:bookmarkStart w:id="1" w:name="_Toc227609555"/>
      <w:r>
        <w:rPr>
          <w:rFonts w:cs="Times New Roman"/>
          <w:lang w:val="en-US"/>
        </w:rPr>
        <w:lastRenderedPageBreak/>
        <w:t>0</w:t>
      </w:r>
      <w:r w:rsidR="00695D8D" w:rsidRPr="002018AC">
        <w:rPr>
          <w:rFonts w:cs="Times New Roman"/>
          <w:lang w:val="en-US"/>
        </w:rPr>
        <w:t>1 Introduction</w:t>
      </w:r>
      <w:bookmarkEnd w:id="1"/>
    </w:p>
    <w:p w14:paraId="072ACBCC" w14:textId="77777777" w:rsidR="000A43A6" w:rsidRPr="002018AC" w:rsidRDefault="000A43A6" w:rsidP="00695D8D">
      <w:pPr>
        <w:spacing w:after="0" w:line="276" w:lineRule="auto"/>
        <w:jc w:val="left"/>
        <w:rPr>
          <w:rFonts w:eastAsia="Times New Roman" w:cs="Times New Roman"/>
          <w:szCs w:val="24"/>
          <w:lang w:eastAsia="en-GB"/>
          <w14:ligatures w14:val="none"/>
        </w:rPr>
      </w:pPr>
    </w:p>
    <w:p w14:paraId="55DC86C2" w14:textId="77FFF21D" w:rsidR="00695D8D" w:rsidRPr="003B720D" w:rsidRDefault="00695D8D" w:rsidP="003B720D">
      <w:pPr>
        <w:spacing w:after="0" w:line="300" w:lineRule="atLeast"/>
        <w:jc w:val="left"/>
        <w:rPr>
          <w:rFonts w:ascii="Segoe UI" w:eastAsia="Times New Roman" w:hAnsi="Segoe UI" w:cs="Segoe UI"/>
          <w:sz w:val="21"/>
          <w:szCs w:val="21"/>
          <w:lang w:eastAsia="en-GB"/>
          <w14:ligatures w14:val="none"/>
        </w:rPr>
      </w:pPr>
      <w:r w:rsidRPr="00695D8D">
        <w:rPr>
          <w:rFonts w:eastAsia="Times New Roman" w:cs="Times New Roman"/>
          <w:szCs w:val="24"/>
          <w:lang w:eastAsia="en-GB"/>
          <w14:ligatures w14:val="none"/>
        </w:rPr>
        <w:t>Part 1 of this report analyses</w:t>
      </w:r>
      <w:r w:rsidR="003B720D">
        <w:rPr>
          <w:rFonts w:eastAsia="Times New Roman" w:cs="Times New Roman"/>
          <w:szCs w:val="24"/>
          <w:lang w:eastAsia="en-GB"/>
          <w14:ligatures w14:val="none"/>
        </w:rPr>
        <w:t xml:space="preserve"> the financial performance and position of Vodafone Group plc, evaluate through ratio analysis</w:t>
      </w:r>
      <w:r w:rsidRPr="00695D8D">
        <w:rPr>
          <w:rFonts w:eastAsia="Times New Roman" w:cs="Times New Roman"/>
          <w:szCs w:val="24"/>
          <w:lang w:eastAsia="en-GB"/>
          <w14:ligatures w14:val="none"/>
        </w:rPr>
        <w:t xml:space="preserve"> published consolidated financial statements for FY2025 and re</w:t>
      </w:r>
      <w:r w:rsidRPr="00695D8D">
        <w:rPr>
          <w:rFonts w:eastAsia="Times New Roman" w:cs="Times New Roman"/>
          <w:szCs w:val="24"/>
          <w:lang w:eastAsia="en-GB"/>
          <w14:ligatures w14:val="none"/>
        </w:rPr>
        <w:noBreakHyphen/>
        <w:t>presented FY2024 data. Ratio analysis is used to evaluate profitability, efficiency, liquidity, investment performance, and gearing, providing insight into Vodafone’s ability to generate returns, manage resources, and meet its financial obligations. The analysis is conducted using statutory figures prepared under International Financial Reporting Standards, with particular attention paid to the effects of impairment charges, discontinued operations, and balance</w:t>
      </w:r>
      <w:r w:rsidRPr="00695D8D">
        <w:rPr>
          <w:rFonts w:eastAsia="Times New Roman" w:cs="Times New Roman"/>
          <w:szCs w:val="24"/>
          <w:lang w:eastAsia="en-GB"/>
          <w14:ligatures w14:val="none"/>
        </w:rPr>
        <w:noBreakHyphen/>
        <w:t>sheet restructuring on comparability</w:t>
      </w:r>
      <w:r w:rsidR="00461154">
        <w:rPr>
          <w:rFonts w:eastAsia="Times New Roman" w:cs="Times New Roman"/>
          <w:szCs w:val="24"/>
          <w:lang w:eastAsia="en-GB"/>
          <w14:ligatures w14:val="none"/>
        </w:rPr>
        <w:t xml:space="preserve"> </w:t>
      </w:r>
      <w:r w:rsidR="00461154" w:rsidRPr="00461154">
        <w:rPr>
          <w:rFonts w:eastAsia="Times New Roman" w:cs="Times New Roman"/>
          <w:szCs w:val="24"/>
          <w:lang w:eastAsia="en-GB"/>
          <w14:ligatures w14:val="none"/>
        </w:rPr>
        <w:t>(Vodafone Group plc, 2025; Ali Abebe, 2022)</w:t>
      </w:r>
      <w:r w:rsidRPr="00695D8D">
        <w:rPr>
          <w:rFonts w:eastAsia="Times New Roman" w:cs="Times New Roman"/>
          <w:szCs w:val="24"/>
          <w:lang w:eastAsia="en-GB"/>
          <w14:ligatures w14:val="none"/>
        </w:rPr>
        <w:t>. Given the capital</w:t>
      </w:r>
      <w:r w:rsidRPr="00695D8D">
        <w:rPr>
          <w:rFonts w:eastAsia="Times New Roman" w:cs="Times New Roman"/>
          <w:szCs w:val="24"/>
          <w:lang w:eastAsia="en-GB"/>
          <w14:ligatures w14:val="none"/>
        </w:rPr>
        <w:noBreakHyphen/>
        <w:t>intensive and highly regulated nature of the telecommunications industry, the report also considers the limitations of ratio analysis when interpreting results</w:t>
      </w:r>
      <w:r w:rsidR="006D4AEF">
        <w:rPr>
          <w:rFonts w:eastAsia="Times New Roman" w:cs="Times New Roman"/>
          <w:szCs w:val="24"/>
          <w:lang w:eastAsia="en-GB"/>
          <w14:ligatures w14:val="none"/>
        </w:rPr>
        <w:t xml:space="preserve"> </w:t>
      </w:r>
      <w:r w:rsidR="006D4AEF" w:rsidRPr="006D4AEF">
        <w:rPr>
          <w:rFonts w:eastAsia="Times New Roman" w:cs="Times New Roman"/>
          <w:szCs w:val="24"/>
          <w:lang w:eastAsia="en-GB"/>
          <w14:ligatures w14:val="none"/>
        </w:rPr>
        <w:t>(Connect Europe, 2025; Ofcom, 2025</w:t>
      </w:r>
      <w:r w:rsidRPr="00695D8D">
        <w:rPr>
          <w:rFonts w:eastAsia="Times New Roman" w:cs="Times New Roman"/>
          <w:szCs w:val="24"/>
          <w:lang w:eastAsia="en-GB"/>
          <w14:ligatures w14:val="none"/>
        </w:rPr>
        <w:t>. The objective is to provide an informed assessment of Vodafone’s financial health and to support practical recommendations to company directors.</w:t>
      </w:r>
    </w:p>
    <w:p w14:paraId="082A9B5E" w14:textId="77777777" w:rsidR="00695D8D" w:rsidRPr="00695D8D" w:rsidRDefault="00695D8D" w:rsidP="00695D8D">
      <w:pPr>
        <w:spacing w:after="0" w:line="276" w:lineRule="auto"/>
        <w:jc w:val="left"/>
        <w:rPr>
          <w:rFonts w:eastAsia="Times New Roman" w:cs="Times New Roman"/>
          <w:szCs w:val="24"/>
          <w:lang w:eastAsia="en-GB"/>
          <w14:ligatures w14:val="none"/>
        </w:rPr>
      </w:pPr>
    </w:p>
    <w:p w14:paraId="65972549" w14:textId="77777777" w:rsidR="00695D8D" w:rsidRPr="00695D8D" w:rsidRDefault="00695D8D" w:rsidP="00695D8D">
      <w:pPr>
        <w:spacing w:after="0" w:line="276" w:lineRule="auto"/>
        <w:jc w:val="left"/>
        <w:rPr>
          <w:rFonts w:eastAsia="Times New Roman" w:cs="Times New Roman"/>
          <w:szCs w:val="24"/>
          <w:lang w:eastAsia="en-GB"/>
          <w14:ligatures w14:val="none"/>
        </w:rPr>
      </w:pPr>
    </w:p>
    <w:p w14:paraId="194AF9A9" w14:textId="1317EB51" w:rsidR="000C685B" w:rsidRPr="002018AC" w:rsidRDefault="00695D8D" w:rsidP="0066526B">
      <w:pPr>
        <w:rPr>
          <w:sz w:val="44"/>
          <w:szCs w:val="40"/>
          <w:lang w:val="en-US"/>
        </w:rPr>
      </w:pPr>
      <w:bookmarkStart w:id="2" w:name="_Toc227599647"/>
      <w:bookmarkStart w:id="3" w:name="_Toc227599695"/>
      <w:bookmarkStart w:id="4" w:name="_Toc227606818"/>
      <w:bookmarkStart w:id="5" w:name="_Toc227607754"/>
      <w:r w:rsidRPr="00D02BDD">
        <w:rPr>
          <w:lang w:eastAsia="en-GB"/>
        </w:rPr>
        <w:t>Part 2 of this report evaluates three proposed investment projects for Beard Plc using discounted cash</w:t>
      </w:r>
      <w:r w:rsidRPr="00D02BDD">
        <w:rPr>
          <w:lang w:eastAsia="en-GB"/>
        </w:rPr>
        <w:noBreakHyphen/>
        <w:t>flow appraisal techniques. The primary method employed is net present value (NPV), supported by internal rate of return (IRR) and profitability index analysis where appropriate. These techniques are applied to assess whether each project is expected to generate returns above the company’s cost of capital and thereby enhance shareholder value</w:t>
      </w:r>
      <w:r w:rsidR="006D4AEF">
        <w:rPr>
          <w:lang w:eastAsia="en-GB"/>
        </w:rPr>
        <w:t xml:space="preserve"> </w:t>
      </w:r>
      <w:r w:rsidR="006D4AEF" w:rsidRPr="006D4AEF">
        <w:rPr>
          <w:lang w:eastAsia="en-GB"/>
        </w:rPr>
        <w:t xml:space="preserve">(Sokolov, 2024; </w:t>
      </w:r>
      <w:proofErr w:type="spellStart"/>
      <w:r w:rsidR="006D4AEF" w:rsidRPr="006D4AEF">
        <w:rPr>
          <w:lang w:eastAsia="en-GB"/>
        </w:rPr>
        <w:t>Purnamasari</w:t>
      </w:r>
      <w:proofErr w:type="spellEnd"/>
      <w:r w:rsidR="006D4AEF" w:rsidRPr="006D4AEF">
        <w:rPr>
          <w:lang w:eastAsia="en-GB"/>
        </w:rPr>
        <w:t xml:space="preserve"> and </w:t>
      </w:r>
      <w:proofErr w:type="spellStart"/>
      <w:r w:rsidR="006D4AEF" w:rsidRPr="006D4AEF">
        <w:rPr>
          <w:lang w:eastAsia="en-GB"/>
        </w:rPr>
        <w:t>Adriza</w:t>
      </w:r>
      <w:proofErr w:type="spellEnd"/>
      <w:r w:rsidR="006D4AEF" w:rsidRPr="006D4AEF">
        <w:rPr>
          <w:lang w:eastAsia="en-GB"/>
        </w:rPr>
        <w:t>, 2024</w:t>
      </w:r>
      <w:r w:rsidRPr="00D02BDD">
        <w:rPr>
          <w:lang w:eastAsia="en-GB"/>
        </w:rPr>
        <w:t>. The analysis incorporates taxation, capital allowances, and the time value of money to ensure realistic and consistent evaluation. In addition, a capital</w:t>
      </w:r>
      <w:r w:rsidRPr="00D02BDD">
        <w:rPr>
          <w:lang w:eastAsia="en-GB"/>
        </w:rPr>
        <w:noBreakHyphen/>
        <w:t>rationing scenario is considered to determine the optimal allocation of limited investment funds. The purpose of this section is to recommend the most financially viable investment strategy while acknowledging that final decisions should also reflect strategic, operational, and risk considerations</w:t>
      </w:r>
      <w:bookmarkEnd w:id="2"/>
      <w:bookmarkEnd w:id="3"/>
      <w:r w:rsidR="006D4AEF">
        <w:rPr>
          <w:lang w:eastAsia="en-GB"/>
        </w:rPr>
        <w:t xml:space="preserve"> </w:t>
      </w:r>
      <w:r w:rsidR="006D4AEF" w:rsidRPr="006D4AEF">
        <w:rPr>
          <w:lang w:eastAsia="en-GB"/>
        </w:rPr>
        <w:t xml:space="preserve">(Hartmann and </w:t>
      </w:r>
      <w:proofErr w:type="spellStart"/>
      <w:r w:rsidR="006D4AEF" w:rsidRPr="006D4AEF">
        <w:rPr>
          <w:lang w:eastAsia="en-GB"/>
        </w:rPr>
        <w:t>Weißenberger</w:t>
      </w:r>
      <w:proofErr w:type="spellEnd"/>
      <w:r w:rsidR="006D4AEF" w:rsidRPr="006D4AEF">
        <w:rPr>
          <w:lang w:eastAsia="en-GB"/>
        </w:rPr>
        <w:t xml:space="preserve">, 2024; </w:t>
      </w:r>
      <w:proofErr w:type="spellStart"/>
      <w:r w:rsidR="006D4AEF" w:rsidRPr="006D4AEF">
        <w:rPr>
          <w:lang w:eastAsia="en-GB"/>
        </w:rPr>
        <w:t>Shaheen</w:t>
      </w:r>
      <w:proofErr w:type="spellEnd"/>
      <w:r w:rsidR="006D4AEF" w:rsidRPr="006D4AEF">
        <w:rPr>
          <w:lang w:eastAsia="en-GB"/>
        </w:rPr>
        <w:t xml:space="preserve"> et al., 2024).</w:t>
      </w:r>
      <w:bookmarkEnd w:id="4"/>
      <w:bookmarkEnd w:id="5"/>
      <w:r w:rsidR="000C685B" w:rsidRPr="002018AC">
        <w:rPr>
          <w:sz w:val="44"/>
          <w:szCs w:val="40"/>
          <w:lang w:val="en-US"/>
        </w:rPr>
        <w:br w:type="page"/>
      </w:r>
    </w:p>
    <w:p w14:paraId="5957E169" w14:textId="5B0E0525" w:rsidR="00A77462" w:rsidRPr="002018AC" w:rsidRDefault="000C685B" w:rsidP="00695D8D">
      <w:pPr>
        <w:pStyle w:val="Heading1"/>
        <w:numPr>
          <w:ilvl w:val="0"/>
          <w:numId w:val="9"/>
        </w:numPr>
        <w:spacing w:line="276" w:lineRule="auto"/>
        <w:rPr>
          <w:rFonts w:cs="Times New Roman"/>
          <w:lang w:val="en-US"/>
        </w:rPr>
      </w:pPr>
      <w:bookmarkStart w:id="6" w:name="_Toc227609556"/>
      <w:r w:rsidRPr="002018AC">
        <w:rPr>
          <w:rFonts w:cs="Times New Roman"/>
          <w:lang w:val="en-US"/>
        </w:rPr>
        <w:lastRenderedPageBreak/>
        <w:t>Part 1 Vodafone Group Plc</w:t>
      </w:r>
      <w:bookmarkEnd w:id="6"/>
    </w:p>
    <w:p w14:paraId="1F61595F" w14:textId="0DB7F87C" w:rsidR="00A77462" w:rsidRPr="002018AC" w:rsidRDefault="000C685B" w:rsidP="00695D8D">
      <w:pPr>
        <w:pStyle w:val="Heading2"/>
        <w:numPr>
          <w:ilvl w:val="1"/>
          <w:numId w:val="9"/>
        </w:numPr>
        <w:spacing w:line="276" w:lineRule="auto"/>
        <w:rPr>
          <w:rFonts w:cs="Times New Roman"/>
          <w:lang w:val="en-US"/>
        </w:rPr>
      </w:pPr>
      <w:bookmarkStart w:id="7" w:name="_Toc227609557"/>
      <w:r w:rsidRPr="002018AC">
        <w:rPr>
          <w:rFonts w:cs="Times New Roman"/>
          <w:lang w:val="en-US"/>
        </w:rPr>
        <w:t>Scope, Source Base and Calculation Method</w:t>
      </w:r>
      <w:bookmarkEnd w:id="7"/>
    </w:p>
    <w:p w14:paraId="74AE6641" w14:textId="28652A0B" w:rsidR="00A77462" w:rsidRPr="002018AC" w:rsidRDefault="00A77462" w:rsidP="00695D8D">
      <w:pPr>
        <w:spacing w:line="276" w:lineRule="auto"/>
        <w:rPr>
          <w:rFonts w:cs="Times New Roman"/>
          <w:lang w:val="en-US"/>
        </w:rPr>
      </w:pPr>
      <w:r w:rsidRPr="002018AC">
        <w:rPr>
          <w:rFonts w:cs="Times New Roman"/>
          <w:lang w:val="en-US"/>
        </w:rPr>
        <w:t xml:space="preserve">Vodafone Group plc is the company that has been chosen. The analysis is based on </w:t>
      </w:r>
      <w:r w:rsidRPr="002018AC">
        <w:rPr>
          <w:rFonts w:cs="Times New Roman"/>
          <w:bCs/>
          <w:lang w:val="en-US"/>
        </w:rPr>
        <w:t>Vodafone’s Annual Report 2025,</w:t>
      </w:r>
      <w:r w:rsidRPr="002018AC">
        <w:rPr>
          <w:rFonts w:cs="Times New Roman"/>
          <w:lang w:val="en-US"/>
        </w:rPr>
        <w:t xml:space="preserve"> which includes the year ended 31 March 2025 and re-presented the FY2024 comparative figures. A two-year comparison </w:t>
      </w:r>
      <w:r w:rsidRPr="002018AC">
        <w:rPr>
          <w:rFonts w:cs="Times New Roman"/>
          <w:bCs/>
          <w:lang w:val="en-US"/>
        </w:rPr>
        <w:t>is</w:t>
      </w:r>
      <w:r w:rsidRPr="002018AC">
        <w:rPr>
          <w:rFonts w:cs="Times New Roman"/>
          <w:lang w:val="en-US"/>
        </w:rPr>
        <w:t xml:space="preserve"> better based on the 2025 report since Vodafone</w:t>
      </w:r>
      <w:r w:rsidR="00944B2D">
        <w:rPr>
          <w:rFonts w:cs="Times New Roman"/>
          <w:lang w:val="en-US"/>
        </w:rPr>
        <w:t xml:space="preserve"> in</w:t>
      </w:r>
      <w:r w:rsidRPr="002018AC">
        <w:rPr>
          <w:rFonts w:cs="Times New Roman"/>
          <w:lang w:val="en-US"/>
        </w:rPr>
        <w:t xml:space="preserve"> Spain and Vodafone</w:t>
      </w:r>
      <w:r w:rsidR="00944B2D">
        <w:rPr>
          <w:rFonts w:cs="Times New Roman"/>
          <w:lang w:val="en-US"/>
        </w:rPr>
        <w:t xml:space="preserve"> in</w:t>
      </w:r>
      <w:r w:rsidRPr="002018AC">
        <w:rPr>
          <w:rFonts w:cs="Times New Roman"/>
          <w:lang w:val="en-US"/>
        </w:rPr>
        <w:t xml:space="preserve"> Italy were considered operations </w:t>
      </w:r>
      <w:r w:rsidR="00944B2D">
        <w:rPr>
          <w:rFonts w:cs="Times New Roman"/>
          <w:lang w:val="en-US"/>
        </w:rPr>
        <w:t xml:space="preserve">classified as discontinued </w:t>
      </w:r>
      <w:r w:rsidRPr="002018AC">
        <w:rPr>
          <w:rFonts w:cs="Times New Roman"/>
          <w:lang w:val="en-US"/>
        </w:rPr>
        <w:t xml:space="preserve">and </w:t>
      </w:r>
      <w:r w:rsidR="00944B2D">
        <w:rPr>
          <w:rFonts w:cs="Times New Roman"/>
          <w:bCs/>
          <w:lang w:val="en-US"/>
        </w:rPr>
        <w:t>previous financial</w:t>
      </w:r>
      <w:r w:rsidRPr="002018AC">
        <w:rPr>
          <w:rFonts w:cs="Times New Roman"/>
          <w:bCs/>
          <w:lang w:val="en-US"/>
        </w:rPr>
        <w:t xml:space="preserve"> periods were restated</w:t>
      </w:r>
      <w:r w:rsidRPr="002018AC">
        <w:rPr>
          <w:rFonts w:cs="Times New Roman"/>
          <w:lang w:val="en-US"/>
        </w:rPr>
        <w:t xml:space="preserve"> to show the new form of the Group. The restatement of the old FY2024 annual report would yield a poor comparison due to the fact that the numerator and denominator of a number of the ratios would not be </w:t>
      </w:r>
      <w:r w:rsidRPr="002018AC">
        <w:rPr>
          <w:rFonts w:cs="Times New Roman"/>
          <w:bCs/>
          <w:lang w:val="en-US"/>
        </w:rPr>
        <w:t>based</w:t>
      </w:r>
      <w:r w:rsidRPr="002018AC">
        <w:rPr>
          <w:rFonts w:cs="Times New Roman"/>
          <w:lang w:val="en-US"/>
        </w:rPr>
        <w:t xml:space="preserve"> on the same business perimeter (Vodafone Group plc, 2025).</w:t>
      </w:r>
    </w:p>
    <w:p w14:paraId="6195B629" w14:textId="7519A3E9" w:rsidR="00A77462" w:rsidRPr="002018AC" w:rsidRDefault="00A77462" w:rsidP="00695D8D">
      <w:pPr>
        <w:spacing w:line="276" w:lineRule="auto"/>
        <w:rPr>
          <w:rFonts w:cs="Times New Roman"/>
          <w:lang w:val="en-US"/>
        </w:rPr>
      </w:pPr>
      <w:r w:rsidRPr="002018AC">
        <w:rPr>
          <w:rFonts w:cs="Times New Roman"/>
          <w:lang w:val="en-US"/>
        </w:rPr>
        <w:t xml:space="preserve">The consolidated financial statements are prepared using UK-adopted International Accounting Standards and IFRS </w:t>
      </w:r>
      <w:r w:rsidRPr="002018AC">
        <w:rPr>
          <w:rFonts w:cs="Times New Roman"/>
          <w:bCs/>
          <w:lang w:val="en-US"/>
        </w:rPr>
        <w:t>as issued</w:t>
      </w:r>
      <w:r w:rsidRPr="002018AC">
        <w:rPr>
          <w:rFonts w:cs="Times New Roman"/>
          <w:lang w:val="en-US"/>
        </w:rPr>
        <w:t xml:space="preserve"> by the IASB. This is important since the ratios are </w:t>
      </w:r>
      <w:r w:rsidRPr="002018AC">
        <w:rPr>
          <w:rFonts w:cs="Times New Roman"/>
          <w:bCs/>
          <w:lang w:val="en-US"/>
        </w:rPr>
        <w:t>sensitive to accounting outputs</w:t>
      </w:r>
      <w:r w:rsidRPr="002018AC">
        <w:rPr>
          <w:rFonts w:cs="Times New Roman"/>
          <w:lang w:val="en-US"/>
        </w:rPr>
        <w:t xml:space="preserve">: impairment charges, discontinued operations, fair value items, and held-for-sale classifications all influence the numbers that are used in ratio analysis </w:t>
      </w:r>
      <w:r w:rsidR="006D4AEF" w:rsidRPr="006D4AEF">
        <w:rPr>
          <w:rFonts w:cs="Times New Roman"/>
          <w:lang w:val="en-US"/>
        </w:rPr>
        <w:t>(Ali Abebe, 2022; Vodafone Group plc, 2025).</w:t>
      </w:r>
    </w:p>
    <w:p w14:paraId="477A281F" w14:textId="77777777" w:rsidR="00A77462" w:rsidRPr="002018AC" w:rsidRDefault="00A77462" w:rsidP="00695D8D">
      <w:pPr>
        <w:spacing w:line="276" w:lineRule="auto"/>
        <w:rPr>
          <w:rFonts w:cs="Times New Roman"/>
          <w:lang w:val="en-AU"/>
        </w:rPr>
      </w:pPr>
      <w:r w:rsidRPr="002018AC">
        <w:rPr>
          <w:rFonts w:cs="Times New Roman"/>
          <w:lang w:val="en-AU"/>
        </w:rPr>
        <w:t>The attached classroom pattern has been followed. Therefore: Sales = revenue; Stock = inventory; Debtors = current trade receivables plus current trade receivables held at fair value through other comprehensive income; Creditors = current trade payables; TALCL = total assets less current liabilities; Loan = total borrowings; and Interest = financing costs. The Net Profit ratio in the attached sheet uses operating profit / sales × 100, so this report labels it more accurately as operating profit margin while still using the required formula. The TALCL and liquidity denominators are taken from Appendix A2</w:t>
      </w:r>
    </w:p>
    <w:p w14:paraId="34621650" w14:textId="2D576AA7" w:rsidR="000A43A6" w:rsidRPr="002018AC" w:rsidRDefault="00A77462" w:rsidP="00695D8D">
      <w:pPr>
        <w:spacing w:line="276" w:lineRule="auto"/>
        <w:rPr>
          <w:rFonts w:cs="Times New Roman"/>
          <w:lang w:val="en-AU"/>
        </w:rPr>
      </w:pPr>
      <w:r w:rsidRPr="002018AC">
        <w:rPr>
          <w:rFonts w:cs="Times New Roman"/>
          <w:lang w:val="en-AU"/>
        </w:rPr>
        <w:t>For FY2024 liquidity and capital-employed ratios, the main calculation excludes Vodafone</w:t>
      </w:r>
      <w:r w:rsidR="00944B2D">
        <w:rPr>
          <w:rFonts w:cs="Times New Roman"/>
          <w:lang w:val="en-AU"/>
        </w:rPr>
        <w:t xml:space="preserve"> in</w:t>
      </w:r>
      <w:r w:rsidRPr="002018AC">
        <w:rPr>
          <w:rFonts w:cs="Times New Roman"/>
          <w:lang w:val="en-AU"/>
        </w:rPr>
        <w:t xml:space="preserve"> Spain and Vodafone</w:t>
      </w:r>
      <w:r w:rsidR="00944B2D">
        <w:rPr>
          <w:rFonts w:cs="Times New Roman"/>
          <w:lang w:val="en-AU"/>
        </w:rPr>
        <w:t xml:space="preserve"> in</w:t>
      </w:r>
      <w:r w:rsidRPr="002018AC">
        <w:rPr>
          <w:rFonts w:cs="Times New Roman"/>
          <w:lang w:val="en-AU"/>
        </w:rPr>
        <w:t xml:space="preserve"> Italy held-for-sale assets and </w:t>
      </w:r>
      <w:r w:rsidR="00944B2D">
        <w:rPr>
          <w:rFonts w:cs="Times New Roman"/>
          <w:lang w:val="en-AU"/>
        </w:rPr>
        <w:t xml:space="preserve">the </w:t>
      </w:r>
      <w:r w:rsidRPr="002018AC">
        <w:rPr>
          <w:rFonts w:cs="Times New Roman"/>
          <w:lang w:val="en-AU"/>
        </w:rPr>
        <w:t>liabilities, because the income statement ratios use continuing operations. A sensitivity calculation is given in Appendix B to show that including held-for-sale items would change the FY2024 current ratio</w:t>
      </w:r>
      <w:r w:rsidR="006D4AEF">
        <w:rPr>
          <w:rFonts w:cs="Times New Roman"/>
          <w:lang w:val="en-AU"/>
        </w:rPr>
        <w:t xml:space="preserve"> </w:t>
      </w:r>
      <w:r w:rsidR="006D4AEF" w:rsidRPr="006D4AEF">
        <w:rPr>
          <w:rFonts w:cs="Times New Roman"/>
          <w:lang w:val="en-AU"/>
        </w:rPr>
        <w:t>(Vodafone Group plc, 2025).</w:t>
      </w:r>
    </w:p>
    <w:p w14:paraId="4446474D" w14:textId="656EA2CD" w:rsidR="00A77462" w:rsidRPr="002018AC" w:rsidRDefault="000A43A6" w:rsidP="000A43A6">
      <w:pPr>
        <w:spacing w:after="0" w:line="240" w:lineRule="auto"/>
        <w:jc w:val="left"/>
        <w:rPr>
          <w:rFonts w:cs="Times New Roman"/>
          <w:lang w:val="en-AU"/>
        </w:rPr>
      </w:pPr>
      <w:r w:rsidRPr="002018AC">
        <w:rPr>
          <w:rFonts w:cs="Times New Roman"/>
          <w:lang w:val="en-AU"/>
        </w:rPr>
        <w:br w:type="page"/>
      </w:r>
    </w:p>
    <w:p w14:paraId="31FEC7DD" w14:textId="088527E9" w:rsidR="00A77462" w:rsidRPr="002018AC" w:rsidRDefault="000C685B" w:rsidP="00695D8D">
      <w:pPr>
        <w:pStyle w:val="Heading2"/>
        <w:numPr>
          <w:ilvl w:val="1"/>
          <w:numId w:val="9"/>
        </w:numPr>
        <w:spacing w:line="276" w:lineRule="auto"/>
        <w:rPr>
          <w:rFonts w:cs="Times New Roman"/>
        </w:rPr>
      </w:pPr>
      <w:bookmarkStart w:id="8" w:name="_Toc227609558"/>
      <w:r w:rsidRPr="002018AC">
        <w:rPr>
          <w:rFonts w:cs="Times New Roman"/>
        </w:rPr>
        <w:lastRenderedPageBreak/>
        <w:t>Ratio R</w:t>
      </w:r>
      <w:r w:rsidR="00A77462" w:rsidRPr="002018AC">
        <w:rPr>
          <w:rFonts w:cs="Times New Roman"/>
        </w:rPr>
        <w:t>esults summary</w:t>
      </w:r>
      <w:bookmarkEnd w:id="8"/>
    </w:p>
    <w:p w14:paraId="16464A18" w14:textId="77777777" w:rsidR="00A77462" w:rsidRPr="002018AC" w:rsidRDefault="00A77462" w:rsidP="00695D8D">
      <w:pPr>
        <w:spacing w:line="276" w:lineRule="auto"/>
        <w:rPr>
          <w:rFonts w:cs="Times New Roman"/>
          <w:lang w:val="en-AU"/>
        </w:rPr>
      </w:pPr>
      <w:r w:rsidRPr="002018AC">
        <w:rPr>
          <w:rFonts w:cs="Times New Roman"/>
          <w:lang w:val="en-AU"/>
        </w:rPr>
        <w:t>The financial-statement inputs come from Vodafone’s FY2025 consolidated income statement, statement of financial position, trade receivables note, trade payables note, EPS/dividend note and funding/net debt reconciliation</w:t>
      </w:r>
      <w:r w:rsidRPr="002018AC">
        <w:rPr>
          <w:rFonts w:cs="Times New Roman"/>
          <w:lang w:val="en-US"/>
        </w:rPr>
        <w:t xml:space="preserve"> </w:t>
      </w:r>
      <w:r w:rsidRPr="002018AC">
        <w:rPr>
          <w:rFonts w:cs="Times New Roman"/>
          <w:lang w:val="en-AU"/>
        </w:rPr>
        <w:t xml:space="preserve">(Vodafone Group plc, 2025). Full workings are shown in Appendix B. </w:t>
      </w:r>
    </w:p>
    <w:tbl>
      <w:tblPr>
        <w:tblStyle w:val="GridTable4-Accent1"/>
        <w:tblW w:w="0" w:type="auto"/>
        <w:tblLook w:val="04A0" w:firstRow="1" w:lastRow="0" w:firstColumn="1" w:lastColumn="0" w:noHBand="0" w:noVBand="1"/>
      </w:tblPr>
      <w:tblGrid>
        <w:gridCol w:w="1599"/>
        <w:gridCol w:w="1874"/>
        <w:gridCol w:w="3593"/>
        <w:gridCol w:w="1142"/>
        <w:gridCol w:w="1142"/>
      </w:tblGrid>
      <w:tr w:rsidR="00A77462" w:rsidRPr="002018AC" w14:paraId="73A9CE9F" w14:textId="77777777" w:rsidTr="000C685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1954846" w14:textId="77777777" w:rsidR="00A77462" w:rsidRPr="002018AC" w:rsidRDefault="00A77462" w:rsidP="00695D8D">
            <w:pPr>
              <w:spacing w:line="276" w:lineRule="auto"/>
              <w:jc w:val="left"/>
              <w:rPr>
                <w:rFonts w:cs="Times New Roman"/>
                <w:lang w:val="en-AU" w:eastAsia="en-AU"/>
              </w:rPr>
            </w:pPr>
            <w:r w:rsidRPr="002018AC">
              <w:rPr>
                <w:rFonts w:cs="Times New Roman"/>
                <w:lang w:val="en-AU" w:eastAsia="en-AU"/>
              </w:rPr>
              <w:t>Ratio category</w:t>
            </w:r>
          </w:p>
        </w:tc>
        <w:tc>
          <w:tcPr>
            <w:tcW w:w="0" w:type="auto"/>
            <w:hideMark/>
          </w:tcPr>
          <w:p w14:paraId="770258D4" w14:textId="77777777" w:rsidR="00A77462" w:rsidRPr="002018AC" w:rsidRDefault="00A77462" w:rsidP="00695D8D">
            <w:pPr>
              <w:spacing w:line="276" w:lineRule="auto"/>
              <w:jc w:val="left"/>
              <w:cnfStyle w:val="100000000000" w:firstRow="1"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Ratio</w:t>
            </w:r>
          </w:p>
        </w:tc>
        <w:tc>
          <w:tcPr>
            <w:tcW w:w="0" w:type="auto"/>
            <w:hideMark/>
          </w:tcPr>
          <w:p w14:paraId="3016AE15" w14:textId="77777777" w:rsidR="00A77462" w:rsidRPr="002018AC" w:rsidRDefault="00A77462" w:rsidP="00695D8D">
            <w:pPr>
              <w:spacing w:line="276" w:lineRule="auto"/>
              <w:jc w:val="left"/>
              <w:cnfStyle w:val="100000000000" w:firstRow="1"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Formula used</w:t>
            </w:r>
          </w:p>
        </w:tc>
        <w:tc>
          <w:tcPr>
            <w:tcW w:w="0" w:type="auto"/>
            <w:hideMark/>
          </w:tcPr>
          <w:p w14:paraId="71213936" w14:textId="77777777" w:rsidR="00A77462" w:rsidRPr="002018AC" w:rsidRDefault="00A77462" w:rsidP="00695D8D">
            <w:pPr>
              <w:spacing w:line="276" w:lineRule="auto"/>
              <w:jc w:val="left"/>
              <w:cnfStyle w:val="100000000000" w:firstRow="1"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FY2025</w:t>
            </w:r>
          </w:p>
        </w:tc>
        <w:tc>
          <w:tcPr>
            <w:tcW w:w="0" w:type="auto"/>
            <w:hideMark/>
          </w:tcPr>
          <w:p w14:paraId="229CC7CD" w14:textId="77777777" w:rsidR="00A77462" w:rsidRPr="002018AC" w:rsidRDefault="00A77462" w:rsidP="00695D8D">
            <w:pPr>
              <w:spacing w:line="276" w:lineRule="auto"/>
              <w:jc w:val="left"/>
              <w:cnfStyle w:val="100000000000" w:firstRow="1"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FY2024</w:t>
            </w:r>
          </w:p>
        </w:tc>
      </w:tr>
      <w:tr w:rsidR="00A77462" w:rsidRPr="002018AC" w14:paraId="072C1566" w14:textId="77777777" w:rsidTr="000C68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468B115" w14:textId="77777777" w:rsidR="00A77462" w:rsidRPr="002018AC" w:rsidRDefault="00A77462" w:rsidP="00695D8D">
            <w:pPr>
              <w:spacing w:line="276" w:lineRule="auto"/>
              <w:rPr>
                <w:rFonts w:cs="Times New Roman"/>
                <w:lang w:val="en-AU" w:eastAsia="en-AU"/>
              </w:rPr>
            </w:pPr>
            <w:r w:rsidRPr="002018AC">
              <w:rPr>
                <w:rFonts w:cs="Times New Roman"/>
                <w:lang w:val="en-AU" w:eastAsia="en-AU"/>
              </w:rPr>
              <w:t>Profitability</w:t>
            </w:r>
          </w:p>
        </w:tc>
        <w:tc>
          <w:tcPr>
            <w:tcW w:w="0" w:type="auto"/>
            <w:hideMark/>
          </w:tcPr>
          <w:p w14:paraId="4F5E4E44"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Gross profit margin</w:t>
            </w:r>
          </w:p>
        </w:tc>
        <w:tc>
          <w:tcPr>
            <w:tcW w:w="0" w:type="auto"/>
            <w:hideMark/>
          </w:tcPr>
          <w:p w14:paraId="6FED6629"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Gross profit / Sales × 100</w:t>
            </w:r>
          </w:p>
        </w:tc>
        <w:tc>
          <w:tcPr>
            <w:tcW w:w="0" w:type="auto"/>
            <w:hideMark/>
          </w:tcPr>
          <w:p w14:paraId="01751C79"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33.43%</w:t>
            </w:r>
          </w:p>
        </w:tc>
        <w:tc>
          <w:tcPr>
            <w:tcW w:w="0" w:type="auto"/>
            <w:hideMark/>
          </w:tcPr>
          <w:p w14:paraId="04D1FEE4"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33.39%</w:t>
            </w:r>
          </w:p>
        </w:tc>
      </w:tr>
      <w:tr w:rsidR="00A77462" w:rsidRPr="002018AC" w14:paraId="7A0E70BE" w14:textId="77777777" w:rsidTr="000C685B">
        <w:tc>
          <w:tcPr>
            <w:cnfStyle w:val="001000000000" w:firstRow="0" w:lastRow="0" w:firstColumn="1" w:lastColumn="0" w:oddVBand="0" w:evenVBand="0" w:oddHBand="0" w:evenHBand="0" w:firstRowFirstColumn="0" w:firstRowLastColumn="0" w:lastRowFirstColumn="0" w:lastRowLastColumn="0"/>
            <w:tcW w:w="0" w:type="auto"/>
            <w:hideMark/>
          </w:tcPr>
          <w:p w14:paraId="413D9B3E" w14:textId="77777777" w:rsidR="00A77462" w:rsidRPr="002018AC" w:rsidRDefault="00A77462" w:rsidP="00695D8D">
            <w:pPr>
              <w:spacing w:line="276" w:lineRule="auto"/>
              <w:rPr>
                <w:rFonts w:cs="Times New Roman"/>
                <w:lang w:val="en-AU" w:eastAsia="en-AU"/>
              </w:rPr>
            </w:pPr>
            <w:r w:rsidRPr="002018AC">
              <w:rPr>
                <w:rFonts w:cs="Times New Roman"/>
                <w:lang w:val="en-AU" w:eastAsia="en-AU"/>
              </w:rPr>
              <w:t>Profitability</w:t>
            </w:r>
          </w:p>
        </w:tc>
        <w:tc>
          <w:tcPr>
            <w:tcW w:w="0" w:type="auto"/>
            <w:hideMark/>
          </w:tcPr>
          <w:p w14:paraId="73796208"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Operating profit margin</w:t>
            </w:r>
          </w:p>
        </w:tc>
        <w:tc>
          <w:tcPr>
            <w:tcW w:w="0" w:type="auto"/>
            <w:hideMark/>
          </w:tcPr>
          <w:p w14:paraId="12B2CE63"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Operating profit / Sales × 100</w:t>
            </w:r>
          </w:p>
        </w:tc>
        <w:tc>
          <w:tcPr>
            <w:tcW w:w="0" w:type="auto"/>
            <w:hideMark/>
          </w:tcPr>
          <w:p w14:paraId="70A45AA4"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-1.10%</w:t>
            </w:r>
          </w:p>
        </w:tc>
        <w:tc>
          <w:tcPr>
            <w:tcW w:w="0" w:type="auto"/>
            <w:hideMark/>
          </w:tcPr>
          <w:p w14:paraId="6C364BFF"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9.98%</w:t>
            </w:r>
          </w:p>
        </w:tc>
      </w:tr>
      <w:tr w:rsidR="00A77462" w:rsidRPr="002018AC" w14:paraId="01324A05" w14:textId="77777777" w:rsidTr="000C68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70813A6" w14:textId="77777777" w:rsidR="00A77462" w:rsidRPr="002018AC" w:rsidRDefault="00A77462" w:rsidP="00695D8D">
            <w:pPr>
              <w:spacing w:line="276" w:lineRule="auto"/>
              <w:rPr>
                <w:rFonts w:cs="Times New Roman"/>
                <w:lang w:val="en-AU" w:eastAsia="en-AU"/>
              </w:rPr>
            </w:pPr>
            <w:r w:rsidRPr="002018AC">
              <w:rPr>
                <w:rFonts w:cs="Times New Roman"/>
                <w:lang w:val="en-AU" w:eastAsia="en-AU"/>
              </w:rPr>
              <w:t>Profitability</w:t>
            </w:r>
          </w:p>
        </w:tc>
        <w:tc>
          <w:tcPr>
            <w:tcW w:w="0" w:type="auto"/>
            <w:hideMark/>
          </w:tcPr>
          <w:p w14:paraId="2BE68D11"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ROCE</w:t>
            </w:r>
          </w:p>
        </w:tc>
        <w:tc>
          <w:tcPr>
            <w:tcW w:w="0" w:type="auto"/>
            <w:hideMark/>
          </w:tcPr>
          <w:p w14:paraId="46BE7CC6"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Operating profit / TALCL × 100</w:t>
            </w:r>
          </w:p>
        </w:tc>
        <w:tc>
          <w:tcPr>
            <w:tcW w:w="0" w:type="auto"/>
            <w:hideMark/>
          </w:tcPr>
          <w:p w14:paraId="14C5893B"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-0.39%</w:t>
            </w:r>
          </w:p>
        </w:tc>
        <w:tc>
          <w:tcPr>
            <w:tcW w:w="0" w:type="auto"/>
            <w:hideMark/>
          </w:tcPr>
          <w:p w14:paraId="792E52FA"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3.56%</w:t>
            </w:r>
          </w:p>
        </w:tc>
      </w:tr>
      <w:tr w:rsidR="00A77462" w:rsidRPr="002018AC" w14:paraId="24A401C6" w14:textId="77777777" w:rsidTr="000C685B">
        <w:tc>
          <w:tcPr>
            <w:cnfStyle w:val="001000000000" w:firstRow="0" w:lastRow="0" w:firstColumn="1" w:lastColumn="0" w:oddVBand="0" w:evenVBand="0" w:oddHBand="0" w:evenHBand="0" w:firstRowFirstColumn="0" w:firstRowLastColumn="0" w:lastRowFirstColumn="0" w:lastRowLastColumn="0"/>
            <w:tcW w:w="0" w:type="auto"/>
            <w:hideMark/>
          </w:tcPr>
          <w:p w14:paraId="014E4569" w14:textId="77777777" w:rsidR="00A77462" w:rsidRPr="002018AC" w:rsidRDefault="00A77462" w:rsidP="00695D8D">
            <w:pPr>
              <w:spacing w:line="276" w:lineRule="auto"/>
              <w:rPr>
                <w:rFonts w:cs="Times New Roman"/>
                <w:lang w:val="en-AU" w:eastAsia="en-AU"/>
              </w:rPr>
            </w:pPr>
            <w:r w:rsidRPr="002018AC">
              <w:rPr>
                <w:rFonts w:cs="Times New Roman"/>
                <w:lang w:val="en-AU" w:eastAsia="en-AU"/>
              </w:rPr>
              <w:t>Efficiency</w:t>
            </w:r>
          </w:p>
        </w:tc>
        <w:tc>
          <w:tcPr>
            <w:tcW w:w="0" w:type="auto"/>
            <w:hideMark/>
          </w:tcPr>
          <w:p w14:paraId="32C98B56"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Asset turnover</w:t>
            </w:r>
          </w:p>
        </w:tc>
        <w:tc>
          <w:tcPr>
            <w:tcW w:w="0" w:type="auto"/>
            <w:hideMark/>
          </w:tcPr>
          <w:p w14:paraId="78F33E70"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Sales / TALCL</w:t>
            </w:r>
          </w:p>
        </w:tc>
        <w:tc>
          <w:tcPr>
            <w:tcW w:w="0" w:type="auto"/>
            <w:hideMark/>
          </w:tcPr>
          <w:p w14:paraId="26AF383A"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0.35x</w:t>
            </w:r>
          </w:p>
        </w:tc>
        <w:tc>
          <w:tcPr>
            <w:tcW w:w="0" w:type="auto"/>
            <w:hideMark/>
          </w:tcPr>
          <w:p w14:paraId="2B0CC9BC"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0.36x</w:t>
            </w:r>
          </w:p>
        </w:tc>
      </w:tr>
      <w:tr w:rsidR="00A77462" w:rsidRPr="002018AC" w14:paraId="1CF77B1A" w14:textId="77777777" w:rsidTr="000C68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2E4BF8D" w14:textId="77777777" w:rsidR="00A77462" w:rsidRPr="002018AC" w:rsidRDefault="00A77462" w:rsidP="00695D8D">
            <w:pPr>
              <w:spacing w:line="276" w:lineRule="auto"/>
              <w:rPr>
                <w:rFonts w:cs="Times New Roman"/>
                <w:lang w:val="en-AU" w:eastAsia="en-AU"/>
              </w:rPr>
            </w:pPr>
            <w:r w:rsidRPr="002018AC">
              <w:rPr>
                <w:rFonts w:cs="Times New Roman"/>
                <w:lang w:val="en-AU" w:eastAsia="en-AU"/>
              </w:rPr>
              <w:t>Efficiency</w:t>
            </w:r>
          </w:p>
        </w:tc>
        <w:tc>
          <w:tcPr>
            <w:tcW w:w="0" w:type="auto"/>
            <w:hideMark/>
          </w:tcPr>
          <w:p w14:paraId="5C956E05"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Debtors days</w:t>
            </w:r>
          </w:p>
        </w:tc>
        <w:tc>
          <w:tcPr>
            <w:tcW w:w="0" w:type="auto"/>
            <w:hideMark/>
          </w:tcPr>
          <w:p w14:paraId="6BAAA1F0"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Debtors / Sales × 365</w:t>
            </w:r>
          </w:p>
        </w:tc>
        <w:tc>
          <w:tcPr>
            <w:tcW w:w="0" w:type="auto"/>
            <w:hideMark/>
          </w:tcPr>
          <w:p w14:paraId="0C135227"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35.64 days</w:t>
            </w:r>
          </w:p>
        </w:tc>
        <w:tc>
          <w:tcPr>
            <w:tcW w:w="0" w:type="auto"/>
            <w:hideMark/>
          </w:tcPr>
          <w:p w14:paraId="5C434D40"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32.63 days</w:t>
            </w:r>
          </w:p>
        </w:tc>
      </w:tr>
      <w:tr w:rsidR="00A77462" w:rsidRPr="002018AC" w14:paraId="1B88778E" w14:textId="77777777" w:rsidTr="000C685B">
        <w:tc>
          <w:tcPr>
            <w:cnfStyle w:val="001000000000" w:firstRow="0" w:lastRow="0" w:firstColumn="1" w:lastColumn="0" w:oddVBand="0" w:evenVBand="0" w:oddHBand="0" w:evenHBand="0" w:firstRowFirstColumn="0" w:firstRowLastColumn="0" w:lastRowFirstColumn="0" w:lastRowLastColumn="0"/>
            <w:tcW w:w="0" w:type="auto"/>
            <w:hideMark/>
          </w:tcPr>
          <w:p w14:paraId="5D3A48AB" w14:textId="77777777" w:rsidR="00A77462" w:rsidRPr="002018AC" w:rsidRDefault="00A77462" w:rsidP="00695D8D">
            <w:pPr>
              <w:spacing w:line="276" w:lineRule="auto"/>
              <w:rPr>
                <w:rFonts w:cs="Times New Roman"/>
                <w:lang w:val="en-AU" w:eastAsia="en-AU"/>
              </w:rPr>
            </w:pPr>
            <w:r w:rsidRPr="002018AC">
              <w:rPr>
                <w:rFonts w:cs="Times New Roman"/>
                <w:lang w:val="en-AU" w:eastAsia="en-AU"/>
              </w:rPr>
              <w:t>Efficiency</w:t>
            </w:r>
          </w:p>
        </w:tc>
        <w:tc>
          <w:tcPr>
            <w:tcW w:w="0" w:type="auto"/>
            <w:hideMark/>
          </w:tcPr>
          <w:p w14:paraId="2002B91D"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Creditor days</w:t>
            </w:r>
          </w:p>
        </w:tc>
        <w:tc>
          <w:tcPr>
            <w:tcW w:w="0" w:type="auto"/>
            <w:hideMark/>
          </w:tcPr>
          <w:p w14:paraId="23846414"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Creditors / COGS × 365</w:t>
            </w:r>
          </w:p>
        </w:tc>
        <w:tc>
          <w:tcPr>
            <w:tcW w:w="0" w:type="auto"/>
            <w:hideMark/>
          </w:tcPr>
          <w:p w14:paraId="2900253D"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90.15 days</w:t>
            </w:r>
          </w:p>
        </w:tc>
        <w:tc>
          <w:tcPr>
            <w:tcW w:w="0" w:type="auto"/>
            <w:hideMark/>
          </w:tcPr>
          <w:p w14:paraId="05A16410"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83.76 days</w:t>
            </w:r>
          </w:p>
        </w:tc>
      </w:tr>
      <w:tr w:rsidR="00A77462" w:rsidRPr="002018AC" w14:paraId="527EA9A2" w14:textId="77777777" w:rsidTr="000C68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D5F4FD6" w14:textId="77777777" w:rsidR="00A77462" w:rsidRPr="002018AC" w:rsidRDefault="00A77462" w:rsidP="00695D8D">
            <w:pPr>
              <w:spacing w:line="276" w:lineRule="auto"/>
              <w:rPr>
                <w:rFonts w:cs="Times New Roman"/>
                <w:lang w:val="en-AU" w:eastAsia="en-AU"/>
              </w:rPr>
            </w:pPr>
            <w:r w:rsidRPr="002018AC">
              <w:rPr>
                <w:rFonts w:cs="Times New Roman"/>
                <w:lang w:val="en-AU" w:eastAsia="en-AU"/>
              </w:rPr>
              <w:t>Efficiency</w:t>
            </w:r>
          </w:p>
        </w:tc>
        <w:tc>
          <w:tcPr>
            <w:tcW w:w="0" w:type="auto"/>
            <w:hideMark/>
          </w:tcPr>
          <w:p w14:paraId="2C86A8FF"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Stock days</w:t>
            </w:r>
          </w:p>
        </w:tc>
        <w:tc>
          <w:tcPr>
            <w:tcW w:w="0" w:type="auto"/>
            <w:hideMark/>
          </w:tcPr>
          <w:p w14:paraId="450E19D3"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Stock / COGS × 365</w:t>
            </w:r>
          </w:p>
        </w:tc>
        <w:tc>
          <w:tcPr>
            <w:tcW w:w="0" w:type="auto"/>
            <w:hideMark/>
          </w:tcPr>
          <w:p w14:paraId="49018FAA"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9.03 days</w:t>
            </w:r>
          </w:p>
        </w:tc>
        <w:tc>
          <w:tcPr>
            <w:tcW w:w="0" w:type="auto"/>
            <w:hideMark/>
          </w:tcPr>
          <w:p w14:paraId="5BF148B2"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8.48 days</w:t>
            </w:r>
          </w:p>
        </w:tc>
      </w:tr>
      <w:tr w:rsidR="00A77462" w:rsidRPr="002018AC" w14:paraId="5CC0D89E" w14:textId="77777777" w:rsidTr="000C685B">
        <w:tc>
          <w:tcPr>
            <w:cnfStyle w:val="001000000000" w:firstRow="0" w:lastRow="0" w:firstColumn="1" w:lastColumn="0" w:oddVBand="0" w:evenVBand="0" w:oddHBand="0" w:evenHBand="0" w:firstRowFirstColumn="0" w:firstRowLastColumn="0" w:lastRowFirstColumn="0" w:lastRowLastColumn="0"/>
            <w:tcW w:w="0" w:type="auto"/>
            <w:hideMark/>
          </w:tcPr>
          <w:p w14:paraId="603E84F1" w14:textId="77777777" w:rsidR="00A77462" w:rsidRPr="002018AC" w:rsidRDefault="00A77462" w:rsidP="00695D8D">
            <w:pPr>
              <w:spacing w:line="276" w:lineRule="auto"/>
              <w:rPr>
                <w:rFonts w:cs="Times New Roman"/>
                <w:lang w:val="en-AU" w:eastAsia="en-AU"/>
              </w:rPr>
            </w:pPr>
            <w:r w:rsidRPr="002018AC">
              <w:rPr>
                <w:rFonts w:cs="Times New Roman"/>
                <w:lang w:val="en-AU" w:eastAsia="en-AU"/>
              </w:rPr>
              <w:t>Efficiency</w:t>
            </w:r>
          </w:p>
        </w:tc>
        <w:tc>
          <w:tcPr>
            <w:tcW w:w="0" w:type="auto"/>
            <w:hideMark/>
          </w:tcPr>
          <w:p w14:paraId="597EEA44"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Stock turnover</w:t>
            </w:r>
          </w:p>
        </w:tc>
        <w:tc>
          <w:tcPr>
            <w:tcW w:w="0" w:type="auto"/>
            <w:hideMark/>
          </w:tcPr>
          <w:p w14:paraId="74EE0EF0"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COGS / Stock</w:t>
            </w:r>
          </w:p>
        </w:tc>
        <w:tc>
          <w:tcPr>
            <w:tcW w:w="0" w:type="auto"/>
            <w:hideMark/>
          </w:tcPr>
          <w:p w14:paraId="6BBFFE07"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40.40x</w:t>
            </w:r>
          </w:p>
        </w:tc>
        <w:tc>
          <w:tcPr>
            <w:tcW w:w="0" w:type="auto"/>
            <w:hideMark/>
          </w:tcPr>
          <w:p w14:paraId="3F8141A9"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43.06x</w:t>
            </w:r>
          </w:p>
        </w:tc>
      </w:tr>
      <w:tr w:rsidR="00A77462" w:rsidRPr="002018AC" w14:paraId="12FFF5F7" w14:textId="77777777" w:rsidTr="000C68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D4318A3" w14:textId="77777777" w:rsidR="00A77462" w:rsidRPr="002018AC" w:rsidRDefault="00A77462" w:rsidP="00695D8D">
            <w:pPr>
              <w:spacing w:line="276" w:lineRule="auto"/>
              <w:rPr>
                <w:rFonts w:cs="Times New Roman"/>
                <w:lang w:val="en-AU" w:eastAsia="en-AU"/>
              </w:rPr>
            </w:pPr>
            <w:r w:rsidRPr="002018AC">
              <w:rPr>
                <w:rFonts w:cs="Times New Roman"/>
                <w:lang w:val="en-AU" w:eastAsia="en-AU"/>
              </w:rPr>
              <w:t>Liquidity</w:t>
            </w:r>
          </w:p>
        </w:tc>
        <w:tc>
          <w:tcPr>
            <w:tcW w:w="0" w:type="auto"/>
            <w:hideMark/>
          </w:tcPr>
          <w:p w14:paraId="42150CFE"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Current ratio</w:t>
            </w:r>
          </w:p>
        </w:tc>
        <w:tc>
          <w:tcPr>
            <w:tcW w:w="0" w:type="auto"/>
            <w:hideMark/>
          </w:tcPr>
          <w:p w14:paraId="3CA035C7"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Current assets / Current liabilities</w:t>
            </w:r>
          </w:p>
        </w:tc>
        <w:tc>
          <w:tcPr>
            <w:tcW w:w="0" w:type="auto"/>
            <w:hideMark/>
          </w:tcPr>
          <w:p w14:paraId="693BF466"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1.26x</w:t>
            </w:r>
          </w:p>
        </w:tc>
        <w:tc>
          <w:tcPr>
            <w:tcW w:w="0" w:type="auto"/>
            <w:hideMark/>
          </w:tcPr>
          <w:p w14:paraId="3C1BD67B"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0.92x</w:t>
            </w:r>
          </w:p>
        </w:tc>
      </w:tr>
      <w:tr w:rsidR="00A77462" w:rsidRPr="002018AC" w14:paraId="160D276B" w14:textId="77777777" w:rsidTr="000C685B">
        <w:tc>
          <w:tcPr>
            <w:cnfStyle w:val="001000000000" w:firstRow="0" w:lastRow="0" w:firstColumn="1" w:lastColumn="0" w:oddVBand="0" w:evenVBand="0" w:oddHBand="0" w:evenHBand="0" w:firstRowFirstColumn="0" w:firstRowLastColumn="0" w:lastRowFirstColumn="0" w:lastRowLastColumn="0"/>
            <w:tcW w:w="0" w:type="auto"/>
            <w:hideMark/>
          </w:tcPr>
          <w:p w14:paraId="008BD0F0" w14:textId="77777777" w:rsidR="00A77462" w:rsidRPr="002018AC" w:rsidRDefault="00A77462" w:rsidP="00695D8D">
            <w:pPr>
              <w:spacing w:line="276" w:lineRule="auto"/>
              <w:rPr>
                <w:rFonts w:cs="Times New Roman"/>
                <w:lang w:val="en-AU" w:eastAsia="en-AU"/>
              </w:rPr>
            </w:pPr>
            <w:r w:rsidRPr="002018AC">
              <w:rPr>
                <w:rFonts w:cs="Times New Roman"/>
                <w:lang w:val="en-AU" w:eastAsia="en-AU"/>
              </w:rPr>
              <w:t>Liquidity</w:t>
            </w:r>
          </w:p>
        </w:tc>
        <w:tc>
          <w:tcPr>
            <w:tcW w:w="0" w:type="auto"/>
            <w:hideMark/>
          </w:tcPr>
          <w:p w14:paraId="0EDB3040"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Quick ratio</w:t>
            </w:r>
          </w:p>
        </w:tc>
        <w:tc>
          <w:tcPr>
            <w:tcW w:w="0" w:type="auto"/>
            <w:hideMark/>
          </w:tcPr>
          <w:p w14:paraId="09D6CF69"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Current assets – Stock / Current liabilities</w:t>
            </w:r>
          </w:p>
        </w:tc>
        <w:tc>
          <w:tcPr>
            <w:tcW w:w="0" w:type="auto"/>
            <w:hideMark/>
          </w:tcPr>
          <w:p w14:paraId="10DFAB0E"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1.23x</w:t>
            </w:r>
          </w:p>
        </w:tc>
        <w:tc>
          <w:tcPr>
            <w:tcW w:w="0" w:type="auto"/>
            <w:hideMark/>
          </w:tcPr>
          <w:p w14:paraId="6FB1E0E2"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0.89x</w:t>
            </w:r>
          </w:p>
        </w:tc>
      </w:tr>
      <w:tr w:rsidR="00A77462" w:rsidRPr="002018AC" w14:paraId="5F335021" w14:textId="77777777" w:rsidTr="000C68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1ADDF8F" w14:textId="77777777" w:rsidR="00A77462" w:rsidRPr="002018AC" w:rsidRDefault="00A77462" w:rsidP="00695D8D">
            <w:pPr>
              <w:spacing w:line="276" w:lineRule="auto"/>
              <w:rPr>
                <w:rFonts w:cs="Times New Roman"/>
                <w:lang w:val="en-AU" w:eastAsia="en-AU"/>
              </w:rPr>
            </w:pPr>
            <w:r w:rsidRPr="002018AC">
              <w:rPr>
                <w:rFonts w:cs="Times New Roman"/>
                <w:lang w:val="en-AU" w:eastAsia="en-AU"/>
              </w:rPr>
              <w:t>Investment</w:t>
            </w:r>
          </w:p>
        </w:tc>
        <w:tc>
          <w:tcPr>
            <w:tcW w:w="0" w:type="auto"/>
            <w:hideMark/>
          </w:tcPr>
          <w:p w14:paraId="56662074"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EPS</w:t>
            </w:r>
          </w:p>
        </w:tc>
        <w:tc>
          <w:tcPr>
            <w:tcW w:w="0" w:type="auto"/>
            <w:hideMark/>
          </w:tcPr>
          <w:p w14:paraId="26F7E220"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Profit after tax attributable to owners / ordinary shares</w:t>
            </w:r>
          </w:p>
        </w:tc>
        <w:tc>
          <w:tcPr>
            <w:tcW w:w="0" w:type="auto"/>
            <w:hideMark/>
          </w:tcPr>
          <w:p w14:paraId="0EAAB341"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-15.94c</w:t>
            </w:r>
          </w:p>
        </w:tc>
        <w:tc>
          <w:tcPr>
            <w:tcW w:w="0" w:type="auto"/>
            <w:hideMark/>
          </w:tcPr>
          <w:p w14:paraId="45AB7EFB"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4.21c</w:t>
            </w:r>
          </w:p>
        </w:tc>
      </w:tr>
      <w:tr w:rsidR="00A77462" w:rsidRPr="002018AC" w14:paraId="2F324538" w14:textId="77777777" w:rsidTr="000C685B">
        <w:tc>
          <w:tcPr>
            <w:cnfStyle w:val="001000000000" w:firstRow="0" w:lastRow="0" w:firstColumn="1" w:lastColumn="0" w:oddVBand="0" w:evenVBand="0" w:oddHBand="0" w:evenHBand="0" w:firstRowFirstColumn="0" w:firstRowLastColumn="0" w:lastRowFirstColumn="0" w:lastRowLastColumn="0"/>
            <w:tcW w:w="0" w:type="auto"/>
            <w:hideMark/>
          </w:tcPr>
          <w:p w14:paraId="4E95DFDF" w14:textId="77777777" w:rsidR="00A77462" w:rsidRPr="002018AC" w:rsidRDefault="00A77462" w:rsidP="00695D8D">
            <w:pPr>
              <w:spacing w:line="276" w:lineRule="auto"/>
              <w:rPr>
                <w:rFonts w:cs="Times New Roman"/>
                <w:lang w:val="en-AU" w:eastAsia="en-AU"/>
              </w:rPr>
            </w:pPr>
            <w:r w:rsidRPr="002018AC">
              <w:rPr>
                <w:rFonts w:cs="Times New Roman"/>
                <w:lang w:val="en-AU" w:eastAsia="en-AU"/>
              </w:rPr>
              <w:t>Investment</w:t>
            </w:r>
          </w:p>
        </w:tc>
        <w:tc>
          <w:tcPr>
            <w:tcW w:w="0" w:type="auto"/>
            <w:hideMark/>
          </w:tcPr>
          <w:p w14:paraId="66BA5EB4"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Dividend cover</w:t>
            </w:r>
          </w:p>
        </w:tc>
        <w:tc>
          <w:tcPr>
            <w:tcW w:w="0" w:type="auto"/>
            <w:hideMark/>
          </w:tcPr>
          <w:p w14:paraId="16D0006D"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Profit after tax attributable to owners / ordinary dividend</w:t>
            </w:r>
          </w:p>
        </w:tc>
        <w:tc>
          <w:tcPr>
            <w:tcW w:w="0" w:type="auto"/>
            <w:hideMark/>
          </w:tcPr>
          <w:p w14:paraId="44AD11B1"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-2.32x</w:t>
            </w:r>
          </w:p>
        </w:tc>
        <w:tc>
          <w:tcPr>
            <w:tcW w:w="0" w:type="auto"/>
            <w:hideMark/>
          </w:tcPr>
          <w:p w14:paraId="3E8C80B4"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0.47x</w:t>
            </w:r>
          </w:p>
        </w:tc>
      </w:tr>
      <w:tr w:rsidR="00A77462" w:rsidRPr="002018AC" w14:paraId="04DBBC21" w14:textId="77777777" w:rsidTr="000C68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696484A" w14:textId="77777777" w:rsidR="00A77462" w:rsidRPr="002018AC" w:rsidRDefault="00A77462" w:rsidP="00695D8D">
            <w:pPr>
              <w:spacing w:line="276" w:lineRule="auto"/>
              <w:rPr>
                <w:rFonts w:cs="Times New Roman"/>
                <w:lang w:val="en-AU" w:eastAsia="en-AU"/>
              </w:rPr>
            </w:pPr>
            <w:r w:rsidRPr="002018AC">
              <w:rPr>
                <w:rFonts w:cs="Times New Roman"/>
                <w:lang w:val="en-AU" w:eastAsia="en-AU"/>
              </w:rPr>
              <w:t>Gearing</w:t>
            </w:r>
          </w:p>
        </w:tc>
        <w:tc>
          <w:tcPr>
            <w:tcW w:w="0" w:type="auto"/>
            <w:hideMark/>
          </w:tcPr>
          <w:p w14:paraId="3E601BA5"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Gearing ratio 1</w:t>
            </w:r>
          </w:p>
        </w:tc>
        <w:tc>
          <w:tcPr>
            <w:tcW w:w="0" w:type="auto"/>
            <w:hideMark/>
          </w:tcPr>
          <w:p w14:paraId="08115DD7"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Loan / TALCL × 100</w:t>
            </w:r>
          </w:p>
        </w:tc>
        <w:tc>
          <w:tcPr>
            <w:tcW w:w="0" w:type="auto"/>
            <w:hideMark/>
          </w:tcPr>
          <w:p w14:paraId="1D49ACDE"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50.25%</w:t>
            </w:r>
          </w:p>
        </w:tc>
        <w:tc>
          <w:tcPr>
            <w:tcW w:w="0" w:type="auto"/>
            <w:hideMark/>
          </w:tcPr>
          <w:p w14:paraId="2E79771F"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55.35%</w:t>
            </w:r>
          </w:p>
        </w:tc>
      </w:tr>
      <w:tr w:rsidR="00A77462" w:rsidRPr="002018AC" w14:paraId="0F2F9909" w14:textId="77777777" w:rsidTr="000C685B">
        <w:tc>
          <w:tcPr>
            <w:cnfStyle w:val="001000000000" w:firstRow="0" w:lastRow="0" w:firstColumn="1" w:lastColumn="0" w:oddVBand="0" w:evenVBand="0" w:oddHBand="0" w:evenHBand="0" w:firstRowFirstColumn="0" w:firstRowLastColumn="0" w:lastRowFirstColumn="0" w:lastRowLastColumn="0"/>
            <w:tcW w:w="0" w:type="auto"/>
            <w:hideMark/>
          </w:tcPr>
          <w:p w14:paraId="7CCCE59F" w14:textId="77777777" w:rsidR="00A77462" w:rsidRPr="002018AC" w:rsidRDefault="00A77462" w:rsidP="00695D8D">
            <w:pPr>
              <w:spacing w:line="276" w:lineRule="auto"/>
              <w:rPr>
                <w:rFonts w:cs="Times New Roman"/>
                <w:lang w:val="en-AU" w:eastAsia="en-AU"/>
              </w:rPr>
            </w:pPr>
            <w:r w:rsidRPr="002018AC">
              <w:rPr>
                <w:rFonts w:cs="Times New Roman"/>
                <w:lang w:val="en-AU" w:eastAsia="en-AU"/>
              </w:rPr>
              <w:t>Gearing</w:t>
            </w:r>
          </w:p>
        </w:tc>
        <w:tc>
          <w:tcPr>
            <w:tcW w:w="0" w:type="auto"/>
            <w:hideMark/>
          </w:tcPr>
          <w:p w14:paraId="5B920856"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Gearing ratio 2</w:t>
            </w:r>
          </w:p>
        </w:tc>
        <w:tc>
          <w:tcPr>
            <w:tcW w:w="0" w:type="auto"/>
            <w:hideMark/>
          </w:tcPr>
          <w:p w14:paraId="0C56A396"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Loan / Net assets × 100</w:t>
            </w:r>
          </w:p>
        </w:tc>
        <w:tc>
          <w:tcPr>
            <w:tcW w:w="0" w:type="auto"/>
            <w:hideMark/>
          </w:tcPr>
          <w:p w14:paraId="72CE6AE2"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98.57%</w:t>
            </w:r>
          </w:p>
        </w:tc>
        <w:tc>
          <w:tcPr>
            <w:tcW w:w="0" w:type="auto"/>
            <w:hideMark/>
          </w:tcPr>
          <w:p w14:paraId="73E7658C"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93.42%</w:t>
            </w:r>
          </w:p>
        </w:tc>
      </w:tr>
      <w:tr w:rsidR="00A77462" w:rsidRPr="002018AC" w14:paraId="3167717C" w14:textId="77777777" w:rsidTr="000C68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00E9469" w14:textId="77777777" w:rsidR="00A77462" w:rsidRPr="002018AC" w:rsidRDefault="00A77462" w:rsidP="00695D8D">
            <w:pPr>
              <w:spacing w:line="276" w:lineRule="auto"/>
              <w:rPr>
                <w:rFonts w:cs="Times New Roman"/>
                <w:lang w:val="en-AU" w:eastAsia="en-AU"/>
              </w:rPr>
            </w:pPr>
            <w:r w:rsidRPr="002018AC">
              <w:rPr>
                <w:rFonts w:cs="Times New Roman"/>
                <w:lang w:val="en-AU" w:eastAsia="en-AU"/>
              </w:rPr>
              <w:t>Gearing</w:t>
            </w:r>
          </w:p>
        </w:tc>
        <w:tc>
          <w:tcPr>
            <w:tcW w:w="0" w:type="auto"/>
            <w:hideMark/>
          </w:tcPr>
          <w:p w14:paraId="3A604514"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Interest cover</w:t>
            </w:r>
          </w:p>
        </w:tc>
        <w:tc>
          <w:tcPr>
            <w:tcW w:w="0" w:type="auto"/>
            <w:hideMark/>
          </w:tcPr>
          <w:p w14:paraId="1A46EE4E"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Operating profit / Interest</w:t>
            </w:r>
          </w:p>
        </w:tc>
        <w:tc>
          <w:tcPr>
            <w:tcW w:w="0" w:type="auto"/>
            <w:hideMark/>
          </w:tcPr>
          <w:p w14:paraId="2E30D83D"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-0.21x</w:t>
            </w:r>
          </w:p>
        </w:tc>
        <w:tc>
          <w:tcPr>
            <w:tcW w:w="0" w:type="auto"/>
            <w:hideMark/>
          </w:tcPr>
          <w:p w14:paraId="22E474F4"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1.40x</w:t>
            </w:r>
          </w:p>
        </w:tc>
      </w:tr>
    </w:tbl>
    <w:p w14:paraId="68796867" w14:textId="30A560C7" w:rsidR="00A77462" w:rsidRPr="002018AC" w:rsidRDefault="00A77462" w:rsidP="00695D8D">
      <w:pPr>
        <w:pStyle w:val="Heading2"/>
        <w:numPr>
          <w:ilvl w:val="1"/>
          <w:numId w:val="9"/>
        </w:numPr>
        <w:spacing w:line="276" w:lineRule="auto"/>
        <w:rPr>
          <w:rFonts w:cs="Times New Roman"/>
        </w:rPr>
      </w:pPr>
      <w:bookmarkStart w:id="9" w:name="_Toc227609559"/>
      <w:r w:rsidRPr="002018AC">
        <w:rPr>
          <w:rFonts w:cs="Times New Roman"/>
        </w:rPr>
        <w:lastRenderedPageBreak/>
        <w:t>Critical evaluation of the ratios</w:t>
      </w:r>
      <w:bookmarkEnd w:id="9"/>
    </w:p>
    <w:p w14:paraId="79BC2A57" w14:textId="77777777" w:rsidR="006D4AEF" w:rsidRDefault="00A77462" w:rsidP="006D4AEF">
      <w:pPr>
        <w:pStyle w:val="Heading3"/>
        <w:numPr>
          <w:ilvl w:val="2"/>
          <w:numId w:val="9"/>
        </w:numPr>
        <w:spacing w:line="276" w:lineRule="auto"/>
        <w:rPr>
          <w:rFonts w:cs="Times New Roman"/>
          <w:lang w:val="en-AU"/>
        </w:rPr>
      </w:pPr>
      <w:bookmarkStart w:id="10" w:name="_Toc227609560"/>
      <w:r w:rsidRPr="002018AC">
        <w:rPr>
          <w:rFonts w:cs="Times New Roman"/>
          <w:lang w:val="en-AU"/>
        </w:rPr>
        <w:t>Profitability</w:t>
      </w:r>
      <w:bookmarkEnd w:id="10"/>
    </w:p>
    <w:p w14:paraId="1A600F28" w14:textId="77777777" w:rsidR="006D4AEF" w:rsidRDefault="006D4AEF" w:rsidP="0066526B">
      <w:pPr>
        <w:rPr>
          <w:lang w:val="en-AU"/>
        </w:rPr>
      </w:pPr>
      <w:bookmarkStart w:id="11" w:name="_Toc227606824"/>
      <w:bookmarkStart w:id="12" w:name="_Toc227607760"/>
      <w:r w:rsidRPr="006D4AEF">
        <w:rPr>
          <w:lang w:val="en-AU"/>
        </w:rPr>
        <w:t>Vodafone’s gross profit margin was almost unchanged, moving only from 33.39% in FY2024 to 33.43% in FY2025. This suggests that the core relationship between revenue and cost of sales did not materially deteriorate. Therefore, it would be inaccurate to argue that Vodafone’s FY2025 loss was caused mainly by a collapse in gross trading margin. The real deterioration occurred below the gross profit line, where operating profit fell from €3.665bn to an operating loss of €411m, and ROCE declined from 3.56% to -0.39% (Vodafone Group plc, 2025).</w:t>
      </w:r>
      <w:bookmarkEnd w:id="11"/>
      <w:bookmarkEnd w:id="12"/>
    </w:p>
    <w:p w14:paraId="7AD1660B" w14:textId="20439A7D" w:rsidR="006D4AEF" w:rsidRDefault="006D4AEF" w:rsidP="0066526B">
      <w:pPr>
        <w:rPr>
          <w:lang w:val="en-AU"/>
        </w:rPr>
      </w:pPr>
      <w:bookmarkStart w:id="13" w:name="_Toc227606825"/>
      <w:bookmarkStart w:id="14" w:name="_Toc227607761"/>
      <w:r w:rsidRPr="006D4AEF">
        <w:rPr>
          <w:lang w:val="en-AU"/>
        </w:rPr>
        <w:t xml:space="preserve">Vodafone’s consolidated income statement shows an impairment charge of €4.515bn in FY2025, while management states that the operating loss was primarily affected </w:t>
      </w:r>
      <w:r w:rsidR="001113CB">
        <w:rPr>
          <w:lang w:val="en-AU"/>
        </w:rPr>
        <w:t>arising from</w:t>
      </w:r>
      <w:r w:rsidRPr="006D4AEF">
        <w:rPr>
          <w:lang w:val="en-AU"/>
        </w:rPr>
        <w:t xml:space="preserve"> goodwill impairments in Germany and Romania totalling €4.5bn (Vodafone Group plc, 2025). The impairment is non-cash in the year recognised, so it does not mean the business suddenly stopped generating cash. Vodafone’s FY2025 adjusted </w:t>
      </w:r>
      <w:proofErr w:type="spellStart"/>
      <w:r w:rsidRPr="006D4AEF">
        <w:rPr>
          <w:lang w:val="en-AU"/>
        </w:rPr>
        <w:t>EBITDAaL</w:t>
      </w:r>
      <w:proofErr w:type="spellEnd"/>
      <w:r w:rsidRPr="006D4AEF">
        <w:rPr>
          <w:lang w:val="en-AU"/>
        </w:rPr>
        <w:t xml:space="preserve"> was €10.932bn, close to FY2024’s €11.019bn, and adjusted free cash flow was €2.5bn. However, the impairment reflects a lower expected recoverable value of assets and therefore directly weakens Vodafone’s ability to earn acceptable returns on invested capital (Vodafone Group plc, 2025).</w:t>
      </w:r>
      <w:bookmarkEnd w:id="13"/>
      <w:bookmarkEnd w:id="14"/>
    </w:p>
    <w:p w14:paraId="3A57D601" w14:textId="1C1E619E" w:rsidR="006D4AEF" w:rsidRDefault="006D4AEF" w:rsidP="0066526B">
      <w:pPr>
        <w:rPr>
          <w:b/>
          <w:lang w:val="en-AU"/>
        </w:rPr>
      </w:pPr>
      <w:bookmarkStart w:id="15" w:name="_Toc227606826"/>
      <w:bookmarkStart w:id="16" w:name="_Toc227607762"/>
      <w:r w:rsidRPr="006D4AEF">
        <w:rPr>
          <w:lang w:val="en-AU"/>
        </w:rPr>
        <w:t xml:space="preserve">Germany is the key concern. Vodafone states that solid growth in other parts of the </w:t>
      </w:r>
      <w:r w:rsidR="001113CB">
        <w:rPr>
          <w:lang w:val="en-AU"/>
        </w:rPr>
        <w:t xml:space="preserve">overall </w:t>
      </w:r>
      <w:r w:rsidRPr="006D4AEF">
        <w:rPr>
          <w:lang w:val="en-AU"/>
        </w:rPr>
        <w:t xml:space="preserve">group </w:t>
      </w:r>
      <w:r w:rsidR="001113CB">
        <w:rPr>
          <w:lang w:val="en-AU"/>
        </w:rPr>
        <w:t xml:space="preserve">growth </w:t>
      </w:r>
      <w:r w:rsidRPr="006D4AEF">
        <w:rPr>
          <w:lang w:val="en-AU"/>
        </w:rPr>
        <w:t xml:space="preserve">was </w:t>
      </w:r>
      <w:r w:rsidR="001113CB">
        <w:rPr>
          <w:lang w:val="en-AU"/>
        </w:rPr>
        <w:t xml:space="preserve">partially negated </w:t>
      </w:r>
      <w:r w:rsidRPr="006D4AEF">
        <w:rPr>
          <w:lang w:val="en-AU"/>
        </w:rPr>
        <w:t>by declin</w:t>
      </w:r>
      <w:r w:rsidR="001113CB">
        <w:rPr>
          <w:lang w:val="en-AU"/>
        </w:rPr>
        <w:t>ing performance</w:t>
      </w:r>
      <w:r w:rsidRPr="006D4AEF">
        <w:rPr>
          <w:lang w:val="en-AU"/>
        </w:rPr>
        <w:t xml:space="preserve"> in Germany, largely </w:t>
      </w:r>
      <w:r w:rsidR="001113CB">
        <w:rPr>
          <w:lang w:val="en-AU"/>
        </w:rPr>
        <w:t>caused</w:t>
      </w:r>
      <w:r w:rsidRPr="006D4AEF">
        <w:rPr>
          <w:lang w:val="en-AU"/>
        </w:rPr>
        <w:t xml:space="preserve"> by </w:t>
      </w:r>
      <w:r w:rsidR="001113CB">
        <w:rPr>
          <w:lang w:val="en-AU"/>
        </w:rPr>
        <w:t xml:space="preserve">regulatory changes affecting television </w:t>
      </w:r>
      <w:proofErr w:type="spellStart"/>
      <w:r w:rsidR="001113CB">
        <w:rPr>
          <w:lang w:val="en-AU"/>
        </w:rPr>
        <w:t>servise</w:t>
      </w:r>
      <w:proofErr w:type="spellEnd"/>
      <w:r w:rsidRPr="006D4AEF">
        <w:rPr>
          <w:lang w:val="en-AU"/>
        </w:rPr>
        <w:t xml:space="preserve"> (Vodafone Group plc, 2025). The ROCE result is particularly weak. Even before benchmarking against peers, a statutory ROCE of -0.39% is not acceptable for a capital-intensive telecoms group. Telecom companies require heavy investment in network infrastructure, technology and spectrum. If returns on that capital base are not demonstrably above the cost of capital, long-term value destruction becomes a real risk (Yang, </w:t>
      </w:r>
      <w:proofErr w:type="spellStart"/>
      <w:r w:rsidRPr="006D4AEF">
        <w:rPr>
          <w:lang w:val="en-AU"/>
        </w:rPr>
        <w:t>Trimi</w:t>
      </w:r>
      <w:proofErr w:type="spellEnd"/>
      <w:r w:rsidRPr="006D4AEF">
        <w:rPr>
          <w:lang w:val="en-AU"/>
        </w:rPr>
        <w:t xml:space="preserve"> and Lee, 2016; Connect Europe, 2025). Vodafone’s own non-GAAP ROCE methodology is more favourable, but the assignment ratio still highlights a valid concern: statutory profitability is inadequate relative to the asset base.</w:t>
      </w:r>
      <w:bookmarkEnd w:id="15"/>
      <w:bookmarkEnd w:id="16"/>
    </w:p>
    <w:p w14:paraId="1C3C667C" w14:textId="2E994D6A" w:rsidR="00A77462" w:rsidRDefault="00A77462" w:rsidP="006D4AEF">
      <w:pPr>
        <w:pStyle w:val="Heading3"/>
        <w:numPr>
          <w:ilvl w:val="2"/>
          <w:numId w:val="9"/>
        </w:numPr>
        <w:spacing w:line="276" w:lineRule="auto"/>
        <w:rPr>
          <w:rFonts w:cs="Times New Roman"/>
          <w:lang w:val="en-AU"/>
        </w:rPr>
      </w:pPr>
      <w:bookmarkStart w:id="17" w:name="_Toc227609561"/>
      <w:r w:rsidRPr="006D4AEF">
        <w:rPr>
          <w:rFonts w:cs="Times New Roman"/>
          <w:lang w:val="en-AU"/>
        </w:rPr>
        <w:t>Efficienc</w:t>
      </w:r>
      <w:r w:rsidR="006D4AEF">
        <w:rPr>
          <w:rFonts w:cs="Times New Roman"/>
          <w:lang w:val="en-AU"/>
        </w:rPr>
        <w:t>y</w:t>
      </w:r>
      <w:bookmarkEnd w:id="17"/>
    </w:p>
    <w:p w14:paraId="6C259D09" w14:textId="77777777" w:rsidR="008B7659" w:rsidRPr="008B7659" w:rsidRDefault="008B7659" w:rsidP="008B7659">
      <w:pPr>
        <w:rPr>
          <w:rFonts w:cs="Times New Roman"/>
          <w:lang w:val="en-AU"/>
        </w:rPr>
      </w:pPr>
      <w:r w:rsidRPr="008B7659">
        <w:rPr>
          <w:rFonts w:cs="Times New Roman"/>
          <w:lang w:val="en-AU"/>
        </w:rPr>
        <w:t xml:space="preserve">Asset turnover was almost unchanged but slightly weaker, falling from 0.36x to 0.35x. This confirms that Vodafone’s substantial asset base continues to generate relatively low sales per euro </w:t>
      </w:r>
      <w:r w:rsidRPr="008B7659">
        <w:rPr>
          <w:rFonts w:cs="Times New Roman"/>
          <w:lang w:val="en-AU"/>
        </w:rPr>
        <w:lastRenderedPageBreak/>
        <w:t xml:space="preserve">of capital employed. In telecoms this is not surprising because the sector is highly capital-intensive, but the result still shows that asset productivity remains structurally low (Yang, </w:t>
      </w:r>
      <w:proofErr w:type="spellStart"/>
      <w:r w:rsidRPr="008B7659">
        <w:rPr>
          <w:rFonts w:cs="Times New Roman"/>
          <w:lang w:val="en-AU"/>
        </w:rPr>
        <w:t>Trimi</w:t>
      </w:r>
      <w:proofErr w:type="spellEnd"/>
      <w:r w:rsidRPr="008B7659">
        <w:rPr>
          <w:rFonts w:cs="Times New Roman"/>
          <w:lang w:val="en-AU"/>
        </w:rPr>
        <w:t xml:space="preserve"> and Lee, 2016; </w:t>
      </w:r>
      <w:proofErr w:type="spellStart"/>
      <w:r w:rsidRPr="008B7659">
        <w:rPr>
          <w:rFonts w:cs="Times New Roman"/>
          <w:lang w:val="en-AU"/>
        </w:rPr>
        <w:t>Ofcom</w:t>
      </w:r>
      <w:proofErr w:type="spellEnd"/>
      <w:r w:rsidRPr="008B7659">
        <w:rPr>
          <w:rFonts w:cs="Times New Roman"/>
          <w:lang w:val="en-AU"/>
        </w:rPr>
        <w:t>, 2025).</w:t>
      </w:r>
    </w:p>
    <w:p w14:paraId="7A064C71" w14:textId="77777777" w:rsidR="008B7659" w:rsidRPr="008B7659" w:rsidRDefault="008B7659" w:rsidP="008B7659">
      <w:pPr>
        <w:rPr>
          <w:rFonts w:cs="Times New Roman"/>
          <w:lang w:val="en-AU"/>
        </w:rPr>
      </w:pPr>
    </w:p>
    <w:p w14:paraId="54346941" w14:textId="5EAF73B9" w:rsidR="00A77462" w:rsidRPr="006D4AEF" w:rsidRDefault="008B7659" w:rsidP="008B7659">
      <w:pPr>
        <w:rPr>
          <w:lang w:val="en-AU"/>
        </w:rPr>
      </w:pPr>
      <w:r w:rsidRPr="008B7659">
        <w:rPr>
          <w:rFonts w:cs="Times New Roman"/>
          <w:lang w:val="en-AU"/>
        </w:rPr>
        <w:t>Debtor days deteriorated to 35.64 days compared with 32.63 days. The increase is not alarming on its own, but it is directionally negative because it implies that Vodafone is taking longer to convert revenue into cash. At Vodafone’s scale, even a movement of three days is financially meaningful. More broadly, working-capital management is well established in the literature as a factor influencing financial performance and liquidity quality (</w:t>
      </w:r>
      <w:proofErr w:type="spellStart"/>
      <w:r w:rsidRPr="008B7659">
        <w:rPr>
          <w:rFonts w:cs="Times New Roman"/>
          <w:lang w:val="en-AU"/>
        </w:rPr>
        <w:t>Deloof</w:t>
      </w:r>
      <w:proofErr w:type="spellEnd"/>
      <w:r w:rsidRPr="008B7659">
        <w:rPr>
          <w:rFonts w:cs="Times New Roman"/>
          <w:lang w:val="en-AU"/>
        </w:rPr>
        <w:t xml:space="preserve">, 2003; </w:t>
      </w:r>
      <w:proofErr w:type="spellStart"/>
      <w:r w:rsidRPr="008B7659">
        <w:rPr>
          <w:rFonts w:cs="Times New Roman"/>
          <w:lang w:val="en-AU"/>
        </w:rPr>
        <w:t>Aktas</w:t>
      </w:r>
      <w:proofErr w:type="spellEnd"/>
      <w:r w:rsidRPr="008B7659">
        <w:rPr>
          <w:rFonts w:cs="Times New Roman"/>
          <w:lang w:val="en-AU"/>
        </w:rPr>
        <w:t xml:space="preserve">, </w:t>
      </w:r>
      <w:proofErr w:type="spellStart"/>
      <w:r w:rsidRPr="008B7659">
        <w:rPr>
          <w:rFonts w:cs="Times New Roman"/>
          <w:lang w:val="en-AU"/>
        </w:rPr>
        <w:t>Croci</w:t>
      </w:r>
      <w:proofErr w:type="spellEnd"/>
      <w:r w:rsidRPr="008B7659">
        <w:rPr>
          <w:rFonts w:cs="Times New Roman"/>
          <w:lang w:val="en-AU"/>
        </w:rPr>
        <w:t xml:space="preserve"> and </w:t>
      </w:r>
      <w:proofErr w:type="spellStart"/>
      <w:r w:rsidRPr="008B7659">
        <w:rPr>
          <w:rFonts w:cs="Times New Roman"/>
          <w:lang w:val="en-AU"/>
        </w:rPr>
        <w:t>Petmezas</w:t>
      </w:r>
      <w:proofErr w:type="spellEnd"/>
      <w:r w:rsidRPr="008B7659">
        <w:rPr>
          <w:rFonts w:cs="Times New Roman"/>
          <w:lang w:val="en-AU"/>
        </w:rPr>
        <w:t>, 2015)</w:t>
      </w:r>
      <w:r w:rsidR="00A77462" w:rsidRPr="006D4AEF">
        <w:rPr>
          <w:rFonts w:cs="Times New Roman"/>
          <w:lang w:val="en-US"/>
        </w:rPr>
        <w:t>.</w:t>
      </w:r>
    </w:p>
    <w:p w14:paraId="79B6C404" w14:textId="2148360F" w:rsidR="00A77462" w:rsidRPr="002018AC" w:rsidRDefault="008B7659" w:rsidP="00695D8D">
      <w:pPr>
        <w:spacing w:line="276" w:lineRule="auto"/>
        <w:rPr>
          <w:rFonts w:eastAsia="Times New Roman" w:cs="Times New Roman"/>
          <w:szCs w:val="24"/>
          <w:lang w:val="en-US"/>
        </w:rPr>
      </w:pPr>
      <w:r w:rsidRPr="008B7659">
        <w:rPr>
          <w:rFonts w:cs="Times New Roman"/>
        </w:rPr>
        <w:t>Creditor days increased to 90.15 days from 83.76 days. This helps short-term liquidity because Vodafone is paying suppliers later, but it does not automatically indicate stronger financial management. Stretching suppliers may protect cash temporarily while creating pressure in supplier relationships or concealing working-capital stress. Vodafone also reports supplier-financing arrangements, including a small volume of reverse factoring where payment terms were extended to 90 days instead of 30. This supports the argument that creditor days should not be celebrated mechanically without considering the underlying financing behaviour (Vodafone Group plc, 2025; Huynh and Le, 2025).</w:t>
      </w:r>
      <w:r w:rsidR="00A77462" w:rsidRPr="002018AC">
        <w:rPr>
          <w:rFonts w:cs="Times New Roman"/>
        </w:rPr>
        <w:t>Creditor days make use of trade payables in Ap</w:t>
      </w:r>
      <w:proofErr w:type="spellStart"/>
      <w:r w:rsidR="00A77462" w:rsidRPr="002018AC">
        <w:rPr>
          <w:rFonts w:eastAsia="Times New Roman" w:cs="Times New Roman"/>
          <w:szCs w:val="24"/>
          <w:lang w:val="en-US"/>
        </w:rPr>
        <w:t>pendix</w:t>
      </w:r>
      <w:proofErr w:type="spellEnd"/>
      <w:r w:rsidR="00A77462" w:rsidRPr="002018AC">
        <w:rPr>
          <w:rFonts w:eastAsia="Times New Roman" w:cs="Times New Roman"/>
          <w:szCs w:val="24"/>
          <w:lang w:val="en-US"/>
        </w:rPr>
        <w:t xml:space="preserve"> A5.</w:t>
      </w:r>
    </w:p>
    <w:p w14:paraId="738AD2BF" w14:textId="016E4EB3" w:rsidR="00A77462" w:rsidRPr="002018AC" w:rsidRDefault="00A77462" w:rsidP="00695D8D">
      <w:pPr>
        <w:spacing w:line="276" w:lineRule="auto"/>
        <w:rPr>
          <w:rFonts w:eastAsia="Times New Roman" w:cs="Times New Roman"/>
          <w:szCs w:val="24"/>
          <w:lang w:val="en-US"/>
        </w:rPr>
      </w:pPr>
      <w:r w:rsidRPr="002018AC">
        <w:rPr>
          <w:rFonts w:eastAsia="Times New Roman" w:cs="Times New Roman"/>
          <w:szCs w:val="24"/>
          <w:lang w:val="en-US"/>
        </w:rPr>
        <w:t xml:space="preserve">The stock days increased to 9.03 days as compared to 8.48 days and the stock turnover decreased to 40.40x </w:t>
      </w:r>
      <w:proofErr w:type="spellStart"/>
      <w:r w:rsidRPr="002018AC">
        <w:rPr>
          <w:rFonts w:eastAsia="Times New Roman" w:cs="Times New Roman"/>
          <w:szCs w:val="24"/>
          <w:lang w:val="en-US"/>
        </w:rPr>
        <w:t>compa</w:t>
      </w:r>
      <w:proofErr w:type="spellEnd"/>
      <w:r w:rsidRPr="002018AC">
        <w:rPr>
          <w:rFonts w:cs="Times New Roman"/>
        </w:rPr>
        <w:t xml:space="preserve">red to 43.06x. This is a slight deterioration, but inventory is not the key ratio for Vodafone. Receivables, payables, capex, spectrum, debt, leases and customer churn issues are much more important </w:t>
      </w:r>
      <w:r w:rsidRPr="002018AC">
        <w:rPr>
          <w:rFonts w:eastAsia="Times New Roman" w:cs="Times New Roman"/>
          <w:szCs w:val="24"/>
          <w:lang w:val="en-US"/>
        </w:rPr>
        <w:t>in a telecoms group than inventory</w:t>
      </w:r>
      <w:r w:rsidR="006D4AEF">
        <w:rPr>
          <w:rFonts w:eastAsia="Times New Roman" w:cs="Times New Roman"/>
          <w:szCs w:val="24"/>
          <w:lang w:val="en-US"/>
        </w:rPr>
        <w:t xml:space="preserve"> </w:t>
      </w:r>
      <w:r w:rsidR="006D4AEF" w:rsidRPr="006D4AEF">
        <w:rPr>
          <w:rFonts w:eastAsia="Times New Roman" w:cs="Times New Roman"/>
          <w:szCs w:val="24"/>
          <w:lang w:val="en-US"/>
        </w:rPr>
        <w:t>(Vodafone Group plc, 2025; Connect Europe, 2025).</w:t>
      </w:r>
    </w:p>
    <w:p w14:paraId="2FC3EEFC" w14:textId="67B2DEB2" w:rsidR="00A77462" w:rsidRPr="002018AC" w:rsidRDefault="000C685B" w:rsidP="00695D8D">
      <w:pPr>
        <w:pStyle w:val="Heading3"/>
        <w:numPr>
          <w:ilvl w:val="2"/>
          <w:numId w:val="9"/>
        </w:numPr>
        <w:spacing w:line="276" w:lineRule="auto"/>
        <w:rPr>
          <w:rFonts w:cs="Times New Roman"/>
          <w:lang w:val="en-US"/>
        </w:rPr>
      </w:pPr>
      <w:bookmarkStart w:id="18" w:name="_Toc227609562"/>
      <w:r w:rsidRPr="002018AC">
        <w:rPr>
          <w:rFonts w:cs="Times New Roman"/>
          <w:lang w:val="en-US"/>
        </w:rPr>
        <w:t>Liquidity</w:t>
      </w:r>
      <w:bookmarkEnd w:id="18"/>
    </w:p>
    <w:p w14:paraId="7F3A45CC" w14:textId="17C381DD" w:rsidR="008B7659" w:rsidRPr="008B7659" w:rsidRDefault="008B7659" w:rsidP="0066526B">
      <w:pPr>
        <w:rPr>
          <w:b/>
          <w:lang w:val="en-US"/>
        </w:rPr>
      </w:pPr>
      <w:bookmarkStart w:id="19" w:name="_Toc227606829"/>
      <w:bookmarkStart w:id="20" w:name="_Toc227607765"/>
      <w:r w:rsidRPr="008B7659">
        <w:rPr>
          <w:lang w:val="en-US"/>
        </w:rPr>
        <w:t xml:space="preserve">Using the continuing-operations basis, the current ratio increased to 1.26x from 0.92x and the quick ratio improved to 1.23x from 0.89x. This is a notable improvement because in FY2024 current liabilities exceeded current assets, whereas in FY2025 current assets exceeded current liabilities. Vodafone’s current assets rose to €28.6bn, mainly because of increases in cash </w:t>
      </w:r>
      <w:r w:rsidR="001113CB">
        <w:rPr>
          <w:lang w:val="en-US"/>
        </w:rPr>
        <w:t>balance</w:t>
      </w:r>
      <w:r w:rsidRPr="008B7659">
        <w:rPr>
          <w:lang w:val="en-US"/>
        </w:rPr>
        <w:t xml:space="preserve">, trade and other receivables, and other </w:t>
      </w:r>
      <w:r w:rsidR="001113CB">
        <w:rPr>
          <w:lang w:val="en-US"/>
        </w:rPr>
        <w:t>short term assets</w:t>
      </w:r>
      <w:r w:rsidRPr="008B7659">
        <w:rPr>
          <w:lang w:val="en-US"/>
        </w:rPr>
        <w:t xml:space="preserve"> (Vodafone Group plc, 2025).</w:t>
      </w:r>
      <w:bookmarkEnd w:id="19"/>
      <w:bookmarkEnd w:id="20"/>
    </w:p>
    <w:p w14:paraId="32794FE5" w14:textId="77777777" w:rsidR="008B7659" w:rsidRDefault="008B7659" w:rsidP="0066526B">
      <w:pPr>
        <w:rPr>
          <w:b/>
          <w:lang w:val="en-US"/>
        </w:rPr>
      </w:pPr>
      <w:bookmarkStart w:id="21" w:name="_Toc227606830"/>
      <w:bookmarkStart w:id="22" w:name="_Toc227607766"/>
      <w:r w:rsidRPr="008B7659">
        <w:rPr>
          <w:lang w:val="en-US"/>
        </w:rPr>
        <w:t xml:space="preserve">This improvement should not, however, be overstated. A current ratio above 1.0 is encouraging, but part of the movement reflects disposals and balance-sheet restructuring. In addition, not all current assets are equally liquid or equally available for debt service. The quick ratio of 1.23x </w:t>
      </w:r>
      <w:r w:rsidRPr="008B7659">
        <w:rPr>
          <w:lang w:val="en-US"/>
        </w:rPr>
        <w:lastRenderedPageBreak/>
        <w:t>looks stronger, but it still includes receivables, other investments and derivative items rather than pure cash. The proper conclusion is that short-term liquidity has improved, but that this does not remove the need for tight cash-flow control in a highly leveraged, capital-intensive business (Khoza, 2025; Vodafone Group plc, 2025).</w:t>
      </w:r>
      <w:bookmarkEnd w:id="21"/>
      <w:bookmarkEnd w:id="22"/>
    </w:p>
    <w:p w14:paraId="1BA09C0A" w14:textId="77777777" w:rsidR="008B7659" w:rsidRDefault="008B7659" w:rsidP="0066526B">
      <w:pPr>
        <w:rPr>
          <w:b/>
          <w:lang w:val="en-US"/>
        </w:rPr>
      </w:pPr>
      <w:bookmarkStart w:id="23" w:name="_Toc227606831"/>
      <w:bookmarkStart w:id="24" w:name="_Toc227607767"/>
      <w:r w:rsidRPr="008B7659">
        <w:rPr>
          <w:lang w:val="en-US"/>
        </w:rPr>
        <w:t>The FY2024 presentation is also sensitive to classification choices. Vodafone Spain and Vodafone Italy were held for sale at 31 March 2024, with assets held for sale of €19.047bn and liabilities held for sale of €6.918bn. If these items were included, FY2024’s current ratio would be 1.35x rather than 0.92x. Excluding them is cleaner because FY2025 does not contain similar held-for-sale balances and the income statement in the main analysis is based on continuing operations. This reinforces an important point: ratio analysis is not purely mechanical and still requires accounting judgement (Vodafone Group plc, 2025; Ali Abebe, 2022).</w:t>
      </w:r>
      <w:bookmarkEnd w:id="23"/>
      <w:bookmarkEnd w:id="24"/>
    </w:p>
    <w:p w14:paraId="11BCDD24" w14:textId="5A6AC059" w:rsidR="008B7659" w:rsidRPr="008B7659" w:rsidRDefault="00A77462" w:rsidP="008B7659">
      <w:pPr>
        <w:pStyle w:val="Heading3"/>
        <w:numPr>
          <w:ilvl w:val="2"/>
          <w:numId w:val="9"/>
        </w:numPr>
        <w:spacing w:line="276" w:lineRule="auto"/>
        <w:rPr>
          <w:rFonts w:cs="Times New Roman"/>
          <w:lang w:val="en-AU"/>
        </w:rPr>
      </w:pPr>
      <w:bookmarkStart w:id="25" w:name="_Toc227609563"/>
      <w:r w:rsidRPr="008B7659">
        <w:rPr>
          <w:rFonts w:cs="Times New Roman"/>
          <w:lang w:val="en-AU"/>
        </w:rPr>
        <w:t>Investment ratios</w:t>
      </w:r>
      <w:bookmarkEnd w:id="25"/>
    </w:p>
    <w:p w14:paraId="744BC26D" w14:textId="77777777" w:rsidR="00A77462" w:rsidRPr="002018AC" w:rsidRDefault="00A77462" w:rsidP="00695D8D">
      <w:pPr>
        <w:spacing w:line="276" w:lineRule="auto"/>
        <w:rPr>
          <w:rFonts w:cs="Times New Roman"/>
          <w:lang w:val="en-AU"/>
        </w:rPr>
      </w:pPr>
      <w:r w:rsidRPr="002018AC">
        <w:rPr>
          <w:rFonts w:cs="Times New Roman"/>
        </w:rPr>
        <w:t>EPS declined drastically to -15.94 eurocents as compared to 4.21 eurocents. This is the outcome of Vodafone’s loss attributable to owners of €4.169bn in FY2025 as opposed to profit attributable to owners of €1.140bn in FY2024. The EPS outcome is drastic; however, once again it must be explained: it is influenced by impairment charges, tax effects, and operating performance. Vodafone’s own adjusted EPS was</w:t>
      </w:r>
      <w:r w:rsidRPr="002018AC">
        <w:rPr>
          <w:rFonts w:cs="Times New Roman"/>
          <w:lang w:val="en-AU"/>
        </w:rPr>
        <w:t xml:space="preserve"> positive, but the statutory EPS ratio required by the assignment is negative and should not be ignored. EPS and dividend cover are calculated from Appendix A6. </w:t>
      </w:r>
    </w:p>
    <w:p w14:paraId="196ED619" w14:textId="6E941D8D" w:rsidR="00A437F7" w:rsidRDefault="00A77462" w:rsidP="00695D8D">
      <w:pPr>
        <w:spacing w:line="276" w:lineRule="auto"/>
        <w:rPr>
          <w:rFonts w:cs="Times New Roman"/>
          <w:lang w:val="en-AU"/>
        </w:rPr>
      </w:pPr>
      <w:r w:rsidRPr="002018AC">
        <w:rPr>
          <w:rFonts w:cs="Times New Roman"/>
          <w:lang w:val="en-AU"/>
        </w:rPr>
        <w:t>Dividend cover is poor in both years. In FY2024, dividend cover was only 0.47x, meaning dividends declared were not covered by profit attributable to owners. In FY2025, dividend cover was -2.32x, because Vodafone made a statutory loss while still declaring dividends. Vodafone rebased the FY2025 dividend to 4.5 eurocents per share, which is more conservative than the FY2024 dividend of 9.0 eurocents, but the key point remains: statutory profit did not cover shareholder distributions</w:t>
      </w:r>
      <w:r w:rsidR="000C685B" w:rsidRPr="002018AC">
        <w:rPr>
          <w:rFonts w:cs="Times New Roman"/>
          <w:lang w:val="en-AU"/>
        </w:rPr>
        <w:t xml:space="preserve"> </w:t>
      </w:r>
      <w:r w:rsidRPr="002018AC">
        <w:rPr>
          <w:rFonts w:cs="Times New Roman"/>
          <w:lang w:val="en-AU"/>
        </w:rPr>
        <w:t>(Vodafone Group plc, 2025).</w:t>
      </w:r>
    </w:p>
    <w:p w14:paraId="26B450FF" w14:textId="3461D5F2" w:rsidR="00A77462" w:rsidRPr="002018AC" w:rsidRDefault="00A77462" w:rsidP="00A437F7">
      <w:pPr>
        <w:spacing w:after="0" w:line="240" w:lineRule="auto"/>
        <w:jc w:val="left"/>
        <w:rPr>
          <w:rFonts w:cs="Times New Roman"/>
          <w:lang w:val="en-AU"/>
        </w:rPr>
      </w:pPr>
    </w:p>
    <w:p w14:paraId="4C18325B" w14:textId="7E1C0910" w:rsidR="00A77462" w:rsidRPr="002018AC" w:rsidRDefault="00A77462" w:rsidP="00695D8D">
      <w:pPr>
        <w:pStyle w:val="Heading3"/>
        <w:numPr>
          <w:ilvl w:val="2"/>
          <w:numId w:val="9"/>
        </w:numPr>
        <w:spacing w:line="276" w:lineRule="auto"/>
        <w:rPr>
          <w:rFonts w:cs="Times New Roman"/>
          <w:lang w:val="en-AU"/>
        </w:rPr>
      </w:pPr>
      <w:bookmarkStart w:id="26" w:name="_Toc227609564"/>
      <w:r w:rsidRPr="002018AC">
        <w:rPr>
          <w:rFonts w:cs="Times New Roman"/>
          <w:lang w:val="en-AU"/>
        </w:rPr>
        <w:t>Gearing and interest cover</w:t>
      </w:r>
      <w:bookmarkEnd w:id="26"/>
    </w:p>
    <w:p w14:paraId="5750AC84" w14:textId="77777777" w:rsidR="00A77462" w:rsidRPr="002018AC" w:rsidRDefault="00A77462" w:rsidP="00695D8D">
      <w:pPr>
        <w:spacing w:line="276" w:lineRule="auto"/>
        <w:rPr>
          <w:rFonts w:cs="Times New Roman"/>
        </w:rPr>
      </w:pPr>
      <w:r w:rsidRPr="002018AC">
        <w:rPr>
          <w:rFonts w:eastAsia="Times New Roman" w:cs="Times New Roman"/>
          <w:szCs w:val="24"/>
          <w:lang w:val="en-US"/>
        </w:rPr>
        <w:t xml:space="preserve">The gearing ratio </w:t>
      </w:r>
      <w:r w:rsidRPr="002018AC">
        <w:rPr>
          <w:rFonts w:cs="Times New Roman"/>
        </w:rPr>
        <w:t>1 has also improved as it decreased to 50.25% as compared to 55.35% as borrowings have decreased and the capital employed has increased slightly on the continuing basis. This looks positive. Vodafone’s borrowings fell from €56.987bn to €53.143bn, and net debt fell from €33.242bn to €22.397bn. The reduction in net debt was primarily due to disposal proceeds and free cash inflow, which was partially offset by dividends, share buybacks and repayment of borrowings secured against Indian assets (Vodafone Group plc, 2025).</w:t>
      </w:r>
    </w:p>
    <w:p w14:paraId="4CF72D87" w14:textId="429A25EF" w:rsidR="00A77462" w:rsidRPr="002018AC" w:rsidRDefault="008B7659" w:rsidP="00695D8D">
      <w:pPr>
        <w:spacing w:line="276" w:lineRule="auto"/>
        <w:rPr>
          <w:rFonts w:eastAsia="Times New Roman" w:cs="Times New Roman"/>
          <w:szCs w:val="24"/>
          <w:lang w:val="en-US"/>
        </w:rPr>
      </w:pPr>
      <w:r w:rsidRPr="008B7659">
        <w:rPr>
          <w:rFonts w:eastAsia="Times New Roman" w:cs="Times New Roman"/>
          <w:szCs w:val="24"/>
          <w:lang w:val="en-US"/>
        </w:rPr>
        <w:lastRenderedPageBreak/>
        <w:t xml:space="preserve">However, gearing ratio 2 worsened from 93.42% to 98.57% because net assets declined from €60.998bn to €53.916bn. This is the harsher balance-sheet view: Vodafone reduced debt, but equity weakened even more. The correct interpretation is therefore mixed. Debt and net debt declined, but debt relative to net assets deteriorated because the equity base weakened. This is important because leverage should be judged not only by borrowings in isolation, but also by the resilience of the equity cushion beneath them (Vodafone Group plc, 2025; </w:t>
      </w:r>
      <w:proofErr w:type="spellStart"/>
      <w:r w:rsidRPr="008B7659">
        <w:rPr>
          <w:rFonts w:eastAsia="Times New Roman" w:cs="Times New Roman"/>
          <w:szCs w:val="24"/>
          <w:lang w:val="en-US"/>
        </w:rPr>
        <w:t>Arhinful</w:t>
      </w:r>
      <w:proofErr w:type="spellEnd"/>
      <w:r w:rsidRPr="008B7659">
        <w:rPr>
          <w:rFonts w:eastAsia="Times New Roman" w:cs="Times New Roman"/>
          <w:szCs w:val="24"/>
          <w:lang w:val="en-US"/>
        </w:rPr>
        <w:t xml:space="preserve"> and </w:t>
      </w:r>
      <w:proofErr w:type="spellStart"/>
      <w:r w:rsidRPr="008B7659">
        <w:rPr>
          <w:rFonts w:eastAsia="Times New Roman" w:cs="Times New Roman"/>
          <w:szCs w:val="24"/>
          <w:lang w:val="en-US"/>
        </w:rPr>
        <w:t>Radmehr</w:t>
      </w:r>
      <w:proofErr w:type="spellEnd"/>
      <w:r w:rsidRPr="008B7659">
        <w:rPr>
          <w:rFonts w:eastAsia="Times New Roman" w:cs="Times New Roman"/>
          <w:szCs w:val="24"/>
          <w:lang w:val="en-US"/>
        </w:rPr>
        <w:t>, 2023).</w:t>
      </w:r>
      <w:r w:rsidR="00A77462" w:rsidRPr="002018AC">
        <w:rPr>
          <w:rFonts w:eastAsia="Times New Roman" w:cs="Times New Roman"/>
          <w:szCs w:val="24"/>
          <w:lang w:val="en-US"/>
        </w:rPr>
        <w:t>. The cross-checking of borrowings and net debt is done with Appendix A7.</w:t>
      </w:r>
    </w:p>
    <w:p w14:paraId="419A6B42" w14:textId="25082150" w:rsidR="00A77462" w:rsidRPr="002018AC" w:rsidRDefault="008B7659" w:rsidP="00695D8D">
      <w:pPr>
        <w:spacing w:line="276" w:lineRule="auto"/>
        <w:rPr>
          <w:rFonts w:eastAsia="Times New Roman" w:cs="Times New Roman"/>
          <w:szCs w:val="24"/>
          <w:lang w:val="en-US"/>
        </w:rPr>
      </w:pPr>
      <w:r>
        <w:rPr>
          <w:rFonts w:eastAsia="Times New Roman" w:cs="Times New Roman"/>
          <w:szCs w:val="24"/>
          <w:lang w:val="en-US"/>
        </w:rPr>
        <w:t>I</w:t>
      </w:r>
      <w:r w:rsidRPr="008B7659">
        <w:rPr>
          <w:rFonts w:eastAsia="Times New Roman" w:cs="Times New Roman"/>
          <w:szCs w:val="24"/>
          <w:lang w:val="en-US"/>
        </w:rPr>
        <w:t xml:space="preserve">nterest cover is also weak. The FY2024 figure of 1.40x was already thin, and the FY2025 figure of -0.21x is clearly unacceptable under the assignment formula because operating profit turned negative. It is true that the FY2025 operating loss includes non-cash impairment, so cash-based interest cover would be more </w:t>
      </w:r>
      <w:proofErr w:type="spellStart"/>
      <w:r w:rsidRPr="008B7659">
        <w:rPr>
          <w:rFonts w:eastAsia="Times New Roman" w:cs="Times New Roman"/>
          <w:szCs w:val="24"/>
          <w:lang w:val="en-US"/>
        </w:rPr>
        <w:t>favourable</w:t>
      </w:r>
      <w:proofErr w:type="spellEnd"/>
      <w:r w:rsidRPr="008B7659">
        <w:rPr>
          <w:rFonts w:eastAsia="Times New Roman" w:cs="Times New Roman"/>
          <w:szCs w:val="24"/>
          <w:lang w:val="en-US"/>
        </w:rPr>
        <w:t xml:space="preserve"> than the statutory figure suggests. Even so, directors should not use that as an excuse. Finance costs remain substantial and Vodafone’s capital allocation should </w:t>
      </w:r>
      <w:proofErr w:type="spellStart"/>
      <w:r w:rsidRPr="008B7659">
        <w:rPr>
          <w:rFonts w:eastAsia="Times New Roman" w:cs="Times New Roman"/>
          <w:szCs w:val="24"/>
          <w:lang w:val="en-US"/>
        </w:rPr>
        <w:t>prioritise</w:t>
      </w:r>
      <w:proofErr w:type="spellEnd"/>
      <w:r w:rsidRPr="008B7659">
        <w:rPr>
          <w:rFonts w:eastAsia="Times New Roman" w:cs="Times New Roman"/>
          <w:szCs w:val="24"/>
          <w:lang w:val="en-US"/>
        </w:rPr>
        <w:t xml:space="preserve"> creditor confidence, cash generation and balance-sheet resilience (Vodafone Group plc, 2025; </w:t>
      </w:r>
      <w:proofErr w:type="spellStart"/>
      <w:r w:rsidRPr="008B7659">
        <w:rPr>
          <w:rFonts w:eastAsia="Times New Roman" w:cs="Times New Roman"/>
          <w:szCs w:val="24"/>
          <w:lang w:val="en-US"/>
        </w:rPr>
        <w:t>Habibniya</w:t>
      </w:r>
      <w:proofErr w:type="spellEnd"/>
      <w:r w:rsidRPr="008B7659">
        <w:rPr>
          <w:rFonts w:eastAsia="Times New Roman" w:cs="Times New Roman"/>
          <w:szCs w:val="24"/>
          <w:lang w:val="en-US"/>
        </w:rPr>
        <w:t xml:space="preserve"> et al., 2022).</w:t>
      </w:r>
    </w:p>
    <w:p w14:paraId="5C11AD4C" w14:textId="08761609" w:rsidR="00A77462" w:rsidRPr="002018AC" w:rsidRDefault="00A77462" w:rsidP="00695D8D">
      <w:pPr>
        <w:pStyle w:val="Heading3"/>
        <w:numPr>
          <w:ilvl w:val="2"/>
          <w:numId w:val="9"/>
        </w:numPr>
        <w:spacing w:line="276" w:lineRule="auto"/>
        <w:rPr>
          <w:rFonts w:cs="Times New Roman"/>
          <w:lang w:val="en-US"/>
        </w:rPr>
      </w:pPr>
      <w:bookmarkStart w:id="27" w:name="_Toc227609565"/>
      <w:r w:rsidRPr="002018AC">
        <w:rPr>
          <w:rFonts w:cs="Times New Roman"/>
          <w:lang w:val="en-US"/>
        </w:rPr>
        <w:t>Weaknesses of Ratio analysis</w:t>
      </w:r>
      <w:bookmarkEnd w:id="27"/>
    </w:p>
    <w:p w14:paraId="2D323326" w14:textId="77777777" w:rsidR="00A77462" w:rsidRPr="002018AC" w:rsidRDefault="00A77462" w:rsidP="00695D8D">
      <w:pPr>
        <w:spacing w:line="276" w:lineRule="auto"/>
        <w:rPr>
          <w:rFonts w:cs="Times New Roman"/>
          <w:lang w:val="en-US"/>
        </w:rPr>
      </w:pPr>
      <w:r w:rsidRPr="002018AC">
        <w:rPr>
          <w:rFonts w:cs="Times New Roman"/>
          <w:lang w:val="en-US"/>
        </w:rPr>
        <w:t>The reason why ratio analysis is a good tool is that it transforms the information contained in financial statements into similar measures of profitability, liquidity, efficiency and solvency. The recent scholarly literature still considers financial ratios as a valuable instrument in evaluating the performance of firms, yet it also demonstrates that their interpretation is strongly reliant on accounting frameworks and contexts. The analysis of IFRS and financial ratios conducted by Ali Abebe (2022), such as the liquidity, leverage and return measures, indicates that IFRS may have a considerable impact.</w:t>
      </w:r>
    </w:p>
    <w:p w14:paraId="3F359482" w14:textId="77777777" w:rsidR="008B7659" w:rsidRDefault="008B7659" w:rsidP="00695D8D">
      <w:pPr>
        <w:spacing w:line="276" w:lineRule="auto"/>
        <w:rPr>
          <w:rFonts w:cs="Times New Roman"/>
          <w:lang w:val="en-US"/>
        </w:rPr>
      </w:pPr>
      <w:r w:rsidRPr="008B7659">
        <w:rPr>
          <w:rFonts w:cs="Times New Roman"/>
          <w:lang w:val="en-US"/>
        </w:rPr>
        <w:t xml:space="preserve">The first weakness is that ratios are backward-looking. Vodafone’s FY2025 ratios show the position after a major restructuring of the group, but they do not on their own predict whether Germany will recover, whether the UK merger will create value, or whether Africa and Business will continue to grow. Financial analysis therefore requires strategic interpretation and cannot be reduced to arithmetic alone (Vodafone Group plc, 2025; Hartmann and </w:t>
      </w:r>
      <w:proofErr w:type="spellStart"/>
      <w:r w:rsidRPr="008B7659">
        <w:rPr>
          <w:rFonts w:cs="Times New Roman"/>
          <w:lang w:val="en-US"/>
        </w:rPr>
        <w:t>Weißenberger</w:t>
      </w:r>
      <w:proofErr w:type="spellEnd"/>
      <w:r w:rsidRPr="008B7659">
        <w:rPr>
          <w:rFonts w:cs="Times New Roman"/>
          <w:lang w:val="en-US"/>
        </w:rPr>
        <w:t>, 2024).</w:t>
      </w:r>
    </w:p>
    <w:p w14:paraId="29F76302" w14:textId="77777777" w:rsidR="008B7659" w:rsidRDefault="008B7659" w:rsidP="00695D8D">
      <w:pPr>
        <w:spacing w:line="276" w:lineRule="auto"/>
        <w:rPr>
          <w:rFonts w:cs="Times New Roman"/>
          <w:lang w:val="en-US"/>
        </w:rPr>
      </w:pPr>
      <w:r w:rsidRPr="008B7659">
        <w:rPr>
          <w:rFonts w:cs="Times New Roman"/>
          <w:lang w:val="en-US"/>
        </w:rPr>
        <w:t>The second weakness is accounting classification. Vodafone’s FY2024 balance sheet included assets and liabilities held for sale in Spain and Italy, while the income statement was re-presented for continuing operations. If an analyst automatically includes all current assets and current liabilities, liquidity ratios change materially. Likewise, impairment charges distort statutory profitability and ROCE even though they may still reflect genuine economic deterioration in recoverable value (Vodafone Group plc, 2025; Ali Abebe, 2022).</w:t>
      </w:r>
    </w:p>
    <w:p w14:paraId="31127379" w14:textId="77777777" w:rsidR="008B7659" w:rsidRDefault="008B7659" w:rsidP="00695D8D">
      <w:pPr>
        <w:spacing w:line="276" w:lineRule="auto"/>
        <w:rPr>
          <w:rFonts w:cs="Times New Roman"/>
          <w:lang w:val="en-US"/>
        </w:rPr>
      </w:pPr>
      <w:r w:rsidRPr="008B7659">
        <w:rPr>
          <w:rFonts w:cs="Times New Roman"/>
          <w:lang w:val="en-US"/>
        </w:rPr>
        <w:t xml:space="preserve">The third weakness is that conventional ratios do not fully show cash-flow reality. </w:t>
      </w:r>
      <w:proofErr w:type="spellStart"/>
      <w:r w:rsidRPr="008B7659">
        <w:rPr>
          <w:rFonts w:cs="Times New Roman"/>
          <w:lang w:val="en-US"/>
        </w:rPr>
        <w:t>Seretidou</w:t>
      </w:r>
      <w:proofErr w:type="spellEnd"/>
      <w:r w:rsidRPr="008B7659">
        <w:rPr>
          <w:rFonts w:cs="Times New Roman"/>
          <w:lang w:val="en-US"/>
        </w:rPr>
        <w:t xml:space="preserve"> et al. (2025) argue that cash-flow-based ratios are increasingly valued because they provide a more dynamic picture of liquidity and financial health. This matters in Vodafone’s case because </w:t>
      </w:r>
      <w:r w:rsidRPr="008B7659">
        <w:rPr>
          <w:rFonts w:cs="Times New Roman"/>
          <w:lang w:val="en-US"/>
        </w:rPr>
        <w:lastRenderedPageBreak/>
        <w:t>statutory operating loss and negative EPS coexist with positive adjusted free cash flow (</w:t>
      </w:r>
      <w:proofErr w:type="spellStart"/>
      <w:r w:rsidRPr="008B7659">
        <w:rPr>
          <w:rFonts w:cs="Times New Roman"/>
          <w:lang w:val="en-US"/>
        </w:rPr>
        <w:t>Seretidou</w:t>
      </w:r>
      <w:proofErr w:type="spellEnd"/>
      <w:r w:rsidRPr="008B7659">
        <w:rPr>
          <w:rFonts w:cs="Times New Roman"/>
          <w:lang w:val="en-US"/>
        </w:rPr>
        <w:t xml:space="preserve"> et al., 2025; Vodafone Group plc, 2025).</w:t>
      </w:r>
    </w:p>
    <w:p w14:paraId="200F886F" w14:textId="6A973584" w:rsidR="00A77462" w:rsidRPr="002018AC" w:rsidRDefault="008B7659" w:rsidP="00695D8D">
      <w:pPr>
        <w:spacing w:line="276" w:lineRule="auto"/>
        <w:rPr>
          <w:rFonts w:cs="Times New Roman"/>
          <w:lang w:val="en-US"/>
        </w:rPr>
      </w:pPr>
      <w:r w:rsidRPr="008B7659">
        <w:rPr>
          <w:rFonts w:cs="Times New Roman"/>
          <w:lang w:val="en-US"/>
        </w:rPr>
        <w:t xml:space="preserve">The fourth weakness is that ratios do not capture sector economics properly. Telecoms is highly capital-intensive and tightly regulated, and operators face large continuing investment requirements. Connect Europe (2025) reports that European telecom revenue fell in real terms despite inflation, while GSMA Intelligence (2025) argues that 5G could generate major economic value in Europe by 2030. This means Vodafone must keep investing to meet future demand while operating under return pressure. Ratio analysis alone cannot fully capture that trade-off (Connect Europe, 2025; GSMA Intelligence, 2025; </w:t>
      </w:r>
      <w:proofErr w:type="spellStart"/>
      <w:r w:rsidRPr="008B7659">
        <w:rPr>
          <w:rFonts w:cs="Times New Roman"/>
          <w:lang w:val="en-US"/>
        </w:rPr>
        <w:t>Ofcom</w:t>
      </w:r>
      <w:proofErr w:type="spellEnd"/>
      <w:r w:rsidRPr="008B7659">
        <w:rPr>
          <w:rFonts w:cs="Times New Roman"/>
          <w:lang w:val="en-US"/>
        </w:rPr>
        <w:t>, 2025).</w:t>
      </w:r>
    </w:p>
    <w:p w14:paraId="57FAA744" w14:textId="6BD0A7CE" w:rsidR="00A77462" w:rsidRPr="002018AC" w:rsidRDefault="00A77462" w:rsidP="00695D8D">
      <w:pPr>
        <w:pStyle w:val="Heading1"/>
        <w:numPr>
          <w:ilvl w:val="0"/>
          <w:numId w:val="9"/>
        </w:numPr>
        <w:spacing w:line="276" w:lineRule="auto"/>
        <w:rPr>
          <w:rFonts w:cs="Times New Roman"/>
          <w:lang w:val="en-US"/>
        </w:rPr>
      </w:pPr>
      <w:bookmarkStart w:id="28" w:name="_Toc227609566"/>
      <w:r w:rsidRPr="002018AC">
        <w:rPr>
          <w:rFonts w:cs="Times New Roman"/>
          <w:lang w:val="en-US"/>
        </w:rPr>
        <w:t>Part 2 Investment Appraisal of Beard Plc</w:t>
      </w:r>
      <w:bookmarkEnd w:id="28"/>
    </w:p>
    <w:p w14:paraId="45EFC1E8" w14:textId="11304382" w:rsidR="00A77462" w:rsidRPr="002018AC" w:rsidRDefault="00A77462" w:rsidP="00695D8D">
      <w:pPr>
        <w:pStyle w:val="Heading2"/>
        <w:numPr>
          <w:ilvl w:val="1"/>
          <w:numId w:val="9"/>
        </w:numPr>
        <w:spacing w:line="276" w:lineRule="auto"/>
        <w:rPr>
          <w:rFonts w:cs="Times New Roman"/>
          <w:lang w:val="en-US"/>
        </w:rPr>
      </w:pPr>
      <w:bookmarkStart w:id="29" w:name="_Toc227609567"/>
      <w:r w:rsidRPr="002018AC">
        <w:rPr>
          <w:rFonts w:cs="Times New Roman"/>
          <w:lang w:val="en-US"/>
        </w:rPr>
        <w:t>Basis of appraisal and assumptions</w:t>
      </w:r>
      <w:bookmarkEnd w:id="29"/>
    </w:p>
    <w:p w14:paraId="19EEB1D5" w14:textId="0F4B857D" w:rsidR="00A77462" w:rsidRPr="002018AC" w:rsidRDefault="00A77462" w:rsidP="00695D8D">
      <w:pPr>
        <w:spacing w:line="276" w:lineRule="auto"/>
        <w:rPr>
          <w:rFonts w:cs="Times New Roman"/>
          <w:lang w:val="en-US"/>
        </w:rPr>
      </w:pPr>
      <w:r w:rsidRPr="002018AC">
        <w:rPr>
          <w:rFonts w:cs="Times New Roman"/>
          <w:lang w:val="en-US"/>
        </w:rPr>
        <w:t xml:space="preserve">This report appraises the three alternatives with discounted cash-flow appraisal. The primary </w:t>
      </w:r>
      <w:r w:rsidRPr="002018AC">
        <w:rPr>
          <w:rFonts w:cs="Times New Roman"/>
          <w:bCs/>
          <w:lang w:val="en-US"/>
        </w:rPr>
        <w:t>method</w:t>
      </w:r>
      <w:r w:rsidRPr="002018AC">
        <w:rPr>
          <w:rFonts w:cs="Times New Roman"/>
          <w:lang w:val="en-US"/>
        </w:rPr>
        <w:t xml:space="preserve"> is net present value, since it quantifies the absolute value of how an investment is likely to boost shareholder wealth. The computations are based on the assumption that the initial</w:t>
      </w:r>
      <w:r w:rsidR="00944B2D">
        <w:rPr>
          <w:rFonts w:cs="Times New Roman"/>
          <w:lang w:val="en-US"/>
        </w:rPr>
        <w:t xml:space="preserve"> the</w:t>
      </w:r>
      <w:r w:rsidRPr="002018AC">
        <w:rPr>
          <w:rFonts w:cs="Times New Roman"/>
          <w:lang w:val="en-US"/>
        </w:rPr>
        <w:t xml:space="preserve"> investment </w:t>
      </w:r>
      <w:r w:rsidR="00944B2D">
        <w:rPr>
          <w:rFonts w:cs="Times New Roman"/>
          <w:lang w:val="en-US"/>
        </w:rPr>
        <w:t xml:space="preserve">is assumed to be undertaken in </w:t>
      </w:r>
      <w:r w:rsidRPr="002018AC">
        <w:rPr>
          <w:rFonts w:cs="Times New Roman"/>
          <w:lang w:val="en-US"/>
        </w:rPr>
        <w:t xml:space="preserve">Year 0, </w:t>
      </w:r>
      <w:r w:rsidR="00944B2D">
        <w:rPr>
          <w:rFonts w:cs="Times New Roman"/>
          <w:lang w:val="en-US"/>
        </w:rPr>
        <w:t>with subsequent</w:t>
      </w:r>
      <w:r w:rsidRPr="002018AC">
        <w:rPr>
          <w:rFonts w:cs="Times New Roman"/>
          <w:lang w:val="en-US"/>
        </w:rPr>
        <w:t xml:space="preserve"> annual cash flows </w:t>
      </w:r>
      <w:r w:rsidR="00944B2D">
        <w:rPr>
          <w:rFonts w:cs="Times New Roman"/>
          <w:lang w:val="en-US"/>
        </w:rPr>
        <w:t>treated as</w:t>
      </w:r>
      <w:r w:rsidRPr="002018AC">
        <w:rPr>
          <w:rFonts w:cs="Times New Roman"/>
          <w:lang w:val="en-US"/>
        </w:rPr>
        <w:t xml:space="preserve"> taxable operating cash flows, prior to deduction of capital allowances, and the taxation is done in the same year as the cash flow in question. Capital allowances are not considered as a cash expense, but rather as a tax shield (Sokolov, 2024; </w:t>
      </w:r>
      <w:proofErr w:type="spellStart"/>
      <w:r w:rsidRPr="002018AC">
        <w:rPr>
          <w:rFonts w:cs="Times New Roman"/>
          <w:lang w:val="en-US"/>
        </w:rPr>
        <w:t>Purnamasari</w:t>
      </w:r>
      <w:proofErr w:type="spellEnd"/>
      <w:r w:rsidRPr="002018AC">
        <w:rPr>
          <w:rFonts w:cs="Times New Roman"/>
          <w:lang w:val="en-US"/>
        </w:rPr>
        <w:t xml:space="preserve"> and </w:t>
      </w:r>
      <w:proofErr w:type="spellStart"/>
      <w:r w:rsidRPr="002018AC">
        <w:rPr>
          <w:rFonts w:cs="Times New Roman"/>
          <w:lang w:val="en-US"/>
        </w:rPr>
        <w:t>Adriza</w:t>
      </w:r>
      <w:proofErr w:type="spellEnd"/>
      <w:r w:rsidRPr="002018AC">
        <w:rPr>
          <w:rFonts w:cs="Times New Roman"/>
          <w:lang w:val="en-US"/>
        </w:rPr>
        <w:t>, 2024).</w:t>
      </w:r>
    </w:p>
    <w:p w14:paraId="7528F5F8" w14:textId="77777777" w:rsidR="00A77462" w:rsidRPr="002018AC" w:rsidRDefault="00A77462" w:rsidP="00695D8D">
      <w:pPr>
        <w:spacing w:line="276" w:lineRule="auto"/>
        <w:rPr>
          <w:rFonts w:cs="Times New Roman"/>
          <w:lang w:val="en-US"/>
        </w:rPr>
      </w:pPr>
      <w:r w:rsidRPr="002018AC">
        <w:rPr>
          <w:rFonts w:cs="Times New Roman"/>
          <w:lang w:val="en-US"/>
        </w:rPr>
        <w:t>Another assumption is that taxable profit can be relieved immediately in case of a negative taxable profit. This influences the first year (Year 1) when the annual capital allowance is higher than the operating cash flow (Appendix C1). Without the availability of immediate tax relief, Option A would be a bit worse, but this would not alter the overall recommendation.</w:t>
      </w:r>
    </w:p>
    <w:p w14:paraId="3F7110C6" w14:textId="77777777" w:rsidR="00A77462" w:rsidRPr="002018AC" w:rsidRDefault="00A77462" w:rsidP="00695D8D">
      <w:pPr>
        <w:spacing w:line="276" w:lineRule="auto"/>
        <w:rPr>
          <w:rFonts w:cs="Times New Roman"/>
          <w:lang w:val="en-US"/>
        </w:rPr>
      </w:pPr>
      <w:r w:rsidRPr="002018AC">
        <w:rPr>
          <w:rFonts w:cs="Times New Roman"/>
          <w:lang w:val="en-US"/>
        </w:rPr>
        <w:t>The following after-tax cash-flow logic is used to calculate:</w:t>
      </w:r>
    </w:p>
    <w:p w14:paraId="18480457" w14:textId="77777777" w:rsidR="000C685B" w:rsidRPr="002018AC" w:rsidRDefault="00A77462" w:rsidP="00695D8D">
      <w:pPr>
        <w:pStyle w:val="ListParagraph"/>
        <w:numPr>
          <w:ilvl w:val="0"/>
          <w:numId w:val="13"/>
        </w:numPr>
        <w:spacing w:before="100" w:beforeAutospacing="1" w:after="100" w:afterAutospacing="1" w:line="276" w:lineRule="auto"/>
        <w:rPr>
          <w:rFonts w:eastAsia="Times New Roman" w:cs="Times New Roman"/>
          <w:szCs w:val="24"/>
          <w:lang w:val="en-US"/>
        </w:rPr>
      </w:pPr>
      <w:r w:rsidRPr="002018AC">
        <w:rPr>
          <w:rFonts w:eastAsia="Times New Roman" w:cs="Times New Roman"/>
          <w:szCs w:val="24"/>
          <w:lang w:val="en-US"/>
        </w:rPr>
        <w:t xml:space="preserve">Taxable profit = operating cash flow </w:t>
      </w:r>
      <w:r w:rsidRPr="002018AC">
        <w:rPr>
          <w:rFonts w:eastAsia="Times New Roman" w:cs="Times New Roman"/>
          <w:b/>
          <w:bCs/>
          <w:szCs w:val="24"/>
          <w:lang w:val="en-US"/>
        </w:rPr>
        <w:t>–</w:t>
      </w:r>
      <w:r w:rsidR="000C685B" w:rsidRPr="002018AC">
        <w:rPr>
          <w:rFonts w:eastAsia="Times New Roman" w:cs="Times New Roman"/>
          <w:szCs w:val="24"/>
          <w:lang w:val="en-US"/>
        </w:rPr>
        <w:t xml:space="preserve"> capital allowance.</w:t>
      </w:r>
    </w:p>
    <w:p w14:paraId="12E3C0B3" w14:textId="77777777" w:rsidR="000C685B" w:rsidRPr="002018AC" w:rsidRDefault="00A77462" w:rsidP="00695D8D">
      <w:pPr>
        <w:pStyle w:val="ListParagraph"/>
        <w:numPr>
          <w:ilvl w:val="0"/>
          <w:numId w:val="13"/>
        </w:numPr>
        <w:spacing w:before="100" w:beforeAutospacing="1" w:after="100" w:afterAutospacing="1" w:line="276" w:lineRule="auto"/>
        <w:rPr>
          <w:rFonts w:eastAsia="Times New Roman" w:cs="Times New Roman"/>
          <w:szCs w:val="24"/>
          <w:lang w:val="en-US"/>
        </w:rPr>
      </w:pPr>
      <w:r w:rsidRPr="002018AC">
        <w:rPr>
          <w:rFonts w:eastAsia="Times New Roman" w:cs="Times New Roman"/>
          <w:b/>
          <w:bCs/>
          <w:szCs w:val="24"/>
          <w:lang w:val="en-US"/>
        </w:rPr>
        <w:t>Tax payable</w:t>
      </w:r>
      <w:r w:rsidRPr="002018AC">
        <w:rPr>
          <w:rFonts w:eastAsia="Times New Roman" w:cs="Times New Roman"/>
          <w:szCs w:val="24"/>
          <w:lang w:val="en-US"/>
        </w:rPr>
        <w:t xml:space="preserve"> = 25% of the taxable profit.</w:t>
      </w:r>
    </w:p>
    <w:p w14:paraId="6F9D4223" w14:textId="788EA1D7" w:rsidR="00A77462" w:rsidRPr="002018AC" w:rsidRDefault="00A77462" w:rsidP="00695D8D">
      <w:pPr>
        <w:pStyle w:val="ListParagraph"/>
        <w:numPr>
          <w:ilvl w:val="0"/>
          <w:numId w:val="13"/>
        </w:numPr>
        <w:spacing w:before="100" w:beforeAutospacing="1" w:after="100" w:afterAutospacing="1" w:line="276" w:lineRule="auto"/>
        <w:rPr>
          <w:rFonts w:eastAsia="Times New Roman" w:cs="Times New Roman"/>
          <w:szCs w:val="24"/>
          <w:lang w:val="en-US"/>
        </w:rPr>
      </w:pPr>
      <w:r w:rsidRPr="002018AC">
        <w:rPr>
          <w:rFonts w:eastAsia="Times New Roman" w:cs="Times New Roman"/>
          <w:szCs w:val="24"/>
          <w:lang w:val="en-US"/>
        </w:rPr>
        <w:t xml:space="preserve">After-tax cash flow = operating cash flow </w:t>
      </w:r>
      <w:r w:rsidRPr="002018AC">
        <w:rPr>
          <w:rFonts w:eastAsia="Times New Roman" w:cs="Times New Roman"/>
          <w:b/>
          <w:bCs/>
          <w:szCs w:val="24"/>
          <w:lang w:val="en-US"/>
        </w:rPr>
        <w:t>–</w:t>
      </w:r>
      <w:r w:rsidRPr="002018AC">
        <w:rPr>
          <w:rFonts w:eastAsia="Times New Roman" w:cs="Times New Roman"/>
          <w:szCs w:val="24"/>
          <w:lang w:val="en-US"/>
        </w:rPr>
        <w:t xml:space="preserve"> tax payable.</w:t>
      </w:r>
    </w:p>
    <w:p w14:paraId="7EFF1A1E" w14:textId="75C27E00" w:rsidR="00A77462" w:rsidRPr="002018AC" w:rsidRDefault="008B7659" w:rsidP="00695D8D">
      <w:pPr>
        <w:spacing w:before="100" w:beforeAutospacing="1" w:after="100" w:afterAutospacing="1" w:line="276" w:lineRule="auto"/>
        <w:rPr>
          <w:rFonts w:eastAsia="Times New Roman" w:cs="Times New Roman"/>
          <w:szCs w:val="24"/>
          <w:lang w:val="en-US"/>
        </w:rPr>
      </w:pPr>
      <w:r w:rsidRPr="008B7659">
        <w:rPr>
          <w:rFonts w:eastAsia="Times New Roman" w:cs="Times New Roman"/>
          <w:szCs w:val="24"/>
          <w:lang w:val="en-US"/>
        </w:rPr>
        <w:t xml:space="preserve">The discount rate is 5%, as stated in the question. However, that assumption should still be challenged. The three projects do not have identical risk profiles. Internet sales may involve technology, marketing and cyber risk, while production of purses and wallets may involve manufacturing, inventory and supplier risk. </w:t>
      </w:r>
      <w:r w:rsidR="003E6635">
        <w:rPr>
          <w:rFonts w:eastAsia="Times New Roman" w:cs="Times New Roman"/>
          <w:szCs w:val="24"/>
          <w:lang w:val="en-US"/>
        </w:rPr>
        <w:t>Applying</w:t>
      </w:r>
      <w:r w:rsidRPr="008B7659">
        <w:rPr>
          <w:rFonts w:eastAsia="Times New Roman" w:cs="Times New Roman"/>
          <w:szCs w:val="24"/>
          <w:lang w:val="en-US"/>
        </w:rPr>
        <w:t xml:space="preserve"> one discount rate is </w:t>
      </w:r>
      <w:r w:rsidR="003E6635">
        <w:rPr>
          <w:rFonts w:eastAsia="Times New Roman" w:cs="Times New Roman"/>
          <w:szCs w:val="24"/>
          <w:lang w:val="en-US"/>
        </w:rPr>
        <w:t>considered appropriate</w:t>
      </w:r>
      <w:r w:rsidRPr="008B7659">
        <w:rPr>
          <w:rFonts w:eastAsia="Times New Roman" w:cs="Times New Roman"/>
          <w:szCs w:val="24"/>
          <w:lang w:val="en-US"/>
        </w:rPr>
        <w:t xml:space="preserve"> for the assignment, but directors should not confuse that with a fully risk-adjusted commercial appraisal (</w:t>
      </w:r>
      <w:proofErr w:type="spellStart"/>
      <w:r w:rsidRPr="008B7659">
        <w:rPr>
          <w:rFonts w:eastAsia="Times New Roman" w:cs="Times New Roman"/>
          <w:szCs w:val="24"/>
          <w:lang w:val="en-US"/>
        </w:rPr>
        <w:t>Shaheen</w:t>
      </w:r>
      <w:proofErr w:type="spellEnd"/>
      <w:r w:rsidRPr="008B7659">
        <w:rPr>
          <w:rFonts w:eastAsia="Times New Roman" w:cs="Times New Roman"/>
          <w:szCs w:val="24"/>
          <w:lang w:val="en-US"/>
        </w:rPr>
        <w:t xml:space="preserve"> et al., 2024; Hartmann and </w:t>
      </w:r>
      <w:proofErr w:type="spellStart"/>
      <w:r w:rsidRPr="008B7659">
        <w:rPr>
          <w:rFonts w:eastAsia="Times New Roman" w:cs="Times New Roman"/>
          <w:szCs w:val="24"/>
          <w:lang w:val="en-US"/>
        </w:rPr>
        <w:t>Weißenberger</w:t>
      </w:r>
      <w:proofErr w:type="spellEnd"/>
      <w:r w:rsidRPr="008B7659">
        <w:rPr>
          <w:rFonts w:eastAsia="Times New Roman" w:cs="Times New Roman"/>
          <w:szCs w:val="24"/>
          <w:lang w:val="en-US"/>
        </w:rPr>
        <w:t>, 2024</w:t>
      </w:r>
      <w:r>
        <w:rPr>
          <w:rFonts w:eastAsia="Times New Roman" w:cs="Times New Roman"/>
          <w:szCs w:val="24"/>
          <w:lang w:val="en-US"/>
        </w:rPr>
        <w:t xml:space="preserve">) </w:t>
      </w:r>
      <w:r w:rsidRPr="008B7659">
        <w:rPr>
          <w:rFonts w:eastAsia="Times New Roman" w:cs="Times New Roman"/>
          <w:szCs w:val="24"/>
          <w:lang w:val="en-US"/>
        </w:rPr>
        <w:t xml:space="preserve"> </w:t>
      </w:r>
      <w:r w:rsidR="00A77462" w:rsidRPr="002018AC">
        <w:rPr>
          <w:rFonts w:cs="Times New Roman"/>
        </w:rPr>
        <w:t>(Appendix C2).</w:t>
      </w:r>
    </w:p>
    <w:p w14:paraId="1B99F633" w14:textId="52FDB5C3" w:rsidR="00A77462" w:rsidRPr="002018AC" w:rsidRDefault="00A77462" w:rsidP="00695D8D">
      <w:pPr>
        <w:pStyle w:val="Heading2"/>
        <w:numPr>
          <w:ilvl w:val="1"/>
          <w:numId w:val="9"/>
        </w:numPr>
        <w:spacing w:line="276" w:lineRule="auto"/>
        <w:rPr>
          <w:rFonts w:cs="Times New Roman"/>
          <w:lang w:val="en-US"/>
        </w:rPr>
      </w:pPr>
      <w:bookmarkStart w:id="30" w:name="_Toc227609568"/>
      <w:r w:rsidRPr="002018AC">
        <w:rPr>
          <w:rFonts w:cs="Times New Roman"/>
          <w:lang w:val="en-US"/>
        </w:rPr>
        <w:lastRenderedPageBreak/>
        <w:t>Discussion of the three investments</w:t>
      </w:r>
      <w:bookmarkEnd w:id="30"/>
    </w:p>
    <w:p w14:paraId="6338AA74" w14:textId="3C24817A" w:rsidR="008B7659" w:rsidRDefault="008B7659" w:rsidP="00695D8D">
      <w:pPr>
        <w:spacing w:line="276" w:lineRule="auto"/>
        <w:rPr>
          <w:rFonts w:cs="Times New Roman"/>
          <w:lang w:val="en-US"/>
        </w:rPr>
      </w:pPr>
      <w:r w:rsidRPr="008B7659">
        <w:rPr>
          <w:rFonts w:cs="Times New Roman"/>
          <w:lang w:val="en-US"/>
        </w:rPr>
        <w:t xml:space="preserve">The NPV results show that Option A should not be undertaken. Its NPV is -£3.263k, meaning the present value of its after-tax future cash flows is slightly less than the initial investment. The project is close to break-even, but near break-even is not an adequate investment criterion. </w:t>
      </w:r>
      <w:r w:rsidR="003E6635">
        <w:rPr>
          <w:rFonts w:cs="Times New Roman"/>
          <w:lang w:val="en-US"/>
        </w:rPr>
        <w:t xml:space="preserve">Where </w:t>
      </w:r>
      <w:r w:rsidRPr="008B7659">
        <w:rPr>
          <w:rFonts w:cs="Times New Roman"/>
          <w:lang w:val="en-US"/>
        </w:rPr>
        <w:t xml:space="preserve">NPV </w:t>
      </w:r>
      <w:r w:rsidR="003E6635">
        <w:rPr>
          <w:rFonts w:cs="Times New Roman"/>
          <w:lang w:val="en-US"/>
        </w:rPr>
        <w:t>is negative,</w:t>
      </w:r>
      <w:r w:rsidRPr="008B7659">
        <w:rPr>
          <w:rFonts w:cs="Times New Roman"/>
          <w:lang w:val="en-US"/>
        </w:rPr>
        <w:t xml:space="preserve"> the project does not earn the required 5%</w:t>
      </w:r>
      <w:r w:rsidR="003E6635">
        <w:rPr>
          <w:rFonts w:cs="Times New Roman"/>
          <w:lang w:val="en-US"/>
        </w:rPr>
        <w:t xml:space="preserve"> in</w:t>
      </w:r>
      <w:r w:rsidRPr="008B7659">
        <w:rPr>
          <w:rFonts w:cs="Times New Roman"/>
          <w:lang w:val="en-US"/>
        </w:rPr>
        <w:t xml:space="preserve"> return and therefore reduces shareholder value. Unless the Board can identify compelling non-financial reasons such as customer retention, retail presence or brand </w:t>
      </w:r>
      <w:proofErr w:type="spellStart"/>
      <w:r w:rsidRPr="008B7659">
        <w:rPr>
          <w:rFonts w:cs="Times New Roman"/>
          <w:lang w:val="en-US"/>
        </w:rPr>
        <w:t>defence</w:t>
      </w:r>
      <w:proofErr w:type="spellEnd"/>
      <w:r w:rsidRPr="008B7659">
        <w:rPr>
          <w:rFonts w:cs="Times New Roman"/>
          <w:lang w:val="en-US"/>
        </w:rPr>
        <w:t xml:space="preserve">, Option A should be rejected (Sokolov, 2024; </w:t>
      </w:r>
      <w:proofErr w:type="spellStart"/>
      <w:r w:rsidRPr="008B7659">
        <w:rPr>
          <w:rFonts w:cs="Times New Roman"/>
          <w:lang w:val="en-US"/>
        </w:rPr>
        <w:t>Purnamasari</w:t>
      </w:r>
      <w:proofErr w:type="spellEnd"/>
      <w:r w:rsidRPr="008B7659">
        <w:rPr>
          <w:rFonts w:cs="Times New Roman"/>
          <w:lang w:val="en-US"/>
        </w:rPr>
        <w:t xml:space="preserve"> and </w:t>
      </w:r>
      <w:proofErr w:type="spellStart"/>
      <w:r w:rsidRPr="008B7659">
        <w:rPr>
          <w:rFonts w:cs="Times New Roman"/>
          <w:lang w:val="en-US"/>
        </w:rPr>
        <w:t>Adriza</w:t>
      </w:r>
      <w:proofErr w:type="spellEnd"/>
      <w:r w:rsidRPr="008B7659">
        <w:rPr>
          <w:rFonts w:cs="Times New Roman"/>
          <w:lang w:val="en-US"/>
        </w:rPr>
        <w:t>, 2024).</w:t>
      </w:r>
    </w:p>
    <w:p w14:paraId="57D00CB9" w14:textId="69D1648D" w:rsidR="00A77462" w:rsidRPr="002018AC" w:rsidRDefault="008B7659" w:rsidP="00695D8D">
      <w:pPr>
        <w:spacing w:line="276" w:lineRule="auto"/>
        <w:rPr>
          <w:rFonts w:cs="Times New Roman"/>
          <w:lang w:val="en-US"/>
        </w:rPr>
      </w:pPr>
      <w:r w:rsidRPr="008B7659">
        <w:rPr>
          <w:rFonts w:cs="Times New Roman"/>
          <w:bCs/>
          <w:lang w:val="en-US"/>
        </w:rPr>
        <w:t xml:space="preserve">Option B is financially acceptable. Its NPV is positive at £73.952k, which indicates that it is expected to generate returns above the cost of capital. It may also offer strategic value beyond the base-case NPV because internet sales could widen market reach, improve customer insight, strengthen marketing effectiveness and reduce dependence on physical retail outlets. However, such a move may require additional capabilities in website development, payment security, order fulfilment and online customer support, which are not fully visible in the cash-flow table (Hartmann and </w:t>
      </w:r>
      <w:proofErr w:type="spellStart"/>
      <w:r w:rsidRPr="008B7659">
        <w:rPr>
          <w:rFonts w:cs="Times New Roman"/>
          <w:bCs/>
          <w:lang w:val="en-US"/>
        </w:rPr>
        <w:t>Weißenberger</w:t>
      </w:r>
      <w:proofErr w:type="spellEnd"/>
      <w:r w:rsidRPr="008B7659">
        <w:rPr>
          <w:rFonts w:cs="Times New Roman"/>
          <w:bCs/>
          <w:lang w:val="en-US"/>
        </w:rPr>
        <w:t xml:space="preserve">, 2024; </w:t>
      </w:r>
      <w:proofErr w:type="spellStart"/>
      <w:r w:rsidRPr="008B7659">
        <w:rPr>
          <w:rFonts w:cs="Times New Roman"/>
          <w:bCs/>
          <w:lang w:val="en-US"/>
        </w:rPr>
        <w:t>Shaheen</w:t>
      </w:r>
      <w:proofErr w:type="spellEnd"/>
      <w:r w:rsidRPr="008B7659">
        <w:rPr>
          <w:rFonts w:cs="Times New Roman"/>
          <w:bCs/>
          <w:lang w:val="en-US"/>
        </w:rPr>
        <w:t xml:space="preserve"> et al., 2024).</w:t>
      </w:r>
      <w:r w:rsidR="00A77462" w:rsidRPr="002018AC">
        <w:rPr>
          <w:rFonts w:cs="Times New Roman"/>
          <w:lang w:val="en-US"/>
        </w:rPr>
        <w:t>.</w:t>
      </w:r>
    </w:p>
    <w:p w14:paraId="4C9D0D7E" w14:textId="77777777" w:rsidR="008B7659" w:rsidRDefault="008B7659" w:rsidP="00695D8D">
      <w:pPr>
        <w:spacing w:line="276" w:lineRule="auto"/>
        <w:rPr>
          <w:rFonts w:cs="Times New Roman"/>
          <w:lang w:val="en-US"/>
        </w:rPr>
      </w:pPr>
      <w:r w:rsidRPr="008B7659">
        <w:rPr>
          <w:rFonts w:cs="Times New Roman"/>
          <w:lang w:val="en-US"/>
        </w:rPr>
        <w:t xml:space="preserve">The best single project is Option C. It delivers the highest NPV of the three options at £91.226k. It also has a plausible strategic fit, because purses and wallets are complementary accessories that can extend Beard Plc’s existing handbag offering. Brand-extension literature suggests that extensions tend to perform better when there is a credible fit between the parent brand and the new product category, although success is never automatic and poor execution can damage the parent brand as well as the extension (Peng et al., 2023; Dens and De </w:t>
      </w:r>
      <w:proofErr w:type="spellStart"/>
      <w:r w:rsidRPr="008B7659">
        <w:rPr>
          <w:rFonts w:cs="Times New Roman"/>
          <w:lang w:val="en-US"/>
        </w:rPr>
        <w:t>Pelsmacker</w:t>
      </w:r>
      <w:proofErr w:type="spellEnd"/>
      <w:r w:rsidRPr="008B7659">
        <w:rPr>
          <w:rFonts w:cs="Times New Roman"/>
          <w:lang w:val="en-US"/>
        </w:rPr>
        <w:t>, 2010; Milberg et al., 2023). The Board should therefore remain cautious. Purses and wallets may involve different margins, manufacturing processes, quality-control demands and competitive pressures, and the NPV could weaken quickly if market demand or cost assumptions are wrong.</w:t>
      </w:r>
    </w:p>
    <w:p w14:paraId="7F4EDFF5" w14:textId="5717F19E" w:rsidR="00A77462" w:rsidRPr="002018AC" w:rsidRDefault="00A77462" w:rsidP="00695D8D">
      <w:pPr>
        <w:spacing w:line="276" w:lineRule="auto"/>
        <w:rPr>
          <w:rFonts w:cs="Times New Roman"/>
          <w:lang w:val="en-US"/>
        </w:rPr>
      </w:pPr>
      <w:r w:rsidRPr="002018AC">
        <w:rPr>
          <w:rFonts w:cs="Times New Roman"/>
          <w:lang w:val="en-US"/>
        </w:rPr>
        <w:t>Thus, the suggestion is quite definite yet conditional: choose Option C as the most preferable individual investment, but at the same time, remember that Option B is a good choice and can be a valuable strategy. Option A should be dismissed by the Board because of financial reasons.</w:t>
      </w:r>
    </w:p>
    <w:p w14:paraId="0FF2B2DE" w14:textId="40392B21" w:rsidR="00A77462" w:rsidRPr="002018AC" w:rsidRDefault="00A77462" w:rsidP="00695D8D">
      <w:pPr>
        <w:pStyle w:val="Heading2"/>
        <w:numPr>
          <w:ilvl w:val="1"/>
          <w:numId w:val="9"/>
        </w:numPr>
        <w:spacing w:line="276" w:lineRule="auto"/>
        <w:rPr>
          <w:rFonts w:cs="Times New Roman"/>
          <w:lang w:val="en-AU"/>
        </w:rPr>
      </w:pPr>
      <w:bookmarkStart w:id="31" w:name="_Toc227609569"/>
      <w:r w:rsidRPr="002018AC">
        <w:rPr>
          <w:rFonts w:cs="Times New Roman"/>
          <w:lang w:val="en-AU"/>
        </w:rPr>
        <w:t>Approximate IRR of the recommended option</w:t>
      </w:r>
      <w:bookmarkEnd w:id="31"/>
    </w:p>
    <w:p w14:paraId="6CC4A1AC" w14:textId="77777777" w:rsidR="00A77462" w:rsidRPr="002018AC" w:rsidRDefault="00A77462" w:rsidP="00695D8D">
      <w:pPr>
        <w:spacing w:line="276" w:lineRule="auto"/>
        <w:rPr>
          <w:rFonts w:cs="Times New Roman"/>
          <w:lang w:val="en-AU"/>
        </w:rPr>
      </w:pPr>
      <w:r w:rsidRPr="002018AC">
        <w:rPr>
          <w:rFonts w:cs="Times New Roman"/>
          <w:lang w:val="en-AU"/>
        </w:rPr>
        <w:t xml:space="preserve">The IRR of Option C is calculated in </w:t>
      </w:r>
      <w:r w:rsidRPr="002018AC">
        <w:rPr>
          <w:rFonts w:cs="Times New Roman"/>
          <w:bCs/>
          <w:lang w:val="en-AU"/>
        </w:rPr>
        <w:t>Appendix E</w:t>
      </w:r>
      <w:r w:rsidRPr="002018AC">
        <w:rPr>
          <w:rFonts w:cs="Times New Roman"/>
          <w:lang w:val="en-AU"/>
        </w:rPr>
        <w:t xml:space="preserve">. Option C has a positive NPV of </w:t>
      </w:r>
      <w:r w:rsidRPr="002018AC">
        <w:rPr>
          <w:rFonts w:cs="Times New Roman"/>
          <w:bCs/>
          <w:lang w:val="en-AU"/>
        </w:rPr>
        <w:t>£13.746k at 8%</w:t>
      </w:r>
      <w:r w:rsidRPr="002018AC">
        <w:rPr>
          <w:rFonts w:cs="Times New Roman"/>
          <w:lang w:val="en-AU"/>
        </w:rPr>
        <w:t xml:space="preserve"> and a negative NPV of </w:t>
      </w:r>
      <w:r w:rsidRPr="002018AC">
        <w:rPr>
          <w:rFonts w:cs="Times New Roman"/>
          <w:bCs/>
          <w:lang w:val="en-AU"/>
        </w:rPr>
        <w:t>-£10.183k at 9%</w:t>
      </w:r>
      <w:r w:rsidRPr="002018AC">
        <w:rPr>
          <w:rFonts w:cs="Times New Roman"/>
          <w:lang w:val="en-AU"/>
        </w:rPr>
        <w:t>. Interpolating between the two rates gives an approximate IRR of:</w:t>
      </w:r>
    </w:p>
    <w:p w14:paraId="4E7B3812" w14:textId="77777777" w:rsidR="00A77462" w:rsidRPr="002018AC" w:rsidRDefault="00A77462" w:rsidP="00695D8D">
      <w:pPr>
        <w:pStyle w:val="ListParagraph"/>
        <w:numPr>
          <w:ilvl w:val="0"/>
          <w:numId w:val="15"/>
        </w:numPr>
        <w:spacing w:line="276" w:lineRule="auto"/>
        <w:rPr>
          <w:rFonts w:cs="Times New Roman"/>
          <w:lang w:val="en-AU"/>
        </w:rPr>
      </w:pPr>
      <w:r w:rsidRPr="002018AC">
        <w:rPr>
          <w:rFonts w:cs="Times New Roman"/>
          <w:b/>
          <w:bCs/>
          <w:lang w:val="en-AU"/>
        </w:rPr>
        <w:t>8% + [13.746 / (13.746 + 10.183)] × 1% = 8.57% (Appendix E)</w:t>
      </w:r>
    </w:p>
    <w:p w14:paraId="54EB9C82" w14:textId="2409478F" w:rsidR="008B7659" w:rsidRPr="008B7659" w:rsidRDefault="008B7659" w:rsidP="008B7659">
      <w:pPr>
        <w:spacing w:line="276" w:lineRule="auto"/>
        <w:rPr>
          <w:rFonts w:cs="Times New Roman"/>
          <w:lang w:val="en-AU"/>
        </w:rPr>
      </w:pPr>
      <w:r w:rsidRPr="008B7659">
        <w:rPr>
          <w:rFonts w:cs="Times New Roman"/>
          <w:lang w:val="en-AU"/>
        </w:rPr>
        <w:t xml:space="preserve">The IRR is above the 5% cost of capital, so Option C is acceptable. However, IRR should not be the primary decision rule. It is useful because managers often find a percentage return easy to communicate, but it </w:t>
      </w:r>
      <w:r w:rsidR="00AC26D3">
        <w:rPr>
          <w:rFonts w:cs="Times New Roman"/>
          <w:lang w:val="en-AU"/>
        </w:rPr>
        <w:t>may produce</w:t>
      </w:r>
      <w:r w:rsidRPr="008B7659">
        <w:rPr>
          <w:rFonts w:cs="Times New Roman"/>
          <w:lang w:val="en-AU"/>
        </w:rPr>
        <w:t xml:space="preserve"> misleading</w:t>
      </w:r>
      <w:r w:rsidR="00AC26D3">
        <w:rPr>
          <w:rFonts w:cs="Times New Roman"/>
          <w:lang w:val="en-AU"/>
        </w:rPr>
        <w:t xml:space="preserve"> results</w:t>
      </w:r>
      <w:r w:rsidRPr="008B7659">
        <w:rPr>
          <w:rFonts w:cs="Times New Roman"/>
          <w:lang w:val="en-AU"/>
        </w:rPr>
        <w:t xml:space="preserve"> when projects </w:t>
      </w:r>
      <w:r w:rsidR="00AC26D3">
        <w:rPr>
          <w:rFonts w:cs="Times New Roman"/>
          <w:lang w:val="en-AU"/>
        </w:rPr>
        <w:t>vary</w:t>
      </w:r>
      <w:r w:rsidRPr="008B7659">
        <w:rPr>
          <w:rFonts w:cs="Times New Roman"/>
          <w:lang w:val="en-AU"/>
        </w:rPr>
        <w:t xml:space="preserve"> in scale, timing or cash-flow pattern. The academic literature continues to recognise IRR as useful, but generally treats </w:t>
      </w:r>
      <w:r w:rsidRPr="008B7659">
        <w:rPr>
          <w:rFonts w:cs="Times New Roman"/>
          <w:lang w:val="en-AU"/>
        </w:rPr>
        <w:lastRenderedPageBreak/>
        <w:t xml:space="preserve">NPV as theoretically superior for decision-making because it measures absolute value creation directly (Sokolov, 2024; </w:t>
      </w:r>
      <w:proofErr w:type="spellStart"/>
      <w:r w:rsidRPr="008B7659">
        <w:rPr>
          <w:rFonts w:cs="Times New Roman"/>
          <w:lang w:val="en-AU"/>
        </w:rPr>
        <w:t>Mollah</w:t>
      </w:r>
      <w:proofErr w:type="spellEnd"/>
      <w:r w:rsidRPr="008B7659">
        <w:rPr>
          <w:rFonts w:cs="Times New Roman"/>
          <w:lang w:val="en-AU"/>
        </w:rPr>
        <w:t xml:space="preserve">, </w:t>
      </w:r>
      <w:proofErr w:type="spellStart"/>
      <w:r w:rsidRPr="008B7659">
        <w:rPr>
          <w:rFonts w:cs="Times New Roman"/>
          <w:lang w:val="en-AU"/>
        </w:rPr>
        <w:t>Rouf</w:t>
      </w:r>
      <w:proofErr w:type="spellEnd"/>
      <w:r w:rsidRPr="008B7659">
        <w:rPr>
          <w:rFonts w:cs="Times New Roman"/>
          <w:lang w:val="en-AU"/>
        </w:rPr>
        <w:t xml:space="preserve"> and Rana, 2023).</w:t>
      </w:r>
    </w:p>
    <w:p w14:paraId="6DE001D0" w14:textId="77777777" w:rsidR="008B7659" w:rsidRPr="008B7659" w:rsidRDefault="008B7659" w:rsidP="008B7659">
      <w:pPr>
        <w:spacing w:line="276" w:lineRule="auto"/>
        <w:rPr>
          <w:rFonts w:cs="Times New Roman"/>
          <w:lang w:val="en-AU"/>
        </w:rPr>
      </w:pPr>
    </w:p>
    <w:p w14:paraId="21438503" w14:textId="45B2798E" w:rsidR="00A77462" w:rsidRPr="002018AC" w:rsidRDefault="008B7659" w:rsidP="008B7659">
      <w:pPr>
        <w:spacing w:line="276" w:lineRule="auto"/>
        <w:rPr>
          <w:rFonts w:cs="Times New Roman"/>
          <w:lang w:val="en-AU"/>
        </w:rPr>
      </w:pPr>
      <w:r w:rsidRPr="008B7659">
        <w:rPr>
          <w:rFonts w:cs="Times New Roman"/>
          <w:lang w:val="en-AU"/>
        </w:rPr>
        <w:t>For Beard Plc, this matters because Option C requires a larger investment than Option B. A percentage-based measure might overemphasise rate of return and understate total value added. NPV is more appropriate because the Board’s aim is to increase firm value, not merely to select the highest percentage return (</w:t>
      </w:r>
      <w:proofErr w:type="spellStart"/>
      <w:r w:rsidRPr="008B7659">
        <w:rPr>
          <w:rFonts w:cs="Times New Roman"/>
          <w:lang w:val="en-AU"/>
        </w:rPr>
        <w:t>Purnamasari</w:t>
      </w:r>
      <w:proofErr w:type="spellEnd"/>
      <w:r w:rsidRPr="008B7659">
        <w:rPr>
          <w:rFonts w:cs="Times New Roman"/>
          <w:lang w:val="en-AU"/>
        </w:rPr>
        <w:t xml:space="preserve"> and </w:t>
      </w:r>
      <w:proofErr w:type="spellStart"/>
      <w:r w:rsidRPr="008B7659">
        <w:rPr>
          <w:rFonts w:cs="Times New Roman"/>
          <w:lang w:val="en-AU"/>
        </w:rPr>
        <w:t>Adriza</w:t>
      </w:r>
      <w:proofErr w:type="spellEnd"/>
      <w:r w:rsidRPr="008B7659">
        <w:rPr>
          <w:rFonts w:cs="Times New Roman"/>
          <w:lang w:val="en-AU"/>
        </w:rPr>
        <w:t>, 2024).</w:t>
      </w:r>
      <w:r w:rsidR="00A77462" w:rsidRPr="002018AC">
        <w:rPr>
          <w:rFonts w:cs="Times New Roman"/>
          <w:lang w:val="en-AU"/>
        </w:rPr>
        <w:t>.</w:t>
      </w:r>
    </w:p>
    <w:p w14:paraId="36527E9C" w14:textId="4793755A" w:rsidR="00A77462" w:rsidRPr="002018AC" w:rsidRDefault="00A77462" w:rsidP="00695D8D">
      <w:pPr>
        <w:pStyle w:val="Heading2"/>
        <w:numPr>
          <w:ilvl w:val="1"/>
          <w:numId w:val="9"/>
        </w:numPr>
        <w:spacing w:line="276" w:lineRule="auto"/>
        <w:rPr>
          <w:rFonts w:cs="Times New Roman"/>
          <w:lang w:val="en-US"/>
        </w:rPr>
      </w:pPr>
      <w:bookmarkStart w:id="32" w:name="_Toc227609570"/>
      <w:r w:rsidRPr="002018AC">
        <w:rPr>
          <w:rFonts w:cs="Times New Roman"/>
          <w:lang w:val="en-US"/>
        </w:rPr>
        <w:t>Theoretical case for NPV</w:t>
      </w:r>
      <w:bookmarkEnd w:id="32"/>
    </w:p>
    <w:p w14:paraId="26C81119" w14:textId="77777777" w:rsidR="00C1345F" w:rsidRDefault="00C1345F" w:rsidP="00695D8D">
      <w:pPr>
        <w:spacing w:line="276" w:lineRule="auto"/>
        <w:rPr>
          <w:rFonts w:cs="Times New Roman"/>
          <w:lang w:val="en-AU"/>
        </w:rPr>
      </w:pPr>
      <w:r w:rsidRPr="00C1345F">
        <w:rPr>
          <w:rFonts w:cs="Times New Roman"/>
          <w:lang w:val="en-AU"/>
        </w:rPr>
        <w:t xml:space="preserve">NPV is theoretically superior because it is based on cash flows, incorporates the time value of money, uses the required return of investors and measures absolute value creation. A positive NPV means the project is expected to generate value above the required return of capital providers. In this case, Option C adds £91.226k of value after discounting at 5% (Sokolov, 2024; </w:t>
      </w:r>
      <w:proofErr w:type="spellStart"/>
      <w:r w:rsidRPr="00C1345F">
        <w:rPr>
          <w:rFonts w:cs="Times New Roman"/>
          <w:lang w:val="en-AU"/>
        </w:rPr>
        <w:t>Purnamasari</w:t>
      </w:r>
      <w:proofErr w:type="spellEnd"/>
      <w:r w:rsidRPr="00C1345F">
        <w:rPr>
          <w:rFonts w:cs="Times New Roman"/>
          <w:lang w:val="en-AU"/>
        </w:rPr>
        <w:t xml:space="preserve"> and </w:t>
      </w:r>
      <w:proofErr w:type="spellStart"/>
      <w:r w:rsidRPr="00C1345F">
        <w:rPr>
          <w:rFonts w:cs="Times New Roman"/>
          <w:lang w:val="en-AU"/>
        </w:rPr>
        <w:t>Adriza</w:t>
      </w:r>
      <w:proofErr w:type="spellEnd"/>
      <w:r w:rsidRPr="00C1345F">
        <w:rPr>
          <w:rFonts w:cs="Times New Roman"/>
          <w:lang w:val="en-AU"/>
        </w:rPr>
        <w:t>, 2024).</w:t>
      </w:r>
    </w:p>
    <w:p w14:paraId="63AEAC9C" w14:textId="77777777" w:rsidR="00C1345F" w:rsidRDefault="00C1345F" w:rsidP="00695D8D">
      <w:pPr>
        <w:spacing w:line="276" w:lineRule="auto"/>
        <w:rPr>
          <w:rFonts w:cs="Times New Roman"/>
          <w:lang w:val="en-AU"/>
        </w:rPr>
      </w:pPr>
      <w:r w:rsidRPr="00C1345F">
        <w:rPr>
          <w:rFonts w:cs="Times New Roman"/>
          <w:lang w:val="en-AU"/>
        </w:rPr>
        <w:t xml:space="preserve">NPV also uses the whole life of the project. This matters because simpler methods such as payback focus mainly on how quickly the initial investment is recovered. A project may pay back quickly while producing weak long-term value, whereas another project may recover cash more slowly but create more total wealth. NPV avoids that weakness by discounting all expected cash flows over the life of the project (Graham and Harvey, 2001; </w:t>
      </w:r>
      <w:proofErr w:type="spellStart"/>
      <w:r w:rsidRPr="00C1345F">
        <w:rPr>
          <w:rFonts w:cs="Times New Roman"/>
          <w:lang w:val="en-AU"/>
        </w:rPr>
        <w:t>Brunzell</w:t>
      </w:r>
      <w:proofErr w:type="spellEnd"/>
      <w:r w:rsidRPr="00C1345F">
        <w:rPr>
          <w:rFonts w:cs="Times New Roman"/>
          <w:lang w:val="en-AU"/>
        </w:rPr>
        <w:t xml:space="preserve">, </w:t>
      </w:r>
      <w:proofErr w:type="spellStart"/>
      <w:r w:rsidRPr="00C1345F">
        <w:rPr>
          <w:rFonts w:cs="Times New Roman"/>
          <w:lang w:val="en-AU"/>
        </w:rPr>
        <w:t>Liljeblom</w:t>
      </w:r>
      <w:proofErr w:type="spellEnd"/>
      <w:r w:rsidRPr="00C1345F">
        <w:rPr>
          <w:rFonts w:cs="Times New Roman"/>
          <w:lang w:val="en-AU"/>
        </w:rPr>
        <w:t xml:space="preserve"> and </w:t>
      </w:r>
      <w:proofErr w:type="spellStart"/>
      <w:r w:rsidRPr="00C1345F">
        <w:rPr>
          <w:rFonts w:cs="Times New Roman"/>
          <w:lang w:val="en-AU"/>
        </w:rPr>
        <w:t>Vaihekoski</w:t>
      </w:r>
      <w:proofErr w:type="spellEnd"/>
      <w:r w:rsidRPr="00C1345F">
        <w:rPr>
          <w:rFonts w:cs="Times New Roman"/>
          <w:lang w:val="en-AU"/>
        </w:rPr>
        <w:t>, 2013).</w:t>
      </w:r>
    </w:p>
    <w:p w14:paraId="61BB4C7E" w14:textId="3EA1E3D8" w:rsidR="00A77462" w:rsidRPr="002018AC" w:rsidRDefault="00A77462" w:rsidP="00695D8D">
      <w:pPr>
        <w:spacing w:line="276" w:lineRule="auto"/>
        <w:rPr>
          <w:rFonts w:cs="Times New Roman"/>
          <w:lang w:val="en-AU"/>
        </w:rPr>
      </w:pPr>
      <w:r w:rsidRPr="002018AC">
        <w:rPr>
          <w:rFonts w:cs="Times New Roman"/>
          <w:lang w:val="en-AU"/>
        </w:rPr>
        <w:t xml:space="preserve">NPV is also better for comparing projects of different sizes. Option B costs £900k, while Option C costs £1,000k. The Board needs to know not only which project gives a good return, but which project creates the most value. Research on capital budgeting continues to distinguish more </w:t>
      </w:r>
      <w:r w:rsidRPr="002018AC">
        <w:rPr>
          <w:rFonts w:cs="Times New Roman"/>
        </w:rPr>
        <w:t>sophisticated techniques such as NPV, IRR and profitability index from simpler conventional methods such as payback and accounting rate of return; recent evidence suggests that sophisticated capital-budgeting techniques are important in evaluating financial performance</w:t>
      </w:r>
      <w:r w:rsidR="001C195C" w:rsidRPr="002018AC">
        <w:rPr>
          <w:rFonts w:cs="Times New Roman"/>
        </w:rPr>
        <w:t xml:space="preserve"> </w:t>
      </w:r>
      <w:r w:rsidRPr="002018AC">
        <w:rPr>
          <w:rFonts w:cs="Times New Roman"/>
        </w:rPr>
        <w:t>(</w:t>
      </w:r>
      <w:proofErr w:type="spellStart"/>
      <w:r w:rsidRPr="002018AC">
        <w:rPr>
          <w:rFonts w:cs="Times New Roman"/>
        </w:rPr>
        <w:t>Purnamasari</w:t>
      </w:r>
      <w:proofErr w:type="spellEnd"/>
      <w:r w:rsidRPr="002018AC">
        <w:rPr>
          <w:rFonts w:cs="Times New Roman"/>
        </w:rPr>
        <w:t xml:space="preserve"> and </w:t>
      </w:r>
      <w:proofErr w:type="spellStart"/>
      <w:r w:rsidRPr="002018AC">
        <w:rPr>
          <w:rFonts w:cs="Times New Roman"/>
        </w:rPr>
        <w:t>Adriza</w:t>
      </w:r>
      <w:proofErr w:type="spellEnd"/>
      <w:r w:rsidRPr="002018AC">
        <w:rPr>
          <w:rFonts w:cs="Times New Roman"/>
        </w:rPr>
        <w:t xml:space="preserve">, 2024; </w:t>
      </w:r>
      <w:proofErr w:type="spellStart"/>
      <w:r w:rsidRPr="002018AC">
        <w:rPr>
          <w:rFonts w:cs="Times New Roman"/>
        </w:rPr>
        <w:t>Mollah</w:t>
      </w:r>
      <w:proofErr w:type="spellEnd"/>
      <w:r w:rsidRPr="002018AC">
        <w:rPr>
          <w:rFonts w:cs="Times New Roman"/>
        </w:rPr>
        <w:t xml:space="preserve"> et al., 2023</w:t>
      </w:r>
      <w:r w:rsidR="001C195C" w:rsidRPr="002018AC">
        <w:rPr>
          <w:rFonts w:cs="Times New Roman"/>
        </w:rPr>
        <w:t>).</w:t>
      </w:r>
    </w:p>
    <w:p w14:paraId="697257C3" w14:textId="7722DC95" w:rsidR="00A77462" w:rsidRPr="002018AC" w:rsidRDefault="00A77462" w:rsidP="00695D8D">
      <w:pPr>
        <w:spacing w:line="276" w:lineRule="auto"/>
        <w:rPr>
          <w:rFonts w:cs="Times New Roman"/>
          <w:lang w:val="en-AU"/>
        </w:rPr>
      </w:pPr>
      <w:r w:rsidRPr="002018AC">
        <w:rPr>
          <w:rFonts w:cs="Times New Roman"/>
          <w:lang w:val="en-AU"/>
        </w:rPr>
        <w:t>Another strength is that NPV is additive. If Beard Plc undertakes more than one project, the combined NPV is simply the sum of the NPVs. This is useful in the capital-rationing section, where Option C and a fraction of Option B are combined. Profitability index is used to rank divisible projects, but the final objective remains total NPV maximisation</w:t>
      </w:r>
      <w:r w:rsidR="00C1345F">
        <w:rPr>
          <w:rFonts w:cs="Times New Roman"/>
          <w:lang w:val="en-AU"/>
        </w:rPr>
        <w:t xml:space="preserve"> </w:t>
      </w:r>
      <w:r w:rsidR="00C1345F" w:rsidRPr="00C1345F">
        <w:rPr>
          <w:rFonts w:cs="Times New Roman"/>
          <w:lang w:val="en-AU"/>
        </w:rPr>
        <w:t>Sokolov, 2024).</w:t>
      </w:r>
    </w:p>
    <w:p w14:paraId="629DB372" w14:textId="77777777" w:rsidR="00A77462" w:rsidRPr="002018AC" w:rsidRDefault="00A77462" w:rsidP="00695D8D">
      <w:pPr>
        <w:spacing w:line="276" w:lineRule="auto"/>
        <w:rPr>
          <w:rFonts w:cs="Times New Roman"/>
          <w:lang w:val="en-US"/>
        </w:rPr>
      </w:pPr>
      <w:r w:rsidRPr="002018AC">
        <w:rPr>
          <w:rFonts w:cs="Times New Roman"/>
          <w:lang w:val="en-AU"/>
        </w:rPr>
        <w:t xml:space="preserve">The weakness of NPV is not the method itself, but the quality of the inputs. Forecast cash flows, tax timing, capital allowances, working capital and discount rates may all be wrong. </w:t>
      </w:r>
      <w:proofErr w:type="spellStart"/>
      <w:r w:rsidRPr="002018AC">
        <w:rPr>
          <w:rFonts w:cs="Times New Roman"/>
          <w:lang w:val="en-US"/>
        </w:rPr>
        <w:t>Magni</w:t>
      </w:r>
      <w:proofErr w:type="spellEnd"/>
      <w:r w:rsidRPr="002018AC">
        <w:rPr>
          <w:rFonts w:cs="Times New Roman"/>
          <w:lang w:val="en-US"/>
        </w:rPr>
        <w:t xml:space="preserve"> and </w:t>
      </w:r>
      <w:proofErr w:type="spellStart"/>
      <w:r w:rsidRPr="002018AC">
        <w:rPr>
          <w:rFonts w:cs="Times New Roman"/>
          <w:lang w:val="en-US"/>
        </w:rPr>
        <w:t>Marchioni</w:t>
      </w:r>
      <w:proofErr w:type="spellEnd"/>
      <w:r w:rsidRPr="002018AC">
        <w:rPr>
          <w:rFonts w:cs="Times New Roman"/>
          <w:lang w:val="en-US"/>
        </w:rPr>
        <w:t xml:space="preserve"> (2020) demonstrate that working-</w:t>
      </w:r>
      <w:r w:rsidRPr="002018AC">
        <w:rPr>
          <w:rFonts w:eastAsia="Times New Roman" w:cs="Times New Roman"/>
          <w:bCs/>
          <w:lang w:val="en-US"/>
        </w:rPr>
        <w:t>capital</w:t>
      </w:r>
      <w:r w:rsidRPr="002018AC">
        <w:rPr>
          <w:rFonts w:cs="Times New Roman"/>
          <w:lang w:val="en-US"/>
        </w:rPr>
        <w:t xml:space="preserve"> uncertainty can impact project ranking and </w:t>
      </w:r>
      <w:r w:rsidRPr="002018AC">
        <w:rPr>
          <w:rFonts w:eastAsia="Times New Roman" w:cs="Times New Roman"/>
          <w:bCs/>
          <w:lang w:val="en-US"/>
        </w:rPr>
        <w:t>the</w:t>
      </w:r>
      <w:r w:rsidRPr="002018AC">
        <w:rPr>
          <w:rFonts w:cs="Times New Roman"/>
          <w:lang w:val="en-US"/>
        </w:rPr>
        <w:t xml:space="preserve"> consistency of appraisal measures, which is quite applicable in this case since Beard Plc might require extra inventory and receivables investment in new products or online sales.</w:t>
      </w:r>
    </w:p>
    <w:p w14:paraId="56FA13EC" w14:textId="5CC61391" w:rsidR="00A77462" w:rsidRPr="002018AC" w:rsidRDefault="00A77462" w:rsidP="00695D8D">
      <w:pPr>
        <w:pStyle w:val="Heading2"/>
        <w:numPr>
          <w:ilvl w:val="1"/>
          <w:numId w:val="9"/>
        </w:numPr>
        <w:spacing w:line="276" w:lineRule="auto"/>
        <w:rPr>
          <w:rFonts w:cs="Times New Roman"/>
          <w:lang w:val="en-US"/>
        </w:rPr>
      </w:pPr>
      <w:bookmarkStart w:id="33" w:name="_Toc227609571"/>
      <w:r w:rsidRPr="002018AC">
        <w:rPr>
          <w:rFonts w:cs="Times New Roman"/>
          <w:lang w:val="en-US"/>
        </w:rPr>
        <w:lastRenderedPageBreak/>
        <w:t>Reasons why non-discounting techniques are still popular</w:t>
      </w:r>
      <w:bookmarkEnd w:id="33"/>
    </w:p>
    <w:p w14:paraId="3D970D64" w14:textId="77777777" w:rsidR="00C1345F" w:rsidRPr="00C1345F" w:rsidRDefault="00C1345F" w:rsidP="00A534A0">
      <w:pPr>
        <w:rPr>
          <w:b/>
          <w:lang w:val="en-US"/>
        </w:rPr>
      </w:pPr>
      <w:bookmarkStart w:id="34" w:name="_Toc227606841"/>
      <w:bookmarkStart w:id="35" w:name="_Toc227607777"/>
      <w:r w:rsidRPr="00C1345F">
        <w:rPr>
          <w:lang w:val="en-US"/>
        </w:rPr>
        <w:t xml:space="preserve">Non-discounting methods remain popular despite the theoretical strength of NPV because they are simpler to calculate and easier to explain. The payback period, in particular, is straightforward and often appeals to directors who are concerned about liquidity and the speed of cash recovery. This can be especially relevant in smaller businesses where financial flexibility may be limited (Graham and Harvey, 2001; </w:t>
      </w:r>
      <w:proofErr w:type="spellStart"/>
      <w:r w:rsidRPr="00C1345F">
        <w:rPr>
          <w:lang w:val="en-US"/>
        </w:rPr>
        <w:t>Siziba</w:t>
      </w:r>
      <w:proofErr w:type="spellEnd"/>
      <w:r w:rsidRPr="00C1345F">
        <w:rPr>
          <w:lang w:val="en-US"/>
        </w:rPr>
        <w:t xml:space="preserve"> and Hall, 2021).</w:t>
      </w:r>
      <w:bookmarkEnd w:id="34"/>
      <w:bookmarkEnd w:id="35"/>
    </w:p>
    <w:p w14:paraId="25D35C93" w14:textId="77777777" w:rsidR="00C1345F" w:rsidRPr="00C1345F" w:rsidRDefault="00C1345F" w:rsidP="00A534A0">
      <w:pPr>
        <w:rPr>
          <w:b/>
          <w:lang w:val="en-US"/>
        </w:rPr>
      </w:pPr>
      <w:bookmarkStart w:id="36" w:name="_Toc227606842"/>
      <w:bookmarkStart w:id="37" w:name="_Toc227607778"/>
      <w:r w:rsidRPr="00C1345F">
        <w:rPr>
          <w:lang w:val="en-US"/>
        </w:rPr>
        <w:t>Payback is not irrational. It provides a rough indication of exposure: the longer the payback period, the longer the company’s money remains at risk. However, it is not a value-</w:t>
      </w:r>
      <w:proofErr w:type="spellStart"/>
      <w:r w:rsidRPr="00C1345F">
        <w:rPr>
          <w:lang w:val="en-US"/>
        </w:rPr>
        <w:t>maximising</w:t>
      </w:r>
      <w:proofErr w:type="spellEnd"/>
      <w:r w:rsidRPr="00C1345F">
        <w:rPr>
          <w:lang w:val="en-US"/>
        </w:rPr>
        <w:t xml:space="preserve"> measure because it ignores the time value of money and often excludes cash flows occurring after the payback point. It should therefore be treated as a supporting tool rather than the main investment criterion (</w:t>
      </w:r>
      <w:proofErr w:type="spellStart"/>
      <w:r w:rsidRPr="00C1345F">
        <w:rPr>
          <w:lang w:val="en-US"/>
        </w:rPr>
        <w:t>Siziba</w:t>
      </w:r>
      <w:proofErr w:type="spellEnd"/>
      <w:r w:rsidRPr="00C1345F">
        <w:rPr>
          <w:lang w:val="en-US"/>
        </w:rPr>
        <w:t xml:space="preserve"> and Hall, 2021; Sokolov, 2024).</w:t>
      </w:r>
      <w:bookmarkEnd w:id="36"/>
      <w:bookmarkEnd w:id="37"/>
    </w:p>
    <w:p w14:paraId="04CAE36D" w14:textId="77777777" w:rsidR="00C1345F" w:rsidRPr="00C1345F" w:rsidRDefault="00C1345F" w:rsidP="00A534A0">
      <w:pPr>
        <w:rPr>
          <w:b/>
          <w:lang w:val="en-US"/>
        </w:rPr>
      </w:pPr>
      <w:bookmarkStart w:id="38" w:name="_Toc227606843"/>
      <w:bookmarkStart w:id="39" w:name="_Toc227607779"/>
      <w:r w:rsidRPr="00C1345F">
        <w:rPr>
          <w:lang w:val="en-US"/>
        </w:rPr>
        <w:t>Accounting rate of return also remains popular because it uses accounting profit, which is familiar to managers and aligns with reporting language. However, it is weaker than NPV because accounting profit is affected by depreciation, accruals and accounting policy. It does not directly measure cash generation or wealth creation (</w:t>
      </w:r>
      <w:proofErr w:type="spellStart"/>
      <w:r w:rsidRPr="00C1345F">
        <w:rPr>
          <w:lang w:val="en-US"/>
        </w:rPr>
        <w:t>Mota</w:t>
      </w:r>
      <w:proofErr w:type="spellEnd"/>
      <w:r w:rsidRPr="00C1345F">
        <w:rPr>
          <w:lang w:val="en-US"/>
        </w:rPr>
        <w:t xml:space="preserve"> and Moreira, 2023; </w:t>
      </w:r>
      <w:proofErr w:type="spellStart"/>
      <w:r w:rsidRPr="00C1345F">
        <w:rPr>
          <w:lang w:val="en-US"/>
        </w:rPr>
        <w:t>Brunzell</w:t>
      </w:r>
      <w:proofErr w:type="spellEnd"/>
      <w:r w:rsidRPr="00C1345F">
        <w:rPr>
          <w:lang w:val="en-US"/>
        </w:rPr>
        <w:t xml:space="preserve">, </w:t>
      </w:r>
      <w:proofErr w:type="spellStart"/>
      <w:r w:rsidRPr="00C1345F">
        <w:rPr>
          <w:lang w:val="en-US"/>
        </w:rPr>
        <w:t>Liljeblom</w:t>
      </w:r>
      <w:proofErr w:type="spellEnd"/>
      <w:r w:rsidRPr="00C1345F">
        <w:rPr>
          <w:lang w:val="en-US"/>
        </w:rPr>
        <w:t xml:space="preserve"> and </w:t>
      </w:r>
      <w:proofErr w:type="spellStart"/>
      <w:r w:rsidRPr="00C1345F">
        <w:rPr>
          <w:lang w:val="en-US"/>
        </w:rPr>
        <w:t>Vaihekoski</w:t>
      </w:r>
      <w:proofErr w:type="spellEnd"/>
      <w:r w:rsidRPr="00C1345F">
        <w:rPr>
          <w:lang w:val="en-US"/>
        </w:rPr>
        <w:t>, 2013).</w:t>
      </w:r>
      <w:bookmarkEnd w:id="38"/>
      <w:bookmarkEnd w:id="39"/>
    </w:p>
    <w:p w14:paraId="3320FF6E" w14:textId="77777777" w:rsidR="00C1345F" w:rsidRDefault="00C1345F" w:rsidP="00A534A0">
      <w:pPr>
        <w:rPr>
          <w:b/>
          <w:lang w:val="en-US"/>
        </w:rPr>
      </w:pPr>
      <w:bookmarkStart w:id="40" w:name="_Toc227606844"/>
      <w:bookmarkStart w:id="41" w:name="_Toc227607780"/>
      <w:r w:rsidRPr="00C1345F">
        <w:rPr>
          <w:lang w:val="en-US"/>
        </w:rPr>
        <w:t xml:space="preserve">A longitudinal review by </w:t>
      </w:r>
      <w:proofErr w:type="spellStart"/>
      <w:r w:rsidRPr="00C1345F">
        <w:rPr>
          <w:lang w:val="en-US"/>
        </w:rPr>
        <w:t>Siziba</w:t>
      </w:r>
      <w:proofErr w:type="spellEnd"/>
      <w:r w:rsidRPr="00C1345F">
        <w:rPr>
          <w:lang w:val="en-US"/>
        </w:rPr>
        <w:t xml:space="preserve"> and Hall (2021) found that NPV, IRR, payback, accounting rate of return, return on investment and real-options valuation all remain widely used in practice, with payback often retained as a supplementary decision aid. This supports a balanced view: NPV should remain the primary decision rule, but simpler methods still have practical value in communication, liquidity screening and risk discussion.</w:t>
      </w:r>
      <w:bookmarkEnd w:id="40"/>
      <w:bookmarkEnd w:id="41"/>
    </w:p>
    <w:p w14:paraId="79E3A91E" w14:textId="7ADC0736" w:rsidR="00C1345F" w:rsidRPr="00C1345F" w:rsidRDefault="00A77462" w:rsidP="00C1345F">
      <w:pPr>
        <w:pStyle w:val="Heading2"/>
        <w:numPr>
          <w:ilvl w:val="1"/>
          <w:numId w:val="9"/>
        </w:numPr>
        <w:spacing w:line="276" w:lineRule="auto"/>
        <w:rPr>
          <w:rFonts w:cs="Times New Roman"/>
          <w:lang w:val="en-US"/>
        </w:rPr>
      </w:pPr>
      <w:bookmarkStart w:id="42" w:name="_Toc227609572"/>
      <w:r w:rsidRPr="002018AC">
        <w:rPr>
          <w:rFonts w:cs="Times New Roman"/>
          <w:lang w:val="en-US"/>
        </w:rPr>
        <w:t>Pre-final investment decision factors</w:t>
      </w:r>
      <w:bookmarkEnd w:id="42"/>
    </w:p>
    <w:p w14:paraId="4C055248" w14:textId="77777777" w:rsidR="00C1345F" w:rsidRPr="00C1345F" w:rsidRDefault="00C1345F" w:rsidP="00C1345F">
      <w:pPr>
        <w:spacing w:line="276" w:lineRule="auto"/>
        <w:rPr>
          <w:rFonts w:cs="Times New Roman"/>
          <w:lang w:val="en-US"/>
        </w:rPr>
      </w:pPr>
      <w:r w:rsidRPr="00C1345F">
        <w:rPr>
          <w:rFonts w:cs="Times New Roman"/>
          <w:lang w:val="en-US"/>
        </w:rPr>
        <w:t xml:space="preserve">The Board should not approve Option C solely because it has the highest NPV. Capital budgeting is not just a spreadsheet exercise. It is also a strategic judgement problem involving uncertainty, information quality and managerial capability. Hartmann and </w:t>
      </w:r>
      <w:proofErr w:type="spellStart"/>
      <w:r w:rsidRPr="00C1345F">
        <w:rPr>
          <w:rFonts w:cs="Times New Roman"/>
          <w:lang w:val="en-US"/>
        </w:rPr>
        <w:t>Weißenberger</w:t>
      </w:r>
      <w:proofErr w:type="spellEnd"/>
      <w:r w:rsidRPr="00C1345F">
        <w:rPr>
          <w:rFonts w:cs="Times New Roman"/>
          <w:lang w:val="en-US"/>
        </w:rPr>
        <w:t xml:space="preserve"> (2024) show that decision aids and information load influence capital-budgeting decisions, which is relevant here because the Board needs disciplined scrutiny rather than passive acceptance of model outputs.</w:t>
      </w:r>
    </w:p>
    <w:p w14:paraId="033279EA" w14:textId="77777777" w:rsidR="00C1345F" w:rsidRPr="00C1345F" w:rsidRDefault="00C1345F" w:rsidP="00C1345F">
      <w:pPr>
        <w:spacing w:line="276" w:lineRule="auto"/>
        <w:rPr>
          <w:rFonts w:cs="Times New Roman"/>
          <w:lang w:val="en-US"/>
        </w:rPr>
      </w:pPr>
    </w:p>
    <w:p w14:paraId="427BACBF" w14:textId="77777777" w:rsidR="00C1345F" w:rsidRPr="00C1345F" w:rsidRDefault="00C1345F" w:rsidP="00C1345F">
      <w:pPr>
        <w:spacing w:line="276" w:lineRule="auto"/>
        <w:rPr>
          <w:rFonts w:cs="Times New Roman"/>
          <w:lang w:val="en-US"/>
        </w:rPr>
      </w:pPr>
      <w:r w:rsidRPr="00C1345F">
        <w:rPr>
          <w:rFonts w:cs="Times New Roman"/>
          <w:lang w:val="en-US"/>
        </w:rPr>
        <w:lastRenderedPageBreak/>
        <w:t>First, Beard Plc should test market demand properly. The forecast assumes customers will buy purses and wallets in profitable quantities, but no direct market evidence has been presented. Management should therefore conduct competitor analysis, customer research, price testing and margin analysis before committing investment. Brand-extension research suggests that product-category fit can improve the probability of success, but it does not remove execution risk (Peng et al., 2023; Milberg et al., 2023).</w:t>
      </w:r>
    </w:p>
    <w:p w14:paraId="1D9EF1B5" w14:textId="77777777" w:rsidR="00C1345F" w:rsidRPr="00C1345F" w:rsidRDefault="00C1345F" w:rsidP="00C1345F">
      <w:pPr>
        <w:spacing w:line="276" w:lineRule="auto"/>
        <w:rPr>
          <w:rFonts w:cs="Times New Roman"/>
          <w:lang w:val="en-US"/>
        </w:rPr>
      </w:pPr>
    </w:p>
    <w:p w14:paraId="75AB80D2" w14:textId="77777777" w:rsidR="00C1345F" w:rsidRPr="00C1345F" w:rsidRDefault="00C1345F" w:rsidP="00C1345F">
      <w:pPr>
        <w:spacing w:line="276" w:lineRule="auto"/>
        <w:rPr>
          <w:rFonts w:cs="Times New Roman"/>
          <w:lang w:val="en-US"/>
        </w:rPr>
      </w:pPr>
      <w:r w:rsidRPr="00C1345F">
        <w:rPr>
          <w:rFonts w:cs="Times New Roman"/>
          <w:lang w:val="en-US"/>
        </w:rPr>
        <w:t xml:space="preserve">Second, production capacity should be assessed carefully. Purses and wallets may require different materials, supplier relationships, machinery, design capabilities and quality-control processes. </w:t>
      </w:r>
      <w:proofErr w:type="spellStart"/>
      <w:r w:rsidRPr="00C1345F">
        <w:rPr>
          <w:rFonts w:cs="Times New Roman"/>
          <w:lang w:val="en-US"/>
        </w:rPr>
        <w:t>Nunden</w:t>
      </w:r>
      <w:proofErr w:type="spellEnd"/>
      <w:r w:rsidRPr="00C1345F">
        <w:rPr>
          <w:rFonts w:cs="Times New Roman"/>
          <w:lang w:val="en-US"/>
        </w:rPr>
        <w:t xml:space="preserve"> et al. (2022) </w:t>
      </w:r>
      <w:proofErr w:type="spellStart"/>
      <w:r w:rsidRPr="00C1345F">
        <w:rPr>
          <w:rFonts w:cs="Times New Roman"/>
          <w:lang w:val="en-US"/>
        </w:rPr>
        <w:t>emphasise</w:t>
      </w:r>
      <w:proofErr w:type="spellEnd"/>
      <w:r w:rsidRPr="00C1345F">
        <w:rPr>
          <w:rFonts w:cs="Times New Roman"/>
          <w:lang w:val="en-US"/>
        </w:rPr>
        <w:t xml:space="preserve"> the importance of management skills in capital-budgeting practice, especially in SMEs, where planning weaknesses can undermine otherwise promising investments.</w:t>
      </w:r>
    </w:p>
    <w:p w14:paraId="4F79F0D9" w14:textId="77777777" w:rsidR="00C1345F" w:rsidRPr="00C1345F" w:rsidRDefault="00C1345F" w:rsidP="00C1345F">
      <w:pPr>
        <w:spacing w:line="276" w:lineRule="auto"/>
        <w:rPr>
          <w:rFonts w:cs="Times New Roman"/>
          <w:lang w:val="en-US"/>
        </w:rPr>
      </w:pPr>
    </w:p>
    <w:p w14:paraId="141998B7" w14:textId="77777777" w:rsidR="00C1345F" w:rsidRPr="00C1345F" w:rsidRDefault="00C1345F" w:rsidP="00C1345F">
      <w:pPr>
        <w:spacing w:line="276" w:lineRule="auto"/>
        <w:rPr>
          <w:rFonts w:cs="Times New Roman"/>
          <w:lang w:val="en-US"/>
        </w:rPr>
      </w:pPr>
      <w:r w:rsidRPr="00C1345F">
        <w:rPr>
          <w:rFonts w:cs="Times New Roman"/>
          <w:lang w:val="en-US"/>
        </w:rPr>
        <w:t>Third, working-capital requirements should be estimated realistically. New product lines may increase inventory, trade receivables and storage costs. Internet sales may require fulfilment systems, returns handling and additional customer-service infrastructure. If these effects are excluded, NPV can be overstated materially (</w:t>
      </w:r>
      <w:proofErr w:type="spellStart"/>
      <w:r w:rsidRPr="00C1345F">
        <w:rPr>
          <w:rFonts w:cs="Times New Roman"/>
          <w:lang w:val="en-US"/>
        </w:rPr>
        <w:t>Magni</w:t>
      </w:r>
      <w:proofErr w:type="spellEnd"/>
      <w:r w:rsidRPr="00C1345F">
        <w:rPr>
          <w:rFonts w:cs="Times New Roman"/>
          <w:lang w:val="en-US"/>
        </w:rPr>
        <w:t xml:space="preserve"> and </w:t>
      </w:r>
      <w:proofErr w:type="spellStart"/>
      <w:r w:rsidRPr="00C1345F">
        <w:rPr>
          <w:rFonts w:cs="Times New Roman"/>
          <w:lang w:val="en-US"/>
        </w:rPr>
        <w:t>Marchioni</w:t>
      </w:r>
      <w:proofErr w:type="spellEnd"/>
      <w:r w:rsidRPr="00C1345F">
        <w:rPr>
          <w:rFonts w:cs="Times New Roman"/>
          <w:lang w:val="en-US"/>
        </w:rPr>
        <w:t xml:space="preserve">, 2020; </w:t>
      </w:r>
      <w:proofErr w:type="spellStart"/>
      <w:r w:rsidRPr="00C1345F">
        <w:rPr>
          <w:rFonts w:cs="Times New Roman"/>
          <w:lang w:val="en-US"/>
        </w:rPr>
        <w:t>Aktas</w:t>
      </w:r>
      <w:proofErr w:type="spellEnd"/>
      <w:r w:rsidRPr="00C1345F">
        <w:rPr>
          <w:rFonts w:cs="Times New Roman"/>
          <w:lang w:val="en-US"/>
        </w:rPr>
        <w:t xml:space="preserve">, </w:t>
      </w:r>
      <w:proofErr w:type="spellStart"/>
      <w:r w:rsidRPr="00C1345F">
        <w:rPr>
          <w:rFonts w:cs="Times New Roman"/>
          <w:lang w:val="en-US"/>
        </w:rPr>
        <w:t>Croci</w:t>
      </w:r>
      <w:proofErr w:type="spellEnd"/>
      <w:r w:rsidRPr="00C1345F">
        <w:rPr>
          <w:rFonts w:cs="Times New Roman"/>
          <w:lang w:val="en-US"/>
        </w:rPr>
        <w:t xml:space="preserve"> and </w:t>
      </w:r>
      <w:proofErr w:type="spellStart"/>
      <w:r w:rsidRPr="00C1345F">
        <w:rPr>
          <w:rFonts w:cs="Times New Roman"/>
          <w:lang w:val="en-US"/>
        </w:rPr>
        <w:t>Petmezas</w:t>
      </w:r>
      <w:proofErr w:type="spellEnd"/>
      <w:r w:rsidRPr="00C1345F">
        <w:rPr>
          <w:rFonts w:cs="Times New Roman"/>
          <w:lang w:val="en-US"/>
        </w:rPr>
        <w:t>, 2015).</w:t>
      </w:r>
    </w:p>
    <w:p w14:paraId="35045CD4" w14:textId="77777777" w:rsidR="00C1345F" w:rsidRPr="00C1345F" w:rsidRDefault="00C1345F" w:rsidP="00C1345F">
      <w:pPr>
        <w:spacing w:line="276" w:lineRule="auto"/>
        <w:rPr>
          <w:rFonts w:cs="Times New Roman"/>
          <w:lang w:val="en-US"/>
        </w:rPr>
      </w:pPr>
    </w:p>
    <w:p w14:paraId="0369FB46" w14:textId="77777777" w:rsidR="00C1345F" w:rsidRPr="00C1345F" w:rsidRDefault="00C1345F" w:rsidP="00C1345F">
      <w:pPr>
        <w:spacing w:line="276" w:lineRule="auto"/>
        <w:rPr>
          <w:rFonts w:cs="Times New Roman"/>
          <w:lang w:val="en-US"/>
        </w:rPr>
      </w:pPr>
      <w:r w:rsidRPr="00C1345F">
        <w:rPr>
          <w:rFonts w:cs="Times New Roman"/>
          <w:lang w:val="en-US"/>
        </w:rPr>
        <w:t xml:space="preserve">Fourth, the Board should consider ESG and reputational issues. For a business operating in fashion accessories, sourcing practices, </w:t>
      </w:r>
      <w:proofErr w:type="spellStart"/>
      <w:r w:rsidRPr="00C1345F">
        <w:rPr>
          <w:rFonts w:cs="Times New Roman"/>
          <w:lang w:val="en-US"/>
        </w:rPr>
        <w:t>labour</w:t>
      </w:r>
      <w:proofErr w:type="spellEnd"/>
      <w:r w:rsidRPr="00C1345F">
        <w:rPr>
          <w:rFonts w:cs="Times New Roman"/>
          <w:lang w:val="en-US"/>
        </w:rPr>
        <w:t xml:space="preserve"> standards, packaging and environmental impact may affect brand reputation and long-term customer response. Contemporary capital-budgeting literature increasingly </w:t>
      </w:r>
      <w:proofErr w:type="spellStart"/>
      <w:r w:rsidRPr="00C1345F">
        <w:rPr>
          <w:rFonts w:cs="Times New Roman"/>
          <w:lang w:val="en-US"/>
        </w:rPr>
        <w:t>recognises</w:t>
      </w:r>
      <w:proofErr w:type="spellEnd"/>
      <w:r w:rsidRPr="00C1345F">
        <w:rPr>
          <w:rFonts w:cs="Times New Roman"/>
          <w:lang w:val="en-US"/>
        </w:rPr>
        <w:t xml:space="preserve"> sustainability and ESG issues as relevant decision factors rather than purely external considerations (</w:t>
      </w:r>
      <w:proofErr w:type="spellStart"/>
      <w:r w:rsidRPr="00C1345F">
        <w:rPr>
          <w:rFonts w:cs="Times New Roman"/>
          <w:lang w:val="en-US"/>
        </w:rPr>
        <w:t>Shaheen</w:t>
      </w:r>
      <w:proofErr w:type="spellEnd"/>
      <w:r w:rsidRPr="00C1345F">
        <w:rPr>
          <w:rFonts w:cs="Times New Roman"/>
          <w:lang w:val="en-US"/>
        </w:rPr>
        <w:t xml:space="preserve"> et al., 2024).</w:t>
      </w:r>
    </w:p>
    <w:p w14:paraId="13D96022" w14:textId="77777777" w:rsidR="00C1345F" w:rsidRPr="00C1345F" w:rsidRDefault="00C1345F" w:rsidP="00C1345F">
      <w:pPr>
        <w:spacing w:line="276" w:lineRule="auto"/>
        <w:rPr>
          <w:rFonts w:cs="Times New Roman"/>
          <w:lang w:val="en-US"/>
        </w:rPr>
      </w:pPr>
    </w:p>
    <w:p w14:paraId="08E7FA73" w14:textId="7565C1C0" w:rsidR="00A77462" w:rsidRPr="002018AC" w:rsidRDefault="00C1345F" w:rsidP="00C1345F">
      <w:pPr>
        <w:spacing w:line="276" w:lineRule="auto"/>
        <w:rPr>
          <w:rFonts w:cs="Times New Roman"/>
          <w:lang w:val="en-US"/>
        </w:rPr>
      </w:pPr>
      <w:r w:rsidRPr="00C1345F">
        <w:rPr>
          <w:rFonts w:cs="Times New Roman"/>
          <w:lang w:val="en-US"/>
        </w:rPr>
        <w:t xml:space="preserve">Finally, strategic fit should be assessed alongside the numbers. Option B has a lower NPV than Option C, but it could build digital capabilities that are not fully captured in a four-year cash-flow forecast. Final approval should therefore combine financial appraisal with strategic analysis, operational readiness and risk evaluation (Hartmann and </w:t>
      </w:r>
      <w:proofErr w:type="spellStart"/>
      <w:r w:rsidRPr="00C1345F">
        <w:rPr>
          <w:rFonts w:cs="Times New Roman"/>
          <w:lang w:val="en-US"/>
        </w:rPr>
        <w:t>Weißenberger</w:t>
      </w:r>
      <w:proofErr w:type="spellEnd"/>
      <w:r w:rsidRPr="00C1345F">
        <w:rPr>
          <w:rFonts w:cs="Times New Roman"/>
          <w:lang w:val="en-US"/>
        </w:rPr>
        <w:t xml:space="preserve">, 2024; </w:t>
      </w:r>
      <w:proofErr w:type="spellStart"/>
      <w:r w:rsidRPr="00C1345F">
        <w:rPr>
          <w:rFonts w:cs="Times New Roman"/>
          <w:lang w:val="en-US"/>
        </w:rPr>
        <w:t>Shaheen</w:t>
      </w:r>
      <w:proofErr w:type="spellEnd"/>
      <w:r w:rsidRPr="00C1345F">
        <w:rPr>
          <w:rFonts w:cs="Times New Roman"/>
          <w:lang w:val="en-US"/>
        </w:rPr>
        <w:t xml:space="preserve"> et al., 2024).</w:t>
      </w:r>
    </w:p>
    <w:p w14:paraId="467FB843" w14:textId="04DF96F1" w:rsidR="00A77462" w:rsidRPr="002018AC" w:rsidRDefault="00A77462" w:rsidP="00695D8D">
      <w:pPr>
        <w:pStyle w:val="Heading2"/>
        <w:numPr>
          <w:ilvl w:val="1"/>
          <w:numId w:val="9"/>
        </w:numPr>
        <w:spacing w:line="276" w:lineRule="auto"/>
        <w:rPr>
          <w:rFonts w:cs="Times New Roman"/>
          <w:lang w:val="en-AU"/>
        </w:rPr>
      </w:pPr>
      <w:bookmarkStart w:id="43" w:name="_Toc227609573"/>
      <w:r w:rsidRPr="002018AC">
        <w:rPr>
          <w:rFonts w:cs="Times New Roman"/>
          <w:lang w:val="en-AU"/>
        </w:rPr>
        <w:t>Capital rationing decision</w:t>
      </w:r>
      <w:bookmarkEnd w:id="43"/>
    </w:p>
    <w:p w14:paraId="6296D7FA" w14:textId="20A3FB32" w:rsidR="00C1345F" w:rsidRDefault="00C1345F" w:rsidP="00695D8D">
      <w:pPr>
        <w:spacing w:line="276" w:lineRule="auto"/>
        <w:rPr>
          <w:rFonts w:cs="Times New Roman"/>
          <w:lang w:val="en-AU"/>
        </w:rPr>
      </w:pPr>
      <w:r w:rsidRPr="00C1345F">
        <w:rPr>
          <w:rFonts w:cs="Times New Roman"/>
          <w:lang w:val="en-AU"/>
        </w:rPr>
        <w:t xml:space="preserve">If Beard Plc has only £1.5m available and the projects are divisible, the correct approach is to use the profitability index. This is because capital should be allocated to the projects that generate the highest present value per pound invested (Sokolov, 2024; </w:t>
      </w:r>
      <w:proofErr w:type="spellStart"/>
      <w:r w:rsidRPr="00C1345F">
        <w:rPr>
          <w:rFonts w:cs="Times New Roman"/>
          <w:lang w:val="en-AU"/>
        </w:rPr>
        <w:t>Purnamasari</w:t>
      </w:r>
      <w:proofErr w:type="spellEnd"/>
      <w:r w:rsidRPr="00C1345F">
        <w:rPr>
          <w:rFonts w:cs="Times New Roman"/>
          <w:lang w:val="en-AU"/>
        </w:rPr>
        <w:t xml:space="preserve"> and </w:t>
      </w:r>
      <w:proofErr w:type="spellStart"/>
      <w:r w:rsidRPr="00C1345F">
        <w:rPr>
          <w:rFonts w:cs="Times New Roman"/>
          <w:lang w:val="en-AU"/>
        </w:rPr>
        <w:t>Adriza</w:t>
      </w:r>
      <w:proofErr w:type="spellEnd"/>
      <w:r w:rsidRPr="00C1345F">
        <w:rPr>
          <w:rFonts w:cs="Times New Roman"/>
          <w:lang w:val="en-AU"/>
        </w:rPr>
        <w:t>, 2024).</w:t>
      </w:r>
    </w:p>
    <w:p w14:paraId="454DA308" w14:textId="118CD367" w:rsidR="00A77462" w:rsidRPr="002018AC" w:rsidRDefault="00A77462" w:rsidP="00695D8D">
      <w:pPr>
        <w:spacing w:line="276" w:lineRule="auto"/>
        <w:rPr>
          <w:rFonts w:cs="Times New Roman"/>
          <w:lang w:val="en-AU"/>
        </w:rPr>
      </w:pPr>
      <w:r w:rsidRPr="002018AC">
        <w:rPr>
          <w:rFonts w:cs="Times New Roman"/>
          <w:lang w:val="en-AU"/>
        </w:rPr>
        <w:t xml:space="preserve">The profitability index results are shown in </w:t>
      </w:r>
      <w:r w:rsidRPr="002018AC">
        <w:rPr>
          <w:rFonts w:cs="Times New Roman"/>
          <w:b/>
          <w:bCs/>
          <w:lang w:val="en-AU"/>
        </w:rPr>
        <w:t>Appendix F</w:t>
      </w:r>
      <w:r w:rsidRPr="002018AC">
        <w:rPr>
          <w:rFonts w:cs="Times New Roman"/>
          <w:lang w:val="en-AU"/>
        </w:rPr>
        <w:t>:</w:t>
      </w:r>
    </w:p>
    <w:tbl>
      <w:tblPr>
        <w:tblStyle w:val="GridTable4-Accent1"/>
        <w:tblW w:w="9960" w:type="dxa"/>
        <w:tblLook w:val="04A0" w:firstRow="1" w:lastRow="0" w:firstColumn="1" w:lastColumn="0" w:noHBand="0" w:noVBand="1"/>
      </w:tblPr>
      <w:tblGrid>
        <w:gridCol w:w="2265"/>
        <w:gridCol w:w="5053"/>
        <w:gridCol w:w="2642"/>
      </w:tblGrid>
      <w:tr w:rsidR="00A77462" w:rsidRPr="002018AC" w14:paraId="5C5CA50F" w14:textId="77777777" w:rsidTr="001C195C">
        <w:trPr>
          <w:cnfStyle w:val="100000000000" w:firstRow="1" w:lastRow="0" w:firstColumn="0" w:lastColumn="0" w:oddVBand="0" w:evenVBand="0" w:oddHBand="0" w:evenHBand="0" w:firstRowFirstColumn="0" w:firstRowLastColumn="0" w:lastRowFirstColumn="0" w:lastRowLastColumn="0"/>
          <w:trHeight w:val="279"/>
        </w:trPr>
        <w:tc>
          <w:tcPr>
            <w:cnfStyle w:val="001000000000" w:firstRow="0" w:lastRow="0" w:firstColumn="1" w:lastColumn="0" w:oddVBand="0" w:evenVBand="0" w:oddHBand="0" w:evenHBand="0" w:firstRowFirstColumn="0" w:firstRowLastColumn="0" w:lastRowFirstColumn="0" w:lastRowLastColumn="0"/>
            <w:tcW w:w="0" w:type="auto"/>
            <w:hideMark/>
          </w:tcPr>
          <w:p w14:paraId="4E74318A" w14:textId="77777777" w:rsidR="00A77462" w:rsidRPr="002018AC" w:rsidRDefault="00A77462" w:rsidP="00695D8D">
            <w:pPr>
              <w:spacing w:line="276" w:lineRule="auto"/>
              <w:rPr>
                <w:rFonts w:cs="Times New Roman"/>
                <w:b w:val="0"/>
                <w:bCs w:val="0"/>
                <w:lang w:val="en-AU" w:eastAsia="en-AU"/>
              </w:rPr>
            </w:pPr>
            <w:r w:rsidRPr="002018AC">
              <w:rPr>
                <w:rFonts w:cs="Times New Roman"/>
                <w:b w:val="0"/>
                <w:bCs w:val="0"/>
                <w:lang w:val="en-AU" w:eastAsia="en-AU"/>
              </w:rPr>
              <w:lastRenderedPageBreak/>
              <w:t>Option</w:t>
            </w:r>
          </w:p>
        </w:tc>
        <w:tc>
          <w:tcPr>
            <w:tcW w:w="0" w:type="auto"/>
            <w:hideMark/>
          </w:tcPr>
          <w:p w14:paraId="5A9D477C" w14:textId="77777777" w:rsidR="00A77462" w:rsidRPr="002018AC" w:rsidRDefault="00A77462" w:rsidP="00695D8D">
            <w:pPr>
              <w:spacing w:line="276" w:lineRule="auto"/>
              <w:cnfStyle w:val="100000000000" w:firstRow="1" w:lastRow="0" w:firstColumn="0" w:lastColumn="0" w:oddVBand="0" w:evenVBand="0" w:oddHBand="0" w:evenHBand="0" w:firstRowFirstColumn="0" w:firstRowLastColumn="0" w:lastRowFirstColumn="0" w:lastRowLastColumn="0"/>
              <w:rPr>
                <w:rFonts w:cs="Times New Roman"/>
                <w:b w:val="0"/>
                <w:bCs w:val="0"/>
                <w:lang w:val="en-AU" w:eastAsia="en-AU"/>
              </w:rPr>
            </w:pPr>
            <w:r w:rsidRPr="002018AC">
              <w:rPr>
                <w:rFonts w:cs="Times New Roman"/>
                <w:b w:val="0"/>
                <w:bCs w:val="0"/>
                <w:lang w:val="en-AU" w:eastAsia="en-AU"/>
              </w:rPr>
              <w:t>Profitability index</w:t>
            </w:r>
          </w:p>
        </w:tc>
        <w:tc>
          <w:tcPr>
            <w:tcW w:w="0" w:type="auto"/>
            <w:hideMark/>
          </w:tcPr>
          <w:p w14:paraId="5ECC3D68" w14:textId="77777777" w:rsidR="00A77462" w:rsidRPr="002018AC" w:rsidRDefault="00A77462" w:rsidP="00695D8D">
            <w:pPr>
              <w:spacing w:line="276" w:lineRule="auto"/>
              <w:cnfStyle w:val="100000000000" w:firstRow="1" w:lastRow="0" w:firstColumn="0" w:lastColumn="0" w:oddVBand="0" w:evenVBand="0" w:oddHBand="0" w:evenHBand="0" w:firstRowFirstColumn="0" w:firstRowLastColumn="0" w:lastRowFirstColumn="0" w:lastRowLastColumn="0"/>
              <w:rPr>
                <w:rFonts w:cs="Times New Roman"/>
                <w:b w:val="0"/>
                <w:bCs w:val="0"/>
                <w:lang w:val="en-AU" w:eastAsia="en-AU"/>
              </w:rPr>
            </w:pPr>
            <w:r w:rsidRPr="002018AC">
              <w:rPr>
                <w:rFonts w:cs="Times New Roman"/>
                <w:b w:val="0"/>
                <w:bCs w:val="0"/>
                <w:lang w:val="en-AU" w:eastAsia="en-AU"/>
              </w:rPr>
              <w:t>Ranking</w:t>
            </w:r>
          </w:p>
        </w:tc>
      </w:tr>
      <w:tr w:rsidR="00A77462" w:rsidRPr="002018AC" w14:paraId="610088C2" w14:textId="77777777" w:rsidTr="001C195C">
        <w:trPr>
          <w:cnfStyle w:val="000000100000" w:firstRow="0" w:lastRow="0" w:firstColumn="0" w:lastColumn="0" w:oddVBand="0" w:evenVBand="0" w:oddHBand="1" w:evenHBand="0" w:firstRowFirstColumn="0" w:firstRowLastColumn="0" w:lastRowFirstColumn="0" w:lastRowLastColumn="0"/>
          <w:trHeight w:val="272"/>
        </w:trPr>
        <w:tc>
          <w:tcPr>
            <w:cnfStyle w:val="001000000000" w:firstRow="0" w:lastRow="0" w:firstColumn="1" w:lastColumn="0" w:oddVBand="0" w:evenVBand="0" w:oddHBand="0" w:evenHBand="0" w:firstRowFirstColumn="0" w:firstRowLastColumn="0" w:lastRowFirstColumn="0" w:lastRowLastColumn="0"/>
            <w:tcW w:w="0" w:type="auto"/>
            <w:hideMark/>
          </w:tcPr>
          <w:p w14:paraId="693507F7" w14:textId="77777777" w:rsidR="00A77462" w:rsidRPr="002018AC" w:rsidRDefault="00A77462" w:rsidP="00695D8D">
            <w:pPr>
              <w:spacing w:line="276" w:lineRule="auto"/>
              <w:rPr>
                <w:rFonts w:cs="Times New Roman"/>
                <w:lang w:val="en-AU" w:eastAsia="en-AU"/>
              </w:rPr>
            </w:pPr>
            <w:r w:rsidRPr="002018AC">
              <w:rPr>
                <w:rFonts w:cs="Times New Roman"/>
                <w:lang w:val="en-AU" w:eastAsia="en-AU"/>
              </w:rPr>
              <w:t>C</w:t>
            </w:r>
          </w:p>
        </w:tc>
        <w:tc>
          <w:tcPr>
            <w:tcW w:w="0" w:type="auto"/>
            <w:hideMark/>
          </w:tcPr>
          <w:p w14:paraId="327F6E91"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b/>
                <w:bCs/>
                <w:lang w:val="en-AU" w:eastAsia="en-AU"/>
              </w:rPr>
              <w:t>1.091</w:t>
            </w:r>
          </w:p>
        </w:tc>
        <w:tc>
          <w:tcPr>
            <w:tcW w:w="0" w:type="auto"/>
            <w:hideMark/>
          </w:tcPr>
          <w:p w14:paraId="5DC1705D"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1</w:t>
            </w:r>
            <w:r w:rsidRPr="002018AC">
              <w:rPr>
                <w:rFonts w:cs="Times New Roman"/>
                <w:vertAlign w:val="superscript"/>
                <w:lang w:val="en-AU" w:eastAsia="en-AU"/>
              </w:rPr>
              <w:t>st</w:t>
            </w:r>
          </w:p>
        </w:tc>
      </w:tr>
      <w:tr w:rsidR="00A77462" w:rsidRPr="002018AC" w14:paraId="4193CABB" w14:textId="77777777" w:rsidTr="001C195C">
        <w:trPr>
          <w:trHeight w:val="279"/>
        </w:trPr>
        <w:tc>
          <w:tcPr>
            <w:cnfStyle w:val="001000000000" w:firstRow="0" w:lastRow="0" w:firstColumn="1" w:lastColumn="0" w:oddVBand="0" w:evenVBand="0" w:oddHBand="0" w:evenHBand="0" w:firstRowFirstColumn="0" w:firstRowLastColumn="0" w:lastRowFirstColumn="0" w:lastRowLastColumn="0"/>
            <w:tcW w:w="0" w:type="auto"/>
            <w:hideMark/>
          </w:tcPr>
          <w:p w14:paraId="6C8B66AC" w14:textId="77777777" w:rsidR="00A77462" w:rsidRPr="002018AC" w:rsidRDefault="00A77462" w:rsidP="00695D8D">
            <w:pPr>
              <w:spacing w:line="276" w:lineRule="auto"/>
              <w:rPr>
                <w:rFonts w:cs="Times New Roman"/>
                <w:lang w:val="en-AU" w:eastAsia="en-AU"/>
              </w:rPr>
            </w:pPr>
            <w:r w:rsidRPr="002018AC">
              <w:rPr>
                <w:rFonts w:cs="Times New Roman"/>
                <w:lang w:val="en-AU" w:eastAsia="en-AU"/>
              </w:rPr>
              <w:t>B</w:t>
            </w:r>
          </w:p>
        </w:tc>
        <w:tc>
          <w:tcPr>
            <w:tcW w:w="0" w:type="auto"/>
            <w:hideMark/>
          </w:tcPr>
          <w:p w14:paraId="3AEEB96A"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b/>
                <w:bCs/>
                <w:lang w:val="en-AU" w:eastAsia="en-AU"/>
              </w:rPr>
              <w:t>1.082</w:t>
            </w:r>
          </w:p>
        </w:tc>
        <w:tc>
          <w:tcPr>
            <w:tcW w:w="0" w:type="auto"/>
            <w:hideMark/>
          </w:tcPr>
          <w:p w14:paraId="734BE4C2"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2</w:t>
            </w:r>
            <w:r w:rsidRPr="002018AC">
              <w:rPr>
                <w:rFonts w:cs="Times New Roman"/>
                <w:vertAlign w:val="superscript"/>
                <w:lang w:val="en-AU" w:eastAsia="en-AU"/>
              </w:rPr>
              <w:t>nd</w:t>
            </w:r>
          </w:p>
        </w:tc>
      </w:tr>
      <w:tr w:rsidR="00A77462" w:rsidRPr="002018AC" w14:paraId="06E27887" w14:textId="77777777" w:rsidTr="001C195C">
        <w:trPr>
          <w:cnfStyle w:val="000000100000" w:firstRow="0" w:lastRow="0" w:firstColumn="0" w:lastColumn="0" w:oddVBand="0" w:evenVBand="0" w:oddHBand="1" w:evenHBand="0" w:firstRowFirstColumn="0" w:firstRowLastColumn="0" w:lastRowFirstColumn="0" w:lastRowLastColumn="0"/>
          <w:trHeight w:val="279"/>
        </w:trPr>
        <w:tc>
          <w:tcPr>
            <w:cnfStyle w:val="001000000000" w:firstRow="0" w:lastRow="0" w:firstColumn="1" w:lastColumn="0" w:oddVBand="0" w:evenVBand="0" w:oddHBand="0" w:evenHBand="0" w:firstRowFirstColumn="0" w:firstRowLastColumn="0" w:lastRowFirstColumn="0" w:lastRowLastColumn="0"/>
            <w:tcW w:w="0" w:type="auto"/>
            <w:hideMark/>
          </w:tcPr>
          <w:p w14:paraId="5DD54345" w14:textId="77777777" w:rsidR="00A77462" w:rsidRPr="002018AC" w:rsidRDefault="00A77462" w:rsidP="00695D8D">
            <w:pPr>
              <w:spacing w:line="276" w:lineRule="auto"/>
              <w:rPr>
                <w:rFonts w:cs="Times New Roman"/>
                <w:lang w:val="en-AU" w:eastAsia="en-AU"/>
              </w:rPr>
            </w:pPr>
            <w:r w:rsidRPr="002018AC">
              <w:rPr>
                <w:rFonts w:cs="Times New Roman"/>
                <w:lang w:val="en-AU" w:eastAsia="en-AU"/>
              </w:rPr>
              <w:t>A</w:t>
            </w:r>
          </w:p>
        </w:tc>
        <w:tc>
          <w:tcPr>
            <w:tcW w:w="0" w:type="auto"/>
            <w:hideMark/>
          </w:tcPr>
          <w:p w14:paraId="59829804"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b/>
                <w:bCs/>
                <w:lang w:val="en-AU" w:eastAsia="en-AU"/>
              </w:rPr>
              <w:t>0.995</w:t>
            </w:r>
          </w:p>
        </w:tc>
        <w:tc>
          <w:tcPr>
            <w:tcW w:w="0" w:type="auto"/>
            <w:hideMark/>
          </w:tcPr>
          <w:p w14:paraId="020EA527"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Reject</w:t>
            </w:r>
          </w:p>
        </w:tc>
      </w:tr>
    </w:tbl>
    <w:p w14:paraId="39367EBB" w14:textId="77777777" w:rsidR="00A77462" w:rsidRPr="002018AC" w:rsidRDefault="00A77462" w:rsidP="00695D8D">
      <w:pPr>
        <w:spacing w:line="276" w:lineRule="auto"/>
        <w:rPr>
          <w:rFonts w:cs="Times New Roman"/>
          <w:lang w:val="en-AU"/>
        </w:rPr>
      </w:pPr>
      <w:r w:rsidRPr="002018AC">
        <w:rPr>
          <w:rFonts w:cs="Times New Roman"/>
          <w:lang w:val="en-AU"/>
        </w:rPr>
        <w:t>The optimal investment policy is therefore:</w:t>
      </w:r>
    </w:p>
    <w:p w14:paraId="7AA8926E" w14:textId="77777777" w:rsidR="00A77462" w:rsidRPr="002018AC" w:rsidRDefault="00A77462" w:rsidP="00695D8D">
      <w:pPr>
        <w:pStyle w:val="ListParagraph"/>
        <w:numPr>
          <w:ilvl w:val="0"/>
          <w:numId w:val="15"/>
        </w:numPr>
        <w:spacing w:line="276" w:lineRule="auto"/>
        <w:rPr>
          <w:rFonts w:cs="Times New Roman"/>
          <w:lang w:val="en-AU"/>
        </w:rPr>
      </w:pPr>
      <w:r w:rsidRPr="002018AC">
        <w:rPr>
          <w:rFonts w:cs="Times New Roman"/>
          <w:bCs/>
          <w:lang w:val="en-AU"/>
        </w:rPr>
        <w:t>Invest 100% in Option C = £1,000k</w:t>
      </w:r>
    </w:p>
    <w:p w14:paraId="300673F5" w14:textId="77777777" w:rsidR="00A77462" w:rsidRPr="002018AC" w:rsidRDefault="00A77462" w:rsidP="00695D8D">
      <w:pPr>
        <w:spacing w:line="276" w:lineRule="auto"/>
        <w:rPr>
          <w:rFonts w:cs="Times New Roman"/>
          <w:lang w:val="en-AU"/>
        </w:rPr>
      </w:pPr>
      <w:r w:rsidRPr="002018AC">
        <w:rPr>
          <w:rFonts w:cs="Times New Roman"/>
          <w:lang w:val="en-AU"/>
        </w:rPr>
        <w:t>Remaining funds:</w:t>
      </w:r>
    </w:p>
    <w:p w14:paraId="029B4A5C" w14:textId="77777777" w:rsidR="00A77462" w:rsidRPr="002018AC" w:rsidRDefault="00A77462" w:rsidP="00695D8D">
      <w:pPr>
        <w:pStyle w:val="ListParagraph"/>
        <w:numPr>
          <w:ilvl w:val="0"/>
          <w:numId w:val="15"/>
        </w:numPr>
        <w:spacing w:line="276" w:lineRule="auto"/>
        <w:rPr>
          <w:rFonts w:cs="Times New Roman"/>
          <w:lang w:val="en-AU"/>
        </w:rPr>
      </w:pPr>
      <w:r w:rsidRPr="002018AC">
        <w:rPr>
          <w:rFonts w:cs="Times New Roman"/>
          <w:bCs/>
          <w:lang w:val="en-AU"/>
        </w:rPr>
        <w:t>£1,500k – £1,000k = £500k</w:t>
      </w:r>
    </w:p>
    <w:p w14:paraId="1A80626C" w14:textId="77777777" w:rsidR="00A77462" w:rsidRPr="002018AC" w:rsidRDefault="00A77462" w:rsidP="00695D8D">
      <w:pPr>
        <w:spacing w:line="276" w:lineRule="auto"/>
        <w:rPr>
          <w:rFonts w:cs="Times New Roman"/>
          <w:lang w:val="en-AU"/>
        </w:rPr>
      </w:pPr>
      <w:r w:rsidRPr="002018AC">
        <w:rPr>
          <w:rFonts w:cs="Times New Roman"/>
          <w:lang w:val="en-AU"/>
        </w:rPr>
        <w:t xml:space="preserve">Use the remaining £500k to invest in </w:t>
      </w:r>
      <w:r w:rsidRPr="002018AC">
        <w:rPr>
          <w:rFonts w:cs="Times New Roman"/>
          <w:bCs/>
          <w:lang w:val="en-AU"/>
        </w:rPr>
        <w:t>55.56% of Option B</w:t>
      </w:r>
      <w:r w:rsidRPr="002018AC">
        <w:rPr>
          <w:rFonts w:cs="Times New Roman"/>
          <w:lang w:val="en-AU"/>
        </w:rPr>
        <w:t>:</w:t>
      </w:r>
    </w:p>
    <w:p w14:paraId="4A4C8926" w14:textId="77777777" w:rsidR="00A77462" w:rsidRPr="002018AC" w:rsidRDefault="00A77462" w:rsidP="00695D8D">
      <w:pPr>
        <w:pStyle w:val="ListParagraph"/>
        <w:numPr>
          <w:ilvl w:val="0"/>
          <w:numId w:val="15"/>
        </w:numPr>
        <w:spacing w:line="276" w:lineRule="auto"/>
        <w:rPr>
          <w:rFonts w:cs="Times New Roman"/>
          <w:lang w:val="en-AU"/>
        </w:rPr>
      </w:pPr>
      <w:r w:rsidRPr="002018AC">
        <w:rPr>
          <w:rFonts w:cs="Times New Roman"/>
          <w:bCs/>
          <w:lang w:val="en-AU"/>
        </w:rPr>
        <w:t>£500k / £900k = 55.56%</w:t>
      </w:r>
    </w:p>
    <w:p w14:paraId="75366552" w14:textId="77777777" w:rsidR="00A77462" w:rsidRPr="002018AC" w:rsidRDefault="00A77462" w:rsidP="00695D8D">
      <w:pPr>
        <w:spacing w:line="276" w:lineRule="auto"/>
        <w:rPr>
          <w:rFonts w:cs="Times New Roman"/>
          <w:lang w:val="en-AU"/>
        </w:rPr>
      </w:pPr>
      <w:r w:rsidRPr="002018AC">
        <w:rPr>
          <w:rFonts w:cs="Times New Roman"/>
          <w:lang w:val="en-AU"/>
        </w:rPr>
        <w:t>This produces a total NPV of:</w:t>
      </w:r>
    </w:p>
    <w:p w14:paraId="42D9F7EB" w14:textId="77777777" w:rsidR="00A77462" w:rsidRPr="002018AC" w:rsidRDefault="00A77462" w:rsidP="00695D8D">
      <w:pPr>
        <w:pStyle w:val="ListParagraph"/>
        <w:numPr>
          <w:ilvl w:val="0"/>
          <w:numId w:val="15"/>
        </w:numPr>
        <w:spacing w:line="276" w:lineRule="auto"/>
        <w:rPr>
          <w:rFonts w:cs="Times New Roman"/>
          <w:lang w:val="en-AU"/>
        </w:rPr>
      </w:pPr>
      <w:r w:rsidRPr="002018AC">
        <w:rPr>
          <w:rFonts w:cs="Times New Roman"/>
          <w:bCs/>
          <w:lang w:val="en-AU"/>
        </w:rPr>
        <w:t>£91.226k + £41.084k = £132.310k</w:t>
      </w:r>
    </w:p>
    <w:p w14:paraId="3F08D966" w14:textId="790EB76F" w:rsidR="00A77462" w:rsidRPr="002018AC" w:rsidRDefault="00C1345F" w:rsidP="00695D8D">
      <w:pPr>
        <w:spacing w:line="276" w:lineRule="auto"/>
        <w:rPr>
          <w:rFonts w:cs="Times New Roman"/>
          <w:lang w:val="en-AU"/>
        </w:rPr>
      </w:pPr>
      <w:r w:rsidRPr="00C1345F">
        <w:rPr>
          <w:rFonts w:cs="Times New Roman"/>
          <w:lang w:val="en-AU"/>
        </w:rPr>
        <w:t>The optimal policy is therefore to invest 100% in Option C, costing £1,000k, and then use the remaining £500k to fund 55.56% of Option B. This produces a total NPV of £132.310k. Under capital rationing, Beard Plc should therefore invest fully in Option C and partially in Option B. Option A should be excluded because it has a negative NPV and a profitability index below 1 (Sokolov, 2024).</w:t>
      </w:r>
      <w:r w:rsidR="00A77462" w:rsidRPr="002018AC">
        <w:rPr>
          <w:rFonts w:cs="Times New Roman"/>
          <w:lang w:val="en-AU"/>
        </w:rPr>
        <w:t>.</w:t>
      </w:r>
    </w:p>
    <w:p w14:paraId="5188EE87" w14:textId="50691B2B" w:rsidR="00A77462" w:rsidRPr="002018AC" w:rsidRDefault="00A77462" w:rsidP="00695D8D">
      <w:pPr>
        <w:pStyle w:val="Heading2"/>
        <w:numPr>
          <w:ilvl w:val="1"/>
          <w:numId w:val="9"/>
        </w:numPr>
        <w:spacing w:line="276" w:lineRule="auto"/>
        <w:rPr>
          <w:rFonts w:cs="Times New Roman"/>
          <w:lang w:val="en-AU"/>
        </w:rPr>
      </w:pPr>
      <w:bookmarkStart w:id="44" w:name="_Toc227609574"/>
      <w:r w:rsidRPr="002018AC">
        <w:rPr>
          <w:rFonts w:cs="Times New Roman"/>
          <w:lang w:val="en-AU"/>
        </w:rPr>
        <w:t>Financing the investment programme</w:t>
      </w:r>
      <w:bookmarkEnd w:id="44"/>
    </w:p>
    <w:p w14:paraId="0D338E08" w14:textId="77777777" w:rsidR="00A77462" w:rsidRPr="002018AC" w:rsidRDefault="00A77462" w:rsidP="00695D8D">
      <w:pPr>
        <w:spacing w:line="276" w:lineRule="auto"/>
        <w:rPr>
          <w:rFonts w:cs="Times New Roman"/>
          <w:lang w:val="en-AU"/>
        </w:rPr>
      </w:pPr>
      <w:r w:rsidRPr="002018AC">
        <w:rPr>
          <w:rFonts w:cs="Times New Roman"/>
          <w:lang w:val="en-AU"/>
        </w:rPr>
        <w:t>If Beard Plc chooses only Option C, it needs £1.0m. If it follows the capital-rationing policy, it needs £1.5m. The Board should consider a mixture of internal funds, debt, equity and asset finance.</w:t>
      </w:r>
    </w:p>
    <w:p w14:paraId="0DDC8C58" w14:textId="77777777" w:rsidR="00A77462" w:rsidRPr="002018AC" w:rsidRDefault="00A77462" w:rsidP="00695D8D">
      <w:pPr>
        <w:spacing w:line="276" w:lineRule="auto"/>
        <w:rPr>
          <w:rFonts w:eastAsia="Times New Roman" w:cs="Times New Roman"/>
          <w:szCs w:val="24"/>
          <w:lang w:val="en-US"/>
        </w:rPr>
      </w:pPr>
      <w:r w:rsidRPr="002018AC">
        <w:rPr>
          <w:rFonts w:eastAsia="Times New Roman" w:cs="Times New Roman"/>
          <w:szCs w:val="24"/>
          <w:lang w:val="en-US"/>
        </w:rPr>
        <w:t xml:space="preserve">The former is </w:t>
      </w:r>
      <w:r w:rsidRPr="002018AC">
        <w:rPr>
          <w:rFonts w:eastAsia="Times New Roman" w:cs="Times New Roman"/>
          <w:bCs/>
          <w:szCs w:val="24"/>
          <w:lang w:val="en-US"/>
        </w:rPr>
        <w:t>retained</w:t>
      </w:r>
      <w:r w:rsidRPr="002018AC">
        <w:rPr>
          <w:rFonts w:eastAsia="Times New Roman" w:cs="Times New Roman"/>
          <w:szCs w:val="24"/>
          <w:lang w:val="en-US"/>
        </w:rPr>
        <w:t xml:space="preserve"> earnings. This is normally appealing since it does not require any interest payments and does not dilute ownership. The study by </w:t>
      </w:r>
      <w:proofErr w:type="spellStart"/>
      <w:r w:rsidRPr="002018AC">
        <w:rPr>
          <w:rFonts w:eastAsia="Times New Roman" w:cs="Times New Roman"/>
          <w:szCs w:val="24"/>
          <w:lang w:val="en-US"/>
        </w:rPr>
        <w:t>Djabang</w:t>
      </w:r>
      <w:proofErr w:type="spellEnd"/>
      <w:r w:rsidRPr="002018AC">
        <w:rPr>
          <w:rFonts w:eastAsia="Times New Roman" w:cs="Times New Roman"/>
          <w:szCs w:val="24"/>
          <w:lang w:val="en-US"/>
        </w:rPr>
        <w:t xml:space="preserve"> et al. (2025) in the UK </w:t>
      </w:r>
      <w:r w:rsidRPr="002018AC">
        <w:rPr>
          <w:rFonts w:eastAsia="Times New Roman" w:cs="Times New Roman"/>
          <w:bCs/>
          <w:szCs w:val="24"/>
          <w:lang w:val="en-US"/>
        </w:rPr>
        <w:t>on</w:t>
      </w:r>
      <w:r w:rsidRPr="002018AC">
        <w:rPr>
          <w:rFonts w:eastAsia="Times New Roman" w:cs="Times New Roman"/>
          <w:szCs w:val="24"/>
          <w:lang w:val="en-US"/>
        </w:rPr>
        <w:t xml:space="preserve"> SMEs revealed that the pecking-order theory is still applicable, and most companies tend to use internally generated funds over external debt or equity. Retained earnings are, however, not free. Excessive cash usage can undermine liquidity and limit </w:t>
      </w:r>
      <w:r w:rsidRPr="002018AC">
        <w:rPr>
          <w:rFonts w:eastAsia="Times New Roman" w:cs="Times New Roman"/>
          <w:bCs/>
          <w:szCs w:val="24"/>
          <w:lang w:val="en-US"/>
        </w:rPr>
        <w:t>financial flexibility</w:t>
      </w:r>
      <w:r w:rsidRPr="002018AC">
        <w:rPr>
          <w:rFonts w:eastAsia="Times New Roman" w:cs="Times New Roman"/>
          <w:szCs w:val="24"/>
          <w:lang w:val="en-US"/>
        </w:rPr>
        <w:t>.</w:t>
      </w:r>
    </w:p>
    <w:p w14:paraId="6100D1BA" w14:textId="77777777" w:rsidR="00A77462" w:rsidRPr="002018AC" w:rsidRDefault="00A77462" w:rsidP="00695D8D">
      <w:pPr>
        <w:spacing w:line="276" w:lineRule="auto"/>
        <w:rPr>
          <w:rFonts w:eastAsia="Times New Roman" w:cs="Times New Roman"/>
          <w:szCs w:val="24"/>
          <w:lang w:val="en-US"/>
        </w:rPr>
      </w:pPr>
      <w:r w:rsidRPr="002018AC">
        <w:rPr>
          <w:rFonts w:eastAsia="Times New Roman" w:cs="Times New Roman"/>
          <w:szCs w:val="24"/>
          <w:lang w:val="en-US"/>
        </w:rPr>
        <w:t xml:space="preserve">The second </w:t>
      </w:r>
      <w:r w:rsidRPr="002018AC">
        <w:rPr>
          <w:rFonts w:eastAsia="Times New Roman" w:cs="Times New Roman"/>
          <w:bCs/>
          <w:szCs w:val="24"/>
          <w:lang w:val="en-US"/>
        </w:rPr>
        <w:t>source</w:t>
      </w:r>
      <w:r w:rsidRPr="002018AC">
        <w:rPr>
          <w:rFonts w:eastAsia="Times New Roman" w:cs="Times New Roman"/>
          <w:szCs w:val="24"/>
          <w:lang w:val="en-US"/>
        </w:rPr>
        <w:t xml:space="preserve"> is bank debt or a medium-term loan. Debt can be appropriate since the projects will have </w:t>
      </w:r>
      <w:r w:rsidRPr="002018AC">
        <w:rPr>
          <w:rFonts w:eastAsia="Times New Roman" w:cs="Times New Roman"/>
          <w:bCs/>
          <w:szCs w:val="24"/>
          <w:lang w:val="en-US"/>
        </w:rPr>
        <w:t>annual</w:t>
      </w:r>
      <w:r w:rsidRPr="002018AC">
        <w:rPr>
          <w:rFonts w:eastAsia="Times New Roman" w:cs="Times New Roman"/>
          <w:szCs w:val="24"/>
          <w:lang w:val="en-US"/>
        </w:rPr>
        <w:t xml:space="preserve"> cash inflow</w:t>
      </w:r>
      <w:r w:rsidRPr="002018AC">
        <w:rPr>
          <w:rFonts w:eastAsia="Times New Roman" w:cs="Times New Roman"/>
          <w:bCs/>
          <w:szCs w:val="24"/>
          <w:lang w:val="en-US"/>
        </w:rPr>
        <w:t>s</w:t>
      </w:r>
      <w:r w:rsidRPr="002018AC">
        <w:rPr>
          <w:rFonts w:eastAsia="Times New Roman" w:cs="Times New Roman"/>
          <w:szCs w:val="24"/>
          <w:lang w:val="en-US"/>
        </w:rPr>
        <w:t>. Interest can also generate a tax benefit, but Ricca et al. (2021) point out that tax benefits and the cost</w:t>
      </w:r>
      <w:r w:rsidRPr="002018AC">
        <w:rPr>
          <w:rFonts w:eastAsia="Times New Roman" w:cs="Times New Roman"/>
          <w:bCs/>
          <w:szCs w:val="24"/>
          <w:lang w:val="en-US"/>
        </w:rPr>
        <w:t>s</w:t>
      </w:r>
      <w:r w:rsidRPr="002018AC">
        <w:rPr>
          <w:rFonts w:eastAsia="Times New Roman" w:cs="Times New Roman"/>
          <w:szCs w:val="24"/>
          <w:lang w:val="en-US"/>
        </w:rPr>
        <w:t xml:space="preserve"> of bankruptcy or financial </w:t>
      </w:r>
      <w:r w:rsidRPr="002018AC">
        <w:rPr>
          <w:rFonts w:eastAsia="Times New Roman" w:cs="Times New Roman"/>
          <w:bCs/>
          <w:szCs w:val="24"/>
          <w:lang w:val="en-US"/>
        </w:rPr>
        <w:t>distress</w:t>
      </w:r>
      <w:r w:rsidRPr="002018AC">
        <w:rPr>
          <w:rFonts w:eastAsia="Times New Roman" w:cs="Times New Roman"/>
          <w:szCs w:val="24"/>
          <w:lang w:val="en-US"/>
        </w:rPr>
        <w:t xml:space="preserve"> are trade-offs. Debt is to be used sparingly. An overdraft would not be appropriate, as a four-year or five-year loan would be more appropriate depending on the life of the project.</w:t>
      </w:r>
    </w:p>
    <w:p w14:paraId="777AAA87" w14:textId="77777777" w:rsidR="00A77462" w:rsidRPr="002018AC" w:rsidRDefault="00A77462" w:rsidP="00695D8D">
      <w:pPr>
        <w:spacing w:line="276" w:lineRule="auto"/>
        <w:rPr>
          <w:rFonts w:eastAsia="Times New Roman" w:cs="Times New Roman"/>
          <w:szCs w:val="24"/>
          <w:lang w:val="en-US"/>
        </w:rPr>
      </w:pPr>
      <w:r w:rsidRPr="002018AC">
        <w:rPr>
          <w:rFonts w:eastAsia="Times New Roman" w:cs="Times New Roman"/>
          <w:szCs w:val="24"/>
          <w:lang w:val="en-US"/>
        </w:rPr>
        <w:lastRenderedPageBreak/>
        <w:t xml:space="preserve">Asset finance or leasing is the third source. This can be suitable </w:t>
      </w:r>
      <w:r w:rsidRPr="002018AC">
        <w:rPr>
          <w:rFonts w:eastAsia="Times New Roman" w:cs="Times New Roman"/>
          <w:bCs/>
          <w:szCs w:val="24"/>
          <w:lang w:val="en-US"/>
        </w:rPr>
        <w:t>if</w:t>
      </w:r>
      <w:r w:rsidRPr="002018AC">
        <w:rPr>
          <w:rFonts w:eastAsia="Times New Roman" w:cs="Times New Roman"/>
          <w:szCs w:val="24"/>
          <w:lang w:val="en-US"/>
        </w:rPr>
        <w:t xml:space="preserve"> Option C involves machinery or production equipment. It lessens the amount of cash </w:t>
      </w:r>
      <w:r w:rsidRPr="002018AC">
        <w:rPr>
          <w:rFonts w:eastAsia="Times New Roman" w:cs="Times New Roman"/>
          <w:bCs/>
          <w:szCs w:val="24"/>
          <w:lang w:val="en-US"/>
        </w:rPr>
        <w:t>required</w:t>
      </w:r>
      <w:r w:rsidRPr="002018AC">
        <w:rPr>
          <w:rFonts w:eastAsia="Times New Roman" w:cs="Times New Roman"/>
          <w:szCs w:val="24"/>
          <w:lang w:val="en-US"/>
        </w:rPr>
        <w:t xml:space="preserve"> at the outset and aligns finance with the asset. The drawback is that the overall cost might be increased, and the company might be limited by the contract.</w:t>
      </w:r>
    </w:p>
    <w:p w14:paraId="37ECF4B4" w14:textId="77777777" w:rsidR="00A77462" w:rsidRPr="002018AC" w:rsidRDefault="00A77462" w:rsidP="00695D8D">
      <w:pPr>
        <w:spacing w:line="276" w:lineRule="auto"/>
        <w:rPr>
          <w:rFonts w:eastAsia="Times New Roman" w:cs="Times New Roman"/>
          <w:szCs w:val="24"/>
          <w:lang w:val="en-US"/>
        </w:rPr>
      </w:pPr>
      <w:r w:rsidRPr="002018AC">
        <w:rPr>
          <w:rFonts w:eastAsia="Times New Roman" w:cs="Times New Roman"/>
          <w:szCs w:val="24"/>
          <w:lang w:val="en-US"/>
        </w:rPr>
        <w:t xml:space="preserve">Fourth is equity finance. Equity does not involve any fixed repayments and </w:t>
      </w:r>
      <w:r w:rsidRPr="002018AC">
        <w:rPr>
          <w:rFonts w:eastAsia="Times New Roman" w:cs="Times New Roman"/>
          <w:bCs/>
          <w:szCs w:val="24"/>
          <w:lang w:val="en-US"/>
        </w:rPr>
        <w:t>enhances</w:t>
      </w:r>
      <w:r w:rsidRPr="002018AC">
        <w:rPr>
          <w:rFonts w:eastAsia="Times New Roman" w:cs="Times New Roman"/>
          <w:szCs w:val="24"/>
          <w:lang w:val="en-US"/>
        </w:rPr>
        <w:t xml:space="preserve"> the balance sheet, but existing shareholders are diluted and it can be costlier than debt. According to the Equity Tracker published by </w:t>
      </w:r>
      <w:r w:rsidRPr="002018AC">
        <w:rPr>
          <w:rFonts w:eastAsia="Times New Roman" w:cs="Times New Roman"/>
          <w:bCs/>
          <w:szCs w:val="24"/>
          <w:lang w:val="en-US"/>
        </w:rPr>
        <w:t>the</w:t>
      </w:r>
      <w:r w:rsidRPr="002018AC">
        <w:rPr>
          <w:rFonts w:eastAsia="Times New Roman" w:cs="Times New Roman"/>
          <w:szCs w:val="24"/>
          <w:lang w:val="en-US"/>
        </w:rPr>
        <w:t xml:space="preserve"> British Business Bank (2025b), the amount of equity invested in smaller businesses in the UK decreased slightly, to </w:t>
      </w:r>
      <w:r w:rsidRPr="002018AC">
        <w:rPr>
          <w:rFonts w:eastAsia="Times New Roman" w:cs="Times New Roman"/>
          <w:bCs/>
          <w:szCs w:val="24"/>
          <w:lang w:val="en-US"/>
        </w:rPr>
        <w:t>£10.8bn</w:t>
      </w:r>
      <w:r w:rsidRPr="002018AC">
        <w:rPr>
          <w:rFonts w:eastAsia="Times New Roman" w:cs="Times New Roman"/>
          <w:szCs w:val="24"/>
          <w:lang w:val="en-US"/>
        </w:rPr>
        <w:t xml:space="preserve"> in 2024, but the number of deals decreased more dramatically, indicating that equity markets are not unavailable, but are selective.</w:t>
      </w:r>
    </w:p>
    <w:p w14:paraId="24FBB59D" w14:textId="77777777" w:rsidR="00C1345F" w:rsidRDefault="00C1345F" w:rsidP="00695D8D">
      <w:pPr>
        <w:spacing w:line="276" w:lineRule="auto"/>
        <w:rPr>
          <w:rFonts w:eastAsia="Times New Roman" w:cs="Times New Roman"/>
          <w:szCs w:val="24"/>
          <w:lang w:val="en-US"/>
        </w:rPr>
      </w:pPr>
      <w:r w:rsidRPr="00C1345F">
        <w:rPr>
          <w:rFonts w:eastAsia="Times New Roman" w:cs="Times New Roman"/>
          <w:szCs w:val="24"/>
          <w:lang w:val="en-US"/>
        </w:rPr>
        <w:t>he choice of finance should also reflect external market conditions. OECD evidence indicates that SMEs continue to operate under restrictive financing conditions, including high interest rates and economic uncertainty (OECD, 2025). The Bank of England (2024) and British Business Bank (2025a) also identify high credit costs and risk aversion as barriers to productive investment. UK Finance (2025) reports that gross lending to SMEs by the main retail banks increased in Q1 2025, although lending volumes remain below pre-Covid norms.</w:t>
      </w:r>
    </w:p>
    <w:p w14:paraId="24CA131F" w14:textId="77777777" w:rsidR="00C1345F" w:rsidRDefault="00C1345F" w:rsidP="00C1345F">
      <w:pPr>
        <w:spacing w:line="276" w:lineRule="auto"/>
        <w:rPr>
          <w:rFonts w:eastAsia="Times New Roman" w:cs="Times New Roman"/>
          <w:bCs/>
          <w:szCs w:val="24"/>
          <w:lang w:val="en-US"/>
        </w:rPr>
      </w:pPr>
      <w:r w:rsidRPr="00C1345F">
        <w:rPr>
          <w:rFonts w:eastAsia="Times New Roman" w:cs="Times New Roman"/>
          <w:szCs w:val="24"/>
          <w:lang w:val="en-US"/>
        </w:rPr>
        <w:t>The most suitable financing option is therefore likely to be a balanced package, such as using some retained earnings, financing equipment where possible, and covering the remainder with a medium-term loan. Equity should be considered if Beard Plc is already highly geared or wishes to avoid further fixed repayment obligations (</w:t>
      </w:r>
      <w:proofErr w:type="spellStart"/>
      <w:r w:rsidRPr="00C1345F">
        <w:rPr>
          <w:rFonts w:eastAsia="Times New Roman" w:cs="Times New Roman"/>
          <w:szCs w:val="24"/>
          <w:lang w:val="en-US"/>
        </w:rPr>
        <w:t>Djabang</w:t>
      </w:r>
      <w:proofErr w:type="spellEnd"/>
      <w:r w:rsidRPr="00C1345F">
        <w:rPr>
          <w:rFonts w:eastAsia="Times New Roman" w:cs="Times New Roman"/>
          <w:szCs w:val="24"/>
          <w:lang w:val="en-US"/>
        </w:rPr>
        <w:t xml:space="preserve">, </w:t>
      </w:r>
      <w:proofErr w:type="spellStart"/>
      <w:r w:rsidRPr="00C1345F">
        <w:rPr>
          <w:rFonts w:eastAsia="Times New Roman" w:cs="Times New Roman"/>
          <w:szCs w:val="24"/>
          <w:lang w:val="en-US"/>
        </w:rPr>
        <w:t>Shubita</w:t>
      </w:r>
      <w:proofErr w:type="spellEnd"/>
      <w:r w:rsidRPr="00C1345F">
        <w:rPr>
          <w:rFonts w:eastAsia="Times New Roman" w:cs="Times New Roman"/>
          <w:szCs w:val="24"/>
          <w:lang w:val="en-US"/>
        </w:rPr>
        <w:t xml:space="preserve"> and </w:t>
      </w:r>
      <w:proofErr w:type="spellStart"/>
      <w:r w:rsidRPr="00C1345F">
        <w:rPr>
          <w:rFonts w:eastAsia="Times New Roman" w:cs="Times New Roman"/>
          <w:szCs w:val="24"/>
          <w:lang w:val="en-US"/>
        </w:rPr>
        <w:t>Konstantopoulou</w:t>
      </w:r>
      <w:proofErr w:type="spellEnd"/>
      <w:r w:rsidRPr="00C1345F">
        <w:rPr>
          <w:rFonts w:eastAsia="Times New Roman" w:cs="Times New Roman"/>
          <w:szCs w:val="24"/>
          <w:lang w:val="en-US"/>
        </w:rPr>
        <w:t>, 2025; OECD, 2025; British Business Bank, 2025a).</w:t>
      </w:r>
    </w:p>
    <w:p w14:paraId="30E15837" w14:textId="44185C08" w:rsidR="00F0066F" w:rsidRPr="002018AC" w:rsidRDefault="00C1345F" w:rsidP="00C1345F">
      <w:pPr>
        <w:pStyle w:val="Heading2"/>
        <w:rPr>
          <w:lang w:val="en-US"/>
        </w:rPr>
      </w:pPr>
      <w:bookmarkStart w:id="45" w:name="_Toc227609575"/>
      <w:r>
        <w:rPr>
          <w:lang w:val="en-US"/>
        </w:rPr>
        <w:t xml:space="preserve">2.9 </w:t>
      </w:r>
      <w:r w:rsidR="00DC5ABD" w:rsidRPr="002018AC">
        <w:rPr>
          <w:lang w:val="en-US"/>
        </w:rPr>
        <w:t>Recom</w:t>
      </w:r>
      <w:r w:rsidR="00035D8B" w:rsidRPr="002018AC">
        <w:rPr>
          <w:lang w:val="en-US"/>
        </w:rPr>
        <w:t>me</w:t>
      </w:r>
      <w:r w:rsidR="00DC5ABD" w:rsidRPr="002018AC">
        <w:rPr>
          <w:lang w:val="en-US"/>
        </w:rPr>
        <w:t>ndation</w:t>
      </w:r>
      <w:bookmarkEnd w:id="45"/>
    </w:p>
    <w:p w14:paraId="11EFAC36" w14:textId="77777777" w:rsidR="00C1345F" w:rsidRPr="00C1345F" w:rsidRDefault="00C1345F" w:rsidP="00C1345F">
      <w:pPr>
        <w:spacing w:after="0" w:line="276" w:lineRule="auto"/>
        <w:rPr>
          <w:rFonts w:eastAsia="Times New Roman" w:cs="Times New Roman"/>
          <w:szCs w:val="24"/>
          <w:lang w:eastAsia="en-GB"/>
        </w:rPr>
      </w:pPr>
      <w:r w:rsidRPr="00C1345F">
        <w:rPr>
          <w:rFonts w:eastAsia="Times New Roman" w:cs="Times New Roman"/>
          <w:szCs w:val="24"/>
          <w:lang w:eastAsia="en-GB"/>
        </w:rPr>
        <w:t>he directors of Vodafone Group plc should prioritise restoring profitability and improving returns on capital employed. Although gross margins remain stable, the negative operating margin and ROCE in FY2025 indicate that capital is not being used effectively. Management attention should focus on underperforming regions, particularly Germany, where regulatory change has materially reduced returns and asset values. Capital expenditure should be subjected to tighter appraisal, with approval granted only where expected returns exceed the cost of capital and where post-investment performance can be monitored. While liquidity has improved, reliance on extended creditor terms should be controlled to avoid hidden working-capital strain. Dividend payments and share buybacks should also remain conservative until statutory profitability and interest cover improve, with priority given to balance-sheet resilience and sustainable cash generation (Vodafone Group plc, 2025; Connect Europe, 2025; Huynh and Le, 2025).</w:t>
      </w:r>
    </w:p>
    <w:p w14:paraId="32AE4E4A" w14:textId="77777777" w:rsidR="00C1345F" w:rsidRPr="00C1345F" w:rsidRDefault="00C1345F" w:rsidP="00C1345F">
      <w:pPr>
        <w:spacing w:after="0" w:line="276" w:lineRule="auto"/>
        <w:rPr>
          <w:rFonts w:eastAsia="Times New Roman" w:cs="Times New Roman"/>
          <w:szCs w:val="24"/>
          <w:lang w:eastAsia="en-GB"/>
        </w:rPr>
      </w:pPr>
    </w:p>
    <w:p w14:paraId="21AB2642" w14:textId="1C8D4B53" w:rsidR="00F0066F" w:rsidRPr="009F3577" w:rsidRDefault="00C1345F" w:rsidP="00C1345F">
      <w:pPr>
        <w:spacing w:after="0" w:line="276" w:lineRule="auto"/>
        <w:rPr>
          <w:rFonts w:eastAsia="Times New Roman" w:cs="Times New Roman"/>
          <w:sz w:val="21"/>
          <w:szCs w:val="21"/>
          <w:lang w:eastAsia="en-GB"/>
        </w:rPr>
      </w:pPr>
      <w:r w:rsidRPr="00C1345F">
        <w:rPr>
          <w:rFonts w:eastAsia="Times New Roman" w:cs="Times New Roman"/>
          <w:szCs w:val="24"/>
          <w:lang w:eastAsia="en-GB"/>
        </w:rPr>
        <w:t xml:space="preserve">The Board of Beard Plc should prioritise Option C, the </w:t>
      </w:r>
      <w:r w:rsidR="00AC26D3">
        <w:rPr>
          <w:rFonts w:eastAsia="Times New Roman" w:cs="Times New Roman"/>
          <w:szCs w:val="24"/>
          <w:lang w:eastAsia="en-GB"/>
        </w:rPr>
        <w:t>manufacture</w:t>
      </w:r>
      <w:r w:rsidRPr="00C1345F">
        <w:rPr>
          <w:rFonts w:eastAsia="Times New Roman" w:cs="Times New Roman"/>
          <w:szCs w:val="24"/>
          <w:lang w:eastAsia="en-GB"/>
        </w:rPr>
        <w:t xml:space="preserve"> of purses and wallets, </w:t>
      </w:r>
      <w:r w:rsidR="00AC26D3">
        <w:rPr>
          <w:rFonts w:eastAsia="Times New Roman" w:cs="Times New Roman"/>
          <w:szCs w:val="24"/>
          <w:lang w:eastAsia="en-GB"/>
        </w:rPr>
        <w:t>which returns in</w:t>
      </w:r>
      <w:r w:rsidRPr="00C1345F">
        <w:rPr>
          <w:rFonts w:eastAsia="Times New Roman" w:cs="Times New Roman"/>
          <w:szCs w:val="24"/>
          <w:lang w:eastAsia="en-GB"/>
        </w:rPr>
        <w:t xml:space="preserve"> the highest NPV and an IRR above the cost of capital, indicating clear value creation. If capital is unconstrained, Option C should be undertaken in full. Under capital rationing, the optimal policy is to invest fully in Option C and allocate the remaining funds to Option B, thereby </w:t>
      </w:r>
      <w:r w:rsidRPr="00C1345F">
        <w:rPr>
          <w:rFonts w:eastAsia="Times New Roman" w:cs="Times New Roman"/>
          <w:szCs w:val="24"/>
          <w:lang w:eastAsia="en-GB"/>
        </w:rPr>
        <w:lastRenderedPageBreak/>
        <w:t xml:space="preserve">maximising total NPV. Option A should be rejected because its NPV is negative. Before final approval, the Board should test market demand, confirm production capability, and assess working-capital implications, especially for inventory and receivables. Financing should balance retained earnings and medium-term debt while preserving financial flexibility and avoiding excessive risk (Sokolov, 2024; </w:t>
      </w:r>
      <w:proofErr w:type="spellStart"/>
      <w:r w:rsidRPr="00C1345F">
        <w:rPr>
          <w:rFonts w:eastAsia="Times New Roman" w:cs="Times New Roman"/>
          <w:szCs w:val="24"/>
          <w:lang w:eastAsia="en-GB"/>
        </w:rPr>
        <w:t>Nunden</w:t>
      </w:r>
      <w:proofErr w:type="spellEnd"/>
      <w:r w:rsidRPr="00C1345F">
        <w:rPr>
          <w:rFonts w:eastAsia="Times New Roman" w:cs="Times New Roman"/>
          <w:szCs w:val="24"/>
          <w:lang w:eastAsia="en-GB"/>
        </w:rPr>
        <w:t xml:space="preserve"> et al., 2022; OECD, 2025).</w:t>
      </w:r>
    </w:p>
    <w:p w14:paraId="23B96268" w14:textId="77777777" w:rsidR="00F0066F" w:rsidRPr="002018AC" w:rsidRDefault="00F0066F" w:rsidP="00695D8D">
      <w:pPr>
        <w:spacing w:after="0" w:line="276" w:lineRule="auto"/>
        <w:jc w:val="left"/>
        <w:rPr>
          <w:rFonts w:eastAsiaTheme="majorEastAsia" w:cs="Times New Roman"/>
          <w:b/>
          <w:color w:val="4C94D8" w:themeColor="text2" w:themeTint="80"/>
          <w:sz w:val="36"/>
          <w:szCs w:val="32"/>
          <w:lang w:val="en-US"/>
        </w:rPr>
      </w:pPr>
      <w:r w:rsidRPr="002018AC">
        <w:rPr>
          <w:rFonts w:cs="Times New Roman"/>
          <w:lang w:val="en-US"/>
        </w:rPr>
        <w:br w:type="page"/>
      </w:r>
    </w:p>
    <w:p w14:paraId="7CE1D7F9" w14:textId="77777777" w:rsidR="00DC5ABD" w:rsidRPr="002018AC" w:rsidRDefault="00DC5ABD" w:rsidP="00695D8D">
      <w:pPr>
        <w:pStyle w:val="Heading2"/>
        <w:spacing w:line="276" w:lineRule="auto"/>
        <w:rPr>
          <w:rFonts w:cs="Times New Roman"/>
          <w:lang w:val="en-US"/>
        </w:rPr>
      </w:pPr>
    </w:p>
    <w:p w14:paraId="168AB5C2" w14:textId="49AFD66E" w:rsidR="001C195C" w:rsidRPr="002018AC" w:rsidRDefault="00DB6BEC" w:rsidP="00695D8D">
      <w:pPr>
        <w:pStyle w:val="Heading2"/>
        <w:spacing w:line="276" w:lineRule="auto"/>
        <w:ind w:left="360"/>
        <w:rPr>
          <w:rFonts w:cs="Times New Roman"/>
          <w:b w:val="0"/>
          <w:color w:val="0F4761" w:themeColor="accent1" w:themeShade="BF"/>
          <w:sz w:val="40"/>
          <w:szCs w:val="40"/>
          <w:u w:val="single"/>
          <w:lang w:val="en-AU"/>
        </w:rPr>
      </w:pPr>
      <w:bookmarkStart w:id="46" w:name="_Toc227609576"/>
      <w:r w:rsidRPr="002018AC">
        <w:rPr>
          <w:rFonts w:cs="Times New Roman"/>
          <w:lang w:val="en-US"/>
        </w:rPr>
        <w:t>2.10</w:t>
      </w:r>
      <w:r w:rsidR="00F0066F" w:rsidRPr="002018AC">
        <w:rPr>
          <w:rFonts w:cs="Times New Roman"/>
          <w:lang w:val="en-US"/>
        </w:rPr>
        <w:t xml:space="preserve"> </w:t>
      </w:r>
      <w:r w:rsidR="00A77462" w:rsidRPr="002018AC">
        <w:rPr>
          <w:rFonts w:cs="Times New Roman"/>
          <w:lang w:val="en-US"/>
        </w:rPr>
        <w:t>Conclusion</w:t>
      </w:r>
      <w:bookmarkEnd w:id="46"/>
      <w:r w:rsidR="00F0066F" w:rsidRPr="002018AC">
        <w:rPr>
          <w:rFonts w:cs="Times New Roman"/>
          <w:lang w:val="en-US"/>
        </w:rPr>
        <w:t xml:space="preserve"> </w:t>
      </w:r>
      <w:r w:rsidR="00F0066F" w:rsidRPr="002018AC">
        <w:rPr>
          <w:rFonts w:cs="Times New Roman"/>
          <w:b w:val="0"/>
          <w:color w:val="0F4761" w:themeColor="accent1" w:themeShade="BF"/>
          <w:sz w:val="40"/>
          <w:szCs w:val="40"/>
          <w:u w:val="single"/>
          <w:lang w:val="en-AU"/>
        </w:rPr>
        <w:t xml:space="preserve"> </w:t>
      </w:r>
    </w:p>
    <w:p w14:paraId="0DD459F8" w14:textId="76FCD67C" w:rsidR="00C1345F" w:rsidRPr="00C1345F" w:rsidRDefault="00C1345F" w:rsidP="00C1345F">
      <w:pPr>
        <w:spacing w:after="0" w:line="276" w:lineRule="auto"/>
        <w:rPr>
          <w:rFonts w:eastAsia="Times New Roman" w:cs="Times New Roman"/>
          <w:szCs w:val="24"/>
          <w:lang w:eastAsia="en-GB"/>
        </w:rPr>
      </w:pPr>
      <w:r w:rsidRPr="00C1345F">
        <w:rPr>
          <w:rFonts w:eastAsia="Times New Roman" w:cs="Times New Roman"/>
          <w:szCs w:val="24"/>
          <w:lang w:eastAsia="en-GB"/>
        </w:rPr>
        <w:t>This analysis demonstrates that Vodafone’s FY2025 financial performance weakened significantly at the operating and statutory levels despite relatively stable revenue and gross margin. Large impairment charges produced an operating loss and negative ROCE, highlighting concerns over asset recoverability and value creation. Although short-term liquidity improved and net debt fell, high leverage and weak interest cover continue to present financial risk. Efficiency ratios deteriorated only marginally, which suggests that the main problem lies less in day-to-day trading and more in capital allocation, asset-value pressure and market conditions. Overall, Vodafone remains operationally substantial but financially strained. Sustainable value creation will depend on disciplined investment, recovery in key markets and a cautious approach to shareholder distributions consistent with long-term financial stability (Vodafone Group plc, 2025; Ali Abebe, 2022; Connect Europe, 2025).</w:t>
      </w:r>
    </w:p>
    <w:p w14:paraId="268C44C7" w14:textId="77777777" w:rsidR="00C1345F" w:rsidRPr="00C1345F" w:rsidRDefault="00C1345F" w:rsidP="00C1345F">
      <w:pPr>
        <w:spacing w:after="0" w:line="276" w:lineRule="auto"/>
        <w:rPr>
          <w:rFonts w:eastAsia="Times New Roman" w:cs="Times New Roman"/>
          <w:szCs w:val="24"/>
          <w:lang w:eastAsia="en-GB"/>
        </w:rPr>
      </w:pPr>
    </w:p>
    <w:p w14:paraId="0E937678" w14:textId="43F04737" w:rsidR="00F0066F" w:rsidRPr="009F3577" w:rsidRDefault="00C1345F" w:rsidP="00C1345F">
      <w:pPr>
        <w:spacing w:after="0" w:line="276" w:lineRule="auto"/>
        <w:rPr>
          <w:rFonts w:eastAsia="Times New Roman" w:cs="Times New Roman"/>
          <w:sz w:val="21"/>
          <w:szCs w:val="21"/>
          <w:lang w:eastAsia="en-GB"/>
        </w:rPr>
      </w:pPr>
      <w:r w:rsidRPr="00C1345F">
        <w:rPr>
          <w:rFonts w:eastAsia="Times New Roman" w:cs="Times New Roman"/>
          <w:szCs w:val="24"/>
          <w:lang w:eastAsia="en-GB"/>
        </w:rPr>
        <w:t xml:space="preserve">The investment appraisal shows the value of discounted cash-flow techniques, especially NPV, in supporting sound capital-budgeting decisions. Of the three projects, Option C is the strongest financially, creating the greatest increase in shareholder value and offering an IRR comfortably above the 5% cost of capital. Option B is also acceptable, although less strong in absolute-value terms, while Option A fails to meet the required return. Under limited funding, the combination of Option C with a partial investment in Option B maximises overall NPV and therefore represents the best choice. However, financial attractiveness alone is not enough. The Board must also consider strategic fit, operational readiness and execution risk. A disciplined and evidence-based approach to project selection will support Beard Plc’s long-term growth and financial sustainability (Sokolov, 2024; </w:t>
      </w:r>
      <w:proofErr w:type="spellStart"/>
      <w:r w:rsidRPr="00C1345F">
        <w:rPr>
          <w:rFonts w:eastAsia="Times New Roman" w:cs="Times New Roman"/>
          <w:szCs w:val="24"/>
          <w:lang w:eastAsia="en-GB"/>
        </w:rPr>
        <w:t>Purnamasari</w:t>
      </w:r>
      <w:proofErr w:type="spellEnd"/>
      <w:r w:rsidRPr="00C1345F">
        <w:rPr>
          <w:rFonts w:eastAsia="Times New Roman" w:cs="Times New Roman"/>
          <w:szCs w:val="24"/>
          <w:lang w:eastAsia="en-GB"/>
        </w:rPr>
        <w:t xml:space="preserve"> and </w:t>
      </w:r>
      <w:proofErr w:type="spellStart"/>
      <w:r w:rsidRPr="00C1345F">
        <w:rPr>
          <w:rFonts w:eastAsia="Times New Roman" w:cs="Times New Roman"/>
          <w:szCs w:val="24"/>
          <w:lang w:eastAsia="en-GB"/>
        </w:rPr>
        <w:t>Adriza</w:t>
      </w:r>
      <w:proofErr w:type="spellEnd"/>
      <w:r w:rsidRPr="00C1345F">
        <w:rPr>
          <w:rFonts w:eastAsia="Times New Roman" w:cs="Times New Roman"/>
          <w:szCs w:val="24"/>
          <w:lang w:eastAsia="en-GB"/>
        </w:rPr>
        <w:t xml:space="preserve">, 2024; Hartmann and </w:t>
      </w:r>
      <w:proofErr w:type="spellStart"/>
      <w:r w:rsidRPr="00C1345F">
        <w:rPr>
          <w:rFonts w:eastAsia="Times New Roman" w:cs="Times New Roman"/>
          <w:szCs w:val="24"/>
          <w:lang w:eastAsia="en-GB"/>
        </w:rPr>
        <w:t>Weißenberger</w:t>
      </w:r>
      <w:proofErr w:type="spellEnd"/>
      <w:r w:rsidRPr="00C1345F">
        <w:rPr>
          <w:rFonts w:eastAsia="Times New Roman" w:cs="Times New Roman"/>
          <w:szCs w:val="24"/>
          <w:lang w:eastAsia="en-GB"/>
        </w:rPr>
        <w:t>, 2024).</w:t>
      </w:r>
    </w:p>
    <w:p w14:paraId="3F8818AC" w14:textId="77777777" w:rsidR="00F0066F" w:rsidRPr="002018AC" w:rsidRDefault="00F0066F" w:rsidP="00695D8D">
      <w:pPr>
        <w:spacing w:line="276" w:lineRule="auto"/>
        <w:rPr>
          <w:rFonts w:cs="Times New Roman"/>
          <w:lang w:val="en-AU"/>
        </w:rPr>
      </w:pPr>
    </w:p>
    <w:p w14:paraId="6BADD36A" w14:textId="77777777" w:rsidR="00035D8B" w:rsidRPr="002018AC" w:rsidRDefault="00035D8B">
      <w:pPr>
        <w:spacing w:after="0" w:line="240" w:lineRule="auto"/>
        <w:jc w:val="left"/>
        <w:rPr>
          <w:rFonts w:eastAsiaTheme="majorEastAsia" w:cs="Times New Roman"/>
          <w:b/>
          <w:color w:val="0F4761" w:themeColor="accent1" w:themeShade="BF"/>
          <w:sz w:val="40"/>
          <w:szCs w:val="40"/>
          <w:u w:val="single"/>
          <w:lang w:val="en-AU"/>
        </w:rPr>
      </w:pPr>
      <w:r w:rsidRPr="002018AC">
        <w:rPr>
          <w:rFonts w:cs="Times New Roman"/>
          <w:lang w:val="en-AU"/>
        </w:rPr>
        <w:br w:type="page"/>
      </w:r>
    </w:p>
    <w:p w14:paraId="5721237E" w14:textId="43714696" w:rsidR="00A77462" w:rsidRPr="002018AC" w:rsidRDefault="00A77462" w:rsidP="00695D8D">
      <w:pPr>
        <w:pStyle w:val="Heading1"/>
        <w:numPr>
          <w:ilvl w:val="0"/>
          <w:numId w:val="9"/>
        </w:numPr>
        <w:spacing w:line="276" w:lineRule="auto"/>
        <w:rPr>
          <w:rFonts w:cs="Times New Roman"/>
          <w:lang w:val="en-AU"/>
        </w:rPr>
      </w:pPr>
      <w:bookmarkStart w:id="47" w:name="_Toc227609577"/>
      <w:r w:rsidRPr="002018AC">
        <w:rPr>
          <w:rFonts w:cs="Times New Roman"/>
          <w:lang w:val="en-AU"/>
        </w:rPr>
        <w:lastRenderedPageBreak/>
        <w:t>Reference list</w:t>
      </w:r>
      <w:bookmarkEnd w:id="47"/>
    </w:p>
    <w:p w14:paraId="716DA1A9" w14:textId="45BCDE18" w:rsidR="00035D8B" w:rsidRPr="002018AC" w:rsidRDefault="00035D8B" w:rsidP="00461154">
      <w:pPr>
        <w:spacing w:line="276" w:lineRule="auto"/>
        <w:ind w:left="720" w:hanging="720"/>
        <w:rPr>
          <w:rFonts w:cs="Times New Roman"/>
          <w:lang w:val="en-AU"/>
        </w:rPr>
      </w:pPr>
      <w:proofErr w:type="spellStart"/>
      <w:r w:rsidRPr="002018AC">
        <w:rPr>
          <w:rFonts w:cs="Times New Roman"/>
          <w:lang w:val="en-AU"/>
        </w:rPr>
        <w:t>Aktas</w:t>
      </w:r>
      <w:proofErr w:type="spellEnd"/>
      <w:r w:rsidRPr="002018AC">
        <w:rPr>
          <w:rFonts w:cs="Times New Roman"/>
          <w:lang w:val="en-AU"/>
        </w:rPr>
        <w:t xml:space="preserve">, N., </w:t>
      </w:r>
      <w:proofErr w:type="spellStart"/>
      <w:r w:rsidRPr="002018AC">
        <w:rPr>
          <w:rFonts w:cs="Times New Roman"/>
          <w:lang w:val="en-AU"/>
        </w:rPr>
        <w:t>Croci</w:t>
      </w:r>
      <w:proofErr w:type="spellEnd"/>
      <w:r w:rsidRPr="002018AC">
        <w:rPr>
          <w:rFonts w:cs="Times New Roman"/>
          <w:lang w:val="en-AU"/>
        </w:rPr>
        <w:t xml:space="preserve">, E. and </w:t>
      </w:r>
      <w:proofErr w:type="spellStart"/>
      <w:r w:rsidRPr="002018AC">
        <w:rPr>
          <w:rFonts w:cs="Times New Roman"/>
          <w:lang w:val="en-AU"/>
        </w:rPr>
        <w:t>Petmezas</w:t>
      </w:r>
      <w:proofErr w:type="spellEnd"/>
      <w:r w:rsidRPr="002018AC">
        <w:rPr>
          <w:rFonts w:cs="Times New Roman"/>
          <w:lang w:val="en-AU"/>
        </w:rPr>
        <w:t xml:space="preserve">, D. (2015) ‘Is working capital management value-enhancing? Evidence from firm performance and investments’, Journal of Corporate Finance, 30, pp. 98–113. </w:t>
      </w:r>
    </w:p>
    <w:p w14:paraId="15DFB999" w14:textId="77777777" w:rsidR="00035D8B" w:rsidRPr="002018AC" w:rsidRDefault="00035D8B" w:rsidP="00461154">
      <w:pPr>
        <w:spacing w:line="276" w:lineRule="auto"/>
        <w:ind w:left="720" w:hanging="720"/>
        <w:rPr>
          <w:rFonts w:cs="Times New Roman"/>
          <w:lang w:val="en-AU"/>
        </w:rPr>
      </w:pPr>
      <w:r w:rsidRPr="002018AC">
        <w:rPr>
          <w:rFonts w:cs="Times New Roman"/>
        </w:rPr>
        <w:t>Ali Abebe, A., 2022. The effect of IFRS on the financial ratios: Evidence from banking sector in the emerging economy. </w:t>
      </w:r>
      <w:r w:rsidRPr="002018AC">
        <w:rPr>
          <w:rFonts w:cs="Times New Roman"/>
          <w:i/>
          <w:iCs/>
        </w:rPr>
        <w:t>Cogent Economics &amp; Finance</w:t>
      </w:r>
      <w:r w:rsidRPr="002018AC">
        <w:rPr>
          <w:rFonts w:cs="Times New Roman"/>
        </w:rPr>
        <w:t>, </w:t>
      </w:r>
      <w:r w:rsidRPr="002018AC">
        <w:rPr>
          <w:rFonts w:cs="Times New Roman"/>
          <w:i/>
          <w:iCs/>
        </w:rPr>
        <w:t>10</w:t>
      </w:r>
      <w:r w:rsidRPr="002018AC">
        <w:rPr>
          <w:rFonts w:cs="Times New Roman"/>
        </w:rPr>
        <w:t>(1), p.2113495.</w:t>
      </w:r>
    </w:p>
    <w:p w14:paraId="42DFD6F5" w14:textId="79A1266B" w:rsidR="00035D8B" w:rsidRPr="002018AC" w:rsidRDefault="00035D8B" w:rsidP="00461154">
      <w:pPr>
        <w:spacing w:line="276" w:lineRule="auto"/>
        <w:ind w:left="720" w:hanging="720"/>
        <w:rPr>
          <w:rFonts w:cs="Times New Roman"/>
          <w:lang w:val="en-AU"/>
        </w:rPr>
      </w:pPr>
      <w:proofErr w:type="spellStart"/>
      <w:r w:rsidRPr="002018AC">
        <w:rPr>
          <w:rFonts w:cs="Times New Roman"/>
          <w:lang w:val="en-AU"/>
        </w:rPr>
        <w:t>Alles</w:t>
      </w:r>
      <w:proofErr w:type="spellEnd"/>
      <w:r w:rsidRPr="002018AC">
        <w:rPr>
          <w:rFonts w:cs="Times New Roman"/>
          <w:lang w:val="en-AU"/>
        </w:rPr>
        <w:t xml:space="preserve">, L., </w:t>
      </w:r>
      <w:proofErr w:type="spellStart"/>
      <w:r w:rsidRPr="002018AC">
        <w:rPr>
          <w:rFonts w:cs="Times New Roman"/>
          <w:lang w:val="en-AU"/>
        </w:rPr>
        <w:t>Jayathilaka</w:t>
      </w:r>
      <w:proofErr w:type="spellEnd"/>
      <w:r w:rsidRPr="002018AC">
        <w:rPr>
          <w:rFonts w:cs="Times New Roman"/>
          <w:lang w:val="en-AU"/>
        </w:rPr>
        <w:t xml:space="preserve">, R., Kumari, N., </w:t>
      </w:r>
      <w:proofErr w:type="spellStart"/>
      <w:r w:rsidRPr="002018AC">
        <w:rPr>
          <w:rFonts w:cs="Times New Roman"/>
          <w:lang w:val="en-AU"/>
        </w:rPr>
        <w:t>Malalathunga</w:t>
      </w:r>
      <w:proofErr w:type="spellEnd"/>
      <w:r w:rsidRPr="002018AC">
        <w:rPr>
          <w:rFonts w:cs="Times New Roman"/>
          <w:lang w:val="en-AU"/>
        </w:rPr>
        <w:t xml:space="preserve">, T., </w:t>
      </w:r>
      <w:proofErr w:type="spellStart"/>
      <w:r w:rsidRPr="002018AC">
        <w:rPr>
          <w:rFonts w:cs="Times New Roman"/>
          <w:lang w:val="en-AU"/>
        </w:rPr>
        <w:t>Obeyesekera</w:t>
      </w:r>
      <w:proofErr w:type="spellEnd"/>
      <w:r w:rsidRPr="002018AC">
        <w:rPr>
          <w:rFonts w:cs="Times New Roman"/>
          <w:lang w:val="en-AU"/>
        </w:rPr>
        <w:t xml:space="preserve">, H. and Sharmila, S. (2021) ‘An investigation of the usage of capital budgeting techniques by small and medium enterprises’, Quality &amp; Quantity, 55(3), pp. 993–1006. </w:t>
      </w:r>
    </w:p>
    <w:p w14:paraId="20464D92" w14:textId="77777777" w:rsidR="00035D8B" w:rsidRPr="002018AC" w:rsidRDefault="00035D8B" w:rsidP="00461154">
      <w:pPr>
        <w:spacing w:line="276" w:lineRule="auto"/>
        <w:ind w:left="720" w:hanging="720"/>
        <w:rPr>
          <w:rFonts w:cs="Times New Roman"/>
          <w:lang w:val="en-AU"/>
        </w:rPr>
      </w:pPr>
      <w:proofErr w:type="spellStart"/>
      <w:r w:rsidRPr="002018AC">
        <w:rPr>
          <w:rFonts w:cs="Times New Roman"/>
          <w:lang w:val="en-AU"/>
        </w:rPr>
        <w:t>Andor</w:t>
      </w:r>
      <w:proofErr w:type="spellEnd"/>
      <w:r w:rsidRPr="002018AC">
        <w:rPr>
          <w:rFonts w:cs="Times New Roman"/>
          <w:lang w:val="en-AU"/>
        </w:rPr>
        <w:t>, G., Mohanty, S.K. and Toth, T. (2015) ‘Capital budgeting practices: A survey of Central and Eastern European firms’, Emerging Markets Review, 23, pp. 148–172.</w:t>
      </w:r>
    </w:p>
    <w:p w14:paraId="441AA857" w14:textId="364BCB29" w:rsidR="00035D8B" w:rsidRPr="002018AC" w:rsidRDefault="00035D8B" w:rsidP="00461154">
      <w:pPr>
        <w:spacing w:line="276" w:lineRule="auto"/>
        <w:ind w:left="720" w:hanging="720"/>
        <w:rPr>
          <w:rFonts w:cs="Times New Roman"/>
          <w:lang w:val="en-AU"/>
        </w:rPr>
      </w:pPr>
      <w:proofErr w:type="spellStart"/>
      <w:r w:rsidRPr="002018AC">
        <w:rPr>
          <w:rFonts w:cs="Times New Roman"/>
          <w:lang w:val="en-AU"/>
        </w:rPr>
        <w:t>Arhinful</w:t>
      </w:r>
      <w:proofErr w:type="spellEnd"/>
      <w:r w:rsidRPr="002018AC">
        <w:rPr>
          <w:rFonts w:cs="Times New Roman"/>
          <w:lang w:val="en-AU"/>
        </w:rPr>
        <w:t xml:space="preserve">, R. and </w:t>
      </w:r>
      <w:proofErr w:type="spellStart"/>
      <w:r w:rsidRPr="002018AC">
        <w:rPr>
          <w:rFonts w:cs="Times New Roman"/>
          <w:lang w:val="en-AU"/>
        </w:rPr>
        <w:t>Radmehr</w:t>
      </w:r>
      <w:proofErr w:type="spellEnd"/>
      <w:r w:rsidRPr="002018AC">
        <w:rPr>
          <w:rFonts w:cs="Times New Roman"/>
          <w:lang w:val="en-AU"/>
        </w:rPr>
        <w:t>, M. (2023) ‘The effect of financial leverage on financial performance: evidence from non-financial institutions listed on the Tokyo stock market’, Journal of Capital Markets Studies, 7(1), pp. 53–71.</w:t>
      </w:r>
    </w:p>
    <w:p w14:paraId="4DB8E453" w14:textId="35A7E2D6" w:rsidR="00035D8B" w:rsidRPr="002018AC" w:rsidRDefault="00035D8B" w:rsidP="00461154">
      <w:pPr>
        <w:spacing w:line="276" w:lineRule="auto"/>
        <w:ind w:left="720" w:hanging="720"/>
        <w:rPr>
          <w:rFonts w:cs="Times New Roman"/>
          <w:lang w:val="en-AU"/>
        </w:rPr>
      </w:pPr>
      <w:r w:rsidRPr="002018AC">
        <w:rPr>
          <w:rFonts w:cs="Times New Roman"/>
          <w:lang w:val="en-AU"/>
        </w:rPr>
        <w:t xml:space="preserve">Bank of England (2024) </w:t>
      </w:r>
      <w:r w:rsidRPr="002018AC">
        <w:rPr>
          <w:rFonts w:cs="Times New Roman"/>
          <w:i/>
          <w:iCs/>
          <w:lang w:val="en-AU"/>
        </w:rPr>
        <w:t>Identifying barriers to productive investment and external finance: a survey of UK SMEs</w:t>
      </w:r>
      <w:r w:rsidRPr="002018AC">
        <w:rPr>
          <w:rFonts w:cs="Times New Roman"/>
          <w:lang w:val="en-AU"/>
        </w:rPr>
        <w:t xml:space="preserve">. Bank of England Quarterly Bulletin. </w:t>
      </w:r>
      <w:hyperlink r:id="rId9" w:history="1">
        <w:r w:rsidR="00461154" w:rsidRPr="009779A1">
          <w:rPr>
            <w:rStyle w:val="Hyperlink"/>
            <w:rFonts w:cs="Times New Roman"/>
            <w:lang w:val="en-AU"/>
          </w:rPr>
          <w:t>https://www.bankofengland.co.uk/quarterly-bulletin/2024/2024/identifying-barriers-to-productive-investment-and-external-finance-a-survey-of-uk-smes</w:t>
        </w:r>
      </w:hyperlink>
      <w:r w:rsidR="00461154">
        <w:rPr>
          <w:rFonts w:cs="Times New Roman"/>
          <w:lang w:val="en-AU"/>
        </w:rPr>
        <w:t xml:space="preserve"> </w:t>
      </w:r>
    </w:p>
    <w:p w14:paraId="491C325F" w14:textId="14BDBA24" w:rsidR="00035D8B" w:rsidRPr="002018AC" w:rsidRDefault="00035D8B" w:rsidP="00461154">
      <w:pPr>
        <w:spacing w:line="276" w:lineRule="auto"/>
        <w:ind w:left="720" w:hanging="720"/>
        <w:rPr>
          <w:rFonts w:cs="Times New Roman"/>
          <w:lang w:val="en-AU"/>
        </w:rPr>
      </w:pPr>
      <w:proofErr w:type="spellStart"/>
      <w:r w:rsidRPr="002018AC">
        <w:rPr>
          <w:rFonts w:cs="Times New Roman"/>
          <w:lang w:val="en-AU"/>
        </w:rPr>
        <w:t>Baños</w:t>
      </w:r>
      <w:proofErr w:type="spellEnd"/>
      <w:r w:rsidRPr="002018AC">
        <w:rPr>
          <w:rFonts w:cs="Times New Roman"/>
          <w:lang w:val="en-AU"/>
        </w:rPr>
        <w:t>-Caballero, S., García-</w:t>
      </w:r>
      <w:proofErr w:type="spellStart"/>
      <w:r w:rsidRPr="002018AC">
        <w:rPr>
          <w:rFonts w:cs="Times New Roman"/>
          <w:lang w:val="en-AU"/>
        </w:rPr>
        <w:t>Teruel</w:t>
      </w:r>
      <w:proofErr w:type="spellEnd"/>
      <w:r w:rsidRPr="002018AC">
        <w:rPr>
          <w:rFonts w:cs="Times New Roman"/>
          <w:lang w:val="en-AU"/>
        </w:rPr>
        <w:t>, P.J. and Martínez-</w:t>
      </w:r>
      <w:proofErr w:type="spellStart"/>
      <w:r w:rsidRPr="002018AC">
        <w:rPr>
          <w:rFonts w:cs="Times New Roman"/>
          <w:lang w:val="en-AU"/>
        </w:rPr>
        <w:t>Solano</w:t>
      </w:r>
      <w:proofErr w:type="spellEnd"/>
      <w:r w:rsidRPr="002018AC">
        <w:rPr>
          <w:rFonts w:cs="Times New Roman"/>
          <w:lang w:val="en-AU"/>
        </w:rPr>
        <w:t>, P. (2014) ‘Working capital management, corporate performance, and financial constraints’, Journal of Business Research, 67(3), pp. 332–338</w:t>
      </w:r>
    </w:p>
    <w:p w14:paraId="59C547C4" w14:textId="3CC89086" w:rsidR="00035D8B" w:rsidRPr="002018AC" w:rsidRDefault="00035D8B" w:rsidP="00461154">
      <w:pPr>
        <w:spacing w:line="276" w:lineRule="auto"/>
        <w:ind w:left="720" w:hanging="720"/>
        <w:rPr>
          <w:rFonts w:cs="Times New Roman"/>
          <w:lang w:val="en-AU"/>
        </w:rPr>
      </w:pPr>
      <w:r w:rsidRPr="002018AC">
        <w:rPr>
          <w:rFonts w:cs="Times New Roman"/>
          <w:lang w:val="en-AU"/>
        </w:rPr>
        <w:t xml:space="preserve">British Business Bank (2025a) </w:t>
      </w:r>
      <w:r w:rsidRPr="002018AC">
        <w:rPr>
          <w:rFonts w:cs="Times New Roman"/>
          <w:i/>
          <w:iCs/>
          <w:lang w:val="en-AU"/>
        </w:rPr>
        <w:t>Small Business Finance Markets Report 2025</w:t>
      </w:r>
      <w:r w:rsidRPr="002018AC">
        <w:rPr>
          <w:rFonts w:cs="Times New Roman"/>
          <w:lang w:val="en-AU"/>
        </w:rPr>
        <w:t xml:space="preserve">. British Business Bank. </w:t>
      </w:r>
      <w:hyperlink r:id="rId10" w:history="1">
        <w:r w:rsidR="00461154" w:rsidRPr="009779A1">
          <w:rPr>
            <w:rStyle w:val="Hyperlink"/>
            <w:rFonts w:cs="Times New Roman"/>
            <w:lang w:val="en-AU"/>
          </w:rPr>
          <w:t>https://www.british-business-bank.co.uk/about/research-and-publications/small-business-finance-markets-report-2025</w:t>
        </w:r>
      </w:hyperlink>
      <w:r w:rsidR="00461154">
        <w:rPr>
          <w:rFonts w:cs="Times New Roman"/>
          <w:lang w:val="en-AU"/>
        </w:rPr>
        <w:t xml:space="preserve"> </w:t>
      </w:r>
    </w:p>
    <w:p w14:paraId="005F2191" w14:textId="66139BD9" w:rsidR="00035D8B" w:rsidRPr="002018AC" w:rsidRDefault="00035D8B" w:rsidP="00461154">
      <w:pPr>
        <w:spacing w:line="276" w:lineRule="auto"/>
        <w:ind w:left="720" w:hanging="720"/>
        <w:rPr>
          <w:rFonts w:cs="Times New Roman"/>
          <w:lang w:val="en-AU"/>
        </w:rPr>
      </w:pPr>
      <w:r w:rsidRPr="002018AC">
        <w:rPr>
          <w:rFonts w:cs="Times New Roman"/>
          <w:lang w:val="en-AU"/>
        </w:rPr>
        <w:t xml:space="preserve">British Business Bank (2025b) </w:t>
      </w:r>
      <w:r w:rsidRPr="002018AC">
        <w:rPr>
          <w:rFonts w:cs="Times New Roman"/>
          <w:i/>
          <w:iCs/>
          <w:lang w:val="en-AU"/>
        </w:rPr>
        <w:t>Small Business Equity Tracker 2025</w:t>
      </w:r>
      <w:r w:rsidRPr="002018AC">
        <w:rPr>
          <w:rFonts w:cs="Times New Roman"/>
          <w:lang w:val="en-AU"/>
        </w:rPr>
        <w:t xml:space="preserve">. British Business Bank.  </w:t>
      </w:r>
      <w:hyperlink r:id="rId11" w:history="1">
        <w:r w:rsidR="00461154" w:rsidRPr="009779A1">
          <w:rPr>
            <w:rStyle w:val="Hyperlink"/>
            <w:rFonts w:cs="Times New Roman"/>
            <w:lang w:val="en-AU"/>
          </w:rPr>
          <w:t>https://www.british-business-bank.co.uk/about/research-and-publications/small-business-equity-tracker-2025</w:t>
        </w:r>
      </w:hyperlink>
      <w:r w:rsidR="00461154">
        <w:rPr>
          <w:rFonts w:cs="Times New Roman"/>
          <w:lang w:val="en-AU"/>
        </w:rPr>
        <w:t xml:space="preserve"> </w:t>
      </w:r>
    </w:p>
    <w:p w14:paraId="5C9778B6" w14:textId="4D9AAD2D" w:rsidR="00035D8B" w:rsidRPr="002018AC" w:rsidRDefault="00035D8B" w:rsidP="00461154">
      <w:pPr>
        <w:spacing w:line="276" w:lineRule="auto"/>
        <w:ind w:left="720" w:hanging="720"/>
        <w:rPr>
          <w:rFonts w:cs="Times New Roman"/>
          <w:lang w:val="en-AU"/>
        </w:rPr>
      </w:pPr>
      <w:proofErr w:type="spellStart"/>
      <w:r w:rsidRPr="002018AC">
        <w:rPr>
          <w:rFonts w:cs="Times New Roman"/>
          <w:lang w:val="en-AU"/>
        </w:rPr>
        <w:t>Brunzell</w:t>
      </w:r>
      <w:proofErr w:type="spellEnd"/>
      <w:r w:rsidRPr="002018AC">
        <w:rPr>
          <w:rFonts w:cs="Times New Roman"/>
          <w:lang w:val="en-AU"/>
        </w:rPr>
        <w:t xml:space="preserve">, T., </w:t>
      </w:r>
      <w:proofErr w:type="spellStart"/>
      <w:r w:rsidRPr="002018AC">
        <w:rPr>
          <w:rFonts w:cs="Times New Roman"/>
          <w:lang w:val="en-AU"/>
        </w:rPr>
        <w:t>Liljeblom</w:t>
      </w:r>
      <w:proofErr w:type="spellEnd"/>
      <w:r w:rsidRPr="002018AC">
        <w:rPr>
          <w:rFonts w:cs="Times New Roman"/>
          <w:lang w:val="en-AU"/>
        </w:rPr>
        <w:t xml:space="preserve">, E. and </w:t>
      </w:r>
      <w:proofErr w:type="spellStart"/>
      <w:r w:rsidRPr="002018AC">
        <w:rPr>
          <w:rFonts w:cs="Times New Roman"/>
          <w:lang w:val="en-AU"/>
        </w:rPr>
        <w:t>Vaihekoski</w:t>
      </w:r>
      <w:proofErr w:type="spellEnd"/>
      <w:r w:rsidRPr="002018AC">
        <w:rPr>
          <w:rFonts w:cs="Times New Roman"/>
          <w:lang w:val="en-AU"/>
        </w:rPr>
        <w:t xml:space="preserve">, M. (2013) ‘Determinants of capital budgeting methods and hurdle rates in Nordic firms’, Accounting &amp; Finance, 53(1), pp. 85–110. </w:t>
      </w:r>
    </w:p>
    <w:p w14:paraId="39FED16F" w14:textId="41F276BB" w:rsidR="00035D8B" w:rsidRPr="002018AC" w:rsidRDefault="00035D8B" w:rsidP="00461154">
      <w:pPr>
        <w:spacing w:line="276" w:lineRule="auto"/>
        <w:ind w:left="720" w:hanging="720"/>
        <w:rPr>
          <w:rFonts w:cs="Times New Roman"/>
          <w:lang w:val="en-AU"/>
        </w:rPr>
      </w:pPr>
      <w:r w:rsidRPr="002018AC">
        <w:rPr>
          <w:rFonts w:cs="Times New Roman"/>
          <w:lang w:val="en-AU"/>
        </w:rPr>
        <w:t>Chauhan, G.S. (2019) ‘Are working capital decisions truly short-term in nature?’, Journal of Business Research, 99, pp. 238–253</w:t>
      </w:r>
    </w:p>
    <w:p w14:paraId="7FB56616" w14:textId="0DC1C68B" w:rsidR="00035D8B" w:rsidRPr="002018AC" w:rsidRDefault="00035D8B" w:rsidP="00461154">
      <w:pPr>
        <w:spacing w:line="276" w:lineRule="auto"/>
        <w:ind w:left="720" w:hanging="720"/>
        <w:rPr>
          <w:rFonts w:cs="Times New Roman"/>
          <w:lang w:val="en-AU"/>
        </w:rPr>
      </w:pPr>
      <w:r w:rsidRPr="002018AC">
        <w:rPr>
          <w:rFonts w:cs="Times New Roman"/>
          <w:lang w:val="en-AU"/>
        </w:rPr>
        <w:t xml:space="preserve">Chit, M.M. and </w:t>
      </w:r>
      <w:proofErr w:type="spellStart"/>
      <w:r w:rsidRPr="002018AC">
        <w:rPr>
          <w:rFonts w:cs="Times New Roman"/>
          <w:lang w:val="en-AU"/>
        </w:rPr>
        <w:t>Rizov</w:t>
      </w:r>
      <w:proofErr w:type="spellEnd"/>
      <w:r w:rsidRPr="002018AC">
        <w:rPr>
          <w:rFonts w:cs="Times New Roman"/>
          <w:lang w:val="en-AU"/>
        </w:rPr>
        <w:t xml:space="preserve">, M. (2024) ‘SMEs’ diversification of financing sources: Strategy or desperation?’, International Journal of Finance &amp; Economics, 29(3), pp. 3123–3146. </w:t>
      </w:r>
    </w:p>
    <w:p w14:paraId="6D1A673B" w14:textId="5DEA7778" w:rsidR="00035D8B" w:rsidRPr="002018AC" w:rsidRDefault="00035D8B" w:rsidP="00461154">
      <w:pPr>
        <w:spacing w:line="276" w:lineRule="auto"/>
        <w:ind w:left="720" w:hanging="720"/>
        <w:rPr>
          <w:rFonts w:cs="Times New Roman"/>
          <w:lang w:val="en-AU"/>
        </w:rPr>
      </w:pPr>
      <w:proofErr w:type="spellStart"/>
      <w:r w:rsidRPr="002018AC">
        <w:rPr>
          <w:rFonts w:cs="Times New Roman"/>
          <w:lang w:val="en-AU"/>
        </w:rPr>
        <w:lastRenderedPageBreak/>
        <w:t>Chivandire</w:t>
      </w:r>
      <w:proofErr w:type="spellEnd"/>
      <w:r w:rsidRPr="002018AC">
        <w:rPr>
          <w:rFonts w:cs="Times New Roman"/>
          <w:lang w:val="en-AU"/>
        </w:rPr>
        <w:t xml:space="preserve">, G., Botha, I. and Mouton, M. (2019) ‘The impact of capital structure on mobile telecommunication operators in Africa’, The Journal of Private Equity, 22(4), pp. 96–110. </w:t>
      </w:r>
    </w:p>
    <w:p w14:paraId="28F72B69" w14:textId="2240FCF4" w:rsidR="00035D8B" w:rsidRPr="002018AC" w:rsidRDefault="00035D8B" w:rsidP="00461154">
      <w:pPr>
        <w:spacing w:line="276" w:lineRule="auto"/>
        <w:ind w:left="720" w:hanging="720"/>
        <w:rPr>
          <w:rFonts w:cs="Times New Roman"/>
          <w:lang w:val="en-AU"/>
        </w:rPr>
      </w:pPr>
      <w:r w:rsidRPr="002018AC">
        <w:rPr>
          <w:rFonts w:cs="Times New Roman"/>
          <w:lang w:val="en-AU"/>
        </w:rPr>
        <w:t xml:space="preserve">Connect Europe (2025) </w:t>
      </w:r>
      <w:r w:rsidRPr="002018AC">
        <w:rPr>
          <w:rFonts w:cs="Times New Roman"/>
          <w:i/>
          <w:iCs/>
          <w:lang w:val="en-AU"/>
        </w:rPr>
        <w:t>State of Digital Communications 2025</w:t>
      </w:r>
      <w:r w:rsidRPr="002018AC">
        <w:rPr>
          <w:rFonts w:cs="Times New Roman"/>
          <w:lang w:val="en-AU"/>
        </w:rPr>
        <w:t xml:space="preserve">. </w:t>
      </w:r>
      <w:hyperlink r:id="rId12" w:history="1">
        <w:r w:rsidR="00461154" w:rsidRPr="009779A1">
          <w:rPr>
            <w:rStyle w:val="Hyperlink"/>
            <w:rFonts w:cs="Times New Roman"/>
            <w:lang w:val="en-AU"/>
          </w:rPr>
          <w:t>https://connecteurope.org/insights/reports/state-digital-communications-2025</w:t>
        </w:r>
      </w:hyperlink>
      <w:r w:rsidR="00461154">
        <w:rPr>
          <w:rFonts w:cs="Times New Roman"/>
          <w:lang w:val="en-AU"/>
        </w:rPr>
        <w:t xml:space="preserve"> </w:t>
      </w:r>
    </w:p>
    <w:p w14:paraId="2D49210E" w14:textId="06F6208C" w:rsidR="00035D8B" w:rsidRPr="002018AC" w:rsidRDefault="00035D8B" w:rsidP="00461154">
      <w:pPr>
        <w:spacing w:line="276" w:lineRule="auto"/>
        <w:ind w:left="720" w:hanging="720"/>
        <w:rPr>
          <w:rFonts w:cs="Times New Roman"/>
          <w:lang w:val="en-AU"/>
        </w:rPr>
      </w:pPr>
      <w:proofErr w:type="spellStart"/>
      <w:r w:rsidRPr="002018AC">
        <w:rPr>
          <w:rFonts w:cs="Times New Roman"/>
          <w:lang w:val="en-AU"/>
        </w:rPr>
        <w:t>Deloof</w:t>
      </w:r>
      <w:proofErr w:type="spellEnd"/>
      <w:r w:rsidRPr="002018AC">
        <w:rPr>
          <w:rFonts w:cs="Times New Roman"/>
          <w:lang w:val="en-AU"/>
        </w:rPr>
        <w:t xml:space="preserve">, M. (2003) ‘Does working capital management affect profitability of Belgian firms?’, Journal of Business Finance &amp; Accounting, 30(3–4), pp. 573–588. </w:t>
      </w:r>
    </w:p>
    <w:p w14:paraId="6985DB9E" w14:textId="2B4B4831" w:rsidR="00035D8B" w:rsidRPr="002018AC" w:rsidRDefault="00035D8B" w:rsidP="00461154">
      <w:pPr>
        <w:spacing w:line="276" w:lineRule="auto"/>
        <w:ind w:left="720" w:hanging="720"/>
        <w:rPr>
          <w:rFonts w:cs="Times New Roman"/>
          <w:lang w:val="en-AU"/>
        </w:rPr>
      </w:pPr>
      <w:r w:rsidRPr="002018AC">
        <w:rPr>
          <w:rFonts w:cs="Times New Roman"/>
          <w:lang w:val="en-AU"/>
        </w:rPr>
        <w:t xml:space="preserve">Dens, N. and De </w:t>
      </w:r>
      <w:proofErr w:type="spellStart"/>
      <w:r w:rsidRPr="002018AC">
        <w:rPr>
          <w:rFonts w:cs="Times New Roman"/>
          <w:lang w:val="en-AU"/>
        </w:rPr>
        <w:t>Pelsmacker</w:t>
      </w:r>
      <w:proofErr w:type="spellEnd"/>
      <w:r w:rsidRPr="002018AC">
        <w:rPr>
          <w:rFonts w:cs="Times New Roman"/>
          <w:lang w:val="en-AU"/>
        </w:rPr>
        <w:t xml:space="preserve">, P. (2010) ‘Attitudes toward the extension and parent brand in response to extension advertising’, Journal of Business Research, 63(11), pp. 1237–1244. </w:t>
      </w:r>
    </w:p>
    <w:p w14:paraId="4F472BD1" w14:textId="77777777" w:rsidR="00035D8B" w:rsidRPr="002018AC" w:rsidRDefault="00035D8B" w:rsidP="00461154">
      <w:pPr>
        <w:spacing w:line="276" w:lineRule="auto"/>
        <w:ind w:left="720" w:hanging="720"/>
        <w:rPr>
          <w:rFonts w:cs="Times New Roman"/>
          <w:b/>
          <w:bCs/>
        </w:rPr>
      </w:pPr>
      <w:proofErr w:type="spellStart"/>
      <w:r w:rsidRPr="002018AC">
        <w:rPr>
          <w:rFonts w:cs="Times New Roman"/>
        </w:rPr>
        <w:t>Djabang</w:t>
      </w:r>
      <w:proofErr w:type="spellEnd"/>
      <w:r w:rsidRPr="002018AC">
        <w:rPr>
          <w:rFonts w:cs="Times New Roman"/>
        </w:rPr>
        <w:t xml:space="preserve">, P., </w:t>
      </w:r>
      <w:proofErr w:type="spellStart"/>
      <w:r w:rsidRPr="002018AC">
        <w:rPr>
          <w:rFonts w:cs="Times New Roman"/>
        </w:rPr>
        <w:t>Shubita</w:t>
      </w:r>
      <w:proofErr w:type="spellEnd"/>
      <w:r w:rsidRPr="002018AC">
        <w:rPr>
          <w:rFonts w:cs="Times New Roman"/>
        </w:rPr>
        <w:t xml:space="preserve">, M. and </w:t>
      </w:r>
      <w:proofErr w:type="spellStart"/>
      <w:r w:rsidRPr="002018AC">
        <w:rPr>
          <w:rFonts w:cs="Times New Roman"/>
        </w:rPr>
        <w:t>Konstantopoulou</w:t>
      </w:r>
      <w:proofErr w:type="spellEnd"/>
      <w:r w:rsidRPr="002018AC">
        <w:rPr>
          <w:rFonts w:cs="Times New Roman"/>
        </w:rPr>
        <w:t>, A., 2025. Pecking order theory’s impact on the financing of small-and medium-sized enterprises (SMEs) in the UK. </w:t>
      </w:r>
      <w:r w:rsidRPr="002018AC">
        <w:rPr>
          <w:rFonts w:cs="Times New Roman"/>
          <w:i/>
          <w:iCs/>
        </w:rPr>
        <w:t>International Journal of Organizational Analysis</w:t>
      </w:r>
      <w:r w:rsidRPr="002018AC">
        <w:rPr>
          <w:rFonts w:cs="Times New Roman"/>
        </w:rPr>
        <w:t>, </w:t>
      </w:r>
      <w:r w:rsidRPr="002018AC">
        <w:rPr>
          <w:rFonts w:cs="Times New Roman"/>
          <w:i/>
          <w:iCs/>
        </w:rPr>
        <w:t>33</w:t>
      </w:r>
      <w:r w:rsidRPr="002018AC">
        <w:rPr>
          <w:rFonts w:cs="Times New Roman"/>
        </w:rPr>
        <w:t>(11), pp.4163-4182.</w:t>
      </w:r>
    </w:p>
    <w:p w14:paraId="7868CE95" w14:textId="3A66A15D" w:rsidR="00035D8B" w:rsidRPr="002018AC" w:rsidRDefault="00035D8B" w:rsidP="00461154">
      <w:pPr>
        <w:spacing w:line="276" w:lineRule="auto"/>
        <w:ind w:left="720" w:hanging="720"/>
        <w:rPr>
          <w:rFonts w:cs="Times New Roman"/>
          <w:lang w:val="en-AU"/>
        </w:rPr>
      </w:pPr>
      <w:proofErr w:type="spellStart"/>
      <w:r w:rsidRPr="002018AC">
        <w:rPr>
          <w:rFonts w:cs="Times New Roman"/>
          <w:lang w:val="en-AU"/>
        </w:rPr>
        <w:t>Enqvist</w:t>
      </w:r>
      <w:proofErr w:type="spellEnd"/>
      <w:r w:rsidRPr="002018AC">
        <w:rPr>
          <w:rFonts w:cs="Times New Roman"/>
          <w:lang w:val="en-AU"/>
        </w:rPr>
        <w:t xml:space="preserve">, J., Graham, M. and </w:t>
      </w:r>
      <w:proofErr w:type="spellStart"/>
      <w:r w:rsidRPr="002018AC">
        <w:rPr>
          <w:rFonts w:cs="Times New Roman"/>
          <w:lang w:val="en-AU"/>
        </w:rPr>
        <w:t>Nikkinen</w:t>
      </w:r>
      <w:proofErr w:type="spellEnd"/>
      <w:r w:rsidRPr="002018AC">
        <w:rPr>
          <w:rFonts w:cs="Times New Roman"/>
          <w:lang w:val="en-AU"/>
        </w:rPr>
        <w:t>, J. (2014) ‘The impact of working capital management on firm profitability in different business cycles: Evidence from Finland’, Research in International Business and Finance, 32, pp. 36–49.</w:t>
      </w:r>
    </w:p>
    <w:p w14:paraId="67CA2C47" w14:textId="2B8EF7A8" w:rsidR="00035D8B" w:rsidRPr="002018AC" w:rsidRDefault="00035D8B" w:rsidP="00461154">
      <w:pPr>
        <w:spacing w:line="276" w:lineRule="auto"/>
        <w:ind w:left="720" w:hanging="720"/>
        <w:rPr>
          <w:rFonts w:cs="Times New Roman"/>
          <w:lang w:val="en-AU"/>
        </w:rPr>
      </w:pPr>
      <w:proofErr w:type="spellStart"/>
      <w:r w:rsidRPr="002018AC">
        <w:rPr>
          <w:rFonts w:cs="Times New Roman"/>
          <w:lang w:val="en-AU"/>
        </w:rPr>
        <w:t>Filbeck</w:t>
      </w:r>
      <w:proofErr w:type="spellEnd"/>
      <w:r w:rsidRPr="002018AC">
        <w:rPr>
          <w:rFonts w:cs="Times New Roman"/>
          <w:lang w:val="en-AU"/>
        </w:rPr>
        <w:t>, G. and Krueger, T.M. (2005) ‘An analysis of working capital management results across industries’, American Journal of Business, 20(2), pp. 11–20.</w:t>
      </w:r>
    </w:p>
    <w:p w14:paraId="52118D43" w14:textId="26BFAC98" w:rsidR="00035D8B" w:rsidRPr="002018AC" w:rsidRDefault="00035D8B" w:rsidP="00461154">
      <w:pPr>
        <w:spacing w:line="276" w:lineRule="auto"/>
        <w:ind w:left="720" w:hanging="720"/>
        <w:rPr>
          <w:rFonts w:cs="Times New Roman"/>
          <w:lang w:val="en-AU"/>
        </w:rPr>
      </w:pPr>
      <w:r w:rsidRPr="002018AC">
        <w:rPr>
          <w:rFonts w:cs="Times New Roman"/>
          <w:lang w:val="en-AU"/>
        </w:rPr>
        <w:t xml:space="preserve">Francisco, P.M. (2024) ‘A survey of corporate finance practices in micro-enterprises: an exploratory analysis conditional on firm and manager characteristics’, Cogent Business &amp; Management, 11(1), 2429791. </w:t>
      </w:r>
    </w:p>
    <w:p w14:paraId="06652BA5" w14:textId="224CFE6A" w:rsidR="00035D8B" w:rsidRPr="002018AC" w:rsidRDefault="00035D8B" w:rsidP="00461154">
      <w:pPr>
        <w:spacing w:line="276" w:lineRule="auto"/>
        <w:ind w:left="720" w:hanging="720"/>
        <w:rPr>
          <w:rFonts w:cs="Times New Roman"/>
          <w:lang w:val="en-AU"/>
        </w:rPr>
      </w:pPr>
      <w:r w:rsidRPr="002018AC">
        <w:rPr>
          <w:rFonts w:cs="Times New Roman"/>
          <w:lang w:val="en-AU"/>
        </w:rPr>
        <w:t xml:space="preserve">Graham, J.R. and Harvey, C.R. (2001) ‘The theory and practice of corporate finance: Evidence from the field’, Journal of Financial Economics, 60(2–3), pp. 187–243. </w:t>
      </w:r>
    </w:p>
    <w:p w14:paraId="7248066C" w14:textId="56B93FAC" w:rsidR="00035D8B" w:rsidRPr="002018AC" w:rsidRDefault="00035D8B" w:rsidP="00461154">
      <w:pPr>
        <w:spacing w:line="276" w:lineRule="auto"/>
        <w:ind w:left="720" w:hanging="720"/>
        <w:rPr>
          <w:rFonts w:cs="Times New Roman"/>
          <w:lang w:val="en-AU"/>
        </w:rPr>
      </w:pPr>
      <w:r w:rsidRPr="002018AC">
        <w:rPr>
          <w:rFonts w:cs="Times New Roman"/>
          <w:lang w:val="en-AU"/>
        </w:rPr>
        <w:t xml:space="preserve">GSMA Intelligence (2025) </w:t>
      </w:r>
      <w:r w:rsidRPr="002018AC">
        <w:rPr>
          <w:rFonts w:cs="Times New Roman"/>
          <w:i/>
          <w:iCs/>
          <w:lang w:val="en-AU"/>
        </w:rPr>
        <w:t>The Mobile Economy Europe 2025</w:t>
      </w:r>
      <w:r w:rsidRPr="002018AC">
        <w:rPr>
          <w:rFonts w:cs="Times New Roman"/>
          <w:lang w:val="en-AU"/>
        </w:rPr>
        <w:t xml:space="preserve">. </w:t>
      </w:r>
      <w:hyperlink r:id="rId13" w:history="1">
        <w:r w:rsidR="00461154" w:rsidRPr="009779A1">
          <w:rPr>
            <w:rStyle w:val="Hyperlink"/>
            <w:rFonts w:cs="Times New Roman"/>
            <w:lang w:val="en-AU"/>
          </w:rPr>
          <w:t>https://www.gsma.com/solutions-and-impact/connectivity-for-good/mobile-economy/europe/</w:t>
        </w:r>
      </w:hyperlink>
      <w:r w:rsidR="00461154">
        <w:rPr>
          <w:rFonts w:cs="Times New Roman"/>
          <w:lang w:val="en-AU"/>
        </w:rPr>
        <w:t xml:space="preserve"> </w:t>
      </w:r>
    </w:p>
    <w:p w14:paraId="502B40E3" w14:textId="7EC8EF03" w:rsidR="00035D8B" w:rsidRPr="002018AC" w:rsidRDefault="00035D8B" w:rsidP="00461154">
      <w:pPr>
        <w:spacing w:line="276" w:lineRule="auto"/>
        <w:ind w:left="720" w:hanging="720"/>
        <w:rPr>
          <w:rFonts w:cs="Times New Roman"/>
          <w:lang w:val="en-AU"/>
        </w:rPr>
      </w:pPr>
      <w:proofErr w:type="spellStart"/>
      <w:r w:rsidRPr="002018AC">
        <w:rPr>
          <w:rFonts w:cs="Times New Roman"/>
          <w:lang w:val="en-AU"/>
        </w:rPr>
        <w:t>Habibniya</w:t>
      </w:r>
      <w:proofErr w:type="spellEnd"/>
      <w:r w:rsidRPr="002018AC">
        <w:rPr>
          <w:rFonts w:cs="Times New Roman"/>
          <w:lang w:val="en-AU"/>
        </w:rPr>
        <w:t xml:space="preserve">, H., Dsouza, S., Rabbani, M.R., Nawaz, N. and </w:t>
      </w:r>
      <w:proofErr w:type="spellStart"/>
      <w:r w:rsidRPr="002018AC">
        <w:rPr>
          <w:rFonts w:cs="Times New Roman"/>
          <w:lang w:val="en-AU"/>
        </w:rPr>
        <w:t>Demiraj</w:t>
      </w:r>
      <w:proofErr w:type="spellEnd"/>
      <w:r w:rsidRPr="002018AC">
        <w:rPr>
          <w:rFonts w:cs="Times New Roman"/>
          <w:lang w:val="en-AU"/>
        </w:rPr>
        <w:t xml:space="preserve">, R. (2022) ‘Impact of capital structure on profitability: Panel data evidence of the telecom industry in the United States’, Risks, 10(8), 157. </w:t>
      </w:r>
    </w:p>
    <w:p w14:paraId="266534C9" w14:textId="77777777" w:rsidR="00035D8B" w:rsidRPr="002018AC" w:rsidRDefault="00035D8B" w:rsidP="00461154">
      <w:pPr>
        <w:spacing w:line="276" w:lineRule="auto"/>
        <w:ind w:left="720" w:hanging="720"/>
        <w:rPr>
          <w:rFonts w:cs="Times New Roman"/>
        </w:rPr>
      </w:pPr>
      <w:r w:rsidRPr="002018AC">
        <w:rPr>
          <w:rFonts w:cs="Times New Roman"/>
        </w:rPr>
        <w:t xml:space="preserve">Hartmann, M. and </w:t>
      </w:r>
      <w:proofErr w:type="spellStart"/>
      <w:r w:rsidRPr="002018AC">
        <w:rPr>
          <w:rFonts w:cs="Times New Roman"/>
        </w:rPr>
        <w:t>Weißenberger</w:t>
      </w:r>
      <w:proofErr w:type="spellEnd"/>
      <w:r w:rsidRPr="002018AC">
        <w:rPr>
          <w:rFonts w:cs="Times New Roman"/>
        </w:rPr>
        <w:t xml:space="preserve">, B.E., 2024. Decision-making in the capital budgeting context: effects of type of decision aid and increases in information load: M. Hartmann, BE </w:t>
      </w:r>
      <w:proofErr w:type="spellStart"/>
      <w:r w:rsidRPr="002018AC">
        <w:rPr>
          <w:rFonts w:cs="Times New Roman"/>
        </w:rPr>
        <w:t>Weißenberger</w:t>
      </w:r>
      <w:proofErr w:type="spellEnd"/>
      <w:r w:rsidRPr="002018AC">
        <w:rPr>
          <w:rFonts w:cs="Times New Roman"/>
        </w:rPr>
        <w:t>. </w:t>
      </w:r>
      <w:r w:rsidRPr="002018AC">
        <w:rPr>
          <w:rFonts w:cs="Times New Roman"/>
          <w:i/>
          <w:iCs/>
        </w:rPr>
        <w:t>Journal of Business Economics</w:t>
      </w:r>
      <w:r w:rsidRPr="002018AC">
        <w:rPr>
          <w:rFonts w:cs="Times New Roman"/>
        </w:rPr>
        <w:t>, </w:t>
      </w:r>
      <w:r w:rsidRPr="002018AC">
        <w:rPr>
          <w:rFonts w:cs="Times New Roman"/>
          <w:i/>
          <w:iCs/>
        </w:rPr>
        <w:t>94</w:t>
      </w:r>
      <w:r w:rsidRPr="002018AC">
        <w:rPr>
          <w:rFonts w:cs="Times New Roman"/>
        </w:rPr>
        <w:t>(2), pp.379-411.</w:t>
      </w:r>
    </w:p>
    <w:p w14:paraId="13A6C137" w14:textId="006BE1AA" w:rsidR="00035D8B" w:rsidRPr="002018AC" w:rsidRDefault="00035D8B" w:rsidP="00461154">
      <w:pPr>
        <w:spacing w:line="276" w:lineRule="auto"/>
        <w:ind w:left="720" w:hanging="720"/>
        <w:rPr>
          <w:rFonts w:cs="Times New Roman"/>
          <w:lang w:val="en-AU"/>
        </w:rPr>
      </w:pPr>
      <w:r w:rsidRPr="002018AC">
        <w:rPr>
          <w:rFonts w:cs="Times New Roman"/>
          <w:lang w:val="en-AU"/>
        </w:rPr>
        <w:t xml:space="preserve">Hong, L., Jain, B.A. and Shao, Y. (2024) ‘Family firm governance and working capital management policy’, International Review of Financial Analysis, 95, 103488. </w:t>
      </w:r>
    </w:p>
    <w:p w14:paraId="7F4F0550" w14:textId="7D86435E" w:rsidR="00035D8B" w:rsidRPr="002018AC" w:rsidRDefault="00035D8B" w:rsidP="00461154">
      <w:pPr>
        <w:spacing w:line="276" w:lineRule="auto"/>
        <w:ind w:left="720" w:hanging="720"/>
        <w:rPr>
          <w:rFonts w:cs="Times New Roman"/>
          <w:lang w:val="en-AU"/>
        </w:rPr>
      </w:pPr>
      <w:r w:rsidRPr="002018AC">
        <w:rPr>
          <w:rFonts w:cs="Times New Roman"/>
          <w:lang w:val="en-AU"/>
        </w:rPr>
        <w:t>Huynh, N. and Le, Q.N. (2025) ‘From chain to capital: Supply chain risks and working capital management’, Economics Letters, 247, 112100.</w:t>
      </w:r>
    </w:p>
    <w:p w14:paraId="158BBFF5" w14:textId="3B95E480" w:rsidR="00035D8B" w:rsidRPr="002018AC" w:rsidRDefault="00035D8B" w:rsidP="00461154">
      <w:pPr>
        <w:spacing w:line="276" w:lineRule="auto"/>
        <w:ind w:left="720" w:hanging="720"/>
        <w:rPr>
          <w:rFonts w:cs="Times New Roman"/>
          <w:lang w:val="en-AU"/>
        </w:rPr>
      </w:pPr>
      <w:r w:rsidRPr="002018AC">
        <w:rPr>
          <w:rFonts w:cs="Times New Roman"/>
          <w:lang w:val="en-AU"/>
        </w:rPr>
        <w:lastRenderedPageBreak/>
        <w:t xml:space="preserve">Khan, T., Shamim, M. and Khan, M.A. (2022) ‘Leverage strategies of Indian telecom sector: a dynamic panel data approach’, Indian Growth and Development Review, 15(1), pp. 139–164. </w:t>
      </w:r>
    </w:p>
    <w:p w14:paraId="2D4FD114" w14:textId="77777777" w:rsidR="00035D8B" w:rsidRPr="002018AC" w:rsidRDefault="00035D8B" w:rsidP="00461154">
      <w:pPr>
        <w:spacing w:line="276" w:lineRule="auto"/>
        <w:ind w:left="720" w:hanging="720"/>
        <w:rPr>
          <w:rFonts w:cs="Times New Roman"/>
        </w:rPr>
      </w:pPr>
      <w:r w:rsidRPr="002018AC">
        <w:rPr>
          <w:rFonts w:cs="Times New Roman"/>
        </w:rPr>
        <w:t xml:space="preserve">Khoza, F., 2025. The impact of liquidity and leverage on the financial performance of the </w:t>
      </w:r>
      <w:proofErr w:type="spellStart"/>
      <w:r w:rsidRPr="002018AC">
        <w:rPr>
          <w:rFonts w:cs="Times New Roman"/>
        </w:rPr>
        <w:t>johannesburg</w:t>
      </w:r>
      <w:proofErr w:type="spellEnd"/>
      <w:r w:rsidRPr="002018AC">
        <w:rPr>
          <w:rFonts w:cs="Times New Roman"/>
        </w:rPr>
        <w:t xml:space="preserve"> stock exchange-listed consumer goods firms. </w:t>
      </w:r>
      <w:r w:rsidRPr="002018AC">
        <w:rPr>
          <w:rFonts w:cs="Times New Roman"/>
          <w:i/>
          <w:iCs/>
        </w:rPr>
        <w:t>Journal of Risk and Financial Management</w:t>
      </w:r>
      <w:r w:rsidRPr="002018AC">
        <w:rPr>
          <w:rFonts w:cs="Times New Roman"/>
        </w:rPr>
        <w:t>, </w:t>
      </w:r>
      <w:r w:rsidRPr="002018AC">
        <w:rPr>
          <w:rFonts w:cs="Times New Roman"/>
          <w:i/>
          <w:iCs/>
        </w:rPr>
        <w:t>18</w:t>
      </w:r>
      <w:r w:rsidRPr="002018AC">
        <w:rPr>
          <w:rFonts w:cs="Times New Roman"/>
        </w:rPr>
        <w:t>(9), p.510.</w:t>
      </w:r>
    </w:p>
    <w:p w14:paraId="6A14B325" w14:textId="546180C5" w:rsidR="00035D8B" w:rsidRPr="002018AC" w:rsidRDefault="00035D8B" w:rsidP="00461154">
      <w:pPr>
        <w:spacing w:line="276" w:lineRule="auto"/>
        <w:ind w:left="720" w:hanging="720"/>
        <w:rPr>
          <w:rFonts w:cs="Times New Roman"/>
          <w:lang w:val="en-AU"/>
        </w:rPr>
      </w:pPr>
      <w:r w:rsidRPr="002018AC">
        <w:rPr>
          <w:rFonts w:cs="Times New Roman"/>
          <w:lang w:val="en-AU"/>
        </w:rPr>
        <w:t xml:space="preserve">Lomax, W. and McWilliam, G. (2001) ‘Consumer response to line extensions: Trial and cannibalisation effects’, Journal of Marketing Management, 17(3–4), pp. 391–406. </w:t>
      </w:r>
    </w:p>
    <w:p w14:paraId="37298C33" w14:textId="77777777" w:rsidR="00035D8B" w:rsidRPr="002018AC" w:rsidRDefault="00035D8B" w:rsidP="00461154">
      <w:pPr>
        <w:spacing w:line="276" w:lineRule="auto"/>
        <w:ind w:left="720" w:hanging="720"/>
        <w:rPr>
          <w:rFonts w:cs="Times New Roman"/>
        </w:rPr>
      </w:pPr>
      <w:proofErr w:type="spellStart"/>
      <w:r w:rsidRPr="002018AC">
        <w:rPr>
          <w:rFonts w:cs="Times New Roman"/>
        </w:rPr>
        <w:t>Magni</w:t>
      </w:r>
      <w:proofErr w:type="spellEnd"/>
      <w:r w:rsidRPr="002018AC">
        <w:rPr>
          <w:rFonts w:cs="Times New Roman"/>
        </w:rPr>
        <w:t xml:space="preserve">, C.A. and </w:t>
      </w:r>
      <w:proofErr w:type="spellStart"/>
      <w:r w:rsidRPr="002018AC">
        <w:rPr>
          <w:rFonts w:cs="Times New Roman"/>
        </w:rPr>
        <w:t>Marchioni</w:t>
      </w:r>
      <w:proofErr w:type="spellEnd"/>
      <w:r w:rsidRPr="002018AC">
        <w:rPr>
          <w:rFonts w:cs="Times New Roman"/>
        </w:rPr>
        <w:t>, A., 2020. Average rates of return, working capital, and NPV-consistency in project appraisal: A sensitivity analysis approach. </w:t>
      </w:r>
      <w:r w:rsidRPr="002018AC">
        <w:rPr>
          <w:rFonts w:cs="Times New Roman"/>
          <w:i/>
          <w:iCs/>
        </w:rPr>
        <w:t>International Journal of Production Economics</w:t>
      </w:r>
      <w:r w:rsidRPr="002018AC">
        <w:rPr>
          <w:rFonts w:cs="Times New Roman"/>
        </w:rPr>
        <w:t>, </w:t>
      </w:r>
      <w:r w:rsidRPr="002018AC">
        <w:rPr>
          <w:rFonts w:cs="Times New Roman"/>
          <w:i/>
          <w:iCs/>
        </w:rPr>
        <w:t>229</w:t>
      </w:r>
      <w:r w:rsidRPr="002018AC">
        <w:rPr>
          <w:rFonts w:cs="Times New Roman"/>
        </w:rPr>
        <w:t>, p.107769.</w:t>
      </w:r>
    </w:p>
    <w:p w14:paraId="4FF460BC" w14:textId="2261FB1A" w:rsidR="00035D8B" w:rsidRPr="002018AC" w:rsidRDefault="00035D8B" w:rsidP="00461154">
      <w:pPr>
        <w:spacing w:line="276" w:lineRule="auto"/>
        <w:ind w:left="720" w:hanging="720"/>
        <w:rPr>
          <w:rFonts w:cs="Times New Roman"/>
          <w:lang w:val="en-AU"/>
        </w:rPr>
      </w:pPr>
      <w:r w:rsidRPr="002018AC">
        <w:rPr>
          <w:rFonts w:cs="Times New Roman"/>
          <w:lang w:val="en-AU"/>
        </w:rPr>
        <w:t>Martinez-</w:t>
      </w:r>
      <w:proofErr w:type="spellStart"/>
      <w:r w:rsidRPr="002018AC">
        <w:rPr>
          <w:rFonts w:cs="Times New Roman"/>
          <w:lang w:val="en-AU"/>
        </w:rPr>
        <w:t>Cillero</w:t>
      </w:r>
      <w:proofErr w:type="spellEnd"/>
      <w:r w:rsidRPr="002018AC">
        <w:rPr>
          <w:rFonts w:cs="Times New Roman"/>
          <w:lang w:val="en-AU"/>
        </w:rPr>
        <w:t>, M., Lawless, M. and O’Toole, C. (2023) ‘Analysing SME investment, financing constraints and its determinants: A stochastic frontier approach’, International Review of Economics &amp; Finance, 85, pp. 578–588.</w:t>
      </w:r>
    </w:p>
    <w:p w14:paraId="6D2FEED3" w14:textId="03E1796F" w:rsidR="00035D8B" w:rsidRPr="002018AC" w:rsidRDefault="00035D8B" w:rsidP="00461154">
      <w:pPr>
        <w:spacing w:line="276" w:lineRule="auto"/>
        <w:ind w:left="720" w:hanging="720"/>
        <w:rPr>
          <w:rFonts w:cs="Times New Roman"/>
          <w:lang w:val="en-AU"/>
        </w:rPr>
      </w:pPr>
      <w:r w:rsidRPr="002018AC">
        <w:rPr>
          <w:rFonts w:cs="Times New Roman"/>
          <w:lang w:val="en-AU"/>
        </w:rPr>
        <w:t>McDonald, R.L. (2006) ‘The role of real options in capital budgeting: Theory and practice’, Journal of Applied Corporate Finance, 18(2), pp. 28–39.</w:t>
      </w:r>
    </w:p>
    <w:p w14:paraId="62EA0F62" w14:textId="4D40A087" w:rsidR="00035D8B" w:rsidRPr="002018AC" w:rsidRDefault="00035D8B" w:rsidP="00461154">
      <w:pPr>
        <w:spacing w:line="276" w:lineRule="auto"/>
        <w:ind w:left="720" w:hanging="720"/>
        <w:rPr>
          <w:rFonts w:cs="Times New Roman"/>
          <w:lang w:val="en-AU"/>
        </w:rPr>
      </w:pPr>
      <w:r w:rsidRPr="002018AC">
        <w:rPr>
          <w:rFonts w:cs="Times New Roman"/>
          <w:lang w:val="en-AU"/>
        </w:rPr>
        <w:t>Milberg, S.J., Cuneo, A., Silva, M. and Goodstein, R.C. (2023) ‘Parent brand susceptibility to negative feedback effects from brand extensions: A meta-analysis of experimental consumer findings’, Journal of Consumer Psychology, 33(1), pp. 21–44.</w:t>
      </w:r>
    </w:p>
    <w:p w14:paraId="485D10D2" w14:textId="77777777" w:rsidR="00035D8B" w:rsidRPr="002018AC" w:rsidRDefault="00035D8B" w:rsidP="00461154">
      <w:pPr>
        <w:spacing w:line="276" w:lineRule="auto"/>
        <w:ind w:left="720" w:hanging="720"/>
        <w:rPr>
          <w:rFonts w:cs="Times New Roman"/>
        </w:rPr>
      </w:pPr>
      <w:proofErr w:type="spellStart"/>
      <w:r w:rsidRPr="002018AC">
        <w:rPr>
          <w:rFonts w:cs="Times New Roman"/>
        </w:rPr>
        <w:t>Mollah</w:t>
      </w:r>
      <w:proofErr w:type="spellEnd"/>
      <w:r w:rsidRPr="002018AC">
        <w:rPr>
          <w:rFonts w:cs="Times New Roman"/>
        </w:rPr>
        <w:t xml:space="preserve">, M.A.S., </w:t>
      </w:r>
      <w:proofErr w:type="spellStart"/>
      <w:r w:rsidRPr="002018AC">
        <w:rPr>
          <w:rFonts w:cs="Times New Roman"/>
        </w:rPr>
        <w:t>Rouf</w:t>
      </w:r>
      <w:proofErr w:type="spellEnd"/>
      <w:r w:rsidRPr="002018AC">
        <w:rPr>
          <w:rFonts w:cs="Times New Roman"/>
        </w:rPr>
        <w:t>, M.A. and Rana, S.S., 2023. A study on capital budgeting practices of some selected companies in Bangladesh. </w:t>
      </w:r>
      <w:r w:rsidRPr="002018AC">
        <w:rPr>
          <w:rFonts w:cs="Times New Roman"/>
          <w:i/>
          <w:iCs/>
        </w:rPr>
        <w:t>PSU Research Review</w:t>
      </w:r>
      <w:r w:rsidRPr="002018AC">
        <w:rPr>
          <w:rFonts w:cs="Times New Roman"/>
        </w:rPr>
        <w:t>, </w:t>
      </w:r>
      <w:r w:rsidRPr="002018AC">
        <w:rPr>
          <w:rFonts w:cs="Times New Roman"/>
          <w:i/>
          <w:iCs/>
        </w:rPr>
        <w:t>7</w:t>
      </w:r>
      <w:r w:rsidRPr="002018AC">
        <w:rPr>
          <w:rFonts w:cs="Times New Roman"/>
        </w:rPr>
        <w:t>(2), pp.137-151.</w:t>
      </w:r>
    </w:p>
    <w:p w14:paraId="355B298C" w14:textId="167B66EB" w:rsidR="00035D8B" w:rsidRPr="002018AC" w:rsidRDefault="00035D8B" w:rsidP="00461154">
      <w:pPr>
        <w:spacing w:line="276" w:lineRule="auto"/>
        <w:ind w:left="720" w:hanging="720"/>
        <w:rPr>
          <w:rFonts w:cs="Times New Roman"/>
          <w:lang w:val="en-AU"/>
        </w:rPr>
      </w:pPr>
      <w:proofErr w:type="spellStart"/>
      <w:r w:rsidRPr="002018AC">
        <w:rPr>
          <w:rFonts w:cs="Times New Roman"/>
          <w:lang w:val="en-AU"/>
        </w:rPr>
        <w:t>Mota</w:t>
      </w:r>
      <w:proofErr w:type="spellEnd"/>
      <w:r w:rsidRPr="002018AC">
        <w:rPr>
          <w:rFonts w:cs="Times New Roman"/>
          <w:lang w:val="en-AU"/>
        </w:rPr>
        <w:t>, J. and Moreira, A.C. (2023) ‘Capital budgeting practices: A survey of two industries’, Journal of Risk and Financial Management, 16(3), 191.</w:t>
      </w:r>
    </w:p>
    <w:p w14:paraId="0555B0DC" w14:textId="77777777" w:rsidR="00035D8B" w:rsidRPr="002018AC" w:rsidRDefault="00035D8B" w:rsidP="00461154">
      <w:pPr>
        <w:spacing w:line="276" w:lineRule="auto"/>
        <w:ind w:left="720" w:hanging="720"/>
        <w:rPr>
          <w:rFonts w:cs="Times New Roman"/>
        </w:rPr>
      </w:pPr>
      <w:proofErr w:type="spellStart"/>
      <w:r w:rsidRPr="002018AC">
        <w:rPr>
          <w:rFonts w:cs="Times New Roman"/>
        </w:rPr>
        <w:t>Nunden</w:t>
      </w:r>
      <w:proofErr w:type="spellEnd"/>
      <w:r w:rsidRPr="002018AC">
        <w:rPr>
          <w:rFonts w:cs="Times New Roman"/>
        </w:rPr>
        <w:t xml:space="preserve">, N., </w:t>
      </w:r>
      <w:proofErr w:type="spellStart"/>
      <w:r w:rsidRPr="002018AC">
        <w:rPr>
          <w:rFonts w:cs="Times New Roman"/>
        </w:rPr>
        <w:t>Abbana</w:t>
      </w:r>
      <w:proofErr w:type="spellEnd"/>
      <w:r w:rsidRPr="002018AC">
        <w:rPr>
          <w:rFonts w:cs="Times New Roman"/>
        </w:rPr>
        <w:t xml:space="preserve">, S., </w:t>
      </w:r>
      <w:proofErr w:type="spellStart"/>
      <w:r w:rsidRPr="002018AC">
        <w:rPr>
          <w:rFonts w:cs="Times New Roman"/>
        </w:rPr>
        <w:t>Marimuthu</w:t>
      </w:r>
      <w:proofErr w:type="spellEnd"/>
      <w:r w:rsidRPr="002018AC">
        <w:rPr>
          <w:rFonts w:cs="Times New Roman"/>
        </w:rPr>
        <w:t xml:space="preserve">, F. and </w:t>
      </w:r>
      <w:proofErr w:type="spellStart"/>
      <w:r w:rsidRPr="002018AC">
        <w:rPr>
          <w:rFonts w:cs="Times New Roman"/>
        </w:rPr>
        <w:t>Sentoo</w:t>
      </w:r>
      <w:proofErr w:type="spellEnd"/>
      <w:r w:rsidRPr="002018AC">
        <w:rPr>
          <w:rFonts w:cs="Times New Roman"/>
        </w:rPr>
        <w:t>, N., 2022. An assessment of management skills on capital budgeting planning and practices: evidence from the small and medium enterprise sector. </w:t>
      </w:r>
      <w:r w:rsidRPr="002018AC">
        <w:rPr>
          <w:rFonts w:cs="Times New Roman"/>
          <w:i/>
          <w:iCs/>
        </w:rPr>
        <w:t>Cogent Business &amp; Management</w:t>
      </w:r>
      <w:r w:rsidRPr="002018AC">
        <w:rPr>
          <w:rFonts w:cs="Times New Roman"/>
        </w:rPr>
        <w:t>, </w:t>
      </w:r>
      <w:r w:rsidRPr="002018AC">
        <w:rPr>
          <w:rFonts w:cs="Times New Roman"/>
          <w:i/>
          <w:iCs/>
        </w:rPr>
        <w:t>9</w:t>
      </w:r>
      <w:r w:rsidRPr="002018AC">
        <w:rPr>
          <w:rFonts w:cs="Times New Roman"/>
        </w:rPr>
        <w:t>(1), p.2136481.</w:t>
      </w:r>
    </w:p>
    <w:p w14:paraId="436EA8F6" w14:textId="77777777" w:rsidR="00035D8B" w:rsidRPr="002018AC" w:rsidRDefault="00035D8B" w:rsidP="00461154">
      <w:pPr>
        <w:spacing w:line="276" w:lineRule="auto"/>
        <w:ind w:left="720" w:hanging="720"/>
        <w:rPr>
          <w:rFonts w:cs="Times New Roman"/>
          <w:lang w:val="en-AU"/>
        </w:rPr>
      </w:pPr>
      <w:r w:rsidRPr="002018AC">
        <w:rPr>
          <w:rFonts w:cs="Times New Roman"/>
          <w:lang w:val="en-AU"/>
        </w:rPr>
        <w:t xml:space="preserve">OECD (2025) </w:t>
      </w:r>
      <w:r w:rsidRPr="002018AC">
        <w:rPr>
          <w:rFonts w:cs="Times New Roman"/>
          <w:i/>
          <w:iCs/>
          <w:lang w:val="en-AU"/>
        </w:rPr>
        <w:t>Financing SMEs and Entrepreneurs Scoreboard: 2025 Highlights</w:t>
      </w:r>
      <w:r w:rsidRPr="002018AC">
        <w:rPr>
          <w:rFonts w:cs="Times New Roman"/>
          <w:lang w:val="en-AU"/>
        </w:rPr>
        <w:t>. OECD SME and Entrepreneurship Papers. https://www.oecd.org/en/publications/oecd-financing-smes-and-entrepreneurs-scoreboard-2025-highlights_64c9063c-en.html</w:t>
      </w:r>
    </w:p>
    <w:p w14:paraId="0754B253" w14:textId="77777777" w:rsidR="00035D8B" w:rsidRPr="002018AC" w:rsidRDefault="00035D8B" w:rsidP="00461154">
      <w:pPr>
        <w:spacing w:line="276" w:lineRule="auto"/>
        <w:ind w:left="720" w:hanging="720"/>
        <w:rPr>
          <w:rFonts w:cs="Times New Roman"/>
          <w:lang w:val="en-AU"/>
        </w:rPr>
      </w:pPr>
      <w:proofErr w:type="spellStart"/>
      <w:r w:rsidRPr="002018AC">
        <w:rPr>
          <w:rFonts w:cs="Times New Roman"/>
          <w:lang w:val="en-AU"/>
        </w:rPr>
        <w:t>Ofcom</w:t>
      </w:r>
      <w:proofErr w:type="spellEnd"/>
      <w:r w:rsidRPr="002018AC">
        <w:rPr>
          <w:rFonts w:cs="Times New Roman"/>
          <w:lang w:val="en-AU"/>
        </w:rPr>
        <w:t xml:space="preserve"> (2025) </w:t>
      </w:r>
      <w:r w:rsidRPr="002018AC">
        <w:rPr>
          <w:rFonts w:cs="Times New Roman"/>
          <w:i/>
          <w:iCs/>
          <w:lang w:val="en-AU"/>
        </w:rPr>
        <w:t>The Communications Market 2025</w:t>
      </w:r>
      <w:r w:rsidRPr="002018AC">
        <w:rPr>
          <w:rFonts w:cs="Times New Roman"/>
          <w:lang w:val="en-AU"/>
        </w:rPr>
        <w:t xml:space="preserve">. </w:t>
      </w:r>
      <w:hyperlink r:id="rId14" w:history="1">
        <w:r w:rsidRPr="002018AC">
          <w:rPr>
            <w:rStyle w:val="Hyperlink"/>
            <w:rFonts w:cs="Times New Roman"/>
            <w:lang w:val="en-AU"/>
          </w:rPr>
          <w:t>https://www.ofcom.org.uk/phones-and-broadband/service-quality/the-communications-market-2025</w:t>
        </w:r>
      </w:hyperlink>
    </w:p>
    <w:p w14:paraId="5749BC2B" w14:textId="74CFDF80" w:rsidR="00035D8B" w:rsidRPr="002018AC" w:rsidRDefault="00035D8B" w:rsidP="00461154">
      <w:pPr>
        <w:spacing w:line="276" w:lineRule="auto"/>
        <w:ind w:left="720" w:hanging="720"/>
        <w:rPr>
          <w:rFonts w:cs="Times New Roman"/>
          <w:lang w:val="en-AU"/>
        </w:rPr>
      </w:pPr>
      <w:r w:rsidRPr="002018AC">
        <w:rPr>
          <w:rFonts w:cs="Times New Roman"/>
          <w:lang w:val="en-AU"/>
        </w:rPr>
        <w:t xml:space="preserve">Peng, C., </w:t>
      </w:r>
      <w:proofErr w:type="spellStart"/>
      <w:r w:rsidRPr="002018AC">
        <w:rPr>
          <w:rFonts w:cs="Times New Roman"/>
          <w:lang w:val="en-AU"/>
        </w:rPr>
        <w:t>Bijmolt</w:t>
      </w:r>
      <w:proofErr w:type="spellEnd"/>
      <w:r w:rsidRPr="002018AC">
        <w:rPr>
          <w:rFonts w:cs="Times New Roman"/>
          <w:lang w:val="en-AU"/>
        </w:rPr>
        <w:t xml:space="preserve">, T.H.A., </w:t>
      </w:r>
      <w:proofErr w:type="spellStart"/>
      <w:r w:rsidRPr="002018AC">
        <w:rPr>
          <w:rFonts w:cs="Times New Roman"/>
          <w:lang w:val="en-AU"/>
        </w:rPr>
        <w:t>Völckner</w:t>
      </w:r>
      <w:proofErr w:type="spellEnd"/>
      <w:r w:rsidRPr="002018AC">
        <w:rPr>
          <w:rFonts w:cs="Times New Roman"/>
          <w:lang w:val="en-AU"/>
        </w:rPr>
        <w:t>, F. and Zhao, H. (2023) ‘A meta-analysis of brand extension success: The effects of parent brand equity and extension fit’, Journal of Marketing, 87(6), pp. 906–927.</w:t>
      </w:r>
    </w:p>
    <w:p w14:paraId="42C4A94B" w14:textId="77777777" w:rsidR="00035D8B" w:rsidRPr="002018AC" w:rsidRDefault="00035D8B" w:rsidP="00461154">
      <w:pPr>
        <w:spacing w:line="276" w:lineRule="auto"/>
        <w:ind w:left="720" w:hanging="720"/>
        <w:rPr>
          <w:rFonts w:cs="Times New Roman"/>
        </w:rPr>
      </w:pPr>
      <w:proofErr w:type="spellStart"/>
      <w:r w:rsidRPr="002018AC">
        <w:rPr>
          <w:rFonts w:cs="Times New Roman"/>
        </w:rPr>
        <w:lastRenderedPageBreak/>
        <w:t>Purnamasari</w:t>
      </w:r>
      <w:proofErr w:type="spellEnd"/>
      <w:r w:rsidRPr="002018AC">
        <w:rPr>
          <w:rFonts w:cs="Times New Roman"/>
        </w:rPr>
        <w:t xml:space="preserve">, P. and </w:t>
      </w:r>
      <w:proofErr w:type="spellStart"/>
      <w:r w:rsidRPr="002018AC">
        <w:rPr>
          <w:rFonts w:cs="Times New Roman"/>
        </w:rPr>
        <w:t>Adriza</w:t>
      </w:r>
      <w:proofErr w:type="spellEnd"/>
      <w:r w:rsidRPr="002018AC">
        <w:rPr>
          <w:rFonts w:cs="Times New Roman"/>
        </w:rPr>
        <w:t>, 2024. Capital budgeting techniques and financial performance: a comparison between SMEs and large listed firms. </w:t>
      </w:r>
      <w:r w:rsidRPr="002018AC">
        <w:rPr>
          <w:rFonts w:cs="Times New Roman"/>
          <w:i/>
          <w:iCs/>
        </w:rPr>
        <w:t>Cogent Economics &amp; Finance</w:t>
      </w:r>
      <w:r w:rsidRPr="002018AC">
        <w:rPr>
          <w:rFonts w:cs="Times New Roman"/>
        </w:rPr>
        <w:t>, </w:t>
      </w:r>
      <w:r w:rsidRPr="002018AC">
        <w:rPr>
          <w:rFonts w:cs="Times New Roman"/>
          <w:i/>
          <w:iCs/>
        </w:rPr>
        <w:t>12</w:t>
      </w:r>
      <w:r w:rsidRPr="002018AC">
        <w:rPr>
          <w:rFonts w:cs="Times New Roman"/>
        </w:rPr>
        <w:t>(1), p.2404707.</w:t>
      </w:r>
    </w:p>
    <w:p w14:paraId="0D9F7CC3" w14:textId="77777777" w:rsidR="00035D8B" w:rsidRPr="002018AC" w:rsidRDefault="00035D8B" w:rsidP="00461154">
      <w:pPr>
        <w:spacing w:line="276" w:lineRule="auto"/>
        <w:ind w:left="720" w:hanging="720"/>
        <w:rPr>
          <w:rFonts w:cs="Times New Roman"/>
          <w:lang w:val="en-AU"/>
        </w:rPr>
      </w:pPr>
      <w:proofErr w:type="spellStart"/>
      <w:r w:rsidRPr="002018AC">
        <w:rPr>
          <w:rFonts w:cs="Times New Roman"/>
          <w:lang w:val="en-AU"/>
        </w:rPr>
        <w:t>Ramlan</w:t>
      </w:r>
      <w:proofErr w:type="spellEnd"/>
      <w:r w:rsidRPr="002018AC">
        <w:rPr>
          <w:rFonts w:cs="Times New Roman"/>
          <w:lang w:val="en-AU"/>
        </w:rPr>
        <w:t xml:space="preserve">, H. and Wan </w:t>
      </w:r>
      <w:proofErr w:type="spellStart"/>
      <w:r w:rsidRPr="002018AC">
        <w:rPr>
          <w:rFonts w:cs="Times New Roman"/>
          <w:lang w:val="en-AU"/>
        </w:rPr>
        <w:t>Hasbollah</w:t>
      </w:r>
      <w:proofErr w:type="spellEnd"/>
      <w:r w:rsidRPr="002018AC">
        <w:rPr>
          <w:rFonts w:cs="Times New Roman"/>
          <w:lang w:val="en-AU"/>
        </w:rPr>
        <w:t>, W.F. (2021) ‘The impact of capital structure on firms’ performance in telecommunication and media sector listed on Bursa Malaysia’, Global Business and Management Research: An International Journal, 13(4s), pp. 596–603.</w:t>
      </w:r>
    </w:p>
    <w:p w14:paraId="3A820880" w14:textId="77777777" w:rsidR="00035D8B" w:rsidRPr="002018AC" w:rsidRDefault="00035D8B" w:rsidP="00461154">
      <w:pPr>
        <w:spacing w:line="276" w:lineRule="auto"/>
        <w:ind w:left="720" w:hanging="720"/>
        <w:rPr>
          <w:rFonts w:cs="Times New Roman"/>
        </w:rPr>
      </w:pPr>
      <w:r w:rsidRPr="002018AC">
        <w:rPr>
          <w:rFonts w:cs="Times New Roman"/>
        </w:rPr>
        <w:t xml:space="preserve">Ricca, L.T., </w:t>
      </w:r>
      <w:proofErr w:type="spellStart"/>
      <w:r w:rsidRPr="002018AC">
        <w:rPr>
          <w:rFonts w:cs="Times New Roman"/>
        </w:rPr>
        <w:t>Jucá</w:t>
      </w:r>
      <w:proofErr w:type="spellEnd"/>
      <w:r w:rsidRPr="002018AC">
        <w:rPr>
          <w:rFonts w:cs="Times New Roman"/>
        </w:rPr>
        <w:t>, M.N. and Junior, E.H., 2021. Tax benefit and bankruptcy cost of debt. </w:t>
      </w:r>
      <w:r w:rsidRPr="002018AC">
        <w:rPr>
          <w:rFonts w:cs="Times New Roman"/>
          <w:i/>
          <w:iCs/>
        </w:rPr>
        <w:t>The Quarterly Review of Economics and Finance</w:t>
      </w:r>
      <w:r w:rsidRPr="002018AC">
        <w:rPr>
          <w:rFonts w:cs="Times New Roman"/>
        </w:rPr>
        <w:t>, </w:t>
      </w:r>
      <w:r w:rsidRPr="002018AC">
        <w:rPr>
          <w:rFonts w:cs="Times New Roman"/>
          <w:i/>
          <w:iCs/>
        </w:rPr>
        <w:t>81</w:t>
      </w:r>
      <w:r w:rsidRPr="002018AC">
        <w:rPr>
          <w:rFonts w:cs="Times New Roman"/>
        </w:rPr>
        <w:t>, pp.82-92.</w:t>
      </w:r>
    </w:p>
    <w:p w14:paraId="298CF12A" w14:textId="65BE1F91" w:rsidR="00035D8B" w:rsidRPr="002018AC" w:rsidRDefault="00035D8B" w:rsidP="00461154">
      <w:pPr>
        <w:spacing w:line="276" w:lineRule="auto"/>
        <w:ind w:left="720" w:hanging="720"/>
        <w:rPr>
          <w:rFonts w:cs="Times New Roman"/>
          <w:lang w:val="en-AU"/>
        </w:rPr>
      </w:pPr>
      <w:r w:rsidRPr="002018AC">
        <w:rPr>
          <w:rFonts w:cs="Times New Roman"/>
          <w:lang w:val="en-AU"/>
        </w:rPr>
        <w:t xml:space="preserve">Santos, A.M., </w:t>
      </w:r>
      <w:proofErr w:type="spellStart"/>
      <w:r w:rsidRPr="002018AC">
        <w:rPr>
          <w:rFonts w:cs="Times New Roman"/>
          <w:lang w:val="en-AU"/>
        </w:rPr>
        <w:t>Cincera</w:t>
      </w:r>
      <w:proofErr w:type="spellEnd"/>
      <w:r w:rsidRPr="002018AC">
        <w:rPr>
          <w:rFonts w:cs="Times New Roman"/>
          <w:lang w:val="en-AU"/>
        </w:rPr>
        <w:t xml:space="preserve">, M. and </w:t>
      </w:r>
      <w:proofErr w:type="spellStart"/>
      <w:r w:rsidRPr="002018AC">
        <w:rPr>
          <w:rFonts w:cs="Times New Roman"/>
          <w:lang w:val="en-AU"/>
        </w:rPr>
        <w:t>Cerulli</w:t>
      </w:r>
      <w:proofErr w:type="spellEnd"/>
      <w:r w:rsidRPr="002018AC">
        <w:rPr>
          <w:rFonts w:cs="Times New Roman"/>
          <w:lang w:val="en-AU"/>
        </w:rPr>
        <w:t xml:space="preserve">, G. (2024) ‘Sources of financing: Which ones are more effective in innovation–growth linkage?’, Economic Systems, 48(2), 101177. </w:t>
      </w:r>
    </w:p>
    <w:p w14:paraId="1F0CA9DB" w14:textId="234CCD02" w:rsidR="00035D8B" w:rsidRPr="002018AC" w:rsidRDefault="00035D8B" w:rsidP="00461154">
      <w:pPr>
        <w:spacing w:line="276" w:lineRule="auto"/>
        <w:ind w:left="720" w:hanging="720"/>
        <w:rPr>
          <w:rFonts w:cs="Times New Roman"/>
          <w:lang w:val="en-AU"/>
        </w:rPr>
      </w:pPr>
      <w:proofErr w:type="spellStart"/>
      <w:r w:rsidRPr="002018AC">
        <w:rPr>
          <w:rFonts w:cs="Times New Roman"/>
        </w:rPr>
        <w:t>Seretidou</w:t>
      </w:r>
      <w:proofErr w:type="spellEnd"/>
      <w:r w:rsidRPr="002018AC">
        <w:rPr>
          <w:rFonts w:cs="Times New Roman"/>
        </w:rPr>
        <w:t xml:space="preserve">, D., </w:t>
      </w:r>
      <w:proofErr w:type="spellStart"/>
      <w:r w:rsidRPr="002018AC">
        <w:rPr>
          <w:rFonts w:cs="Times New Roman"/>
        </w:rPr>
        <w:t>Billios</w:t>
      </w:r>
      <w:proofErr w:type="spellEnd"/>
      <w:r w:rsidRPr="002018AC">
        <w:rPr>
          <w:rFonts w:cs="Times New Roman"/>
        </w:rPr>
        <w:t>, D. and Stavropoulos, A. (2025) Integrative analysis of traditional and cash flow financial ratios: Insights from a systematic comparative review. </w:t>
      </w:r>
      <w:r w:rsidRPr="002018AC">
        <w:rPr>
          <w:rFonts w:cs="Times New Roman"/>
          <w:i/>
          <w:iCs/>
        </w:rPr>
        <w:t>Risks</w:t>
      </w:r>
      <w:r w:rsidRPr="002018AC">
        <w:rPr>
          <w:rFonts w:cs="Times New Roman"/>
        </w:rPr>
        <w:t>, </w:t>
      </w:r>
      <w:r w:rsidRPr="002018AC">
        <w:rPr>
          <w:rFonts w:cs="Times New Roman"/>
          <w:i/>
          <w:iCs/>
        </w:rPr>
        <w:t>13</w:t>
      </w:r>
      <w:r w:rsidRPr="002018AC">
        <w:rPr>
          <w:rFonts w:cs="Times New Roman"/>
        </w:rPr>
        <w:t>(4), p.62.</w:t>
      </w:r>
    </w:p>
    <w:p w14:paraId="43DD08FB" w14:textId="49CDF76F" w:rsidR="00035D8B" w:rsidRPr="002018AC" w:rsidRDefault="00035D8B" w:rsidP="00461154">
      <w:pPr>
        <w:spacing w:line="276" w:lineRule="auto"/>
        <w:ind w:left="720" w:hanging="720"/>
        <w:rPr>
          <w:rFonts w:cs="Times New Roman"/>
          <w:lang w:val="en-AU"/>
        </w:rPr>
      </w:pPr>
      <w:proofErr w:type="spellStart"/>
      <w:r w:rsidRPr="002018AC">
        <w:rPr>
          <w:rFonts w:cs="Times New Roman"/>
          <w:lang w:val="en-AU"/>
        </w:rPr>
        <w:t>Sezen</w:t>
      </w:r>
      <w:proofErr w:type="spellEnd"/>
      <w:r w:rsidRPr="002018AC">
        <w:rPr>
          <w:rFonts w:cs="Times New Roman"/>
          <w:lang w:val="en-AU"/>
        </w:rPr>
        <w:t xml:space="preserve">, B., Pauwels, K. and Ataman, B. (2024) ‘How do line extensions impact brand sales? The role of feature similarity and brand architecture’, Journal of Marketing Analytics, 12(3), pp. 537–550. </w:t>
      </w:r>
    </w:p>
    <w:p w14:paraId="11AE5788" w14:textId="77777777" w:rsidR="00035D8B" w:rsidRPr="002018AC" w:rsidRDefault="00035D8B" w:rsidP="00461154">
      <w:pPr>
        <w:spacing w:line="276" w:lineRule="auto"/>
        <w:ind w:left="720" w:hanging="720"/>
        <w:rPr>
          <w:rFonts w:cs="Times New Roman"/>
        </w:rPr>
      </w:pPr>
      <w:proofErr w:type="spellStart"/>
      <w:r w:rsidRPr="002018AC">
        <w:rPr>
          <w:rFonts w:cs="Times New Roman"/>
        </w:rPr>
        <w:t>Shaheen</w:t>
      </w:r>
      <w:proofErr w:type="spellEnd"/>
      <w:r w:rsidRPr="002018AC">
        <w:rPr>
          <w:rFonts w:cs="Times New Roman"/>
        </w:rPr>
        <w:t xml:space="preserve">, W.A., Saleem, T., </w:t>
      </w:r>
      <w:proofErr w:type="spellStart"/>
      <w:r w:rsidRPr="002018AC">
        <w:rPr>
          <w:rFonts w:cs="Times New Roman"/>
        </w:rPr>
        <w:t>Shafi</w:t>
      </w:r>
      <w:proofErr w:type="spellEnd"/>
      <w:r w:rsidRPr="002018AC">
        <w:rPr>
          <w:rFonts w:cs="Times New Roman"/>
        </w:rPr>
        <w:t>, N. and Ullah, U., 2024. Systematic Literature Review on Capital Budgeting Techniques. </w:t>
      </w:r>
      <w:r w:rsidRPr="002018AC">
        <w:rPr>
          <w:rFonts w:cs="Times New Roman"/>
          <w:i/>
          <w:iCs/>
        </w:rPr>
        <w:t>UCP Journal of Business Perspectives</w:t>
      </w:r>
      <w:r w:rsidRPr="002018AC">
        <w:rPr>
          <w:rFonts w:cs="Times New Roman"/>
        </w:rPr>
        <w:t>, </w:t>
      </w:r>
      <w:r w:rsidRPr="002018AC">
        <w:rPr>
          <w:rFonts w:cs="Times New Roman"/>
          <w:i/>
          <w:iCs/>
        </w:rPr>
        <w:t>2</w:t>
      </w:r>
      <w:r w:rsidRPr="002018AC">
        <w:rPr>
          <w:rFonts w:cs="Times New Roman"/>
        </w:rPr>
        <w:t>(2), pp.17-29.</w:t>
      </w:r>
    </w:p>
    <w:p w14:paraId="6860C7C8" w14:textId="77777777" w:rsidR="00035D8B" w:rsidRPr="002018AC" w:rsidRDefault="00035D8B" w:rsidP="00461154">
      <w:pPr>
        <w:spacing w:line="276" w:lineRule="auto"/>
        <w:ind w:left="720" w:hanging="720"/>
        <w:rPr>
          <w:rFonts w:cs="Times New Roman"/>
          <w:lang w:val="en-AU"/>
        </w:rPr>
      </w:pPr>
      <w:r w:rsidRPr="002018AC">
        <w:rPr>
          <w:rFonts w:cs="Times New Roman"/>
          <w:lang w:val="en-AU"/>
        </w:rPr>
        <w:t xml:space="preserve">Shin, H.H. and </w:t>
      </w:r>
      <w:proofErr w:type="spellStart"/>
      <w:r w:rsidRPr="002018AC">
        <w:rPr>
          <w:rFonts w:cs="Times New Roman"/>
          <w:lang w:val="en-AU"/>
        </w:rPr>
        <w:t>Soenen</w:t>
      </w:r>
      <w:proofErr w:type="spellEnd"/>
      <w:r w:rsidRPr="002018AC">
        <w:rPr>
          <w:rFonts w:cs="Times New Roman"/>
          <w:lang w:val="en-AU"/>
        </w:rPr>
        <w:t>, L. (1998) ‘Efficiency of working capital management and corporate profitability’, Financial Practice and Education, 8(2), pp. 37–45.</w:t>
      </w:r>
    </w:p>
    <w:p w14:paraId="63DD3984" w14:textId="77777777" w:rsidR="00035D8B" w:rsidRPr="002018AC" w:rsidRDefault="00035D8B" w:rsidP="00461154">
      <w:pPr>
        <w:spacing w:line="276" w:lineRule="auto"/>
        <w:ind w:left="720" w:hanging="720"/>
        <w:rPr>
          <w:rFonts w:cs="Times New Roman"/>
        </w:rPr>
      </w:pPr>
      <w:proofErr w:type="spellStart"/>
      <w:r w:rsidRPr="002018AC">
        <w:rPr>
          <w:rFonts w:cs="Times New Roman"/>
        </w:rPr>
        <w:t>Siziba</w:t>
      </w:r>
      <w:proofErr w:type="spellEnd"/>
      <w:r w:rsidRPr="002018AC">
        <w:rPr>
          <w:rFonts w:cs="Times New Roman"/>
        </w:rPr>
        <w:t>, S. and Hall, J.H., 2021. The evolution of the application of capital budgeting techniques in enterprises. </w:t>
      </w:r>
      <w:r w:rsidRPr="002018AC">
        <w:rPr>
          <w:rFonts w:cs="Times New Roman"/>
          <w:i/>
          <w:iCs/>
        </w:rPr>
        <w:t>Global finance journal</w:t>
      </w:r>
      <w:r w:rsidRPr="002018AC">
        <w:rPr>
          <w:rFonts w:cs="Times New Roman"/>
        </w:rPr>
        <w:t>, </w:t>
      </w:r>
      <w:r w:rsidRPr="002018AC">
        <w:rPr>
          <w:rFonts w:cs="Times New Roman"/>
          <w:i/>
          <w:iCs/>
        </w:rPr>
        <w:t>47</w:t>
      </w:r>
      <w:r w:rsidRPr="002018AC">
        <w:rPr>
          <w:rFonts w:cs="Times New Roman"/>
        </w:rPr>
        <w:t>, p.100504.</w:t>
      </w:r>
    </w:p>
    <w:p w14:paraId="38F47271" w14:textId="77777777" w:rsidR="00035D8B" w:rsidRPr="002018AC" w:rsidRDefault="00035D8B" w:rsidP="00461154">
      <w:pPr>
        <w:spacing w:line="276" w:lineRule="auto"/>
        <w:ind w:left="720" w:hanging="720"/>
        <w:rPr>
          <w:rFonts w:cs="Times New Roman"/>
        </w:rPr>
      </w:pPr>
      <w:r w:rsidRPr="002018AC">
        <w:rPr>
          <w:rFonts w:cs="Times New Roman"/>
        </w:rPr>
        <w:t xml:space="preserve">Sokolov, M.V., 2024. </w:t>
      </w:r>
      <w:proofErr w:type="spellStart"/>
      <w:r w:rsidRPr="002018AC">
        <w:rPr>
          <w:rFonts w:cs="Times New Roman"/>
        </w:rPr>
        <w:t>Npv</w:t>
      </w:r>
      <w:proofErr w:type="spellEnd"/>
      <w:r w:rsidRPr="002018AC">
        <w:rPr>
          <w:rFonts w:cs="Times New Roman"/>
        </w:rPr>
        <w:t xml:space="preserve">, </w:t>
      </w:r>
      <w:proofErr w:type="spellStart"/>
      <w:r w:rsidRPr="002018AC">
        <w:rPr>
          <w:rFonts w:cs="Times New Roman"/>
        </w:rPr>
        <w:t>irr</w:t>
      </w:r>
      <w:proofErr w:type="spellEnd"/>
      <w:r w:rsidRPr="002018AC">
        <w:rPr>
          <w:rFonts w:cs="Times New Roman"/>
        </w:rPr>
        <w:t xml:space="preserve">, pi, pp, and </w:t>
      </w:r>
      <w:proofErr w:type="spellStart"/>
      <w:r w:rsidRPr="002018AC">
        <w:rPr>
          <w:rFonts w:cs="Times New Roman"/>
        </w:rPr>
        <w:t>dpp</w:t>
      </w:r>
      <w:proofErr w:type="spellEnd"/>
      <w:r w:rsidRPr="002018AC">
        <w:rPr>
          <w:rFonts w:cs="Times New Roman"/>
        </w:rPr>
        <w:t>: a unified view. </w:t>
      </w:r>
      <w:r w:rsidRPr="002018AC">
        <w:rPr>
          <w:rFonts w:cs="Times New Roman"/>
          <w:i/>
          <w:iCs/>
        </w:rPr>
        <w:t>Journal of Mathematical Economics</w:t>
      </w:r>
      <w:r w:rsidRPr="002018AC">
        <w:rPr>
          <w:rFonts w:cs="Times New Roman"/>
        </w:rPr>
        <w:t>, </w:t>
      </w:r>
      <w:r w:rsidRPr="002018AC">
        <w:rPr>
          <w:rFonts w:cs="Times New Roman"/>
          <w:i/>
          <w:iCs/>
        </w:rPr>
        <w:t>114</w:t>
      </w:r>
      <w:r w:rsidRPr="002018AC">
        <w:rPr>
          <w:rFonts w:cs="Times New Roman"/>
        </w:rPr>
        <w:t>, p.102992.</w:t>
      </w:r>
    </w:p>
    <w:p w14:paraId="14D72BB3" w14:textId="5ED40C42" w:rsidR="00035D8B" w:rsidRPr="002018AC" w:rsidRDefault="00035D8B" w:rsidP="00461154">
      <w:pPr>
        <w:spacing w:line="276" w:lineRule="auto"/>
        <w:ind w:left="720" w:hanging="720"/>
        <w:rPr>
          <w:rFonts w:cs="Times New Roman"/>
          <w:lang w:val="en-AU"/>
        </w:rPr>
      </w:pPr>
      <w:r w:rsidRPr="002018AC">
        <w:rPr>
          <w:rFonts w:cs="Times New Roman"/>
          <w:lang w:val="en-AU"/>
        </w:rPr>
        <w:t xml:space="preserve">UK Finance (2025) </w:t>
      </w:r>
      <w:r w:rsidRPr="002018AC">
        <w:rPr>
          <w:rFonts w:cs="Times New Roman"/>
          <w:i/>
          <w:iCs/>
          <w:lang w:val="en-AU"/>
        </w:rPr>
        <w:t>Business Finance Review 2025 Q1</w:t>
      </w:r>
      <w:r w:rsidRPr="002018AC">
        <w:rPr>
          <w:rFonts w:cs="Times New Roman"/>
          <w:lang w:val="en-AU"/>
        </w:rPr>
        <w:t xml:space="preserve">. UK Finance. </w:t>
      </w:r>
      <w:hyperlink r:id="rId15" w:history="1">
        <w:r w:rsidR="00461154" w:rsidRPr="009779A1">
          <w:rPr>
            <w:rStyle w:val="Hyperlink"/>
            <w:rFonts w:cs="Times New Roman"/>
            <w:lang w:val="en-AU"/>
          </w:rPr>
          <w:t>https://www.ukfinance.org.uk/system/files/2025-06/Business%20Finance%20Review%202025%20Q1.pdf</w:t>
        </w:r>
      </w:hyperlink>
      <w:r w:rsidR="00461154">
        <w:rPr>
          <w:rFonts w:cs="Times New Roman"/>
          <w:lang w:val="en-AU"/>
        </w:rPr>
        <w:t xml:space="preserve"> </w:t>
      </w:r>
    </w:p>
    <w:p w14:paraId="1DB432EB" w14:textId="77777777" w:rsidR="00035D8B" w:rsidRPr="002018AC" w:rsidRDefault="00035D8B" w:rsidP="00461154">
      <w:pPr>
        <w:spacing w:line="276" w:lineRule="auto"/>
        <w:ind w:left="720" w:hanging="720"/>
        <w:rPr>
          <w:rFonts w:cs="Times New Roman"/>
          <w:lang w:val="en-AU"/>
        </w:rPr>
      </w:pPr>
      <w:r w:rsidRPr="002018AC">
        <w:rPr>
          <w:rFonts w:cs="Times New Roman"/>
          <w:lang w:val="en-AU"/>
        </w:rPr>
        <w:t xml:space="preserve">Vodafone Group plc (2025) </w:t>
      </w:r>
      <w:r w:rsidRPr="002018AC">
        <w:rPr>
          <w:rFonts w:cs="Times New Roman"/>
          <w:i/>
          <w:iCs/>
          <w:lang w:val="en-AU"/>
        </w:rPr>
        <w:t>Annual Report 2025</w:t>
      </w:r>
      <w:r w:rsidRPr="002018AC">
        <w:rPr>
          <w:rFonts w:cs="Times New Roman"/>
          <w:lang w:val="en-AU"/>
        </w:rPr>
        <w:t xml:space="preserve">. </w:t>
      </w:r>
      <w:hyperlink r:id="rId16" w:history="1">
        <w:r w:rsidRPr="002018AC">
          <w:rPr>
            <w:rStyle w:val="Hyperlink"/>
            <w:rFonts w:cs="Times New Roman"/>
            <w:lang w:val="en-AU"/>
          </w:rPr>
          <w:t>https://reports.investors.vodafone.com/view/897876789/</w:t>
        </w:r>
      </w:hyperlink>
      <w:r w:rsidRPr="002018AC">
        <w:rPr>
          <w:rFonts w:cs="Times New Roman"/>
          <w:lang w:val="en-AU"/>
        </w:rPr>
        <w:t xml:space="preserve"> </w:t>
      </w:r>
    </w:p>
    <w:p w14:paraId="25122063" w14:textId="21376CF0" w:rsidR="00035D8B" w:rsidRPr="002018AC" w:rsidRDefault="00035D8B" w:rsidP="00461154">
      <w:pPr>
        <w:spacing w:line="276" w:lineRule="auto"/>
        <w:ind w:left="720" w:hanging="720"/>
        <w:rPr>
          <w:rFonts w:cs="Times New Roman"/>
          <w:lang w:val="en-AU"/>
        </w:rPr>
      </w:pPr>
      <w:r w:rsidRPr="002018AC">
        <w:rPr>
          <w:rFonts w:cs="Times New Roman"/>
          <w:lang w:val="en-AU"/>
        </w:rPr>
        <w:t xml:space="preserve">Yang, C.-G., </w:t>
      </w:r>
      <w:proofErr w:type="spellStart"/>
      <w:r w:rsidRPr="002018AC">
        <w:rPr>
          <w:rFonts w:cs="Times New Roman"/>
          <w:lang w:val="en-AU"/>
        </w:rPr>
        <w:t>Trimi</w:t>
      </w:r>
      <w:proofErr w:type="spellEnd"/>
      <w:r w:rsidRPr="002018AC">
        <w:rPr>
          <w:rFonts w:cs="Times New Roman"/>
          <w:lang w:val="en-AU"/>
        </w:rPr>
        <w:t>, S. and Lee, S.-G. (2016) ‘Effects of telecom service providers’ strategic investments on business performance: A comparative study of US-Korea’, Industrial Management &amp; Data Systems, 116(5), pp. 960–977.</w:t>
      </w:r>
    </w:p>
    <w:p w14:paraId="516FF876" w14:textId="77777777" w:rsidR="001C195C" w:rsidRPr="002018AC" w:rsidRDefault="001C195C" w:rsidP="00695D8D">
      <w:pPr>
        <w:spacing w:after="0" w:line="276" w:lineRule="auto"/>
        <w:jc w:val="left"/>
        <w:rPr>
          <w:rFonts w:eastAsiaTheme="majorEastAsia" w:cs="Times New Roman"/>
          <w:b/>
          <w:color w:val="0F4761" w:themeColor="accent1" w:themeShade="BF"/>
          <w:sz w:val="40"/>
          <w:szCs w:val="40"/>
          <w:u w:val="single"/>
          <w:lang w:val="en-AU"/>
        </w:rPr>
      </w:pPr>
      <w:r w:rsidRPr="002018AC">
        <w:rPr>
          <w:rFonts w:cs="Times New Roman"/>
          <w:lang w:val="en-AU"/>
        </w:rPr>
        <w:br w:type="page"/>
      </w:r>
    </w:p>
    <w:p w14:paraId="6D97EC88" w14:textId="026E2C89" w:rsidR="00A77462" w:rsidRPr="002018AC" w:rsidRDefault="00A77462" w:rsidP="00695D8D">
      <w:pPr>
        <w:pStyle w:val="Heading1"/>
        <w:numPr>
          <w:ilvl w:val="0"/>
          <w:numId w:val="9"/>
        </w:numPr>
        <w:spacing w:line="276" w:lineRule="auto"/>
        <w:rPr>
          <w:rFonts w:cs="Times New Roman"/>
          <w:lang w:val="en-AU"/>
        </w:rPr>
      </w:pPr>
      <w:bookmarkStart w:id="48" w:name="_Toc227609578"/>
      <w:r w:rsidRPr="002018AC">
        <w:rPr>
          <w:rFonts w:cs="Times New Roman"/>
          <w:lang w:val="en-AU"/>
        </w:rPr>
        <w:lastRenderedPageBreak/>
        <w:t>Appendices</w:t>
      </w:r>
      <w:bookmarkEnd w:id="48"/>
    </w:p>
    <w:p w14:paraId="785A0541" w14:textId="6E6A2BED" w:rsidR="00A77462" w:rsidRPr="002018AC" w:rsidRDefault="001C195C" w:rsidP="00695D8D">
      <w:pPr>
        <w:pStyle w:val="Heading2"/>
        <w:numPr>
          <w:ilvl w:val="1"/>
          <w:numId w:val="9"/>
        </w:numPr>
        <w:spacing w:line="276" w:lineRule="auto"/>
        <w:rPr>
          <w:rFonts w:cs="Times New Roman"/>
        </w:rPr>
      </w:pPr>
      <w:bookmarkStart w:id="49" w:name="_Toc227609579"/>
      <w:r w:rsidRPr="002018AC">
        <w:rPr>
          <w:rFonts w:cs="Times New Roman"/>
        </w:rPr>
        <w:t>Appendix A</w:t>
      </w:r>
      <w:bookmarkEnd w:id="49"/>
    </w:p>
    <w:p w14:paraId="30888587" w14:textId="77777777" w:rsidR="00A77462" w:rsidRPr="002018AC" w:rsidRDefault="00A77462" w:rsidP="00695D8D">
      <w:pPr>
        <w:spacing w:line="276" w:lineRule="auto"/>
        <w:rPr>
          <w:rFonts w:cs="Times New Roman"/>
          <w:b/>
          <w:bCs/>
          <w:lang w:val="en-AU"/>
        </w:rPr>
      </w:pPr>
      <w:r w:rsidRPr="002018AC">
        <w:rPr>
          <w:rFonts w:cs="Times New Roman"/>
          <w:lang w:val="en-AU"/>
        </w:rPr>
        <w:t xml:space="preserve">Appendix A1: </w:t>
      </w:r>
      <w:r w:rsidRPr="002018AC">
        <w:rPr>
          <w:rFonts w:cs="Times New Roman"/>
          <w:b/>
          <w:bCs/>
          <w:lang w:val="en-AU"/>
        </w:rPr>
        <w:t xml:space="preserve">Revenue and operating profit </w:t>
      </w:r>
    </w:p>
    <w:p w14:paraId="007749B7" w14:textId="77777777" w:rsidR="00A77462" w:rsidRPr="002018AC" w:rsidRDefault="00A77462" w:rsidP="00695D8D">
      <w:pPr>
        <w:spacing w:line="276" w:lineRule="auto"/>
        <w:rPr>
          <w:rFonts w:cs="Times New Roman"/>
          <w:lang w:val="en-AU"/>
        </w:rPr>
      </w:pPr>
      <w:r w:rsidRPr="002018AC">
        <w:rPr>
          <w:rFonts w:cs="Times New Roman"/>
          <w:noProof/>
          <w:lang w:val="en-US"/>
        </w:rPr>
        <w:drawing>
          <wp:inline distT="0" distB="0" distL="0" distR="0" wp14:anchorId="29141C75" wp14:editId="048A9712">
            <wp:extent cx="6096884" cy="3346450"/>
            <wp:effectExtent l="0" t="0" r="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114597" cy="3356172"/>
                    </a:xfrm>
                    <a:prstGeom prst="rect">
                      <a:avLst/>
                    </a:prstGeom>
                    <a:noFill/>
                    <a:ln>
                      <a:noFill/>
                    </a:ln>
                  </pic:spPr>
                </pic:pic>
              </a:graphicData>
            </a:graphic>
          </wp:inline>
        </w:drawing>
      </w:r>
    </w:p>
    <w:p w14:paraId="7B539166" w14:textId="77777777" w:rsidR="00A77462" w:rsidRPr="002018AC" w:rsidRDefault="00A77462" w:rsidP="00695D8D">
      <w:pPr>
        <w:spacing w:line="276" w:lineRule="auto"/>
        <w:rPr>
          <w:rFonts w:cs="Times New Roman"/>
          <w:b/>
          <w:bCs/>
          <w:lang w:val="en-AU"/>
        </w:rPr>
      </w:pPr>
      <w:r w:rsidRPr="002018AC">
        <w:rPr>
          <w:rFonts w:cs="Times New Roman"/>
          <w:lang w:val="en-AU"/>
        </w:rPr>
        <w:t xml:space="preserve">Appendix A2: </w:t>
      </w:r>
      <w:r w:rsidRPr="002018AC">
        <w:rPr>
          <w:rFonts w:cs="Times New Roman"/>
          <w:b/>
          <w:bCs/>
          <w:lang w:val="en-AU"/>
        </w:rPr>
        <w:t xml:space="preserve">The TALCL and liquidity denominators </w:t>
      </w:r>
    </w:p>
    <w:p w14:paraId="4FFDDE6E" w14:textId="77777777" w:rsidR="00A77462" w:rsidRPr="002018AC" w:rsidRDefault="00A77462" w:rsidP="00695D8D">
      <w:pPr>
        <w:spacing w:line="276" w:lineRule="auto"/>
        <w:rPr>
          <w:rFonts w:cs="Times New Roman"/>
          <w:lang w:val="en-AU"/>
        </w:rPr>
      </w:pPr>
      <w:r w:rsidRPr="002018AC">
        <w:rPr>
          <w:rFonts w:cs="Times New Roman"/>
          <w:noProof/>
          <w:lang w:val="en-US"/>
        </w:rPr>
        <w:lastRenderedPageBreak/>
        <w:drawing>
          <wp:inline distT="0" distB="0" distL="0" distR="0" wp14:anchorId="70882CCA" wp14:editId="6BD89A92">
            <wp:extent cx="6103870" cy="40665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118786" cy="4076477"/>
                    </a:xfrm>
                    <a:prstGeom prst="rect">
                      <a:avLst/>
                    </a:prstGeom>
                    <a:noFill/>
                    <a:ln>
                      <a:noFill/>
                    </a:ln>
                  </pic:spPr>
                </pic:pic>
              </a:graphicData>
            </a:graphic>
          </wp:inline>
        </w:drawing>
      </w:r>
    </w:p>
    <w:p w14:paraId="594B0863" w14:textId="77777777" w:rsidR="00A77462" w:rsidRPr="002018AC" w:rsidRDefault="00A77462" w:rsidP="00695D8D">
      <w:pPr>
        <w:spacing w:line="276" w:lineRule="auto"/>
        <w:rPr>
          <w:rFonts w:cs="Times New Roman"/>
          <w:b/>
          <w:bCs/>
          <w:lang w:val="en-AU"/>
        </w:rPr>
      </w:pPr>
      <w:r w:rsidRPr="002018AC">
        <w:rPr>
          <w:rFonts w:cs="Times New Roman"/>
          <w:lang w:val="en-AU"/>
        </w:rPr>
        <w:t xml:space="preserve">Appendix A3: </w:t>
      </w:r>
      <w:r w:rsidRPr="002018AC">
        <w:rPr>
          <w:rFonts w:cs="Times New Roman"/>
          <w:b/>
          <w:bCs/>
          <w:lang w:val="en-AU"/>
        </w:rPr>
        <w:t xml:space="preserve">FY2024 held-for-sale balances </w:t>
      </w:r>
    </w:p>
    <w:p w14:paraId="2E8DA36B" w14:textId="77777777" w:rsidR="00A77462" w:rsidRPr="002018AC" w:rsidRDefault="00A77462" w:rsidP="00695D8D">
      <w:pPr>
        <w:spacing w:line="276" w:lineRule="auto"/>
        <w:rPr>
          <w:rFonts w:cs="Times New Roman"/>
          <w:lang w:val="en-AU"/>
        </w:rPr>
      </w:pPr>
      <w:r w:rsidRPr="002018AC">
        <w:rPr>
          <w:rFonts w:cs="Times New Roman"/>
          <w:noProof/>
          <w:lang w:val="en-US"/>
        </w:rPr>
        <w:lastRenderedPageBreak/>
        <w:drawing>
          <wp:inline distT="0" distB="0" distL="0" distR="0" wp14:anchorId="1E4C0022" wp14:editId="6661627B">
            <wp:extent cx="5935980" cy="6449695"/>
            <wp:effectExtent l="0" t="0" r="762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35980" cy="6449695"/>
                    </a:xfrm>
                    <a:prstGeom prst="rect">
                      <a:avLst/>
                    </a:prstGeom>
                    <a:noFill/>
                    <a:ln>
                      <a:noFill/>
                    </a:ln>
                  </pic:spPr>
                </pic:pic>
              </a:graphicData>
            </a:graphic>
          </wp:inline>
        </w:drawing>
      </w:r>
    </w:p>
    <w:p w14:paraId="0AC31777" w14:textId="77777777" w:rsidR="00A77462" w:rsidRPr="002018AC" w:rsidRDefault="00A77462" w:rsidP="00695D8D">
      <w:pPr>
        <w:spacing w:line="276" w:lineRule="auto"/>
        <w:rPr>
          <w:rFonts w:cs="Times New Roman"/>
          <w:b/>
          <w:bCs/>
          <w:lang w:val="en-AU"/>
        </w:rPr>
      </w:pPr>
      <w:r w:rsidRPr="002018AC">
        <w:rPr>
          <w:rFonts w:cs="Times New Roman"/>
          <w:lang w:val="en-AU"/>
        </w:rPr>
        <w:t xml:space="preserve">Appendix A4: </w:t>
      </w:r>
      <w:r w:rsidRPr="002018AC">
        <w:rPr>
          <w:rFonts w:cs="Times New Roman"/>
          <w:b/>
          <w:bCs/>
          <w:lang w:val="en-AU"/>
        </w:rPr>
        <w:t xml:space="preserve">Debtors days use trade receivables </w:t>
      </w:r>
    </w:p>
    <w:p w14:paraId="7967F0AA" w14:textId="77777777" w:rsidR="00A77462" w:rsidRPr="002018AC" w:rsidRDefault="00A77462" w:rsidP="00695D8D">
      <w:pPr>
        <w:spacing w:line="276" w:lineRule="auto"/>
        <w:rPr>
          <w:rFonts w:cs="Times New Roman"/>
          <w:lang w:val="en-AU"/>
        </w:rPr>
      </w:pPr>
      <w:r w:rsidRPr="002018AC">
        <w:rPr>
          <w:rFonts w:cs="Times New Roman"/>
          <w:noProof/>
          <w:lang w:val="en-US"/>
        </w:rPr>
        <w:lastRenderedPageBreak/>
        <w:drawing>
          <wp:inline distT="0" distB="0" distL="0" distR="0" wp14:anchorId="7E9BC5B4" wp14:editId="72302AC1">
            <wp:extent cx="6106160" cy="362697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157995" cy="3657768"/>
                    </a:xfrm>
                    <a:prstGeom prst="rect">
                      <a:avLst/>
                    </a:prstGeom>
                    <a:noFill/>
                    <a:ln>
                      <a:noFill/>
                    </a:ln>
                  </pic:spPr>
                </pic:pic>
              </a:graphicData>
            </a:graphic>
          </wp:inline>
        </w:drawing>
      </w:r>
    </w:p>
    <w:p w14:paraId="2388B20E" w14:textId="77777777" w:rsidR="00A77462" w:rsidRPr="002018AC" w:rsidRDefault="00A77462" w:rsidP="00695D8D">
      <w:pPr>
        <w:spacing w:line="276" w:lineRule="auto"/>
        <w:rPr>
          <w:rFonts w:cs="Times New Roman"/>
          <w:b/>
          <w:bCs/>
          <w:lang w:val="en-AU"/>
        </w:rPr>
      </w:pPr>
      <w:r w:rsidRPr="002018AC">
        <w:rPr>
          <w:rFonts w:cs="Times New Roman"/>
          <w:lang w:val="en-AU"/>
        </w:rPr>
        <w:t xml:space="preserve">Appendix A5: </w:t>
      </w:r>
      <w:r w:rsidRPr="002018AC">
        <w:rPr>
          <w:rFonts w:cs="Times New Roman"/>
          <w:b/>
          <w:bCs/>
          <w:lang w:val="en-AU"/>
        </w:rPr>
        <w:t xml:space="preserve">Creditor days use trade payables </w:t>
      </w:r>
    </w:p>
    <w:p w14:paraId="4E238625" w14:textId="77777777" w:rsidR="00A77462" w:rsidRPr="002018AC" w:rsidRDefault="00A77462" w:rsidP="00695D8D">
      <w:pPr>
        <w:spacing w:line="276" w:lineRule="auto"/>
        <w:rPr>
          <w:rFonts w:cs="Times New Roman"/>
          <w:lang w:val="en-AU"/>
        </w:rPr>
      </w:pPr>
      <w:r w:rsidRPr="002018AC">
        <w:rPr>
          <w:rFonts w:cs="Times New Roman"/>
          <w:noProof/>
          <w:lang w:val="en-US"/>
        </w:rPr>
        <w:drawing>
          <wp:inline distT="0" distB="0" distL="0" distR="0" wp14:anchorId="4C2411F7" wp14:editId="4CB2CE79">
            <wp:extent cx="5996940" cy="3886933"/>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015003" cy="3898640"/>
                    </a:xfrm>
                    <a:prstGeom prst="rect">
                      <a:avLst/>
                    </a:prstGeom>
                    <a:noFill/>
                    <a:ln>
                      <a:noFill/>
                    </a:ln>
                  </pic:spPr>
                </pic:pic>
              </a:graphicData>
            </a:graphic>
          </wp:inline>
        </w:drawing>
      </w:r>
    </w:p>
    <w:p w14:paraId="43DE2916" w14:textId="77777777" w:rsidR="00A77462" w:rsidRPr="002018AC" w:rsidRDefault="00A77462" w:rsidP="00695D8D">
      <w:pPr>
        <w:spacing w:line="276" w:lineRule="auto"/>
        <w:rPr>
          <w:rFonts w:cs="Times New Roman"/>
          <w:b/>
          <w:bCs/>
          <w:lang w:val="en-AU"/>
        </w:rPr>
      </w:pPr>
      <w:r w:rsidRPr="002018AC">
        <w:rPr>
          <w:rFonts w:cs="Times New Roman"/>
          <w:lang w:val="en-AU"/>
        </w:rPr>
        <w:lastRenderedPageBreak/>
        <w:t xml:space="preserve">Appendix A6: </w:t>
      </w:r>
      <w:r w:rsidRPr="002018AC">
        <w:rPr>
          <w:rFonts w:cs="Times New Roman"/>
          <w:b/>
          <w:bCs/>
          <w:lang w:val="en-AU"/>
        </w:rPr>
        <w:t xml:space="preserve">EPS and dividend cover </w:t>
      </w:r>
    </w:p>
    <w:p w14:paraId="3CDAFD32" w14:textId="77777777" w:rsidR="00A77462" w:rsidRPr="002018AC" w:rsidRDefault="00A77462" w:rsidP="00695D8D">
      <w:pPr>
        <w:spacing w:line="276" w:lineRule="auto"/>
        <w:rPr>
          <w:rFonts w:cs="Times New Roman"/>
          <w:lang w:val="en-AU"/>
        </w:rPr>
      </w:pPr>
      <w:r w:rsidRPr="002018AC">
        <w:rPr>
          <w:rFonts w:cs="Times New Roman"/>
          <w:noProof/>
          <w:lang w:val="en-US"/>
        </w:rPr>
        <w:drawing>
          <wp:inline distT="0" distB="0" distL="0" distR="0" wp14:anchorId="7E3C4E8E" wp14:editId="3FA0F797">
            <wp:extent cx="6206237" cy="2865120"/>
            <wp:effectExtent l="0" t="0" r="444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225603" cy="2874060"/>
                    </a:xfrm>
                    <a:prstGeom prst="rect">
                      <a:avLst/>
                    </a:prstGeom>
                    <a:noFill/>
                    <a:ln>
                      <a:noFill/>
                    </a:ln>
                  </pic:spPr>
                </pic:pic>
              </a:graphicData>
            </a:graphic>
          </wp:inline>
        </w:drawing>
      </w:r>
    </w:p>
    <w:p w14:paraId="38303697" w14:textId="77777777" w:rsidR="00A77462" w:rsidRPr="002018AC" w:rsidRDefault="00A77462" w:rsidP="00695D8D">
      <w:pPr>
        <w:spacing w:line="276" w:lineRule="auto"/>
        <w:rPr>
          <w:rFonts w:cs="Times New Roman"/>
          <w:b/>
          <w:bCs/>
          <w:lang w:val="en-AU"/>
        </w:rPr>
      </w:pPr>
      <w:r w:rsidRPr="002018AC">
        <w:rPr>
          <w:rFonts w:cs="Times New Roman"/>
          <w:lang w:val="en-AU"/>
        </w:rPr>
        <w:t xml:space="preserve">Appendix A7: </w:t>
      </w:r>
      <w:r w:rsidRPr="002018AC">
        <w:rPr>
          <w:rFonts w:cs="Times New Roman"/>
          <w:b/>
          <w:bCs/>
          <w:lang w:val="en-AU"/>
        </w:rPr>
        <w:t xml:space="preserve">Borrowings and net debt </w:t>
      </w:r>
    </w:p>
    <w:p w14:paraId="2CAB0703" w14:textId="77777777" w:rsidR="00A77462" w:rsidRPr="002018AC" w:rsidRDefault="00A77462" w:rsidP="00695D8D">
      <w:pPr>
        <w:spacing w:line="276" w:lineRule="auto"/>
        <w:rPr>
          <w:rFonts w:cs="Times New Roman"/>
          <w:lang w:val="en-AU"/>
        </w:rPr>
      </w:pPr>
      <w:r w:rsidRPr="002018AC">
        <w:rPr>
          <w:rFonts w:cs="Times New Roman"/>
          <w:noProof/>
          <w:lang w:val="en-US"/>
        </w:rPr>
        <w:drawing>
          <wp:inline distT="0" distB="0" distL="0" distR="0" wp14:anchorId="63CFEC44" wp14:editId="50DAD032">
            <wp:extent cx="6161444" cy="3191933"/>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188356" cy="3205875"/>
                    </a:xfrm>
                    <a:prstGeom prst="rect">
                      <a:avLst/>
                    </a:prstGeom>
                    <a:noFill/>
                    <a:ln>
                      <a:noFill/>
                    </a:ln>
                  </pic:spPr>
                </pic:pic>
              </a:graphicData>
            </a:graphic>
          </wp:inline>
        </w:drawing>
      </w:r>
    </w:p>
    <w:p w14:paraId="3838D4DC" w14:textId="2E213A2B" w:rsidR="00A77462" w:rsidRPr="002018AC" w:rsidRDefault="00A77462" w:rsidP="00695D8D">
      <w:pPr>
        <w:pStyle w:val="Heading2"/>
        <w:numPr>
          <w:ilvl w:val="1"/>
          <w:numId w:val="9"/>
        </w:numPr>
        <w:spacing w:line="276" w:lineRule="auto"/>
        <w:rPr>
          <w:rFonts w:cs="Times New Roman"/>
        </w:rPr>
      </w:pPr>
      <w:bookmarkStart w:id="50" w:name="_Toc227609580"/>
      <w:r w:rsidRPr="002018AC">
        <w:rPr>
          <w:rFonts w:cs="Times New Roman"/>
        </w:rPr>
        <w:t>Appendix B: full ratio calculations</w:t>
      </w:r>
      <w:bookmarkEnd w:id="50"/>
    </w:p>
    <w:p w14:paraId="774ABC6F" w14:textId="39040BFF" w:rsidR="00A77462" w:rsidRPr="002018AC" w:rsidRDefault="00A77462" w:rsidP="00695D8D">
      <w:pPr>
        <w:pStyle w:val="Heading3"/>
        <w:numPr>
          <w:ilvl w:val="2"/>
          <w:numId w:val="9"/>
        </w:numPr>
        <w:spacing w:before="200" w:after="0" w:line="276" w:lineRule="auto"/>
        <w:ind w:left="0" w:firstLine="0"/>
        <w:jc w:val="left"/>
        <w:rPr>
          <w:rFonts w:cs="Times New Roman"/>
          <w:lang w:val="en-AU"/>
        </w:rPr>
      </w:pPr>
      <w:bookmarkStart w:id="51" w:name="_Toc227609581"/>
      <w:r w:rsidRPr="002018AC">
        <w:rPr>
          <w:rFonts w:cs="Times New Roman"/>
          <w:lang w:val="en-AU"/>
        </w:rPr>
        <w:t>Appendix B1: Source figures used</w:t>
      </w:r>
      <w:bookmarkEnd w:id="51"/>
    </w:p>
    <w:tbl>
      <w:tblPr>
        <w:tblStyle w:val="GridTable4-Accent1"/>
        <w:tblW w:w="9442" w:type="dxa"/>
        <w:tblLook w:val="04A0" w:firstRow="1" w:lastRow="0" w:firstColumn="1" w:lastColumn="0" w:noHBand="0" w:noVBand="1"/>
      </w:tblPr>
      <w:tblGrid>
        <w:gridCol w:w="6582"/>
        <w:gridCol w:w="1430"/>
        <w:gridCol w:w="1430"/>
      </w:tblGrid>
      <w:tr w:rsidR="00A77462" w:rsidRPr="002018AC" w14:paraId="41F1ED54" w14:textId="77777777" w:rsidTr="001C195C">
        <w:trPr>
          <w:cnfStyle w:val="100000000000" w:firstRow="1" w:lastRow="0" w:firstColumn="0" w:lastColumn="0" w:oddVBand="0" w:evenVBand="0" w:oddHBand="0" w:evenHBand="0" w:firstRowFirstColumn="0" w:firstRowLastColumn="0" w:lastRowFirstColumn="0" w:lastRowLastColumn="0"/>
          <w:trHeight w:val="324"/>
        </w:trPr>
        <w:tc>
          <w:tcPr>
            <w:cnfStyle w:val="001000000000" w:firstRow="0" w:lastRow="0" w:firstColumn="1" w:lastColumn="0" w:oddVBand="0" w:evenVBand="0" w:oddHBand="0" w:evenHBand="0" w:firstRowFirstColumn="0" w:firstRowLastColumn="0" w:lastRowFirstColumn="0" w:lastRowLastColumn="0"/>
            <w:tcW w:w="0" w:type="auto"/>
            <w:hideMark/>
          </w:tcPr>
          <w:p w14:paraId="092BD73A" w14:textId="77777777" w:rsidR="00A77462" w:rsidRPr="002018AC" w:rsidRDefault="00A77462" w:rsidP="00695D8D">
            <w:pPr>
              <w:spacing w:line="276" w:lineRule="auto"/>
              <w:jc w:val="left"/>
              <w:rPr>
                <w:rFonts w:cs="Times New Roman"/>
                <w:lang w:val="en-AU" w:eastAsia="en-AU"/>
              </w:rPr>
            </w:pPr>
            <w:r w:rsidRPr="002018AC">
              <w:rPr>
                <w:rFonts w:cs="Times New Roman"/>
                <w:lang w:val="en-AU" w:eastAsia="en-AU"/>
              </w:rPr>
              <w:t>Figure</w:t>
            </w:r>
          </w:p>
        </w:tc>
        <w:tc>
          <w:tcPr>
            <w:tcW w:w="0" w:type="auto"/>
            <w:hideMark/>
          </w:tcPr>
          <w:p w14:paraId="71EC8AEF" w14:textId="77777777" w:rsidR="00A77462" w:rsidRPr="002018AC" w:rsidRDefault="00A77462" w:rsidP="00695D8D">
            <w:pPr>
              <w:spacing w:line="276" w:lineRule="auto"/>
              <w:jc w:val="left"/>
              <w:cnfStyle w:val="100000000000" w:firstRow="1"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FY2025</w:t>
            </w:r>
          </w:p>
        </w:tc>
        <w:tc>
          <w:tcPr>
            <w:tcW w:w="0" w:type="auto"/>
            <w:hideMark/>
          </w:tcPr>
          <w:p w14:paraId="1A9ADBE0" w14:textId="77777777" w:rsidR="00A77462" w:rsidRPr="002018AC" w:rsidRDefault="00A77462" w:rsidP="00695D8D">
            <w:pPr>
              <w:spacing w:line="276" w:lineRule="auto"/>
              <w:jc w:val="left"/>
              <w:cnfStyle w:val="100000000000" w:firstRow="1"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FY2024</w:t>
            </w:r>
          </w:p>
        </w:tc>
      </w:tr>
      <w:tr w:rsidR="00A77462" w:rsidRPr="002018AC" w14:paraId="68DFE314" w14:textId="77777777" w:rsidTr="001C195C">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0" w:type="auto"/>
            <w:hideMark/>
          </w:tcPr>
          <w:p w14:paraId="792A77E5" w14:textId="77777777" w:rsidR="00A77462" w:rsidRPr="002018AC" w:rsidRDefault="00A77462" w:rsidP="00695D8D">
            <w:pPr>
              <w:spacing w:line="276" w:lineRule="auto"/>
              <w:rPr>
                <w:rFonts w:cs="Times New Roman"/>
                <w:lang w:val="en-AU" w:eastAsia="en-AU"/>
              </w:rPr>
            </w:pPr>
            <w:r w:rsidRPr="002018AC">
              <w:rPr>
                <w:rFonts w:cs="Times New Roman"/>
                <w:lang w:val="en-AU" w:eastAsia="en-AU"/>
              </w:rPr>
              <w:lastRenderedPageBreak/>
              <w:t>Sales / revenue</w:t>
            </w:r>
          </w:p>
        </w:tc>
        <w:tc>
          <w:tcPr>
            <w:tcW w:w="0" w:type="auto"/>
            <w:hideMark/>
          </w:tcPr>
          <w:p w14:paraId="6D4677DC"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37,448</w:t>
            </w:r>
          </w:p>
        </w:tc>
        <w:tc>
          <w:tcPr>
            <w:tcW w:w="0" w:type="auto"/>
            <w:hideMark/>
          </w:tcPr>
          <w:p w14:paraId="437133E0"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36,717</w:t>
            </w:r>
          </w:p>
        </w:tc>
      </w:tr>
      <w:tr w:rsidR="00A77462" w:rsidRPr="002018AC" w14:paraId="29161DEF" w14:textId="77777777" w:rsidTr="001C195C">
        <w:trPr>
          <w:trHeight w:val="324"/>
        </w:trPr>
        <w:tc>
          <w:tcPr>
            <w:cnfStyle w:val="001000000000" w:firstRow="0" w:lastRow="0" w:firstColumn="1" w:lastColumn="0" w:oddVBand="0" w:evenVBand="0" w:oddHBand="0" w:evenHBand="0" w:firstRowFirstColumn="0" w:firstRowLastColumn="0" w:lastRowFirstColumn="0" w:lastRowLastColumn="0"/>
            <w:tcW w:w="0" w:type="auto"/>
            <w:hideMark/>
          </w:tcPr>
          <w:p w14:paraId="701753C6" w14:textId="77777777" w:rsidR="00A77462" w:rsidRPr="002018AC" w:rsidRDefault="00A77462" w:rsidP="00695D8D">
            <w:pPr>
              <w:spacing w:line="276" w:lineRule="auto"/>
              <w:rPr>
                <w:rFonts w:cs="Times New Roman"/>
                <w:lang w:val="en-AU" w:eastAsia="en-AU"/>
              </w:rPr>
            </w:pPr>
            <w:r w:rsidRPr="002018AC">
              <w:rPr>
                <w:rFonts w:cs="Times New Roman"/>
                <w:lang w:val="en-AU" w:eastAsia="en-AU"/>
              </w:rPr>
              <w:t>Cost of sales / COGS</w:t>
            </w:r>
          </w:p>
        </w:tc>
        <w:tc>
          <w:tcPr>
            <w:tcW w:w="0" w:type="auto"/>
            <w:hideMark/>
          </w:tcPr>
          <w:p w14:paraId="49F5C725"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24,929</w:t>
            </w:r>
          </w:p>
        </w:tc>
        <w:tc>
          <w:tcPr>
            <w:tcW w:w="0" w:type="auto"/>
            <w:hideMark/>
          </w:tcPr>
          <w:p w14:paraId="74E5A5CA"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24,459</w:t>
            </w:r>
          </w:p>
        </w:tc>
      </w:tr>
      <w:tr w:rsidR="00A77462" w:rsidRPr="002018AC" w14:paraId="4B11113D" w14:textId="77777777" w:rsidTr="001C195C">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0" w:type="auto"/>
            <w:hideMark/>
          </w:tcPr>
          <w:p w14:paraId="508734DD" w14:textId="77777777" w:rsidR="00A77462" w:rsidRPr="002018AC" w:rsidRDefault="00A77462" w:rsidP="00695D8D">
            <w:pPr>
              <w:spacing w:line="276" w:lineRule="auto"/>
              <w:rPr>
                <w:rFonts w:cs="Times New Roman"/>
                <w:lang w:val="en-AU" w:eastAsia="en-AU"/>
              </w:rPr>
            </w:pPr>
            <w:r w:rsidRPr="002018AC">
              <w:rPr>
                <w:rFonts w:cs="Times New Roman"/>
                <w:lang w:val="en-AU" w:eastAsia="en-AU"/>
              </w:rPr>
              <w:t>Gross profit</w:t>
            </w:r>
          </w:p>
        </w:tc>
        <w:tc>
          <w:tcPr>
            <w:tcW w:w="0" w:type="auto"/>
            <w:hideMark/>
          </w:tcPr>
          <w:p w14:paraId="6E03D05C"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12,519</w:t>
            </w:r>
          </w:p>
        </w:tc>
        <w:tc>
          <w:tcPr>
            <w:tcW w:w="0" w:type="auto"/>
            <w:hideMark/>
          </w:tcPr>
          <w:p w14:paraId="235D3D9A"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12,258</w:t>
            </w:r>
          </w:p>
        </w:tc>
      </w:tr>
      <w:tr w:rsidR="00A77462" w:rsidRPr="002018AC" w14:paraId="749486A3" w14:textId="77777777" w:rsidTr="001C195C">
        <w:trPr>
          <w:trHeight w:val="324"/>
        </w:trPr>
        <w:tc>
          <w:tcPr>
            <w:cnfStyle w:val="001000000000" w:firstRow="0" w:lastRow="0" w:firstColumn="1" w:lastColumn="0" w:oddVBand="0" w:evenVBand="0" w:oddHBand="0" w:evenHBand="0" w:firstRowFirstColumn="0" w:firstRowLastColumn="0" w:lastRowFirstColumn="0" w:lastRowLastColumn="0"/>
            <w:tcW w:w="0" w:type="auto"/>
            <w:hideMark/>
          </w:tcPr>
          <w:p w14:paraId="68CF3842" w14:textId="77777777" w:rsidR="00A77462" w:rsidRPr="002018AC" w:rsidRDefault="00A77462" w:rsidP="00695D8D">
            <w:pPr>
              <w:spacing w:line="276" w:lineRule="auto"/>
              <w:rPr>
                <w:rFonts w:cs="Times New Roman"/>
                <w:lang w:val="en-AU" w:eastAsia="en-AU"/>
              </w:rPr>
            </w:pPr>
            <w:r w:rsidRPr="002018AC">
              <w:rPr>
                <w:rFonts w:cs="Times New Roman"/>
                <w:lang w:val="en-AU" w:eastAsia="en-AU"/>
              </w:rPr>
              <w:t>Operating profit / loss</w:t>
            </w:r>
          </w:p>
        </w:tc>
        <w:tc>
          <w:tcPr>
            <w:tcW w:w="0" w:type="auto"/>
            <w:hideMark/>
          </w:tcPr>
          <w:p w14:paraId="70AE39C7"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-411</w:t>
            </w:r>
          </w:p>
        </w:tc>
        <w:tc>
          <w:tcPr>
            <w:tcW w:w="0" w:type="auto"/>
            <w:hideMark/>
          </w:tcPr>
          <w:p w14:paraId="66EB8685"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3,665</w:t>
            </w:r>
          </w:p>
        </w:tc>
      </w:tr>
      <w:tr w:rsidR="00A77462" w:rsidRPr="002018AC" w14:paraId="30D8D1D1" w14:textId="77777777" w:rsidTr="001C195C">
        <w:trPr>
          <w:cnfStyle w:val="000000100000" w:firstRow="0" w:lastRow="0" w:firstColumn="0" w:lastColumn="0" w:oddVBand="0" w:evenVBand="0" w:oddHBand="1" w:evenHBand="0" w:firstRowFirstColumn="0" w:firstRowLastColumn="0" w:lastRowFirstColumn="0" w:lastRowLastColumn="0"/>
          <w:trHeight w:val="324"/>
        </w:trPr>
        <w:tc>
          <w:tcPr>
            <w:cnfStyle w:val="001000000000" w:firstRow="0" w:lastRow="0" w:firstColumn="1" w:lastColumn="0" w:oddVBand="0" w:evenVBand="0" w:oddHBand="0" w:evenHBand="0" w:firstRowFirstColumn="0" w:firstRowLastColumn="0" w:lastRowFirstColumn="0" w:lastRowLastColumn="0"/>
            <w:tcW w:w="0" w:type="auto"/>
            <w:hideMark/>
          </w:tcPr>
          <w:p w14:paraId="00FE11C1" w14:textId="77777777" w:rsidR="00A77462" w:rsidRPr="002018AC" w:rsidRDefault="00A77462" w:rsidP="00695D8D">
            <w:pPr>
              <w:spacing w:line="276" w:lineRule="auto"/>
              <w:rPr>
                <w:rFonts w:cs="Times New Roman"/>
                <w:lang w:val="en-AU" w:eastAsia="en-AU"/>
              </w:rPr>
            </w:pPr>
            <w:r w:rsidRPr="002018AC">
              <w:rPr>
                <w:rFonts w:cs="Times New Roman"/>
                <w:lang w:val="en-AU" w:eastAsia="en-AU"/>
              </w:rPr>
              <w:t>Finance costs / interest</w:t>
            </w:r>
          </w:p>
        </w:tc>
        <w:tc>
          <w:tcPr>
            <w:tcW w:w="0" w:type="auto"/>
            <w:hideMark/>
          </w:tcPr>
          <w:p w14:paraId="2DFBDA61"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1,931</w:t>
            </w:r>
          </w:p>
        </w:tc>
        <w:tc>
          <w:tcPr>
            <w:tcW w:w="0" w:type="auto"/>
            <w:hideMark/>
          </w:tcPr>
          <w:p w14:paraId="31F576BC"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2,626</w:t>
            </w:r>
          </w:p>
        </w:tc>
      </w:tr>
      <w:tr w:rsidR="00A77462" w:rsidRPr="002018AC" w14:paraId="4E72F284" w14:textId="77777777" w:rsidTr="001C195C">
        <w:trPr>
          <w:trHeight w:val="315"/>
        </w:trPr>
        <w:tc>
          <w:tcPr>
            <w:cnfStyle w:val="001000000000" w:firstRow="0" w:lastRow="0" w:firstColumn="1" w:lastColumn="0" w:oddVBand="0" w:evenVBand="0" w:oddHBand="0" w:evenHBand="0" w:firstRowFirstColumn="0" w:firstRowLastColumn="0" w:lastRowFirstColumn="0" w:lastRowLastColumn="0"/>
            <w:tcW w:w="0" w:type="auto"/>
            <w:hideMark/>
          </w:tcPr>
          <w:p w14:paraId="08F61403" w14:textId="77777777" w:rsidR="00A77462" w:rsidRPr="002018AC" w:rsidRDefault="00A77462" w:rsidP="00695D8D">
            <w:pPr>
              <w:spacing w:line="276" w:lineRule="auto"/>
              <w:rPr>
                <w:rFonts w:cs="Times New Roman"/>
                <w:lang w:val="en-AU" w:eastAsia="en-AU"/>
              </w:rPr>
            </w:pPr>
            <w:r w:rsidRPr="002018AC">
              <w:rPr>
                <w:rFonts w:cs="Times New Roman"/>
                <w:lang w:val="en-AU" w:eastAsia="en-AU"/>
              </w:rPr>
              <w:t>Profit/loss attributable to owners</w:t>
            </w:r>
          </w:p>
        </w:tc>
        <w:tc>
          <w:tcPr>
            <w:tcW w:w="0" w:type="auto"/>
            <w:hideMark/>
          </w:tcPr>
          <w:p w14:paraId="636A6116"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-4,169</w:t>
            </w:r>
          </w:p>
        </w:tc>
        <w:tc>
          <w:tcPr>
            <w:tcW w:w="0" w:type="auto"/>
            <w:hideMark/>
          </w:tcPr>
          <w:p w14:paraId="031B6EB6"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1,140</w:t>
            </w:r>
          </w:p>
        </w:tc>
      </w:tr>
      <w:tr w:rsidR="00A77462" w:rsidRPr="002018AC" w14:paraId="2A81DD9E" w14:textId="77777777" w:rsidTr="001C195C">
        <w:trPr>
          <w:cnfStyle w:val="000000100000" w:firstRow="0" w:lastRow="0" w:firstColumn="0" w:lastColumn="0" w:oddVBand="0" w:evenVBand="0" w:oddHBand="1" w:evenHBand="0" w:firstRowFirstColumn="0" w:firstRowLastColumn="0" w:lastRowFirstColumn="0" w:lastRowLastColumn="0"/>
          <w:trHeight w:val="324"/>
        </w:trPr>
        <w:tc>
          <w:tcPr>
            <w:cnfStyle w:val="001000000000" w:firstRow="0" w:lastRow="0" w:firstColumn="1" w:lastColumn="0" w:oddVBand="0" w:evenVBand="0" w:oddHBand="0" w:evenHBand="0" w:firstRowFirstColumn="0" w:firstRowLastColumn="0" w:lastRowFirstColumn="0" w:lastRowLastColumn="0"/>
            <w:tcW w:w="0" w:type="auto"/>
            <w:hideMark/>
          </w:tcPr>
          <w:p w14:paraId="2ACE86DA" w14:textId="77777777" w:rsidR="00A77462" w:rsidRPr="002018AC" w:rsidRDefault="00A77462" w:rsidP="00695D8D">
            <w:pPr>
              <w:spacing w:line="276" w:lineRule="auto"/>
              <w:rPr>
                <w:rFonts w:cs="Times New Roman"/>
                <w:lang w:val="en-AU" w:eastAsia="en-AU"/>
              </w:rPr>
            </w:pPr>
            <w:r w:rsidRPr="002018AC">
              <w:rPr>
                <w:rFonts w:cs="Times New Roman"/>
                <w:lang w:val="en-AU" w:eastAsia="en-AU"/>
              </w:rPr>
              <w:t>Weighted average ordinary shares, millions</w:t>
            </w:r>
          </w:p>
        </w:tc>
        <w:tc>
          <w:tcPr>
            <w:tcW w:w="0" w:type="auto"/>
            <w:hideMark/>
          </w:tcPr>
          <w:p w14:paraId="50181BF5"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26,149</w:t>
            </w:r>
          </w:p>
        </w:tc>
        <w:tc>
          <w:tcPr>
            <w:tcW w:w="0" w:type="auto"/>
            <w:hideMark/>
          </w:tcPr>
          <w:p w14:paraId="47F559C6"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27,056</w:t>
            </w:r>
          </w:p>
        </w:tc>
      </w:tr>
      <w:tr w:rsidR="00A77462" w:rsidRPr="002018AC" w14:paraId="425D248D" w14:textId="77777777" w:rsidTr="001C195C">
        <w:trPr>
          <w:trHeight w:val="324"/>
        </w:trPr>
        <w:tc>
          <w:tcPr>
            <w:cnfStyle w:val="001000000000" w:firstRow="0" w:lastRow="0" w:firstColumn="1" w:lastColumn="0" w:oddVBand="0" w:evenVBand="0" w:oddHBand="0" w:evenHBand="0" w:firstRowFirstColumn="0" w:firstRowLastColumn="0" w:lastRowFirstColumn="0" w:lastRowLastColumn="0"/>
            <w:tcW w:w="0" w:type="auto"/>
            <w:hideMark/>
          </w:tcPr>
          <w:p w14:paraId="531FC453" w14:textId="77777777" w:rsidR="00A77462" w:rsidRPr="002018AC" w:rsidRDefault="00A77462" w:rsidP="00695D8D">
            <w:pPr>
              <w:spacing w:line="276" w:lineRule="auto"/>
              <w:rPr>
                <w:rFonts w:cs="Times New Roman"/>
                <w:lang w:val="en-AU" w:eastAsia="en-AU"/>
              </w:rPr>
            </w:pPr>
            <w:r w:rsidRPr="002018AC">
              <w:rPr>
                <w:rFonts w:cs="Times New Roman"/>
                <w:lang w:val="en-AU" w:eastAsia="en-AU"/>
              </w:rPr>
              <w:t>Dividends declared</w:t>
            </w:r>
          </w:p>
        </w:tc>
        <w:tc>
          <w:tcPr>
            <w:tcW w:w="0" w:type="auto"/>
            <w:hideMark/>
          </w:tcPr>
          <w:p w14:paraId="04BB7A66"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1,795</w:t>
            </w:r>
          </w:p>
        </w:tc>
        <w:tc>
          <w:tcPr>
            <w:tcW w:w="0" w:type="auto"/>
            <w:hideMark/>
          </w:tcPr>
          <w:p w14:paraId="27535128"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2,433</w:t>
            </w:r>
          </w:p>
        </w:tc>
      </w:tr>
      <w:tr w:rsidR="00A77462" w:rsidRPr="002018AC" w14:paraId="4192AEA3" w14:textId="77777777" w:rsidTr="001C195C">
        <w:trPr>
          <w:cnfStyle w:val="000000100000" w:firstRow="0" w:lastRow="0" w:firstColumn="0" w:lastColumn="0" w:oddVBand="0" w:evenVBand="0" w:oddHBand="1" w:evenHBand="0" w:firstRowFirstColumn="0" w:firstRowLastColumn="0" w:lastRowFirstColumn="0" w:lastRowLastColumn="0"/>
          <w:trHeight w:val="324"/>
        </w:trPr>
        <w:tc>
          <w:tcPr>
            <w:cnfStyle w:val="001000000000" w:firstRow="0" w:lastRow="0" w:firstColumn="1" w:lastColumn="0" w:oddVBand="0" w:evenVBand="0" w:oddHBand="0" w:evenHBand="0" w:firstRowFirstColumn="0" w:firstRowLastColumn="0" w:lastRowFirstColumn="0" w:lastRowLastColumn="0"/>
            <w:tcW w:w="0" w:type="auto"/>
            <w:hideMark/>
          </w:tcPr>
          <w:p w14:paraId="0A5017D5" w14:textId="77777777" w:rsidR="00A77462" w:rsidRPr="002018AC" w:rsidRDefault="00A77462" w:rsidP="00695D8D">
            <w:pPr>
              <w:spacing w:line="276" w:lineRule="auto"/>
              <w:rPr>
                <w:rFonts w:cs="Times New Roman"/>
                <w:lang w:val="en-AU" w:eastAsia="en-AU"/>
              </w:rPr>
            </w:pPr>
            <w:r w:rsidRPr="002018AC">
              <w:rPr>
                <w:rFonts w:cs="Times New Roman"/>
                <w:lang w:val="en-AU" w:eastAsia="en-AU"/>
              </w:rPr>
              <w:t>Current assets, continuing basis</w:t>
            </w:r>
          </w:p>
        </w:tc>
        <w:tc>
          <w:tcPr>
            <w:tcW w:w="0" w:type="auto"/>
            <w:hideMark/>
          </w:tcPr>
          <w:p w14:paraId="3DAEFB5B"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28,620</w:t>
            </w:r>
          </w:p>
        </w:tc>
        <w:tc>
          <w:tcPr>
            <w:tcW w:w="0" w:type="auto"/>
            <w:hideMark/>
          </w:tcPr>
          <w:p w14:paraId="7CED95A4"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20,513</w:t>
            </w:r>
          </w:p>
        </w:tc>
      </w:tr>
      <w:tr w:rsidR="00A77462" w:rsidRPr="002018AC" w14:paraId="509DB1EC" w14:textId="77777777" w:rsidTr="001C195C">
        <w:trPr>
          <w:trHeight w:val="315"/>
        </w:trPr>
        <w:tc>
          <w:tcPr>
            <w:cnfStyle w:val="001000000000" w:firstRow="0" w:lastRow="0" w:firstColumn="1" w:lastColumn="0" w:oddVBand="0" w:evenVBand="0" w:oddHBand="0" w:evenHBand="0" w:firstRowFirstColumn="0" w:firstRowLastColumn="0" w:lastRowFirstColumn="0" w:lastRowLastColumn="0"/>
            <w:tcW w:w="0" w:type="auto"/>
            <w:hideMark/>
          </w:tcPr>
          <w:p w14:paraId="33427902" w14:textId="77777777" w:rsidR="00A77462" w:rsidRPr="002018AC" w:rsidRDefault="00A77462" w:rsidP="00695D8D">
            <w:pPr>
              <w:spacing w:line="276" w:lineRule="auto"/>
              <w:rPr>
                <w:rFonts w:cs="Times New Roman"/>
                <w:lang w:val="en-AU" w:eastAsia="en-AU"/>
              </w:rPr>
            </w:pPr>
            <w:r w:rsidRPr="002018AC">
              <w:rPr>
                <w:rFonts w:cs="Times New Roman"/>
                <w:lang w:val="en-AU" w:eastAsia="en-AU"/>
              </w:rPr>
              <w:t>Inventory / stock</w:t>
            </w:r>
          </w:p>
        </w:tc>
        <w:tc>
          <w:tcPr>
            <w:tcW w:w="0" w:type="auto"/>
            <w:hideMark/>
          </w:tcPr>
          <w:p w14:paraId="18291ABE"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617</w:t>
            </w:r>
          </w:p>
        </w:tc>
        <w:tc>
          <w:tcPr>
            <w:tcW w:w="0" w:type="auto"/>
            <w:hideMark/>
          </w:tcPr>
          <w:p w14:paraId="7BF3BCC4"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568</w:t>
            </w:r>
          </w:p>
        </w:tc>
      </w:tr>
      <w:tr w:rsidR="00A77462" w:rsidRPr="002018AC" w14:paraId="0945E831" w14:textId="77777777" w:rsidTr="001C195C">
        <w:trPr>
          <w:cnfStyle w:val="000000100000" w:firstRow="0" w:lastRow="0" w:firstColumn="0" w:lastColumn="0" w:oddVBand="0" w:evenVBand="0" w:oddHBand="1" w:evenHBand="0" w:firstRowFirstColumn="0" w:firstRowLastColumn="0" w:lastRowFirstColumn="0" w:lastRowLastColumn="0"/>
          <w:trHeight w:val="324"/>
        </w:trPr>
        <w:tc>
          <w:tcPr>
            <w:cnfStyle w:val="001000000000" w:firstRow="0" w:lastRow="0" w:firstColumn="1" w:lastColumn="0" w:oddVBand="0" w:evenVBand="0" w:oddHBand="0" w:evenHBand="0" w:firstRowFirstColumn="0" w:firstRowLastColumn="0" w:lastRowFirstColumn="0" w:lastRowLastColumn="0"/>
            <w:tcW w:w="0" w:type="auto"/>
            <w:hideMark/>
          </w:tcPr>
          <w:p w14:paraId="4CBF9B5A" w14:textId="77777777" w:rsidR="00A77462" w:rsidRPr="002018AC" w:rsidRDefault="00A77462" w:rsidP="00695D8D">
            <w:pPr>
              <w:spacing w:line="276" w:lineRule="auto"/>
              <w:rPr>
                <w:rFonts w:cs="Times New Roman"/>
                <w:lang w:val="en-AU" w:eastAsia="en-AU"/>
              </w:rPr>
            </w:pPr>
            <w:r w:rsidRPr="002018AC">
              <w:rPr>
                <w:rFonts w:cs="Times New Roman"/>
                <w:lang w:val="en-AU" w:eastAsia="en-AU"/>
              </w:rPr>
              <w:t>Current liabilities, continuing basis</w:t>
            </w:r>
          </w:p>
        </w:tc>
        <w:tc>
          <w:tcPr>
            <w:tcW w:w="0" w:type="auto"/>
            <w:hideMark/>
          </w:tcPr>
          <w:p w14:paraId="6DB7A5C2"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22,754</w:t>
            </w:r>
          </w:p>
        </w:tc>
        <w:tc>
          <w:tcPr>
            <w:tcW w:w="0" w:type="auto"/>
            <w:hideMark/>
          </w:tcPr>
          <w:p w14:paraId="395EEA0E"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22,352</w:t>
            </w:r>
          </w:p>
        </w:tc>
      </w:tr>
      <w:tr w:rsidR="00A77462" w:rsidRPr="002018AC" w14:paraId="3D4D9A75" w14:textId="77777777" w:rsidTr="001C195C">
        <w:trPr>
          <w:trHeight w:val="324"/>
        </w:trPr>
        <w:tc>
          <w:tcPr>
            <w:cnfStyle w:val="001000000000" w:firstRow="0" w:lastRow="0" w:firstColumn="1" w:lastColumn="0" w:oddVBand="0" w:evenVBand="0" w:oddHBand="0" w:evenHBand="0" w:firstRowFirstColumn="0" w:firstRowLastColumn="0" w:lastRowFirstColumn="0" w:lastRowLastColumn="0"/>
            <w:tcW w:w="0" w:type="auto"/>
            <w:hideMark/>
          </w:tcPr>
          <w:p w14:paraId="59E94FC1" w14:textId="77777777" w:rsidR="00A77462" w:rsidRPr="002018AC" w:rsidRDefault="00A77462" w:rsidP="00695D8D">
            <w:pPr>
              <w:spacing w:line="276" w:lineRule="auto"/>
              <w:rPr>
                <w:rFonts w:cs="Times New Roman"/>
                <w:lang w:val="en-AU" w:eastAsia="en-AU"/>
              </w:rPr>
            </w:pPr>
            <w:r w:rsidRPr="002018AC">
              <w:rPr>
                <w:rFonts w:cs="Times New Roman"/>
                <w:lang w:val="en-AU" w:eastAsia="en-AU"/>
              </w:rPr>
              <w:t>Total assets, continuing basis</w:t>
            </w:r>
          </w:p>
        </w:tc>
        <w:tc>
          <w:tcPr>
            <w:tcW w:w="0" w:type="auto"/>
            <w:hideMark/>
          </w:tcPr>
          <w:p w14:paraId="66A5828B"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128,521</w:t>
            </w:r>
          </w:p>
        </w:tc>
        <w:tc>
          <w:tcPr>
            <w:tcW w:w="0" w:type="auto"/>
            <w:hideMark/>
          </w:tcPr>
          <w:p w14:paraId="768DE9C1"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125,303</w:t>
            </w:r>
          </w:p>
        </w:tc>
      </w:tr>
      <w:tr w:rsidR="00A77462" w:rsidRPr="002018AC" w14:paraId="78B27C0B" w14:textId="77777777" w:rsidTr="001C195C">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0" w:type="auto"/>
            <w:hideMark/>
          </w:tcPr>
          <w:p w14:paraId="652B5265" w14:textId="77777777" w:rsidR="00A77462" w:rsidRPr="002018AC" w:rsidRDefault="00A77462" w:rsidP="00695D8D">
            <w:pPr>
              <w:spacing w:line="276" w:lineRule="auto"/>
              <w:rPr>
                <w:rFonts w:cs="Times New Roman"/>
                <w:lang w:val="en-AU" w:eastAsia="en-AU"/>
              </w:rPr>
            </w:pPr>
            <w:r w:rsidRPr="002018AC">
              <w:rPr>
                <w:rFonts w:cs="Times New Roman"/>
                <w:lang w:val="en-AU" w:eastAsia="en-AU"/>
              </w:rPr>
              <w:t>Debtors</w:t>
            </w:r>
          </w:p>
        </w:tc>
        <w:tc>
          <w:tcPr>
            <w:tcW w:w="0" w:type="auto"/>
            <w:hideMark/>
          </w:tcPr>
          <w:p w14:paraId="4A04C901"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3,657</w:t>
            </w:r>
          </w:p>
        </w:tc>
        <w:tc>
          <w:tcPr>
            <w:tcW w:w="0" w:type="auto"/>
            <w:hideMark/>
          </w:tcPr>
          <w:p w14:paraId="349FFCD0"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3,282</w:t>
            </w:r>
          </w:p>
        </w:tc>
      </w:tr>
      <w:tr w:rsidR="00A77462" w:rsidRPr="002018AC" w14:paraId="1836FA63" w14:textId="77777777" w:rsidTr="001C195C">
        <w:trPr>
          <w:trHeight w:val="324"/>
        </w:trPr>
        <w:tc>
          <w:tcPr>
            <w:cnfStyle w:val="001000000000" w:firstRow="0" w:lastRow="0" w:firstColumn="1" w:lastColumn="0" w:oddVBand="0" w:evenVBand="0" w:oddHBand="0" w:evenHBand="0" w:firstRowFirstColumn="0" w:firstRowLastColumn="0" w:lastRowFirstColumn="0" w:lastRowLastColumn="0"/>
            <w:tcW w:w="0" w:type="auto"/>
            <w:hideMark/>
          </w:tcPr>
          <w:p w14:paraId="724DB2F2" w14:textId="77777777" w:rsidR="00A77462" w:rsidRPr="002018AC" w:rsidRDefault="00A77462" w:rsidP="00695D8D">
            <w:pPr>
              <w:spacing w:line="276" w:lineRule="auto"/>
              <w:rPr>
                <w:rFonts w:cs="Times New Roman"/>
                <w:lang w:val="en-AU" w:eastAsia="en-AU"/>
              </w:rPr>
            </w:pPr>
            <w:r w:rsidRPr="002018AC">
              <w:rPr>
                <w:rFonts w:cs="Times New Roman"/>
                <w:lang w:val="en-AU" w:eastAsia="en-AU"/>
              </w:rPr>
              <w:t>Creditors</w:t>
            </w:r>
          </w:p>
        </w:tc>
        <w:tc>
          <w:tcPr>
            <w:tcW w:w="0" w:type="auto"/>
            <w:hideMark/>
          </w:tcPr>
          <w:p w14:paraId="29D6DEFC"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6,157</w:t>
            </w:r>
          </w:p>
        </w:tc>
        <w:tc>
          <w:tcPr>
            <w:tcW w:w="0" w:type="auto"/>
            <w:hideMark/>
          </w:tcPr>
          <w:p w14:paraId="333520C5"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5,613</w:t>
            </w:r>
          </w:p>
        </w:tc>
      </w:tr>
      <w:tr w:rsidR="00A77462" w:rsidRPr="002018AC" w14:paraId="2AE54CE2" w14:textId="77777777" w:rsidTr="001C195C">
        <w:trPr>
          <w:cnfStyle w:val="000000100000" w:firstRow="0" w:lastRow="0" w:firstColumn="0" w:lastColumn="0" w:oddVBand="0" w:evenVBand="0" w:oddHBand="1" w:evenHBand="0" w:firstRowFirstColumn="0" w:firstRowLastColumn="0" w:lastRowFirstColumn="0" w:lastRowLastColumn="0"/>
          <w:trHeight w:val="324"/>
        </w:trPr>
        <w:tc>
          <w:tcPr>
            <w:cnfStyle w:val="001000000000" w:firstRow="0" w:lastRow="0" w:firstColumn="1" w:lastColumn="0" w:oddVBand="0" w:evenVBand="0" w:oddHBand="0" w:evenHBand="0" w:firstRowFirstColumn="0" w:firstRowLastColumn="0" w:lastRowFirstColumn="0" w:lastRowLastColumn="0"/>
            <w:tcW w:w="0" w:type="auto"/>
            <w:hideMark/>
          </w:tcPr>
          <w:p w14:paraId="1030731F" w14:textId="77777777" w:rsidR="00A77462" w:rsidRPr="002018AC" w:rsidRDefault="00A77462" w:rsidP="00695D8D">
            <w:pPr>
              <w:spacing w:line="276" w:lineRule="auto"/>
              <w:rPr>
                <w:rFonts w:cs="Times New Roman"/>
                <w:lang w:val="en-AU" w:eastAsia="en-AU"/>
              </w:rPr>
            </w:pPr>
            <w:r w:rsidRPr="002018AC">
              <w:rPr>
                <w:rFonts w:cs="Times New Roman"/>
                <w:lang w:val="en-AU" w:eastAsia="en-AU"/>
              </w:rPr>
              <w:t>Borrowings / loan</w:t>
            </w:r>
          </w:p>
        </w:tc>
        <w:tc>
          <w:tcPr>
            <w:tcW w:w="0" w:type="auto"/>
            <w:hideMark/>
          </w:tcPr>
          <w:p w14:paraId="2DBD26DB"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53,143</w:t>
            </w:r>
          </w:p>
        </w:tc>
        <w:tc>
          <w:tcPr>
            <w:tcW w:w="0" w:type="auto"/>
            <w:hideMark/>
          </w:tcPr>
          <w:p w14:paraId="4C887B0C"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56,987</w:t>
            </w:r>
          </w:p>
        </w:tc>
      </w:tr>
      <w:tr w:rsidR="00A77462" w:rsidRPr="002018AC" w14:paraId="12F90061" w14:textId="77777777" w:rsidTr="001C195C">
        <w:trPr>
          <w:trHeight w:val="315"/>
        </w:trPr>
        <w:tc>
          <w:tcPr>
            <w:cnfStyle w:val="001000000000" w:firstRow="0" w:lastRow="0" w:firstColumn="1" w:lastColumn="0" w:oddVBand="0" w:evenVBand="0" w:oddHBand="0" w:evenHBand="0" w:firstRowFirstColumn="0" w:firstRowLastColumn="0" w:lastRowFirstColumn="0" w:lastRowLastColumn="0"/>
            <w:tcW w:w="0" w:type="auto"/>
            <w:hideMark/>
          </w:tcPr>
          <w:p w14:paraId="39C3458E" w14:textId="77777777" w:rsidR="00A77462" w:rsidRPr="002018AC" w:rsidRDefault="00A77462" w:rsidP="00695D8D">
            <w:pPr>
              <w:spacing w:line="276" w:lineRule="auto"/>
              <w:rPr>
                <w:rFonts w:cs="Times New Roman"/>
                <w:lang w:val="en-AU" w:eastAsia="en-AU"/>
              </w:rPr>
            </w:pPr>
            <w:r w:rsidRPr="002018AC">
              <w:rPr>
                <w:rFonts w:cs="Times New Roman"/>
                <w:lang w:val="en-AU" w:eastAsia="en-AU"/>
              </w:rPr>
              <w:t>Net assets / total equity</w:t>
            </w:r>
          </w:p>
        </w:tc>
        <w:tc>
          <w:tcPr>
            <w:tcW w:w="0" w:type="auto"/>
            <w:hideMark/>
          </w:tcPr>
          <w:p w14:paraId="13502F0E"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53,916</w:t>
            </w:r>
          </w:p>
        </w:tc>
        <w:tc>
          <w:tcPr>
            <w:tcW w:w="0" w:type="auto"/>
            <w:hideMark/>
          </w:tcPr>
          <w:p w14:paraId="0629F718"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60,998</w:t>
            </w:r>
          </w:p>
        </w:tc>
      </w:tr>
    </w:tbl>
    <w:p w14:paraId="7590469A" w14:textId="77777777" w:rsidR="00A77462" w:rsidRPr="002018AC" w:rsidRDefault="00A77462" w:rsidP="00695D8D">
      <w:pPr>
        <w:spacing w:line="276" w:lineRule="auto"/>
        <w:jc w:val="left"/>
        <w:rPr>
          <w:rFonts w:cs="Times New Roman"/>
          <w:lang w:val="en-AU"/>
        </w:rPr>
      </w:pPr>
      <w:r w:rsidRPr="002018AC">
        <w:rPr>
          <w:rFonts w:cs="Times New Roman"/>
          <w:lang w:val="en-AU"/>
        </w:rPr>
        <w:t xml:space="preserve"> </w:t>
      </w:r>
    </w:p>
    <w:p w14:paraId="3AF17915" w14:textId="77777777" w:rsidR="00A77462" w:rsidRPr="002018AC" w:rsidRDefault="00A77462" w:rsidP="00695D8D">
      <w:pPr>
        <w:pStyle w:val="ListParagraph"/>
        <w:numPr>
          <w:ilvl w:val="0"/>
          <w:numId w:val="15"/>
        </w:numPr>
        <w:spacing w:line="276" w:lineRule="auto"/>
        <w:jc w:val="left"/>
        <w:rPr>
          <w:rFonts w:cs="Times New Roman"/>
          <w:lang w:val="en-AU"/>
        </w:rPr>
      </w:pPr>
      <w:r w:rsidRPr="002018AC">
        <w:rPr>
          <w:rFonts w:cs="Times New Roman"/>
          <w:lang w:val="en-AU"/>
        </w:rPr>
        <w:t>FY2024 continuing total assets</w:t>
      </w:r>
      <w:r w:rsidRPr="002018AC">
        <w:rPr>
          <w:rFonts w:cs="Times New Roman"/>
          <w:lang w:val="en-AU"/>
        </w:rPr>
        <w:br/>
        <w:t>= Reported total assets – assets held for sale</w:t>
      </w:r>
      <w:r w:rsidRPr="002018AC">
        <w:rPr>
          <w:rFonts w:cs="Times New Roman"/>
          <w:lang w:val="en-AU"/>
        </w:rPr>
        <w:br/>
        <w:t>= 144,350 – 19,047</w:t>
      </w:r>
      <w:r w:rsidRPr="002018AC">
        <w:rPr>
          <w:rFonts w:cs="Times New Roman"/>
          <w:lang w:val="en-AU"/>
        </w:rPr>
        <w:br/>
        <w:t>= 125,303</w:t>
      </w:r>
    </w:p>
    <w:p w14:paraId="5CBEED46" w14:textId="77777777" w:rsidR="00A77462" w:rsidRPr="002018AC" w:rsidRDefault="00A77462" w:rsidP="00695D8D">
      <w:pPr>
        <w:pStyle w:val="ListParagraph"/>
        <w:numPr>
          <w:ilvl w:val="0"/>
          <w:numId w:val="15"/>
        </w:numPr>
        <w:spacing w:line="276" w:lineRule="auto"/>
        <w:jc w:val="left"/>
        <w:rPr>
          <w:rFonts w:cs="Times New Roman"/>
          <w:lang w:val="en-AU"/>
        </w:rPr>
      </w:pPr>
      <w:r w:rsidRPr="002018AC">
        <w:rPr>
          <w:rFonts w:cs="Times New Roman"/>
          <w:lang w:val="en-AU"/>
        </w:rPr>
        <w:t>FY2025 TALCL</w:t>
      </w:r>
      <w:r w:rsidRPr="002018AC">
        <w:rPr>
          <w:rFonts w:cs="Times New Roman"/>
          <w:lang w:val="en-AU"/>
        </w:rPr>
        <w:br/>
        <w:t>= Total assets – current liabilities</w:t>
      </w:r>
      <w:r w:rsidRPr="002018AC">
        <w:rPr>
          <w:rFonts w:cs="Times New Roman"/>
          <w:lang w:val="en-AU"/>
        </w:rPr>
        <w:br/>
        <w:t>= 128,521 – 22,754</w:t>
      </w:r>
      <w:r w:rsidRPr="002018AC">
        <w:rPr>
          <w:rFonts w:cs="Times New Roman"/>
          <w:lang w:val="en-AU"/>
        </w:rPr>
        <w:br/>
        <w:t>= 105,767</w:t>
      </w:r>
    </w:p>
    <w:p w14:paraId="23A17DAF" w14:textId="77777777" w:rsidR="00A77462" w:rsidRPr="002018AC" w:rsidRDefault="00A77462" w:rsidP="00695D8D">
      <w:pPr>
        <w:pStyle w:val="ListParagraph"/>
        <w:numPr>
          <w:ilvl w:val="0"/>
          <w:numId w:val="15"/>
        </w:numPr>
        <w:spacing w:line="276" w:lineRule="auto"/>
        <w:jc w:val="left"/>
        <w:rPr>
          <w:rFonts w:cs="Times New Roman"/>
          <w:lang w:val="en-AU"/>
        </w:rPr>
      </w:pPr>
      <w:r w:rsidRPr="002018AC">
        <w:rPr>
          <w:rFonts w:cs="Times New Roman"/>
          <w:lang w:val="en-AU"/>
        </w:rPr>
        <w:t>FY2024 TALCL</w:t>
      </w:r>
      <w:r w:rsidRPr="002018AC">
        <w:rPr>
          <w:rFonts w:cs="Times New Roman"/>
          <w:lang w:val="en-AU"/>
        </w:rPr>
        <w:br/>
        <w:t>= Continuing total assets – current liabilities</w:t>
      </w:r>
      <w:r w:rsidRPr="002018AC">
        <w:rPr>
          <w:rFonts w:cs="Times New Roman"/>
          <w:lang w:val="en-AU"/>
        </w:rPr>
        <w:br/>
        <w:t>= 125,303 – 22,352</w:t>
      </w:r>
      <w:r w:rsidRPr="002018AC">
        <w:rPr>
          <w:rFonts w:cs="Times New Roman"/>
          <w:lang w:val="en-AU"/>
        </w:rPr>
        <w:br/>
        <w:t>= 102,951</w:t>
      </w:r>
    </w:p>
    <w:p w14:paraId="055F6198" w14:textId="77777777" w:rsidR="00A77462" w:rsidRPr="002018AC" w:rsidRDefault="00A77462" w:rsidP="00695D8D">
      <w:pPr>
        <w:pStyle w:val="ListParagraph"/>
        <w:numPr>
          <w:ilvl w:val="0"/>
          <w:numId w:val="15"/>
        </w:numPr>
        <w:spacing w:line="276" w:lineRule="auto"/>
        <w:jc w:val="left"/>
        <w:rPr>
          <w:rFonts w:cs="Times New Roman"/>
          <w:lang w:val="en-AU"/>
        </w:rPr>
      </w:pPr>
      <w:r w:rsidRPr="002018AC">
        <w:rPr>
          <w:rFonts w:cs="Times New Roman"/>
          <w:lang w:val="en-AU"/>
        </w:rPr>
        <w:t>FY2025 debtors</w:t>
      </w:r>
      <w:r w:rsidRPr="002018AC">
        <w:rPr>
          <w:rFonts w:cs="Times New Roman"/>
          <w:lang w:val="en-AU"/>
        </w:rPr>
        <w:br/>
        <w:t>= Current trade receivables + current trade receivables held at FVOCI</w:t>
      </w:r>
      <w:r w:rsidRPr="002018AC">
        <w:rPr>
          <w:rFonts w:cs="Times New Roman"/>
          <w:lang w:val="en-AU"/>
        </w:rPr>
        <w:br/>
      </w:r>
      <w:r w:rsidRPr="002018AC">
        <w:rPr>
          <w:rFonts w:cs="Times New Roman"/>
          <w:lang w:val="en-AU"/>
        </w:rPr>
        <w:lastRenderedPageBreak/>
        <w:t>= 3,236 + 421</w:t>
      </w:r>
      <w:r w:rsidRPr="002018AC">
        <w:rPr>
          <w:rFonts w:cs="Times New Roman"/>
          <w:lang w:val="en-AU"/>
        </w:rPr>
        <w:br/>
        <w:t>= 3,657</w:t>
      </w:r>
    </w:p>
    <w:p w14:paraId="372FAE7B" w14:textId="77777777" w:rsidR="00A77462" w:rsidRPr="002018AC" w:rsidRDefault="00A77462" w:rsidP="00695D8D">
      <w:pPr>
        <w:pStyle w:val="ListParagraph"/>
        <w:numPr>
          <w:ilvl w:val="0"/>
          <w:numId w:val="15"/>
        </w:numPr>
        <w:spacing w:line="276" w:lineRule="auto"/>
        <w:jc w:val="left"/>
        <w:rPr>
          <w:rFonts w:cs="Times New Roman"/>
          <w:lang w:val="en-AU"/>
        </w:rPr>
      </w:pPr>
      <w:r w:rsidRPr="002018AC">
        <w:rPr>
          <w:rFonts w:cs="Times New Roman"/>
          <w:lang w:val="en-AU"/>
        </w:rPr>
        <w:t>FY2024 debtors</w:t>
      </w:r>
      <w:r w:rsidRPr="002018AC">
        <w:rPr>
          <w:rFonts w:cs="Times New Roman"/>
          <w:lang w:val="en-AU"/>
        </w:rPr>
        <w:br/>
        <w:t>= 2,841 + 441</w:t>
      </w:r>
      <w:r w:rsidRPr="002018AC">
        <w:rPr>
          <w:rFonts w:cs="Times New Roman"/>
          <w:lang w:val="en-AU"/>
        </w:rPr>
        <w:br/>
        <w:t>= 3,282</w:t>
      </w:r>
    </w:p>
    <w:p w14:paraId="3B45693E" w14:textId="4FFB25DF" w:rsidR="00A77462" w:rsidRPr="002018AC" w:rsidRDefault="00A77462" w:rsidP="00695D8D">
      <w:pPr>
        <w:pStyle w:val="Heading3"/>
        <w:numPr>
          <w:ilvl w:val="2"/>
          <w:numId w:val="9"/>
        </w:numPr>
        <w:spacing w:line="276" w:lineRule="auto"/>
        <w:rPr>
          <w:rFonts w:cs="Times New Roman"/>
        </w:rPr>
      </w:pPr>
      <w:bookmarkStart w:id="52" w:name="_Toc227609582"/>
      <w:r w:rsidRPr="002018AC">
        <w:rPr>
          <w:rFonts w:cs="Times New Roman"/>
        </w:rPr>
        <w:t>Appendix B2: profitability ratios</w:t>
      </w:r>
      <w:bookmarkEnd w:id="52"/>
    </w:p>
    <w:p w14:paraId="70E35114" w14:textId="77777777" w:rsidR="00A77462" w:rsidRPr="002018AC" w:rsidRDefault="00A77462" w:rsidP="00695D8D">
      <w:pPr>
        <w:spacing w:line="276" w:lineRule="auto"/>
        <w:jc w:val="left"/>
        <w:rPr>
          <w:rFonts w:cs="Times New Roman"/>
          <w:b/>
          <w:bCs/>
          <w:lang w:val="en-AU"/>
        </w:rPr>
      </w:pPr>
      <w:r w:rsidRPr="002018AC">
        <w:rPr>
          <w:rFonts w:cs="Times New Roman"/>
          <w:b/>
          <w:bCs/>
          <w:lang w:val="en-AU"/>
        </w:rPr>
        <w:t>1. Gross profit margin</w:t>
      </w:r>
    </w:p>
    <w:p w14:paraId="5BAA5923" w14:textId="77777777" w:rsidR="00A77462" w:rsidRPr="002018AC" w:rsidRDefault="00A77462" w:rsidP="00695D8D">
      <w:pPr>
        <w:spacing w:line="276" w:lineRule="auto"/>
        <w:jc w:val="left"/>
        <w:rPr>
          <w:rFonts w:cs="Times New Roman"/>
          <w:lang w:val="en-AU"/>
        </w:rPr>
      </w:pPr>
      <w:r w:rsidRPr="002018AC">
        <w:rPr>
          <w:rFonts w:cs="Times New Roman"/>
          <w:lang w:val="en-AU"/>
        </w:rPr>
        <w:t>Formula:</w:t>
      </w:r>
      <w:r w:rsidRPr="002018AC">
        <w:rPr>
          <w:rFonts w:cs="Times New Roman"/>
          <w:lang w:val="en-AU"/>
        </w:rPr>
        <w:br/>
        <w:t>Gross profit margin = Gross profit / Sales × 100</w:t>
      </w:r>
    </w:p>
    <w:p w14:paraId="312A6AB5" w14:textId="77777777" w:rsidR="00A77462" w:rsidRPr="002018AC" w:rsidRDefault="00A77462" w:rsidP="00695D8D">
      <w:pPr>
        <w:pStyle w:val="ListParagraph"/>
        <w:numPr>
          <w:ilvl w:val="0"/>
          <w:numId w:val="16"/>
        </w:numPr>
        <w:spacing w:line="276" w:lineRule="auto"/>
        <w:jc w:val="left"/>
        <w:rPr>
          <w:rFonts w:cs="Times New Roman"/>
          <w:lang w:val="en-AU"/>
        </w:rPr>
      </w:pPr>
      <w:r w:rsidRPr="002018AC">
        <w:rPr>
          <w:rFonts w:cs="Times New Roman"/>
          <w:lang w:val="en-AU"/>
        </w:rPr>
        <w:t>FY2025:</w:t>
      </w:r>
      <w:r w:rsidRPr="002018AC">
        <w:rPr>
          <w:rFonts w:cs="Times New Roman"/>
          <w:lang w:val="en-AU"/>
        </w:rPr>
        <w:br/>
        <w:t>= 12,519 / 37,448 × 100</w:t>
      </w:r>
      <w:r w:rsidRPr="002018AC">
        <w:rPr>
          <w:rFonts w:cs="Times New Roman"/>
          <w:lang w:val="en-AU"/>
        </w:rPr>
        <w:br/>
        <w:t>= 33.43%</w:t>
      </w:r>
    </w:p>
    <w:p w14:paraId="434C772C" w14:textId="77777777" w:rsidR="00A77462" w:rsidRPr="002018AC" w:rsidRDefault="00A77462" w:rsidP="00695D8D">
      <w:pPr>
        <w:pStyle w:val="ListParagraph"/>
        <w:numPr>
          <w:ilvl w:val="0"/>
          <w:numId w:val="16"/>
        </w:numPr>
        <w:spacing w:line="276" w:lineRule="auto"/>
        <w:jc w:val="left"/>
        <w:rPr>
          <w:rFonts w:cs="Times New Roman"/>
          <w:lang w:val="en-AU"/>
        </w:rPr>
      </w:pPr>
      <w:r w:rsidRPr="002018AC">
        <w:rPr>
          <w:rFonts w:cs="Times New Roman"/>
          <w:lang w:val="en-AU"/>
        </w:rPr>
        <w:t>FY2024:</w:t>
      </w:r>
      <w:r w:rsidRPr="002018AC">
        <w:rPr>
          <w:rFonts w:cs="Times New Roman"/>
          <w:lang w:val="en-AU"/>
        </w:rPr>
        <w:br/>
        <w:t>= 12,258 / 36,717 × 100</w:t>
      </w:r>
      <w:r w:rsidRPr="002018AC">
        <w:rPr>
          <w:rFonts w:cs="Times New Roman"/>
          <w:lang w:val="en-AU"/>
        </w:rPr>
        <w:br/>
        <w:t>= 33.39%</w:t>
      </w:r>
    </w:p>
    <w:p w14:paraId="6784AF85" w14:textId="77777777" w:rsidR="00A77462" w:rsidRPr="002018AC" w:rsidRDefault="00A77462" w:rsidP="00695D8D">
      <w:pPr>
        <w:spacing w:line="276" w:lineRule="auto"/>
        <w:jc w:val="left"/>
        <w:rPr>
          <w:rFonts w:cs="Times New Roman"/>
          <w:b/>
          <w:bCs/>
          <w:lang w:val="en-AU"/>
        </w:rPr>
      </w:pPr>
      <w:r w:rsidRPr="002018AC">
        <w:rPr>
          <w:rFonts w:cs="Times New Roman"/>
          <w:b/>
          <w:bCs/>
          <w:lang w:val="en-AU"/>
        </w:rPr>
        <w:t>2. Operating profit margin</w:t>
      </w:r>
    </w:p>
    <w:p w14:paraId="684E67AB" w14:textId="77777777" w:rsidR="00A77462" w:rsidRPr="002018AC" w:rsidRDefault="00A77462" w:rsidP="00695D8D">
      <w:pPr>
        <w:spacing w:line="276" w:lineRule="auto"/>
        <w:jc w:val="left"/>
        <w:rPr>
          <w:rFonts w:cs="Times New Roman"/>
          <w:lang w:val="en-AU"/>
        </w:rPr>
      </w:pPr>
      <w:r w:rsidRPr="002018AC">
        <w:rPr>
          <w:rFonts w:cs="Times New Roman"/>
          <w:lang w:val="en-AU"/>
        </w:rPr>
        <w:t>Formula from attached sheet:</w:t>
      </w:r>
      <w:r w:rsidRPr="002018AC">
        <w:rPr>
          <w:rFonts w:cs="Times New Roman"/>
          <w:lang w:val="en-AU"/>
        </w:rPr>
        <w:br/>
        <w:t>Operating profit margin = Operating profit / Sales × 100</w:t>
      </w:r>
    </w:p>
    <w:p w14:paraId="22EBE99C" w14:textId="77777777" w:rsidR="00A77462" w:rsidRPr="002018AC" w:rsidRDefault="00A77462" w:rsidP="00695D8D">
      <w:pPr>
        <w:pStyle w:val="ListParagraph"/>
        <w:numPr>
          <w:ilvl w:val="0"/>
          <w:numId w:val="17"/>
        </w:numPr>
        <w:spacing w:line="276" w:lineRule="auto"/>
        <w:jc w:val="left"/>
        <w:rPr>
          <w:rFonts w:cs="Times New Roman"/>
          <w:lang w:val="en-AU"/>
        </w:rPr>
      </w:pPr>
      <w:r w:rsidRPr="002018AC">
        <w:rPr>
          <w:rFonts w:cs="Times New Roman"/>
          <w:lang w:val="en-AU"/>
        </w:rPr>
        <w:t>FY2025:</w:t>
      </w:r>
      <w:r w:rsidRPr="002018AC">
        <w:rPr>
          <w:rFonts w:cs="Times New Roman"/>
          <w:lang w:val="en-AU"/>
        </w:rPr>
        <w:br/>
        <w:t>= -411 / 37,448 × 100</w:t>
      </w:r>
      <w:r w:rsidRPr="002018AC">
        <w:rPr>
          <w:rFonts w:cs="Times New Roman"/>
          <w:lang w:val="en-AU"/>
        </w:rPr>
        <w:br/>
        <w:t>= -1.10%</w:t>
      </w:r>
    </w:p>
    <w:p w14:paraId="4F6DBB05" w14:textId="77777777" w:rsidR="00A77462" w:rsidRPr="002018AC" w:rsidRDefault="00A77462" w:rsidP="00695D8D">
      <w:pPr>
        <w:pStyle w:val="ListParagraph"/>
        <w:numPr>
          <w:ilvl w:val="0"/>
          <w:numId w:val="17"/>
        </w:numPr>
        <w:spacing w:line="276" w:lineRule="auto"/>
        <w:jc w:val="left"/>
        <w:rPr>
          <w:rFonts w:cs="Times New Roman"/>
          <w:lang w:val="en-AU"/>
        </w:rPr>
      </w:pPr>
      <w:r w:rsidRPr="002018AC">
        <w:rPr>
          <w:rFonts w:cs="Times New Roman"/>
          <w:lang w:val="en-AU"/>
        </w:rPr>
        <w:t>FY2024:</w:t>
      </w:r>
      <w:r w:rsidRPr="002018AC">
        <w:rPr>
          <w:rFonts w:cs="Times New Roman"/>
          <w:lang w:val="en-AU"/>
        </w:rPr>
        <w:br/>
        <w:t>= 3,665 / 36,717 × 100</w:t>
      </w:r>
      <w:r w:rsidRPr="002018AC">
        <w:rPr>
          <w:rFonts w:cs="Times New Roman"/>
          <w:lang w:val="en-AU"/>
        </w:rPr>
        <w:br/>
        <w:t>= 9.98%</w:t>
      </w:r>
    </w:p>
    <w:p w14:paraId="3FAC953E" w14:textId="77777777" w:rsidR="00A77462" w:rsidRPr="002018AC" w:rsidRDefault="00A77462" w:rsidP="00695D8D">
      <w:pPr>
        <w:spacing w:line="276" w:lineRule="auto"/>
        <w:jc w:val="left"/>
        <w:rPr>
          <w:rFonts w:cs="Times New Roman"/>
          <w:b/>
          <w:bCs/>
          <w:lang w:val="en-AU"/>
        </w:rPr>
      </w:pPr>
      <w:r w:rsidRPr="002018AC">
        <w:rPr>
          <w:rFonts w:cs="Times New Roman"/>
          <w:b/>
          <w:bCs/>
          <w:lang w:val="en-AU"/>
        </w:rPr>
        <w:t>3. Return on capital employed</w:t>
      </w:r>
    </w:p>
    <w:p w14:paraId="5AE650FA" w14:textId="77777777" w:rsidR="00A77462" w:rsidRPr="002018AC" w:rsidRDefault="00A77462" w:rsidP="00695D8D">
      <w:pPr>
        <w:pStyle w:val="ListParagraph"/>
        <w:numPr>
          <w:ilvl w:val="0"/>
          <w:numId w:val="18"/>
        </w:numPr>
        <w:spacing w:line="276" w:lineRule="auto"/>
        <w:jc w:val="left"/>
        <w:rPr>
          <w:rFonts w:cs="Times New Roman"/>
          <w:lang w:val="en-AU"/>
        </w:rPr>
      </w:pPr>
      <w:r w:rsidRPr="002018AC">
        <w:rPr>
          <w:rFonts w:cs="Times New Roman"/>
          <w:lang w:val="en-AU"/>
        </w:rPr>
        <w:t>Formula:</w:t>
      </w:r>
      <w:r w:rsidRPr="002018AC">
        <w:rPr>
          <w:rFonts w:cs="Times New Roman"/>
          <w:lang w:val="en-AU"/>
        </w:rPr>
        <w:br/>
        <w:t>ROCE = Operating profit / TALCL × 100</w:t>
      </w:r>
    </w:p>
    <w:p w14:paraId="50BD5E69" w14:textId="77777777" w:rsidR="00A77462" w:rsidRPr="002018AC" w:rsidRDefault="00A77462" w:rsidP="00695D8D">
      <w:pPr>
        <w:pStyle w:val="ListParagraph"/>
        <w:numPr>
          <w:ilvl w:val="0"/>
          <w:numId w:val="18"/>
        </w:numPr>
        <w:spacing w:line="276" w:lineRule="auto"/>
        <w:jc w:val="left"/>
        <w:rPr>
          <w:rFonts w:cs="Times New Roman"/>
          <w:lang w:val="en-AU"/>
        </w:rPr>
      </w:pPr>
      <w:r w:rsidRPr="002018AC">
        <w:rPr>
          <w:rFonts w:cs="Times New Roman"/>
          <w:lang w:val="en-AU"/>
        </w:rPr>
        <w:t>FY2025:</w:t>
      </w:r>
      <w:r w:rsidRPr="002018AC">
        <w:rPr>
          <w:rFonts w:cs="Times New Roman"/>
          <w:lang w:val="en-AU"/>
        </w:rPr>
        <w:br/>
        <w:t>= -411 / 105,767 × 100</w:t>
      </w:r>
      <w:r w:rsidRPr="002018AC">
        <w:rPr>
          <w:rFonts w:cs="Times New Roman"/>
          <w:lang w:val="en-AU"/>
        </w:rPr>
        <w:br/>
        <w:t>= -0.39%</w:t>
      </w:r>
    </w:p>
    <w:p w14:paraId="0BDBC8F3" w14:textId="77777777" w:rsidR="00A77462" w:rsidRPr="002018AC" w:rsidRDefault="00A77462" w:rsidP="00695D8D">
      <w:pPr>
        <w:pStyle w:val="ListParagraph"/>
        <w:numPr>
          <w:ilvl w:val="0"/>
          <w:numId w:val="18"/>
        </w:numPr>
        <w:spacing w:line="276" w:lineRule="auto"/>
        <w:jc w:val="left"/>
        <w:rPr>
          <w:rFonts w:cs="Times New Roman"/>
          <w:lang w:val="en-AU"/>
        </w:rPr>
      </w:pPr>
      <w:r w:rsidRPr="002018AC">
        <w:rPr>
          <w:rFonts w:cs="Times New Roman"/>
          <w:lang w:val="en-AU"/>
        </w:rPr>
        <w:t>FY2024:</w:t>
      </w:r>
      <w:r w:rsidRPr="002018AC">
        <w:rPr>
          <w:rFonts w:cs="Times New Roman"/>
          <w:lang w:val="en-AU"/>
        </w:rPr>
        <w:br/>
        <w:t>= 3,665 / 102,951 × 100</w:t>
      </w:r>
      <w:r w:rsidRPr="002018AC">
        <w:rPr>
          <w:rFonts w:cs="Times New Roman"/>
          <w:lang w:val="en-AU"/>
        </w:rPr>
        <w:br/>
        <w:t>= 3.56%</w:t>
      </w:r>
    </w:p>
    <w:p w14:paraId="09B8CDD9" w14:textId="66E1AE1E" w:rsidR="00A77462" w:rsidRPr="002018AC" w:rsidRDefault="00A77462" w:rsidP="00695D8D">
      <w:pPr>
        <w:pStyle w:val="Heading3"/>
        <w:numPr>
          <w:ilvl w:val="2"/>
          <w:numId w:val="9"/>
        </w:numPr>
        <w:spacing w:before="200" w:after="0" w:line="276" w:lineRule="auto"/>
        <w:ind w:left="0" w:firstLine="0"/>
        <w:jc w:val="left"/>
        <w:rPr>
          <w:rFonts w:cs="Times New Roman"/>
          <w:lang w:val="en-AU"/>
        </w:rPr>
      </w:pPr>
      <w:bookmarkStart w:id="53" w:name="_Toc227609583"/>
      <w:r w:rsidRPr="002018AC">
        <w:rPr>
          <w:rFonts w:cs="Times New Roman"/>
          <w:lang w:val="en-AU"/>
        </w:rPr>
        <w:lastRenderedPageBreak/>
        <w:t>Appendix B3: efficiency ratios</w:t>
      </w:r>
      <w:bookmarkEnd w:id="53"/>
    </w:p>
    <w:p w14:paraId="11BDC0D2" w14:textId="3C5A596A" w:rsidR="00A77462" w:rsidRPr="002018AC" w:rsidRDefault="00A77462" w:rsidP="00695D8D">
      <w:pPr>
        <w:spacing w:line="276" w:lineRule="auto"/>
        <w:jc w:val="center"/>
        <w:rPr>
          <w:rFonts w:cs="Times New Roman"/>
          <w:b/>
          <w:bCs/>
          <w:lang w:val="en-AU"/>
        </w:rPr>
      </w:pPr>
      <w:r w:rsidRPr="002018AC">
        <w:rPr>
          <w:rFonts w:cs="Times New Roman"/>
          <w:b/>
          <w:bCs/>
          <w:lang w:val="en-AU"/>
        </w:rPr>
        <w:t>Asset turnover</w:t>
      </w:r>
    </w:p>
    <w:p w14:paraId="379AFA9A" w14:textId="77777777" w:rsidR="00A77462" w:rsidRPr="002018AC" w:rsidRDefault="00A77462" w:rsidP="00695D8D">
      <w:pPr>
        <w:pStyle w:val="ListParagraph"/>
        <w:numPr>
          <w:ilvl w:val="0"/>
          <w:numId w:val="19"/>
        </w:numPr>
        <w:spacing w:line="276" w:lineRule="auto"/>
        <w:jc w:val="left"/>
        <w:rPr>
          <w:rFonts w:cs="Times New Roman"/>
          <w:lang w:val="en-AU"/>
        </w:rPr>
      </w:pPr>
      <w:r w:rsidRPr="002018AC">
        <w:rPr>
          <w:rFonts w:cs="Times New Roman"/>
          <w:lang w:val="en-AU"/>
        </w:rPr>
        <w:t>Formula:</w:t>
      </w:r>
      <w:r w:rsidRPr="002018AC">
        <w:rPr>
          <w:rFonts w:cs="Times New Roman"/>
          <w:lang w:val="en-AU"/>
        </w:rPr>
        <w:br/>
        <w:t>Asset turnover = Sales / TALCL</w:t>
      </w:r>
    </w:p>
    <w:p w14:paraId="4F8CB645" w14:textId="77777777" w:rsidR="00A77462" w:rsidRPr="002018AC" w:rsidRDefault="00A77462" w:rsidP="00695D8D">
      <w:pPr>
        <w:pStyle w:val="ListParagraph"/>
        <w:numPr>
          <w:ilvl w:val="0"/>
          <w:numId w:val="19"/>
        </w:numPr>
        <w:spacing w:line="276" w:lineRule="auto"/>
        <w:jc w:val="left"/>
        <w:rPr>
          <w:rFonts w:cs="Times New Roman"/>
          <w:lang w:val="en-AU"/>
        </w:rPr>
      </w:pPr>
      <w:r w:rsidRPr="002018AC">
        <w:rPr>
          <w:rFonts w:cs="Times New Roman"/>
          <w:lang w:val="en-AU"/>
        </w:rPr>
        <w:t>FY2025:</w:t>
      </w:r>
      <w:r w:rsidRPr="002018AC">
        <w:rPr>
          <w:rFonts w:cs="Times New Roman"/>
          <w:lang w:val="en-AU"/>
        </w:rPr>
        <w:br/>
        <w:t>= 37,448 / 105,767</w:t>
      </w:r>
      <w:r w:rsidRPr="002018AC">
        <w:rPr>
          <w:rFonts w:cs="Times New Roman"/>
          <w:lang w:val="en-AU"/>
        </w:rPr>
        <w:br/>
        <w:t>= 0.35 times</w:t>
      </w:r>
    </w:p>
    <w:p w14:paraId="6439441D" w14:textId="77777777" w:rsidR="00A77462" w:rsidRPr="002018AC" w:rsidRDefault="00A77462" w:rsidP="00695D8D">
      <w:pPr>
        <w:pStyle w:val="ListParagraph"/>
        <w:numPr>
          <w:ilvl w:val="0"/>
          <w:numId w:val="19"/>
        </w:numPr>
        <w:spacing w:line="276" w:lineRule="auto"/>
        <w:jc w:val="left"/>
        <w:rPr>
          <w:rFonts w:cs="Times New Roman"/>
          <w:lang w:val="en-AU"/>
        </w:rPr>
      </w:pPr>
      <w:r w:rsidRPr="002018AC">
        <w:rPr>
          <w:rFonts w:cs="Times New Roman"/>
          <w:lang w:val="en-AU"/>
        </w:rPr>
        <w:t>FY2024:</w:t>
      </w:r>
      <w:r w:rsidRPr="002018AC">
        <w:rPr>
          <w:rFonts w:cs="Times New Roman"/>
          <w:lang w:val="en-AU"/>
        </w:rPr>
        <w:br/>
        <w:t>= 36,717 / 102,951</w:t>
      </w:r>
      <w:r w:rsidRPr="002018AC">
        <w:rPr>
          <w:rFonts w:cs="Times New Roman"/>
          <w:lang w:val="en-AU"/>
        </w:rPr>
        <w:br/>
        <w:t>= 0.36 times</w:t>
      </w:r>
    </w:p>
    <w:p w14:paraId="03F6FE94" w14:textId="6029B7F1" w:rsidR="00A77462" w:rsidRPr="002018AC" w:rsidRDefault="00A77462" w:rsidP="00695D8D">
      <w:pPr>
        <w:spacing w:line="276" w:lineRule="auto"/>
        <w:jc w:val="center"/>
        <w:rPr>
          <w:rFonts w:cs="Times New Roman"/>
          <w:b/>
          <w:bCs/>
          <w:lang w:val="en-AU"/>
        </w:rPr>
      </w:pPr>
      <w:r w:rsidRPr="002018AC">
        <w:rPr>
          <w:rFonts w:cs="Times New Roman"/>
          <w:b/>
          <w:bCs/>
          <w:lang w:val="en-AU"/>
        </w:rPr>
        <w:t>Debtors days</w:t>
      </w:r>
    </w:p>
    <w:p w14:paraId="359138C7" w14:textId="77777777" w:rsidR="00A77462" w:rsidRPr="002018AC" w:rsidRDefault="00A77462" w:rsidP="00695D8D">
      <w:pPr>
        <w:pStyle w:val="ListParagraph"/>
        <w:numPr>
          <w:ilvl w:val="0"/>
          <w:numId w:val="20"/>
        </w:numPr>
        <w:spacing w:line="276" w:lineRule="auto"/>
        <w:jc w:val="left"/>
        <w:rPr>
          <w:rFonts w:cs="Times New Roman"/>
          <w:lang w:val="en-AU"/>
        </w:rPr>
      </w:pPr>
      <w:r w:rsidRPr="002018AC">
        <w:rPr>
          <w:rFonts w:cs="Times New Roman"/>
          <w:lang w:val="en-AU"/>
        </w:rPr>
        <w:t>Formula:</w:t>
      </w:r>
      <w:r w:rsidRPr="002018AC">
        <w:rPr>
          <w:rFonts w:cs="Times New Roman"/>
          <w:lang w:val="en-AU"/>
        </w:rPr>
        <w:br/>
        <w:t>Debtors days = Debtors / Sales × 365</w:t>
      </w:r>
    </w:p>
    <w:p w14:paraId="1F3BE8EF" w14:textId="77777777" w:rsidR="00A77462" w:rsidRPr="002018AC" w:rsidRDefault="00A77462" w:rsidP="00695D8D">
      <w:pPr>
        <w:pStyle w:val="ListParagraph"/>
        <w:numPr>
          <w:ilvl w:val="0"/>
          <w:numId w:val="20"/>
        </w:numPr>
        <w:spacing w:line="276" w:lineRule="auto"/>
        <w:jc w:val="left"/>
        <w:rPr>
          <w:rFonts w:cs="Times New Roman"/>
          <w:lang w:val="en-AU"/>
        </w:rPr>
      </w:pPr>
      <w:r w:rsidRPr="002018AC">
        <w:rPr>
          <w:rFonts w:cs="Times New Roman"/>
          <w:lang w:val="en-AU"/>
        </w:rPr>
        <w:t>FY2025:</w:t>
      </w:r>
      <w:r w:rsidRPr="002018AC">
        <w:rPr>
          <w:rFonts w:cs="Times New Roman"/>
          <w:lang w:val="en-AU"/>
        </w:rPr>
        <w:br/>
        <w:t>= 3,657 / 37,448 × 365</w:t>
      </w:r>
      <w:r w:rsidRPr="002018AC">
        <w:rPr>
          <w:rFonts w:cs="Times New Roman"/>
          <w:lang w:val="en-AU"/>
        </w:rPr>
        <w:br/>
        <w:t>= 35.64 days</w:t>
      </w:r>
    </w:p>
    <w:p w14:paraId="5863ECF8" w14:textId="77777777" w:rsidR="00A77462" w:rsidRPr="002018AC" w:rsidRDefault="00A77462" w:rsidP="00695D8D">
      <w:pPr>
        <w:pStyle w:val="ListParagraph"/>
        <w:numPr>
          <w:ilvl w:val="0"/>
          <w:numId w:val="20"/>
        </w:numPr>
        <w:spacing w:line="276" w:lineRule="auto"/>
        <w:jc w:val="left"/>
        <w:rPr>
          <w:rFonts w:cs="Times New Roman"/>
          <w:lang w:val="en-AU"/>
        </w:rPr>
      </w:pPr>
      <w:r w:rsidRPr="002018AC">
        <w:rPr>
          <w:rFonts w:cs="Times New Roman"/>
          <w:lang w:val="en-AU"/>
        </w:rPr>
        <w:t>FY2024:</w:t>
      </w:r>
      <w:r w:rsidRPr="002018AC">
        <w:rPr>
          <w:rFonts w:cs="Times New Roman"/>
          <w:lang w:val="en-AU"/>
        </w:rPr>
        <w:br/>
        <w:t>= 3,282 / 36,717 × 365</w:t>
      </w:r>
      <w:r w:rsidRPr="002018AC">
        <w:rPr>
          <w:rFonts w:cs="Times New Roman"/>
          <w:lang w:val="en-AU"/>
        </w:rPr>
        <w:br/>
        <w:t>= 32.63 days</w:t>
      </w:r>
    </w:p>
    <w:p w14:paraId="0C86BF43" w14:textId="3B679E23" w:rsidR="00A77462" w:rsidRPr="002018AC" w:rsidRDefault="00A77462" w:rsidP="00695D8D">
      <w:pPr>
        <w:spacing w:line="276" w:lineRule="auto"/>
        <w:jc w:val="center"/>
        <w:rPr>
          <w:rFonts w:cs="Times New Roman"/>
          <w:b/>
          <w:bCs/>
          <w:lang w:val="en-AU"/>
        </w:rPr>
      </w:pPr>
      <w:r w:rsidRPr="002018AC">
        <w:rPr>
          <w:rFonts w:cs="Times New Roman"/>
          <w:b/>
          <w:bCs/>
          <w:lang w:val="en-AU"/>
        </w:rPr>
        <w:t>Creditor days</w:t>
      </w:r>
    </w:p>
    <w:p w14:paraId="286426A9" w14:textId="77777777" w:rsidR="00A77462" w:rsidRPr="002018AC" w:rsidRDefault="00A77462" w:rsidP="00695D8D">
      <w:pPr>
        <w:pStyle w:val="ListParagraph"/>
        <w:numPr>
          <w:ilvl w:val="0"/>
          <w:numId w:val="21"/>
        </w:numPr>
        <w:spacing w:line="276" w:lineRule="auto"/>
        <w:jc w:val="left"/>
        <w:rPr>
          <w:rFonts w:cs="Times New Roman"/>
          <w:lang w:val="en-AU"/>
        </w:rPr>
      </w:pPr>
      <w:r w:rsidRPr="002018AC">
        <w:rPr>
          <w:rFonts w:cs="Times New Roman"/>
          <w:lang w:val="en-AU"/>
        </w:rPr>
        <w:t>Formula:</w:t>
      </w:r>
      <w:r w:rsidRPr="002018AC">
        <w:rPr>
          <w:rFonts w:cs="Times New Roman"/>
          <w:lang w:val="en-AU"/>
        </w:rPr>
        <w:br/>
        <w:t>Creditor days = Creditors / COGS × 365</w:t>
      </w:r>
    </w:p>
    <w:p w14:paraId="252BF983" w14:textId="77777777" w:rsidR="00A77462" w:rsidRPr="002018AC" w:rsidRDefault="00A77462" w:rsidP="00695D8D">
      <w:pPr>
        <w:pStyle w:val="ListParagraph"/>
        <w:numPr>
          <w:ilvl w:val="0"/>
          <w:numId w:val="21"/>
        </w:numPr>
        <w:spacing w:line="276" w:lineRule="auto"/>
        <w:jc w:val="left"/>
        <w:rPr>
          <w:rFonts w:cs="Times New Roman"/>
          <w:lang w:val="en-AU"/>
        </w:rPr>
      </w:pPr>
      <w:r w:rsidRPr="002018AC">
        <w:rPr>
          <w:rFonts w:cs="Times New Roman"/>
          <w:lang w:val="en-AU"/>
        </w:rPr>
        <w:t>FY2025:</w:t>
      </w:r>
      <w:r w:rsidRPr="002018AC">
        <w:rPr>
          <w:rFonts w:cs="Times New Roman"/>
          <w:lang w:val="en-AU"/>
        </w:rPr>
        <w:br/>
        <w:t>= 6,157 / 24,929 × 365</w:t>
      </w:r>
      <w:r w:rsidRPr="002018AC">
        <w:rPr>
          <w:rFonts w:cs="Times New Roman"/>
          <w:lang w:val="en-AU"/>
        </w:rPr>
        <w:br/>
        <w:t>= 90.15 days</w:t>
      </w:r>
    </w:p>
    <w:p w14:paraId="230FE172" w14:textId="77777777" w:rsidR="00A77462" w:rsidRPr="002018AC" w:rsidRDefault="00A77462" w:rsidP="00695D8D">
      <w:pPr>
        <w:pStyle w:val="ListParagraph"/>
        <w:numPr>
          <w:ilvl w:val="0"/>
          <w:numId w:val="21"/>
        </w:numPr>
        <w:spacing w:line="276" w:lineRule="auto"/>
        <w:jc w:val="left"/>
        <w:rPr>
          <w:rFonts w:cs="Times New Roman"/>
          <w:lang w:val="en-AU"/>
        </w:rPr>
      </w:pPr>
      <w:r w:rsidRPr="002018AC">
        <w:rPr>
          <w:rFonts w:cs="Times New Roman"/>
          <w:lang w:val="en-AU"/>
        </w:rPr>
        <w:t>FY2024:</w:t>
      </w:r>
      <w:r w:rsidRPr="002018AC">
        <w:rPr>
          <w:rFonts w:cs="Times New Roman"/>
          <w:lang w:val="en-AU"/>
        </w:rPr>
        <w:br/>
        <w:t>= 5,613 / 24,459 × 365</w:t>
      </w:r>
      <w:r w:rsidRPr="002018AC">
        <w:rPr>
          <w:rFonts w:cs="Times New Roman"/>
          <w:lang w:val="en-AU"/>
        </w:rPr>
        <w:br/>
        <w:t>= 83.76 days</w:t>
      </w:r>
    </w:p>
    <w:p w14:paraId="33489780" w14:textId="49061E0B" w:rsidR="00A77462" w:rsidRPr="002018AC" w:rsidRDefault="00970D02" w:rsidP="00970D02">
      <w:pPr>
        <w:tabs>
          <w:tab w:val="center" w:pos="4680"/>
          <w:tab w:val="left" w:pos="6276"/>
        </w:tabs>
        <w:spacing w:line="276" w:lineRule="auto"/>
        <w:jc w:val="left"/>
        <w:rPr>
          <w:rFonts w:cs="Times New Roman"/>
          <w:b/>
          <w:bCs/>
          <w:lang w:val="en-AU"/>
        </w:rPr>
      </w:pPr>
      <w:r w:rsidRPr="002018AC">
        <w:rPr>
          <w:rFonts w:cs="Times New Roman"/>
          <w:b/>
          <w:bCs/>
          <w:lang w:val="en-AU"/>
        </w:rPr>
        <w:tab/>
      </w:r>
      <w:r w:rsidR="00A77462" w:rsidRPr="002018AC">
        <w:rPr>
          <w:rFonts w:cs="Times New Roman"/>
          <w:b/>
          <w:bCs/>
          <w:lang w:val="en-AU"/>
        </w:rPr>
        <w:t>Stock days</w:t>
      </w:r>
      <w:r w:rsidRPr="002018AC">
        <w:rPr>
          <w:rFonts w:cs="Times New Roman"/>
          <w:b/>
          <w:bCs/>
          <w:lang w:val="en-AU"/>
        </w:rPr>
        <w:tab/>
      </w:r>
    </w:p>
    <w:p w14:paraId="02E8CF1D" w14:textId="77777777" w:rsidR="00A77462" w:rsidRPr="002018AC" w:rsidRDefault="00A77462" w:rsidP="00695D8D">
      <w:pPr>
        <w:pStyle w:val="ListParagraph"/>
        <w:numPr>
          <w:ilvl w:val="0"/>
          <w:numId w:val="22"/>
        </w:numPr>
        <w:spacing w:line="276" w:lineRule="auto"/>
        <w:jc w:val="left"/>
        <w:rPr>
          <w:rFonts w:cs="Times New Roman"/>
          <w:lang w:val="en-AU"/>
        </w:rPr>
      </w:pPr>
      <w:r w:rsidRPr="002018AC">
        <w:rPr>
          <w:rFonts w:cs="Times New Roman"/>
          <w:lang w:val="en-AU"/>
        </w:rPr>
        <w:t>Formula:</w:t>
      </w:r>
      <w:r w:rsidRPr="002018AC">
        <w:rPr>
          <w:rFonts w:cs="Times New Roman"/>
          <w:lang w:val="en-AU"/>
        </w:rPr>
        <w:br/>
        <w:t>Stock days = Stock / COGS × 365</w:t>
      </w:r>
    </w:p>
    <w:p w14:paraId="385E3532" w14:textId="77777777" w:rsidR="00A77462" w:rsidRPr="002018AC" w:rsidRDefault="00A77462" w:rsidP="00695D8D">
      <w:pPr>
        <w:pStyle w:val="ListParagraph"/>
        <w:numPr>
          <w:ilvl w:val="0"/>
          <w:numId w:val="22"/>
        </w:numPr>
        <w:spacing w:line="276" w:lineRule="auto"/>
        <w:jc w:val="left"/>
        <w:rPr>
          <w:rFonts w:cs="Times New Roman"/>
          <w:lang w:val="en-AU"/>
        </w:rPr>
      </w:pPr>
      <w:r w:rsidRPr="002018AC">
        <w:rPr>
          <w:rFonts w:cs="Times New Roman"/>
          <w:lang w:val="en-AU"/>
        </w:rPr>
        <w:t>FY2025:</w:t>
      </w:r>
      <w:r w:rsidRPr="002018AC">
        <w:rPr>
          <w:rFonts w:cs="Times New Roman"/>
          <w:lang w:val="en-AU"/>
        </w:rPr>
        <w:br/>
        <w:t>= 617 / 24,929 × 365</w:t>
      </w:r>
      <w:r w:rsidRPr="002018AC">
        <w:rPr>
          <w:rFonts w:cs="Times New Roman"/>
          <w:lang w:val="en-AU"/>
        </w:rPr>
        <w:br/>
        <w:t>= 9.03 days</w:t>
      </w:r>
    </w:p>
    <w:p w14:paraId="112B98B5" w14:textId="77777777" w:rsidR="00A77462" w:rsidRPr="002018AC" w:rsidRDefault="00A77462" w:rsidP="00695D8D">
      <w:pPr>
        <w:pStyle w:val="ListParagraph"/>
        <w:numPr>
          <w:ilvl w:val="0"/>
          <w:numId w:val="22"/>
        </w:numPr>
        <w:spacing w:line="276" w:lineRule="auto"/>
        <w:jc w:val="left"/>
        <w:rPr>
          <w:rFonts w:cs="Times New Roman"/>
          <w:lang w:val="en-AU"/>
        </w:rPr>
      </w:pPr>
      <w:r w:rsidRPr="002018AC">
        <w:rPr>
          <w:rFonts w:cs="Times New Roman"/>
          <w:lang w:val="en-AU"/>
        </w:rPr>
        <w:lastRenderedPageBreak/>
        <w:t>FY2024:</w:t>
      </w:r>
      <w:r w:rsidRPr="002018AC">
        <w:rPr>
          <w:rFonts w:cs="Times New Roman"/>
          <w:lang w:val="en-AU"/>
        </w:rPr>
        <w:br/>
        <w:t>= 568 / 24,459 × 365</w:t>
      </w:r>
      <w:r w:rsidRPr="002018AC">
        <w:rPr>
          <w:rFonts w:cs="Times New Roman"/>
          <w:lang w:val="en-AU"/>
        </w:rPr>
        <w:br/>
        <w:t>= 8.48 days</w:t>
      </w:r>
    </w:p>
    <w:p w14:paraId="508E248E" w14:textId="2C98A764" w:rsidR="00A77462" w:rsidRPr="002018AC" w:rsidRDefault="00A77462" w:rsidP="00695D8D">
      <w:pPr>
        <w:spacing w:line="276" w:lineRule="auto"/>
        <w:jc w:val="center"/>
        <w:rPr>
          <w:rFonts w:cs="Times New Roman"/>
          <w:b/>
          <w:bCs/>
          <w:lang w:val="en-AU"/>
        </w:rPr>
      </w:pPr>
      <w:r w:rsidRPr="002018AC">
        <w:rPr>
          <w:rFonts w:cs="Times New Roman"/>
          <w:b/>
          <w:bCs/>
          <w:lang w:val="en-AU"/>
        </w:rPr>
        <w:t>Stock turnover</w:t>
      </w:r>
    </w:p>
    <w:p w14:paraId="781D3C64" w14:textId="77777777" w:rsidR="00A77462" w:rsidRPr="002018AC" w:rsidRDefault="00A77462" w:rsidP="00695D8D">
      <w:pPr>
        <w:pStyle w:val="ListParagraph"/>
        <w:numPr>
          <w:ilvl w:val="0"/>
          <w:numId w:val="23"/>
        </w:numPr>
        <w:spacing w:line="276" w:lineRule="auto"/>
        <w:jc w:val="left"/>
        <w:rPr>
          <w:rFonts w:cs="Times New Roman"/>
          <w:lang w:val="en-AU"/>
        </w:rPr>
      </w:pPr>
      <w:r w:rsidRPr="002018AC">
        <w:rPr>
          <w:rFonts w:cs="Times New Roman"/>
          <w:lang w:val="en-AU"/>
        </w:rPr>
        <w:t>Formula:</w:t>
      </w:r>
      <w:r w:rsidRPr="002018AC">
        <w:rPr>
          <w:rFonts w:cs="Times New Roman"/>
          <w:lang w:val="en-AU"/>
        </w:rPr>
        <w:br/>
        <w:t>Stock turnover = COGS / Stock</w:t>
      </w:r>
    </w:p>
    <w:p w14:paraId="14A2BC3F" w14:textId="77777777" w:rsidR="00A77462" w:rsidRPr="002018AC" w:rsidRDefault="00A77462" w:rsidP="00695D8D">
      <w:pPr>
        <w:pStyle w:val="ListParagraph"/>
        <w:numPr>
          <w:ilvl w:val="0"/>
          <w:numId w:val="23"/>
        </w:numPr>
        <w:spacing w:line="276" w:lineRule="auto"/>
        <w:jc w:val="left"/>
        <w:rPr>
          <w:rFonts w:cs="Times New Roman"/>
          <w:lang w:val="en-AU"/>
        </w:rPr>
      </w:pPr>
      <w:r w:rsidRPr="002018AC">
        <w:rPr>
          <w:rFonts w:cs="Times New Roman"/>
          <w:lang w:val="en-AU"/>
        </w:rPr>
        <w:t>FY2025:</w:t>
      </w:r>
      <w:r w:rsidRPr="002018AC">
        <w:rPr>
          <w:rFonts w:cs="Times New Roman"/>
          <w:lang w:val="en-AU"/>
        </w:rPr>
        <w:br/>
        <w:t>= 24,929 / 617</w:t>
      </w:r>
      <w:r w:rsidRPr="002018AC">
        <w:rPr>
          <w:rFonts w:cs="Times New Roman"/>
          <w:lang w:val="en-AU"/>
        </w:rPr>
        <w:br/>
        <w:t>= 40.40 times</w:t>
      </w:r>
    </w:p>
    <w:p w14:paraId="421C705D" w14:textId="77777777" w:rsidR="00A77462" w:rsidRPr="002018AC" w:rsidRDefault="00A77462" w:rsidP="00695D8D">
      <w:pPr>
        <w:pStyle w:val="ListParagraph"/>
        <w:numPr>
          <w:ilvl w:val="0"/>
          <w:numId w:val="23"/>
        </w:numPr>
        <w:spacing w:line="276" w:lineRule="auto"/>
        <w:jc w:val="left"/>
        <w:rPr>
          <w:rFonts w:cs="Times New Roman"/>
          <w:lang w:val="en-AU"/>
        </w:rPr>
      </w:pPr>
      <w:r w:rsidRPr="002018AC">
        <w:rPr>
          <w:rFonts w:cs="Times New Roman"/>
          <w:lang w:val="en-AU"/>
        </w:rPr>
        <w:t>FY2024:</w:t>
      </w:r>
      <w:r w:rsidRPr="002018AC">
        <w:rPr>
          <w:rFonts w:cs="Times New Roman"/>
          <w:lang w:val="en-AU"/>
        </w:rPr>
        <w:br/>
        <w:t>= 24,459 / 568</w:t>
      </w:r>
      <w:r w:rsidRPr="002018AC">
        <w:rPr>
          <w:rFonts w:cs="Times New Roman"/>
          <w:lang w:val="en-AU"/>
        </w:rPr>
        <w:br/>
        <w:t>= 43.06 times</w:t>
      </w:r>
    </w:p>
    <w:p w14:paraId="580F7175" w14:textId="0417F11A" w:rsidR="00A77462" w:rsidRPr="002018AC" w:rsidRDefault="00A77462" w:rsidP="00695D8D">
      <w:pPr>
        <w:pStyle w:val="Heading3"/>
        <w:numPr>
          <w:ilvl w:val="2"/>
          <w:numId w:val="9"/>
        </w:numPr>
        <w:spacing w:before="200" w:after="0" w:line="276" w:lineRule="auto"/>
        <w:ind w:left="0" w:firstLine="0"/>
        <w:jc w:val="left"/>
        <w:rPr>
          <w:rFonts w:cs="Times New Roman"/>
          <w:lang w:val="en-AU"/>
        </w:rPr>
      </w:pPr>
      <w:bookmarkStart w:id="54" w:name="_Toc227609584"/>
      <w:r w:rsidRPr="002018AC">
        <w:rPr>
          <w:rFonts w:cs="Times New Roman"/>
          <w:lang w:val="en-AU"/>
        </w:rPr>
        <w:t>Appendix B4: liquidity ratios</w:t>
      </w:r>
      <w:bookmarkEnd w:id="54"/>
    </w:p>
    <w:p w14:paraId="63806EE4" w14:textId="091D1034" w:rsidR="00A77462" w:rsidRPr="002018AC" w:rsidRDefault="00A77462" w:rsidP="00695D8D">
      <w:pPr>
        <w:spacing w:line="276" w:lineRule="auto"/>
        <w:jc w:val="center"/>
        <w:rPr>
          <w:rFonts w:cs="Times New Roman"/>
          <w:b/>
          <w:bCs/>
          <w:lang w:val="en-AU"/>
        </w:rPr>
      </w:pPr>
      <w:r w:rsidRPr="002018AC">
        <w:rPr>
          <w:rFonts w:cs="Times New Roman"/>
          <w:b/>
          <w:bCs/>
          <w:lang w:val="en-AU"/>
        </w:rPr>
        <w:t>Current ratio</w:t>
      </w:r>
    </w:p>
    <w:p w14:paraId="512B156A" w14:textId="77777777" w:rsidR="00A77462" w:rsidRPr="002018AC" w:rsidRDefault="00A77462" w:rsidP="00695D8D">
      <w:pPr>
        <w:pStyle w:val="ListParagraph"/>
        <w:numPr>
          <w:ilvl w:val="0"/>
          <w:numId w:val="24"/>
        </w:numPr>
        <w:spacing w:line="276" w:lineRule="auto"/>
        <w:jc w:val="left"/>
        <w:rPr>
          <w:rFonts w:cs="Times New Roman"/>
          <w:lang w:val="en-AU"/>
        </w:rPr>
      </w:pPr>
      <w:r w:rsidRPr="002018AC">
        <w:rPr>
          <w:rFonts w:cs="Times New Roman"/>
          <w:lang w:val="en-AU"/>
        </w:rPr>
        <w:t>Formula:</w:t>
      </w:r>
      <w:r w:rsidRPr="002018AC">
        <w:rPr>
          <w:rFonts w:cs="Times New Roman"/>
          <w:lang w:val="en-AU"/>
        </w:rPr>
        <w:br/>
        <w:t>Current ratio = Current assets / Current liabilities</w:t>
      </w:r>
    </w:p>
    <w:p w14:paraId="7CE1759F" w14:textId="77777777" w:rsidR="00A77462" w:rsidRPr="002018AC" w:rsidRDefault="00A77462" w:rsidP="00695D8D">
      <w:pPr>
        <w:pStyle w:val="ListParagraph"/>
        <w:numPr>
          <w:ilvl w:val="0"/>
          <w:numId w:val="24"/>
        </w:numPr>
        <w:spacing w:line="276" w:lineRule="auto"/>
        <w:jc w:val="left"/>
        <w:rPr>
          <w:rFonts w:cs="Times New Roman"/>
          <w:lang w:val="en-AU"/>
        </w:rPr>
      </w:pPr>
      <w:r w:rsidRPr="002018AC">
        <w:rPr>
          <w:rFonts w:cs="Times New Roman"/>
          <w:lang w:val="en-AU"/>
        </w:rPr>
        <w:t>FY2025:</w:t>
      </w:r>
      <w:r w:rsidRPr="002018AC">
        <w:rPr>
          <w:rFonts w:cs="Times New Roman"/>
          <w:lang w:val="en-AU"/>
        </w:rPr>
        <w:br/>
        <w:t>= 28,620 / 22,754</w:t>
      </w:r>
      <w:r w:rsidRPr="002018AC">
        <w:rPr>
          <w:rFonts w:cs="Times New Roman"/>
          <w:lang w:val="en-AU"/>
        </w:rPr>
        <w:br/>
        <w:t>= 1.26 times</w:t>
      </w:r>
    </w:p>
    <w:p w14:paraId="706A471A" w14:textId="77777777" w:rsidR="00A77462" w:rsidRPr="002018AC" w:rsidRDefault="00A77462" w:rsidP="00695D8D">
      <w:pPr>
        <w:pStyle w:val="ListParagraph"/>
        <w:numPr>
          <w:ilvl w:val="0"/>
          <w:numId w:val="24"/>
        </w:numPr>
        <w:spacing w:line="276" w:lineRule="auto"/>
        <w:jc w:val="left"/>
        <w:rPr>
          <w:rFonts w:cs="Times New Roman"/>
          <w:lang w:val="en-AU"/>
        </w:rPr>
      </w:pPr>
      <w:r w:rsidRPr="002018AC">
        <w:rPr>
          <w:rFonts w:cs="Times New Roman"/>
          <w:lang w:val="en-AU"/>
        </w:rPr>
        <w:t>FY2024:</w:t>
      </w:r>
      <w:r w:rsidRPr="002018AC">
        <w:rPr>
          <w:rFonts w:cs="Times New Roman"/>
          <w:lang w:val="en-AU"/>
        </w:rPr>
        <w:br/>
        <w:t>= 20,513 / 22,352</w:t>
      </w:r>
      <w:r w:rsidRPr="002018AC">
        <w:rPr>
          <w:rFonts w:cs="Times New Roman"/>
          <w:lang w:val="en-AU"/>
        </w:rPr>
        <w:br/>
        <w:t>= 0.92 times</w:t>
      </w:r>
    </w:p>
    <w:p w14:paraId="3836917A" w14:textId="446BA7A8" w:rsidR="00A77462" w:rsidRPr="002018AC" w:rsidRDefault="00A77462" w:rsidP="00695D8D">
      <w:pPr>
        <w:spacing w:line="276" w:lineRule="auto"/>
        <w:jc w:val="center"/>
        <w:rPr>
          <w:rFonts w:cs="Times New Roman"/>
          <w:b/>
          <w:bCs/>
          <w:lang w:val="en-AU"/>
        </w:rPr>
      </w:pPr>
      <w:r w:rsidRPr="002018AC">
        <w:rPr>
          <w:rFonts w:cs="Times New Roman"/>
          <w:b/>
          <w:bCs/>
          <w:lang w:val="en-AU"/>
        </w:rPr>
        <w:t>Quick ratio</w:t>
      </w:r>
    </w:p>
    <w:p w14:paraId="2077D7DA" w14:textId="77777777" w:rsidR="00A77462" w:rsidRPr="002018AC" w:rsidRDefault="00A77462" w:rsidP="00695D8D">
      <w:pPr>
        <w:pStyle w:val="ListParagraph"/>
        <w:numPr>
          <w:ilvl w:val="0"/>
          <w:numId w:val="25"/>
        </w:numPr>
        <w:spacing w:line="276" w:lineRule="auto"/>
        <w:jc w:val="left"/>
        <w:rPr>
          <w:rFonts w:cs="Times New Roman"/>
          <w:lang w:val="en-AU"/>
        </w:rPr>
      </w:pPr>
      <w:r w:rsidRPr="002018AC">
        <w:rPr>
          <w:rFonts w:cs="Times New Roman"/>
          <w:lang w:val="en-AU"/>
        </w:rPr>
        <w:t>Formula:</w:t>
      </w:r>
      <w:r w:rsidRPr="002018AC">
        <w:rPr>
          <w:rFonts w:cs="Times New Roman"/>
          <w:lang w:val="en-AU"/>
        </w:rPr>
        <w:br/>
        <w:t>Quick ratio = Current assets – Stock / Current liabilities</w:t>
      </w:r>
    </w:p>
    <w:p w14:paraId="30A09A91" w14:textId="77777777" w:rsidR="00A77462" w:rsidRPr="002018AC" w:rsidRDefault="00A77462" w:rsidP="00695D8D">
      <w:pPr>
        <w:pStyle w:val="ListParagraph"/>
        <w:numPr>
          <w:ilvl w:val="0"/>
          <w:numId w:val="25"/>
        </w:numPr>
        <w:spacing w:line="276" w:lineRule="auto"/>
        <w:jc w:val="left"/>
        <w:rPr>
          <w:rFonts w:cs="Times New Roman"/>
          <w:lang w:val="en-AU"/>
        </w:rPr>
      </w:pPr>
      <w:r w:rsidRPr="002018AC">
        <w:rPr>
          <w:rFonts w:cs="Times New Roman"/>
          <w:lang w:val="en-AU"/>
        </w:rPr>
        <w:t>FY2025:</w:t>
      </w:r>
      <w:r w:rsidRPr="002018AC">
        <w:rPr>
          <w:rFonts w:cs="Times New Roman"/>
          <w:lang w:val="en-AU"/>
        </w:rPr>
        <w:br/>
        <w:t>= (28,620 – 617) / 22,754</w:t>
      </w:r>
      <w:r w:rsidRPr="002018AC">
        <w:rPr>
          <w:rFonts w:cs="Times New Roman"/>
          <w:lang w:val="en-AU"/>
        </w:rPr>
        <w:br/>
        <w:t>= 28,003 / 22,754</w:t>
      </w:r>
      <w:r w:rsidRPr="002018AC">
        <w:rPr>
          <w:rFonts w:cs="Times New Roman"/>
          <w:lang w:val="en-AU"/>
        </w:rPr>
        <w:br/>
        <w:t>= 1.23 times</w:t>
      </w:r>
    </w:p>
    <w:p w14:paraId="1C567462" w14:textId="77777777" w:rsidR="00A77462" w:rsidRPr="002018AC" w:rsidRDefault="00A77462" w:rsidP="00695D8D">
      <w:pPr>
        <w:pStyle w:val="ListParagraph"/>
        <w:numPr>
          <w:ilvl w:val="0"/>
          <w:numId w:val="25"/>
        </w:numPr>
        <w:spacing w:line="276" w:lineRule="auto"/>
        <w:jc w:val="left"/>
        <w:rPr>
          <w:rFonts w:cs="Times New Roman"/>
          <w:lang w:val="en-AU"/>
        </w:rPr>
      </w:pPr>
      <w:r w:rsidRPr="002018AC">
        <w:rPr>
          <w:rFonts w:cs="Times New Roman"/>
          <w:lang w:val="en-AU"/>
        </w:rPr>
        <w:t>FY2024:</w:t>
      </w:r>
      <w:r w:rsidRPr="002018AC">
        <w:rPr>
          <w:rFonts w:cs="Times New Roman"/>
          <w:lang w:val="en-AU"/>
        </w:rPr>
        <w:br/>
        <w:t>= (20,513 – 568) / 22,352</w:t>
      </w:r>
      <w:r w:rsidRPr="002018AC">
        <w:rPr>
          <w:rFonts w:cs="Times New Roman"/>
          <w:lang w:val="en-AU"/>
        </w:rPr>
        <w:br/>
        <w:t>= 19,945 / 22,352</w:t>
      </w:r>
      <w:r w:rsidRPr="002018AC">
        <w:rPr>
          <w:rFonts w:cs="Times New Roman"/>
          <w:lang w:val="en-AU"/>
        </w:rPr>
        <w:br/>
        <w:t>= 0.89 times</w:t>
      </w:r>
    </w:p>
    <w:p w14:paraId="3BBBA6EC" w14:textId="77777777" w:rsidR="00A77462" w:rsidRPr="002018AC" w:rsidRDefault="00A77462" w:rsidP="00695D8D">
      <w:pPr>
        <w:pStyle w:val="ListParagraph"/>
        <w:numPr>
          <w:ilvl w:val="0"/>
          <w:numId w:val="25"/>
        </w:numPr>
        <w:spacing w:line="276" w:lineRule="auto"/>
        <w:jc w:val="left"/>
        <w:rPr>
          <w:rFonts w:cs="Times New Roman"/>
          <w:lang w:val="en-AU"/>
        </w:rPr>
      </w:pPr>
      <w:r w:rsidRPr="002018AC">
        <w:rPr>
          <w:rFonts w:cs="Times New Roman"/>
          <w:lang w:val="en-AU"/>
        </w:rPr>
        <w:t>FY2024 current ratio including held-for-sale items:</w:t>
      </w:r>
      <w:r w:rsidRPr="002018AC">
        <w:rPr>
          <w:rFonts w:cs="Times New Roman"/>
          <w:lang w:val="en-AU"/>
        </w:rPr>
        <w:br/>
        <w:t>= (20,513 + 19,047) / (22,352 + 6,918)</w:t>
      </w:r>
      <w:r w:rsidRPr="002018AC">
        <w:rPr>
          <w:rFonts w:cs="Times New Roman"/>
          <w:lang w:val="en-AU"/>
        </w:rPr>
        <w:br/>
      </w:r>
      <w:r w:rsidRPr="002018AC">
        <w:rPr>
          <w:rFonts w:cs="Times New Roman"/>
          <w:lang w:val="en-AU"/>
        </w:rPr>
        <w:lastRenderedPageBreak/>
        <w:t>= 39,560 / 29,270</w:t>
      </w:r>
      <w:r w:rsidRPr="002018AC">
        <w:rPr>
          <w:rFonts w:cs="Times New Roman"/>
          <w:lang w:val="en-AU"/>
        </w:rPr>
        <w:br/>
        <w:t>= 1.35 times</w:t>
      </w:r>
    </w:p>
    <w:p w14:paraId="28FF84FA" w14:textId="2763E88B" w:rsidR="00A77462" w:rsidRPr="002018AC" w:rsidRDefault="00A77462" w:rsidP="00695D8D">
      <w:pPr>
        <w:pStyle w:val="Heading3"/>
        <w:numPr>
          <w:ilvl w:val="2"/>
          <w:numId w:val="9"/>
        </w:numPr>
        <w:spacing w:before="200" w:after="0" w:line="276" w:lineRule="auto"/>
        <w:ind w:left="0" w:firstLine="0"/>
        <w:jc w:val="left"/>
        <w:rPr>
          <w:rFonts w:cs="Times New Roman"/>
          <w:lang w:val="en-AU"/>
        </w:rPr>
      </w:pPr>
      <w:bookmarkStart w:id="55" w:name="_Toc227609585"/>
      <w:r w:rsidRPr="002018AC">
        <w:rPr>
          <w:rFonts w:cs="Times New Roman"/>
          <w:lang w:val="en-AU"/>
        </w:rPr>
        <w:t>Appendix B5: investment ratios</w:t>
      </w:r>
      <w:bookmarkEnd w:id="55"/>
    </w:p>
    <w:p w14:paraId="6D9D2B1B" w14:textId="57F4748D" w:rsidR="00A77462" w:rsidRPr="002018AC" w:rsidRDefault="00A77462" w:rsidP="00695D8D">
      <w:pPr>
        <w:spacing w:line="276" w:lineRule="auto"/>
        <w:jc w:val="center"/>
        <w:rPr>
          <w:rFonts w:cs="Times New Roman"/>
          <w:b/>
          <w:bCs/>
          <w:lang w:val="en-AU"/>
        </w:rPr>
      </w:pPr>
      <w:r w:rsidRPr="002018AC">
        <w:rPr>
          <w:rFonts w:cs="Times New Roman"/>
          <w:b/>
          <w:bCs/>
          <w:lang w:val="en-AU"/>
        </w:rPr>
        <w:t>Earnings per share</w:t>
      </w:r>
    </w:p>
    <w:p w14:paraId="418BA52B" w14:textId="77777777" w:rsidR="00A77462" w:rsidRPr="002018AC" w:rsidRDefault="00A77462" w:rsidP="00695D8D">
      <w:pPr>
        <w:pStyle w:val="ListParagraph"/>
        <w:numPr>
          <w:ilvl w:val="0"/>
          <w:numId w:val="26"/>
        </w:numPr>
        <w:spacing w:line="276" w:lineRule="auto"/>
        <w:jc w:val="left"/>
        <w:rPr>
          <w:rFonts w:cs="Times New Roman"/>
          <w:lang w:val="en-AU"/>
        </w:rPr>
      </w:pPr>
      <w:r w:rsidRPr="002018AC">
        <w:rPr>
          <w:rFonts w:cs="Times New Roman"/>
          <w:lang w:val="en-AU"/>
        </w:rPr>
        <w:t>Formula:</w:t>
      </w:r>
      <w:r w:rsidRPr="002018AC">
        <w:rPr>
          <w:rFonts w:cs="Times New Roman"/>
          <w:lang w:val="en-AU"/>
        </w:rPr>
        <w:br/>
        <w:t>EPS = Profit after tax attributable to owners / weighted average ordinary shares</w:t>
      </w:r>
    </w:p>
    <w:p w14:paraId="254C2DED" w14:textId="77777777" w:rsidR="00A77462" w:rsidRPr="002018AC" w:rsidRDefault="00A77462" w:rsidP="00695D8D">
      <w:pPr>
        <w:pStyle w:val="ListParagraph"/>
        <w:numPr>
          <w:ilvl w:val="0"/>
          <w:numId w:val="26"/>
        </w:numPr>
        <w:spacing w:line="276" w:lineRule="auto"/>
        <w:jc w:val="left"/>
        <w:rPr>
          <w:rFonts w:cs="Times New Roman"/>
          <w:lang w:val="en-AU"/>
        </w:rPr>
      </w:pPr>
      <w:r w:rsidRPr="002018AC">
        <w:rPr>
          <w:rFonts w:cs="Times New Roman"/>
          <w:lang w:val="en-AU"/>
        </w:rPr>
        <w:t>FY2025:</w:t>
      </w:r>
      <w:r w:rsidRPr="002018AC">
        <w:rPr>
          <w:rFonts w:cs="Times New Roman"/>
          <w:lang w:val="en-AU"/>
        </w:rPr>
        <w:br/>
        <w:t>= -4,169 / 26,149</w:t>
      </w:r>
      <w:r w:rsidRPr="002018AC">
        <w:rPr>
          <w:rFonts w:cs="Times New Roman"/>
          <w:lang w:val="en-AU"/>
        </w:rPr>
        <w:br/>
        <w:t>= -€0.1594 per share</w:t>
      </w:r>
      <w:r w:rsidRPr="002018AC">
        <w:rPr>
          <w:rFonts w:cs="Times New Roman"/>
          <w:lang w:val="en-AU"/>
        </w:rPr>
        <w:br/>
        <w:t>= -15.94 eurocents</w:t>
      </w:r>
    </w:p>
    <w:p w14:paraId="768AA5A0" w14:textId="77777777" w:rsidR="00A77462" w:rsidRPr="002018AC" w:rsidRDefault="00A77462" w:rsidP="00695D8D">
      <w:pPr>
        <w:pStyle w:val="ListParagraph"/>
        <w:numPr>
          <w:ilvl w:val="0"/>
          <w:numId w:val="26"/>
        </w:numPr>
        <w:spacing w:line="276" w:lineRule="auto"/>
        <w:jc w:val="left"/>
        <w:rPr>
          <w:rFonts w:cs="Times New Roman"/>
          <w:lang w:val="en-AU"/>
        </w:rPr>
      </w:pPr>
      <w:r w:rsidRPr="002018AC">
        <w:rPr>
          <w:rFonts w:cs="Times New Roman"/>
          <w:lang w:val="en-AU"/>
        </w:rPr>
        <w:t>FY2024:</w:t>
      </w:r>
      <w:r w:rsidRPr="002018AC">
        <w:rPr>
          <w:rFonts w:cs="Times New Roman"/>
          <w:lang w:val="en-AU"/>
        </w:rPr>
        <w:br/>
        <w:t>= 1,140 / 27,056</w:t>
      </w:r>
      <w:r w:rsidRPr="002018AC">
        <w:rPr>
          <w:rFonts w:cs="Times New Roman"/>
          <w:lang w:val="en-AU"/>
        </w:rPr>
        <w:br/>
        <w:t>= €0.0421 per share</w:t>
      </w:r>
      <w:r w:rsidRPr="002018AC">
        <w:rPr>
          <w:rFonts w:cs="Times New Roman"/>
          <w:lang w:val="en-AU"/>
        </w:rPr>
        <w:br/>
        <w:t>= 4.21 eurocents</w:t>
      </w:r>
    </w:p>
    <w:p w14:paraId="4000E4BC" w14:textId="53BCE3F9" w:rsidR="00A77462" w:rsidRPr="002018AC" w:rsidRDefault="00A77462" w:rsidP="00695D8D">
      <w:pPr>
        <w:spacing w:line="276" w:lineRule="auto"/>
        <w:jc w:val="center"/>
        <w:rPr>
          <w:rFonts w:cs="Times New Roman"/>
          <w:b/>
          <w:bCs/>
          <w:lang w:val="en-AU"/>
        </w:rPr>
      </w:pPr>
      <w:r w:rsidRPr="002018AC">
        <w:rPr>
          <w:rFonts w:cs="Times New Roman"/>
          <w:b/>
          <w:bCs/>
          <w:lang w:val="en-AU"/>
        </w:rPr>
        <w:t>Dividend cover</w:t>
      </w:r>
    </w:p>
    <w:p w14:paraId="7D53D2A4" w14:textId="77777777" w:rsidR="00A77462" w:rsidRPr="002018AC" w:rsidRDefault="00A77462" w:rsidP="00695D8D">
      <w:pPr>
        <w:pStyle w:val="ListParagraph"/>
        <w:numPr>
          <w:ilvl w:val="0"/>
          <w:numId w:val="27"/>
        </w:numPr>
        <w:spacing w:line="276" w:lineRule="auto"/>
        <w:jc w:val="left"/>
        <w:rPr>
          <w:rFonts w:cs="Times New Roman"/>
          <w:lang w:val="en-AU"/>
        </w:rPr>
      </w:pPr>
      <w:r w:rsidRPr="002018AC">
        <w:rPr>
          <w:rFonts w:cs="Times New Roman"/>
          <w:lang w:val="en-AU"/>
        </w:rPr>
        <w:t>Formula:</w:t>
      </w:r>
      <w:r w:rsidRPr="002018AC">
        <w:rPr>
          <w:rFonts w:cs="Times New Roman"/>
          <w:lang w:val="en-AU"/>
        </w:rPr>
        <w:br/>
        <w:t>Dividend cover = Profit after tax attributable to owners / ordinary dividend</w:t>
      </w:r>
    </w:p>
    <w:p w14:paraId="13C4CF53" w14:textId="77777777" w:rsidR="00A77462" w:rsidRPr="002018AC" w:rsidRDefault="00A77462" w:rsidP="00695D8D">
      <w:pPr>
        <w:pStyle w:val="ListParagraph"/>
        <w:numPr>
          <w:ilvl w:val="0"/>
          <w:numId w:val="27"/>
        </w:numPr>
        <w:spacing w:line="276" w:lineRule="auto"/>
        <w:jc w:val="left"/>
        <w:rPr>
          <w:rFonts w:cs="Times New Roman"/>
          <w:lang w:val="en-AU"/>
        </w:rPr>
      </w:pPr>
      <w:r w:rsidRPr="002018AC">
        <w:rPr>
          <w:rFonts w:cs="Times New Roman"/>
          <w:lang w:val="en-AU"/>
        </w:rPr>
        <w:t>FY2025:</w:t>
      </w:r>
      <w:r w:rsidRPr="002018AC">
        <w:rPr>
          <w:rFonts w:cs="Times New Roman"/>
          <w:lang w:val="en-AU"/>
        </w:rPr>
        <w:br/>
        <w:t>= -4,169 / 1,795</w:t>
      </w:r>
      <w:r w:rsidRPr="002018AC">
        <w:rPr>
          <w:rFonts w:cs="Times New Roman"/>
          <w:lang w:val="en-AU"/>
        </w:rPr>
        <w:br/>
        <w:t>= -2.32 times</w:t>
      </w:r>
    </w:p>
    <w:p w14:paraId="00524C71" w14:textId="77777777" w:rsidR="00A77462" w:rsidRPr="002018AC" w:rsidRDefault="00A77462" w:rsidP="00695D8D">
      <w:pPr>
        <w:pStyle w:val="ListParagraph"/>
        <w:numPr>
          <w:ilvl w:val="0"/>
          <w:numId w:val="27"/>
        </w:numPr>
        <w:spacing w:line="276" w:lineRule="auto"/>
        <w:jc w:val="left"/>
        <w:rPr>
          <w:rFonts w:cs="Times New Roman"/>
          <w:lang w:val="en-AU"/>
        </w:rPr>
      </w:pPr>
      <w:r w:rsidRPr="002018AC">
        <w:rPr>
          <w:rFonts w:cs="Times New Roman"/>
          <w:lang w:val="en-AU"/>
        </w:rPr>
        <w:t>FY2024:</w:t>
      </w:r>
      <w:r w:rsidRPr="002018AC">
        <w:rPr>
          <w:rFonts w:cs="Times New Roman"/>
          <w:lang w:val="en-AU"/>
        </w:rPr>
        <w:br/>
        <w:t>= 1,140 / 2,433</w:t>
      </w:r>
      <w:r w:rsidRPr="002018AC">
        <w:rPr>
          <w:rFonts w:cs="Times New Roman"/>
          <w:lang w:val="en-AU"/>
        </w:rPr>
        <w:br/>
        <w:t>= 0.47 times</w:t>
      </w:r>
    </w:p>
    <w:p w14:paraId="704B41BF" w14:textId="00B41041" w:rsidR="00A77462" w:rsidRPr="002018AC" w:rsidRDefault="00A77462" w:rsidP="00695D8D">
      <w:pPr>
        <w:pStyle w:val="Heading3"/>
        <w:numPr>
          <w:ilvl w:val="2"/>
          <w:numId w:val="9"/>
        </w:numPr>
        <w:spacing w:before="200" w:after="0" w:line="276" w:lineRule="auto"/>
        <w:ind w:left="0" w:firstLine="0"/>
        <w:jc w:val="left"/>
        <w:rPr>
          <w:rFonts w:cs="Times New Roman"/>
          <w:lang w:val="en-AU"/>
        </w:rPr>
      </w:pPr>
      <w:bookmarkStart w:id="56" w:name="_Toc227609586"/>
      <w:r w:rsidRPr="002018AC">
        <w:rPr>
          <w:rFonts w:cs="Times New Roman"/>
          <w:lang w:val="en-AU"/>
        </w:rPr>
        <w:t>Appendix B6: gearing ratios</w:t>
      </w:r>
      <w:bookmarkEnd w:id="56"/>
    </w:p>
    <w:p w14:paraId="12262D29" w14:textId="0C05BC93" w:rsidR="00A77462" w:rsidRPr="002018AC" w:rsidRDefault="00A77462" w:rsidP="00695D8D">
      <w:pPr>
        <w:spacing w:line="276" w:lineRule="auto"/>
        <w:jc w:val="center"/>
        <w:rPr>
          <w:rFonts w:cs="Times New Roman"/>
          <w:b/>
          <w:bCs/>
          <w:lang w:val="en-AU"/>
        </w:rPr>
      </w:pPr>
      <w:r w:rsidRPr="002018AC">
        <w:rPr>
          <w:rFonts w:cs="Times New Roman"/>
          <w:b/>
          <w:bCs/>
          <w:lang w:val="en-AU"/>
        </w:rPr>
        <w:t>Gearing ratio 1</w:t>
      </w:r>
    </w:p>
    <w:p w14:paraId="5D9F27A1" w14:textId="77777777" w:rsidR="00A77462" w:rsidRPr="002018AC" w:rsidRDefault="00A77462" w:rsidP="00695D8D">
      <w:pPr>
        <w:pStyle w:val="ListParagraph"/>
        <w:numPr>
          <w:ilvl w:val="0"/>
          <w:numId w:val="29"/>
        </w:numPr>
        <w:spacing w:line="276" w:lineRule="auto"/>
        <w:jc w:val="left"/>
        <w:rPr>
          <w:rFonts w:cs="Times New Roman"/>
          <w:lang w:val="en-AU"/>
        </w:rPr>
      </w:pPr>
      <w:r w:rsidRPr="002018AC">
        <w:rPr>
          <w:rFonts w:cs="Times New Roman"/>
          <w:lang w:val="en-AU"/>
        </w:rPr>
        <w:t>Formula:</w:t>
      </w:r>
      <w:r w:rsidRPr="002018AC">
        <w:rPr>
          <w:rFonts w:cs="Times New Roman"/>
          <w:lang w:val="en-AU"/>
        </w:rPr>
        <w:br/>
        <w:t>Gearing ratio 1 = Loan / TALCL × 100</w:t>
      </w:r>
    </w:p>
    <w:p w14:paraId="3DC02BFF" w14:textId="77777777" w:rsidR="00A77462" w:rsidRPr="002018AC" w:rsidRDefault="00A77462" w:rsidP="00695D8D">
      <w:pPr>
        <w:pStyle w:val="ListParagraph"/>
        <w:numPr>
          <w:ilvl w:val="0"/>
          <w:numId w:val="29"/>
        </w:numPr>
        <w:spacing w:line="276" w:lineRule="auto"/>
        <w:jc w:val="left"/>
        <w:rPr>
          <w:rFonts w:cs="Times New Roman"/>
          <w:lang w:val="en-AU"/>
        </w:rPr>
      </w:pPr>
      <w:r w:rsidRPr="002018AC">
        <w:rPr>
          <w:rFonts w:cs="Times New Roman"/>
          <w:lang w:val="en-AU"/>
        </w:rPr>
        <w:t>FY2025:</w:t>
      </w:r>
      <w:r w:rsidRPr="002018AC">
        <w:rPr>
          <w:rFonts w:cs="Times New Roman"/>
          <w:lang w:val="en-AU"/>
        </w:rPr>
        <w:br/>
        <w:t>= 53,143 / 105,767 × 100</w:t>
      </w:r>
      <w:r w:rsidRPr="002018AC">
        <w:rPr>
          <w:rFonts w:cs="Times New Roman"/>
          <w:lang w:val="en-AU"/>
        </w:rPr>
        <w:br/>
        <w:t>= 50.25%</w:t>
      </w:r>
    </w:p>
    <w:p w14:paraId="1064ADAE" w14:textId="77777777" w:rsidR="00A77462" w:rsidRPr="002018AC" w:rsidRDefault="00A77462" w:rsidP="00695D8D">
      <w:pPr>
        <w:pStyle w:val="ListParagraph"/>
        <w:numPr>
          <w:ilvl w:val="0"/>
          <w:numId w:val="29"/>
        </w:numPr>
        <w:spacing w:line="276" w:lineRule="auto"/>
        <w:jc w:val="left"/>
        <w:rPr>
          <w:rFonts w:cs="Times New Roman"/>
          <w:lang w:val="en-AU"/>
        </w:rPr>
      </w:pPr>
      <w:r w:rsidRPr="002018AC">
        <w:rPr>
          <w:rFonts w:cs="Times New Roman"/>
          <w:lang w:val="en-AU"/>
        </w:rPr>
        <w:t>FY2024:</w:t>
      </w:r>
      <w:r w:rsidRPr="002018AC">
        <w:rPr>
          <w:rFonts w:cs="Times New Roman"/>
          <w:lang w:val="en-AU"/>
        </w:rPr>
        <w:br/>
        <w:t>= 56,987 / 102,951 × 100</w:t>
      </w:r>
      <w:r w:rsidRPr="002018AC">
        <w:rPr>
          <w:rFonts w:cs="Times New Roman"/>
          <w:lang w:val="en-AU"/>
        </w:rPr>
        <w:br/>
        <w:t>= 55.35%</w:t>
      </w:r>
    </w:p>
    <w:p w14:paraId="0167B01A" w14:textId="53201856" w:rsidR="00A77462" w:rsidRPr="002018AC" w:rsidRDefault="00A77462" w:rsidP="00695D8D">
      <w:pPr>
        <w:spacing w:line="276" w:lineRule="auto"/>
        <w:jc w:val="center"/>
        <w:rPr>
          <w:rFonts w:cs="Times New Roman"/>
          <w:b/>
          <w:bCs/>
          <w:lang w:val="en-AU"/>
        </w:rPr>
      </w:pPr>
      <w:r w:rsidRPr="002018AC">
        <w:rPr>
          <w:rFonts w:cs="Times New Roman"/>
          <w:b/>
          <w:bCs/>
          <w:lang w:val="en-AU"/>
        </w:rPr>
        <w:t>Gearing ratio 2</w:t>
      </w:r>
    </w:p>
    <w:p w14:paraId="01DB784B" w14:textId="77777777" w:rsidR="00A77462" w:rsidRPr="002018AC" w:rsidRDefault="00A77462" w:rsidP="00695D8D">
      <w:pPr>
        <w:pStyle w:val="ListParagraph"/>
        <w:numPr>
          <w:ilvl w:val="0"/>
          <w:numId w:val="28"/>
        </w:numPr>
        <w:spacing w:line="276" w:lineRule="auto"/>
        <w:jc w:val="left"/>
        <w:rPr>
          <w:rFonts w:cs="Times New Roman"/>
          <w:lang w:val="en-AU"/>
        </w:rPr>
      </w:pPr>
      <w:r w:rsidRPr="002018AC">
        <w:rPr>
          <w:rFonts w:cs="Times New Roman"/>
          <w:lang w:val="en-AU"/>
        </w:rPr>
        <w:lastRenderedPageBreak/>
        <w:t>Formula:</w:t>
      </w:r>
      <w:r w:rsidRPr="002018AC">
        <w:rPr>
          <w:rFonts w:cs="Times New Roman"/>
          <w:lang w:val="en-AU"/>
        </w:rPr>
        <w:br/>
        <w:t>Gearing ratio 2 = Loan / Net assets × 100</w:t>
      </w:r>
    </w:p>
    <w:p w14:paraId="5BA2741E" w14:textId="77777777" w:rsidR="00A77462" w:rsidRPr="002018AC" w:rsidRDefault="00A77462" w:rsidP="00695D8D">
      <w:pPr>
        <w:pStyle w:val="ListParagraph"/>
        <w:numPr>
          <w:ilvl w:val="0"/>
          <w:numId w:val="28"/>
        </w:numPr>
        <w:spacing w:line="276" w:lineRule="auto"/>
        <w:jc w:val="left"/>
        <w:rPr>
          <w:rFonts w:cs="Times New Roman"/>
          <w:lang w:val="en-AU"/>
        </w:rPr>
      </w:pPr>
      <w:r w:rsidRPr="002018AC">
        <w:rPr>
          <w:rFonts w:cs="Times New Roman"/>
          <w:lang w:val="en-AU"/>
        </w:rPr>
        <w:t>FY2025:</w:t>
      </w:r>
      <w:r w:rsidRPr="002018AC">
        <w:rPr>
          <w:rFonts w:cs="Times New Roman"/>
          <w:lang w:val="en-AU"/>
        </w:rPr>
        <w:br/>
        <w:t>= 53,143 / 53,916 × 100</w:t>
      </w:r>
      <w:r w:rsidRPr="002018AC">
        <w:rPr>
          <w:rFonts w:cs="Times New Roman"/>
          <w:lang w:val="en-AU"/>
        </w:rPr>
        <w:br/>
        <w:t>= 98.57%</w:t>
      </w:r>
    </w:p>
    <w:p w14:paraId="024D81F2" w14:textId="77777777" w:rsidR="00A77462" w:rsidRPr="002018AC" w:rsidRDefault="00A77462" w:rsidP="00695D8D">
      <w:pPr>
        <w:pStyle w:val="ListParagraph"/>
        <w:numPr>
          <w:ilvl w:val="0"/>
          <w:numId w:val="28"/>
        </w:numPr>
        <w:spacing w:line="276" w:lineRule="auto"/>
        <w:jc w:val="left"/>
        <w:rPr>
          <w:rFonts w:cs="Times New Roman"/>
          <w:lang w:val="en-AU"/>
        </w:rPr>
      </w:pPr>
      <w:r w:rsidRPr="002018AC">
        <w:rPr>
          <w:rFonts w:cs="Times New Roman"/>
          <w:lang w:val="en-AU"/>
        </w:rPr>
        <w:t>FY2024:</w:t>
      </w:r>
      <w:r w:rsidRPr="002018AC">
        <w:rPr>
          <w:rFonts w:cs="Times New Roman"/>
          <w:lang w:val="en-AU"/>
        </w:rPr>
        <w:br/>
        <w:t>= 56,987 / 60,998 × 100</w:t>
      </w:r>
      <w:r w:rsidRPr="002018AC">
        <w:rPr>
          <w:rFonts w:cs="Times New Roman"/>
          <w:lang w:val="en-AU"/>
        </w:rPr>
        <w:br/>
        <w:t>= 93.42%</w:t>
      </w:r>
    </w:p>
    <w:p w14:paraId="727EE060" w14:textId="131C0A6B" w:rsidR="00A77462" w:rsidRPr="002018AC" w:rsidRDefault="00A77462" w:rsidP="00695D8D">
      <w:pPr>
        <w:spacing w:line="276" w:lineRule="auto"/>
        <w:jc w:val="center"/>
        <w:rPr>
          <w:rFonts w:cs="Times New Roman"/>
          <w:b/>
          <w:bCs/>
          <w:lang w:val="en-AU"/>
        </w:rPr>
      </w:pPr>
      <w:r w:rsidRPr="002018AC">
        <w:rPr>
          <w:rFonts w:cs="Times New Roman"/>
          <w:b/>
          <w:bCs/>
          <w:lang w:val="en-AU"/>
        </w:rPr>
        <w:t>Interest cover</w:t>
      </w:r>
    </w:p>
    <w:p w14:paraId="0872BD50" w14:textId="77777777" w:rsidR="00A77462" w:rsidRPr="002018AC" w:rsidRDefault="00A77462" w:rsidP="00695D8D">
      <w:pPr>
        <w:pStyle w:val="ListParagraph"/>
        <w:numPr>
          <w:ilvl w:val="0"/>
          <w:numId w:val="30"/>
        </w:numPr>
        <w:spacing w:line="276" w:lineRule="auto"/>
        <w:jc w:val="left"/>
        <w:rPr>
          <w:rFonts w:cs="Times New Roman"/>
          <w:lang w:val="en-AU"/>
        </w:rPr>
      </w:pPr>
      <w:r w:rsidRPr="002018AC">
        <w:rPr>
          <w:rFonts w:cs="Times New Roman"/>
          <w:lang w:val="en-AU"/>
        </w:rPr>
        <w:t>Formula:</w:t>
      </w:r>
      <w:r w:rsidRPr="002018AC">
        <w:rPr>
          <w:rFonts w:cs="Times New Roman"/>
          <w:lang w:val="en-AU"/>
        </w:rPr>
        <w:br/>
        <w:t>Interest cover = Operating profit / Interest</w:t>
      </w:r>
    </w:p>
    <w:p w14:paraId="34D568F9" w14:textId="77777777" w:rsidR="00A77462" w:rsidRPr="002018AC" w:rsidRDefault="00A77462" w:rsidP="00695D8D">
      <w:pPr>
        <w:pStyle w:val="ListParagraph"/>
        <w:numPr>
          <w:ilvl w:val="0"/>
          <w:numId w:val="30"/>
        </w:numPr>
        <w:spacing w:line="276" w:lineRule="auto"/>
        <w:jc w:val="left"/>
        <w:rPr>
          <w:rFonts w:cs="Times New Roman"/>
          <w:lang w:val="en-AU"/>
        </w:rPr>
      </w:pPr>
      <w:r w:rsidRPr="002018AC">
        <w:rPr>
          <w:rFonts w:cs="Times New Roman"/>
          <w:lang w:val="en-AU"/>
        </w:rPr>
        <w:t>FY2025:</w:t>
      </w:r>
      <w:r w:rsidRPr="002018AC">
        <w:rPr>
          <w:rFonts w:cs="Times New Roman"/>
          <w:lang w:val="en-AU"/>
        </w:rPr>
        <w:br/>
        <w:t>= -411 / 1,931</w:t>
      </w:r>
      <w:r w:rsidRPr="002018AC">
        <w:rPr>
          <w:rFonts w:cs="Times New Roman"/>
          <w:lang w:val="en-AU"/>
        </w:rPr>
        <w:br/>
        <w:t>= -0.21 times</w:t>
      </w:r>
    </w:p>
    <w:p w14:paraId="7A28FA29" w14:textId="77777777" w:rsidR="00A77462" w:rsidRPr="002018AC" w:rsidRDefault="00A77462" w:rsidP="00695D8D">
      <w:pPr>
        <w:pStyle w:val="ListParagraph"/>
        <w:numPr>
          <w:ilvl w:val="0"/>
          <w:numId w:val="30"/>
        </w:numPr>
        <w:spacing w:line="276" w:lineRule="auto"/>
        <w:jc w:val="left"/>
        <w:rPr>
          <w:rFonts w:cs="Times New Roman"/>
          <w:lang w:val="en-AU"/>
        </w:rPr>
      </w:pPr>
      <w:r w:rsidRPr="002018AC">
        <w:rPr>
          <w:rFonts w:cs="Times New Roman"/>
          <w:lang w:val="en-AU"/>
        </w:rPr>
        <w:t>FY2024:</w:t>
      </w:r>
      <w:r w:rsidRPr="002018AC">
        <w:rPr>
          <w:rFonts w:cs="Times New Roman"/>
          <w:lang w:val="en-AU"/>
        </w:rPr>
        <w:br/>
        <w:t>= 3,665 / 2,626</w:t>
      </w:r>
      <w:r w:rsidRPr="002018AC">
        <w:rPr>
          <w:rFonts w:cs="Times New Roman"/>
          <w:lang w:val="en-AU"/>
        </w:rPr>
        <w:br/>
        <w:t>= 1.40 times</w:t>
      </w:r>
    </w:p>
    <w:p w14:paraId="1111F1B5" w14:textId="77777777" w:rsidR="00A77462" w:rsidRPr="002018AC" w:rsidRDefault="00A77462" w:rsidP="00695D8D">
      <w:pPr>
        <w:spacing w:line="276" w:lineRule="auto"/>
        <w:jc w:val="left"/>
        <w:rPr>
          <w:rFonts w:cs="Times New Roman"/>
          <w:lang w:val="en-AU"/>
        </w:rPr>
      </w:pPr>
    </w:p>
    <w:p w14:paraId="78725523" w14:textId="354443DE" w:rsidR="00A77462" w:rsidRPr="002018AC" w:rsidRDefault="00A77462" w:rsidP="00695D8D">
      <w:pPr>
        <w:pStyle w:val="Heading2"/>
        <w:numPr>
          <w:ilvl w:val="1"/>
          <w:numId w:val="9"/>
        </w:numPr>
        <w:spacing w:line="276" w:lineRule="auto"/>
        <w:rPr>
          <w:rFonts w:cs="Times New Roman"/>
          <w:lang w:val="en-AU"/>
        </w:rPr>
      </w:pPr>
      <w:bookmarkStart w:id="57" w:name="_Toc227609587"/>
      <w:r w:rsidRPr="002018AC">
        <w:rPr>
          <w:rFonts w:cs="Times New Roman"/>
          <w:lang w:val="en-AU"/>
        </w:rPr>
        <w:t>Appendix C: Capital allowances and after-tax cash flows</w:t>
      </w:r>
      <w:bookmarkEnd w:id="57"/>
    </w:p>
    <w:p w14:paraId="55391C3F" w14:textId="23DFFA36" w:rsidR="00A77462" w:rsidRPr="002018AC" w:rsidRDefault="00A77462" w:rsidP="00695D8D">
      <w:pPr>
        <w:pStyle w:val="Heading3"/>
        <w:numPr>
          <w:ilvl w:val="2"/>
          <w:numId w:val="9"/>
        </w:numPr>
        <w:spacing w:line="276" w:lineRule="auto"/>
        <w:rPr>
          <w:rFonts w:cs="Times New Roman"/>
          <w:lang w:val="en-AU"/>
        </w:rPr>
      </w:pPr>
      <w:bookmarkStart w:id="58" w:name="_Toc227609588"/>
      <w:r w:rsidRPr="002018AC">
        <w:rPr>
          <w:rFonts w:cs="Times New Roman"/>
          <w:lang w:val="en-AU"/>
        </w:rPr>
        <w:t>C1. Capital allowance calculation</w:t>
      </w:r>
      <w:bookmarkEnd w:id="58"/>
    </w:p>
    <w:tbl>
      <w:tblPr>
        <w:tblStyle w:val="GridTable4-Accent1"/>
        <w:tblW w:w="9554" w:type="dxa"/>
        <w:tblLook w:val="04A0" w:firstRow="1" w:lastRow="0" w:firstColumn="1" w:lastColumn="0" w:noHBand="0" w:noVBand="1"/>
      </w:tblPr>
      <w:tblGrid>
        <w:gridCol w:w="1081"/>
        <w:gridCol w:w="2330"/>
        <w:gridCol w:w="2892"/>
        <w:gridCol w:w="3251"/>
      </w:tblGrid>
      <w:tr w:rsidR="00A77462" w:rsidRPr="002018AC" w14:paraId="4517F5E3" w14:textId="77777777" w:rsidTr="001C195C">
        <w:trPr>
          <w:cnfStyle w:val="100000000000" w:firstRow="1" w:lastRow="0" w:firstColumn="0" w:lastColumn="0" w:oddVBand="0" w:evenVBand="0" w:oddHBand="0" w:evenHBand="0" w:firstRowFirstColumn="0" w:firstRowLastColumn="0" w:lastRowFirstColumn="0" w:lastRowLastColumn="0"/>
          <w:trHeight w:val="367"/>
        </w:trPr>
        <w:tc>
          <w:tcPr>
            <w:cnfStyle w:val="001000000000" w:firstRow="0" w:lastRow="0" w:firstColumn="1" w:lastColumn="0" w:oddVBand="0" w:evenVBand="0" w:oddHBand="0" w:evenHBand="0" w:firstRowFirstColumn="0" w:firstRowLastColumn="0" w:lastRowFirstColumn="0" w:lastRowLastColumn="0"/>
            <w:tcW w:w="0" w:type="auto"/>
            <w:hideMark/>
          </w:tcPr>
          <w:p w14:paraId="0AFD7289" w14:textId="77777777" w:rsidR="00A77462" w:rsidRPr="002018AC" w:rsidRDefault="00A77462" w:rsidP="00695D8D">
            <w:pPr>
              <w:spacing w:line="276" w:lineRule="auto"/>
              <w:rPr>
                <w:rFonts w:cs="Times New Roman"/>
                <w:b w:val="0"/>
                <w:bCs w:val="0"/>
                <w:lang w:val="en-AU" w:eastAsia="en-AU"/>
              </w:rPr>
            </w:pPr>
            <w:r w:rsidRPr="002018AC">
              <w:rPr>
                <w:rFonts w:cs="Times New Roman"/>
                <w:b w:val="0"/>
                <w:bCs w:val="0"/>
                <w:lang w:val="en-AU" w:eastAsia="en-AU"/>
              </w:rPr>
              <w:t>Option</w:t>
            </w:r>
          </w:p>
        </w:tc>
        <w:tc>
          <w:tcPr>
            <w:tcW w:w="0" w:type="auto"/>
            <w:hideMark/>
          </w:tcPr>
          <w:p w14:paraId="381F967C" w14:textId="77777777" w:rsidR="00A77462" w:rsidRPr="002018AC" w:rsidRDefault="00A77462" w:rsidP="00695D8D">
            <w:pPr>
              <w:spacing w:line="276" w:lineRule="auto"/>
              <w:cnfStyle w:val="100000000000" w:firstRow="1" w:lastRow="0" w:firstColumn="0" w:lastColumn="0" w:oddVBand="0" w:evenVBand="0" w:oddHBand="0" w:evenHBand="0" w:firstRowFirstColumn="0" w:firstRowLastColumn="0" w:lastRowFirstColumn="0" w:lastRowLastColumn="0"/>
              <w:rPr>
                <w:rFonts w:cs="Times New Roman"/>
                <w:b w:val="0"/>
                <w:bCs w:val="0"/>
                <w:lang w:val="en-AU" w:eastAsia="en-AU"/>
              </w:rPr>
            </w:pPr>
            <w:r w:rsidRPr="002018AC">
              <w:rPr>
                <w:rFonts w:cs="Times New Roman"/>
                <w:b w:val="0"/>
                <w:bCs w:val="0"/>
                <w:lang w:val="en-AU" w:eastAsia="en-AU"/>
              </w:rPr>
              <w:t>Initial investment</w:t>
            </w:r>
          </w:p>
        </w:tc>
        <w:tc>
          <w:tcPr>
            <w:tcW w:w="0" w:type="auto"/>
            <w:hideMark/>
          </w:tcPr>
          <w:p w14:paraId="2EDCED0A" w14:textId="77777777" w:rsidR="00A77462" w:rsidRPr="002018AC" w:rsidRDefault="00A77462" w:rsidP="00695D8D">
            <w:pPr>
              <w:spacing w:line="276" w:lineRule="auto"/>
              <w:cnfStyle w:val="100000000000" w:firstRow="1" w:lastRow="0" w:firstColumn="0" w:lastColumn="0" w:oddVBand="0" w:evenVBand="0" w:oddHBand="0" w:evenHBand="0" w:firstRowFirstColumn="0" w:firstRowLastColumn="0" w:lastRowFirstColumn="0" w:lastRowLastColumn="0"/>
              <w:rPr>
                <w:rFonts w:cs="Times New Roman"/>
                <w:b w:val="0"/>
                <w:bCs w:val="0"/>
                <w:lang w:val="en-AU" w:eastAsia="en-AU"/>
              </w:rPr>
            </w:pPr>
            <w:r w:rsidRPr="002018AC">
              <w:rPr>
                <w:rFonts w:cs="Times New Roman"/>
                <w:b w:val="0"/>
                <w:bCs w:val="0"/>
                <w:lang w:val="en-AU" w:eastAsia="en-AU"/>
              </w:rPr>
              <w:t>Capital allowance rate</w:t>
            </w:r>
          </w:p>
        </w:tc>
        <w:tc>
          <w:tcPr>
            <w:tcW w:w="0" w:type="auto"/>
            <w:hideMark/>
          </w:tcPr>
          <w:p w14:paraId="6C7E51E0" w14:textId="77777777" w:rsidR="00A77462" w:rsidRPr="002018AC" w:rsidRDefault="00A77462" w:rsidP="00695D8D">
            <w:pPr>
              <w:spacing w:line="276" w:lineRule="auto"/>
              <w:cnfStyle w:val="100000000000" w:firstRow="1" w:lastRow="0" w:firstColumn="0" w:lastColumn="0" w:oddVBand="0" w:evenVBand="0" w:oddHBand="0" w:evenHBand="0" w:firstRowFirstColumn="0" w:firstRowLastColumn="0" w:lastRowFirstColumn="0" w:lastRowLastColumn="0"/>
              <w:rPr>
                <w:rFonts w:cs="Times New Roman"/>
                <w:b w:val="0"/>
                <w:bCs w:val="0"/>
                <w:lang w:val="en-AU" w:eastAsia="en-AU"/>
              </w:rPr>
            </w:pPr>
            <w:r w:rsidRPr="002018AC">
              <w:rPr>
                <w:rFonts w:cs="Times New Roman"/>
                <w:b w:val="0"/>
                <w:bCs w:val="0"/>
                <w:lang w:val="en-AU" w:eastAsia="en-AU"/>
              </w:rPr>
              <w:t>Annual capital allowance</w:t>
            </w:r>
          </w:p>
        </w:tc>
      </w:tr>
      <w:tr w:rsidR="00A77462" w:rsidRPr="002018AC" w14:paraId="4869DA3E" w14:textId="77777777" w:rsidTr="001C195C">
        <w:trPr>
          <w:cnfStyle w:val="000000100000" w:firstRow="0" w:lastRow="0" w:firstColumn="0" w:lastColumn="0" w:oddVBand="0" w:evenVBand="0" w:oddHBand="1" w:evenHBand="0" w:firstRowFirstColumn="0" w:firstRowLastColumn="0" w:lastRowFirstColumn="0" w:lastRowLastColumn="0"/>
          <w:trHeight w:val="358"/>
        </w:trPr>
        <w:tc>
          <w:tcPr>
            <w:cnfStyle w:val="001000000000" w:firstRow="0" w:lastRow="0" w:firstColumn="1" w:lastColumn="0" w:oddVBand="0" w:evenVBand="0" w:oddHBand="0" w:evenHBand="0" w:firstRowFirstColumn="0" w:firstRowLastColumn="0" w:lastRowFirstColumn="0" w:lastRowLastColumn="0"/>
            <w:tcW w:w="0" w:type="auto"/>
            <w:hideMark/>
          </w:tcPr>
          <w:p w14:paraId="4340D484" w14:textId="77777777" w:rsidR="00A77462" w:rsidRPr="002018AC" w:rsidRDefault="00A77462" w:rsidP="00695D8D">
            <w:pPr>
              <w:spacing w:line="276" w:lineRule="auto"/>
              <w:rPr>
                <w:rFonts w:cs="Times New Roman"/>
                <w:lang w:val="en-AU" w:eastAsia="en-AU"/>
              </w:rPr>
            </w:pPr>
            <w:r w:rsidRPr="002018AC">
              <w:rPr>
                <w:rFonts w:cs="Times New Roman"/>
                <w:lang w:val="en-AU" w:eastAsia="en-AU"/>
              </w:rPr>
              <w:t>A</w:t>
            </w:r>
          </w:p>
        </w:tc>
        <w:tc>
          <w:tcPr>
            <w:tcW w:w="0" w:type="auto"/>
            <w:hideMark/>
          </w:tcPr>
          <w:p w14:paraId="292597A2"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600</w:t>
            </w:r>
          </w:p>
        </w:tc>
        <w:tc>
          <w:tcPr>
            <w:tcW w:w="0" w:type="auto"/>
            <w:hideMark/>
          </w:tcPr>
          <w:p w14:paraId="2236E6DD"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20%</w:t>
            </w:r>
          </w:p>
        </w:tc>
        <w:tc>
          <w:tcPr>
            <w:tcW w:w="0" w:type="auto"/>
            <w:hideMark/>
          </w:tcPr>
          <w:p w14:paraId="2F436AED"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 xml:space="preserve">600 × 20% = </w:t>
            </w:r>
            <w:r w:rsidRPr="002018AC">
              <w:rPr>
                <w:rFonts w:cs="Times New Roman"/>
                <w:b/>
                <w:bCs/>
                <w:lang w:val="en-AU" w:eastAsia="en-AU"/>
              </w:rPr>
              <w:t>120</w:t>
            </w:r>
          </w:p>
        </w:tc>
      </w:tr>
      <w:tr w:rsidR="00A77462" w:rsidRPr="002018AC" w14:paraId="4E98A94D" w14:textId="77777777" w:rsidTr="001C195C">
        <w:trPr>
          <w:trHeight w:val="367"/>
        </w:trPr>
        <w:tc>
          <w:tcPr>
            <w:cnfStyle w:val="001000000000" w:firstRow="0" w:lastRow="0" w:firstColumn="1" w:lastColumn="0" w:oddVBand="0" w:evenVBand="0" w:oddHBand="0" w:evenHBand="0" w:firstRowFirstColumn="0" w:firstRowLastColumn="0" w:lastRowFirstColumn="0" w:lastRowLastColumn="0"/>
            <w:tcW w:w="0" w:type="auto"/>
            <w:hideMark/>
          </w:tcPr>
          <w:p w14:paraId="1FE655B1" w14:textId="77777777" w:rsidR="00A77462" w:rsidRPr="002018AC" w:rsidRDefault="00A77462" w:rsidP="00695D8D">
            <w:pPr>
              <w:spacing w:line="276" w:lineRule="auto"/>
              <w:rPr>
                <w:rFonts w:cs="Times New Roman"/>
                <w:lang w:val="en-AU" w:eastAsia="en-AU"/>
              </w:rPr>
            </w:pPr>
            <w:r w:rsidRPr="002018AC">
              <w:rPr>
                <w:rFonts w:cs="Times New Roman"/>
                <w:lang w:val="en-AU" w:eastAsia="en-AU"/>
              </w:rPr>
              <w:t>B</w:t>
            </w:r>
          </w:p>
        </w:tc>
        <w:tc>
          <w:tcPr>
            <w:tcW w:w="0" w:type="auto"/>
            <w:hideMark/>
          </w:tcPr>
          <w:p w14:paraId="6272209F"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900</w:t>
            </w:r>
          </w:p>
        </w:tc>
        <w:tc>
          <w:tcPr>
            <w:tcW w:w="0" w:type="auto"/>
            <w:hideMark/>
          </w:tcPr>
          <w:p w14:paraId="4F5A4BE0"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20%</w:t>
            </w:r>
          </w:p>
        </w:tc>
        <w:tc>
          <w:tcPr>
            <w:tcW w:w="0" w:type="auto"/>
            <w:hideMark/>
          </w:tcPr>
          <w:p w14:paraId="561DC197"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 xml:space="preserve">900 × 20% = </w:t>
            </w:r>
            <w:r w:rsidRPr="002018AC">
              <w:rPr>
                <w:rFonts w:cs="Times New Roman"/>
                <w:b/>
                <w:bCs/>
                <w:lang w:val="en-AU" w:eastAsia="en-AU"/>
              </w:rPr>
              <w:t>180</w:t>
            </w:r>
          </w:p>
        </w:tc>
      </w:tr>
      <w:tr w:rsidR="00A77462" w:rsidRPr="002018AC" w14:paraId="72E287F4" w14:textId="77777777" w:rsidTr="001C195C">
        <w:trPr>
          <w:cnfStyle w:val="000000100000" w:firstRow="0" w:lastRow="0" w:firstColumn="0" w:lastColumn="0" w:oddVBand="0" w:evenVBand="0" w:oddHBand="1" w:evenHBand="0" w:firstRowFirstColumn="0" w:firstRowLastColumn="0" w:lastRowFirstColumn="0" w:lastRowLastColumn="0"/>
          <w:trHeight w:val="367"/>
        </w:trPr>
        <w:tc>
          <w:tcPr>
            <w:cnfStyle w:val="001000000000" w:firstRow="0" w:lastRow="0" w:firstColumn="1" w:lastColumn="0" w:oddVBand="0" w:evenVBand="0" w:oddHBand="0" w:evenHBand="0" w:firstRowFirstColumn="0" w:firstRowLastColumn="0" w:lastRowFirstColumn="0" w:lastRowLastColumn="0"/>
            <w:tcW w:w="0" w:type="auto"/>
            <w:hideMark/>
          </w:tcPr>
          <w:p w14:paraId="51A3DAF2" w14:textId="77777777" w:rsidR="00A77462" w:rsidRPr="002018AC" w:rsidRDefault="00A77462" w:rsidP="00695D8D">
            <w:pPr>
              <w:spacing w:line="276" w:lineRule="auto"/>
              <w:rPr>
                <w:rFonts w:cs="Times New Roman"/>
                <w:lang w:val="en-AU" w:eastAsia="en-AU"/>
              </w:rPr>
            </w:pPr>
            <w:r w:rsidRPr="002018AC">
              <w:rPr>
                <w:rFonts w:cs="Times New Roman"/>
                <w:lang w:val="en-AU" w:eastAsia="en-AU"/>
              </w:rPr>
              <w:t>C</w:t>
            </w:r>
          </w:p>
        </w:tc>
        <w:tc>
          <w:tcPr>
            <w:tcW w:w="0" w:type="auto"/>
            <w:hideMark/>
          </w:tcPr>
          <w:p w14:paraId="161345F1"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1,000</w:t>
            </w:r>
          </w:p>
        </w:tc>
        <w:tc>
          <w:tcPr>
            <w:tcW w:w="0" w:type="auto"/>
            <w:hideMark/>
          </w:tcPr>
          <w:p w14:paraId="7C6EE1B9"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20%</w:t>
            </w:r>
          </w:p>
        </w:tc>
        <w:tc>
          <w:tcPr>
            <w:tcW w:w="0" w:type="auto"/>
            <w:hideMark/>
          </w:tcPr>
          <w:p w14:paraId="44D678BB"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 xml:space="preserve">1,000 × 20% = </w:t>
            </w:r>
            <w:r w:rsidRPr="002018AC">
              <w:rPr>
                <w:rFonts w:cs="Times New Roman"/>
                <w:b/>
                <w:bCs/>
                <w:lang w:val="en-AU" w:eastAsia="en-AU"/>
              </w:rPr>
              <w:t>200</w:t>
            </w:r>
          </w:p>
        </w:tc>
      </w:tr>
    </w:tbl>
    <w:p w14:paraId="77869CAA" w14:textId="77777777" w:rsidR="00A77462" w:rsidRPr="002018AC" w:rsidRDefault="00A77462" w:rsidP="00695D8D">
      <w:pPr>
        <w:pStyle w:val="Heading3"/>
        <w:numPr>
          <w:ilvl w:val="2"/>
          <w:numId w:val="31"/>
        </w:numPr>
        <w:spacing w:line="276" w:lineRule="auto"/>
        <w:rPr>
          <w:rFonts w:cs="Times New Roman"/>
          <w:lang w:val="en-AU"/>
        </w:rPr>
      </w:pPr>
      <w:bookmarkStart w:id="59" w:name="_Toc227609589"/>
      <w:r w:rsidRPr="002018AC">
        <w:rPr>
          <w:rFonts w:cs="Times New Roman"/>
          <w:lang w:val="en-AU"/>
        </w:rPr>
        <w:t>C2. Discount factors at 5%</w:t>
      </w:r>
      <w:bookmarkEnd w:id="59"/>
    </w:p>
    <w:tbl>
      <w:tblPr>
        <w:tblStyle w:val="GridTable4-Accent1"/>
        <w:tblW w:w="9549" w:type="dxa"/>
        <w:tblLook w:val="04A0" w:firstRow="1" w:lastRow="0" w:firstColumn="1" w:lastColumn="0" w:noHBand="0" w:noVBand="1"/>
      </w:tblPr>
      <w:tblGrid>
        <w:gridCol w:w="1909"/>
        <w:gridCol w:w="2879"/>
        <w:gridCol w:w="4761"/>
      </w:tblGrid>
      <w:tr w:rsidR="00A77462" w:rsidRPr="002018AC" w14:paraId="42B5D466" w14:textId="77777777" w:rsidTr="001C195C">
        <w:trPr>
          <w:cnfStyle w:val="100000000000" w:firstRow="1" w:lastRow="0" w:firstColumn="0" w:lastColumn="0" w:oddVBand="0" w:evenVBand="0" w:oddHBand="0"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0" w:type="auto"/>
            <w:hideMark/>
          </w:tcPr>
          <w:p w14:paraId="02351DDF" w14:textId="77777777" w:rsidR="00A77462" w:rsidRPr="002018AC" w:rsidRDefault="00A77462" w:rsidP="00695D8D">
            <w:pPr>
              <w:spacing w:line="276" w:lineRule="auto"/>
              <w:rPr>
                <w:rFonts w:cs="Times New Roman"/>
                <w:b w:val="0"/>
                <w:bCs w:val="0"/>
                <w:lang w:val="en-AU" w:eastAsia="en-AU"/>
              </w:rPr>
            </w:pPr>
            <w:r w:rsidRPr="002018AC">
              <w:rPr>
                <w:rFonts w:cs="Times New Roman"/>
                <w:b w:val="0"/>
                <w:bCs w:val="0"/>
                <w:lang w:val="en-AU" w:eastAsia="en-AU"/>
              </w:rPr>
              <w:t>Year</w:t>
            </w:r>
          </w:p>
        </w:tc>
        <w:tc>
          <w:tcPr>
            <w:tcW w:w="0" w:type="auto"/>
            <w:hideMark/>
          </w:tcPr>
          <w:p w14:paraId="4AC7AE15" w14:textId="77777777" w:rsidR="00A77462" w:rsidRPr="002018AC" w:rsidRDefault="00A77462" w:rsidP="00695D8D">
            <w:pPr>
              <w:spacing w:line="276" w:lineRule="auto"/>
              <w:cnfStyle w:val="100000000000" w:firstRow="1" w:lastRow="0" w:firstColumn="0" w:lastColumn="0" w:oddVBand="0" w:evenVBand="0" w:oddHBand="0" w:evenHBand="0" w:firstRowFirstColumn="0" w:firstRowLastColumn="0" w:lastRowFirstColumn="0" w:lastRowLastColumn="0"/>
              <w:rPr>
                <w:rFonts w:cs="Times New Roman"/>
                <w:b w:val="0"/>
                <w:bCs w:val="0"/>
                <w:lang w:val="en-AU" w:eastAsia="en-AU"/>
              </w:rPr>
            </w:pPr>
            <w:r w:rsidRPr="002018AC">
              <w:rPr>
                <w:rFonts w:cs="Times New Roman"/>
                <w:b w:val="0"/>
                <w:bCs w:val="0"/>
                <w:lang w:val="en-AU" w:eastAsia="en-AU"/>
              </w:rPr>
              <w:t>Formula</w:t>
            </w:r>
          </w:p>
        </w:tc>
        <w:tc>
          <w:tcPr>
            <w:tcW w:w="0" w:type="auto"/>
            <w:hideMark/>
          </w:tcPr>
          <w:p w14:paraId="696E2CB4" w14:textId="77777777" w:rsidR="00A77462" w:rsidRPr="002018AC" w:rsidRDefault="00A77462" w:rsidP="00695D8D">
            <w:pPr>
              <w:spacing w:line="276" w:lineRule="auto"/>
              <w:cnfStyle w:val="100000000000" w:firstRow="1" w:lastRow="0" w:firstColumn="0" w:lastColumn="0" w:oddVBand="0" w:evenVBand="0" w:oddHBand="0" w:evenHBand="0" w:firstRowFirstColumn="0" w:firstRowLastColumn="0" w:lastRowFirstColumn="0" w:lastRowLastColumn="0"/>
              <w:rPr>
                <w:rFonts w:cs="Times New Roman"/>
                <w:b w:val="0"/>
                <w:bCs w:val="0"/>
                <w:lang w:val="en-AU" w:eastAsia="en-AU"/>
              </w:rPr>
            </w:pPr>
            <w:r w:rsidRPr="002018AC">
              <w:rPr>
                <w:rFonts w:cs="Times New Roman"/>
                <w:b w:val="0"/>
                <w:bCs w:val="0"/>
                <w:lang w:val="en-AU" w:eastAsia="en-AU"/>
              </w:rPr>
              <w:t>Discount factor</w:t>
            </w:r>
          </w:p>
        </w:tc>
      </w:tr>
      <w:tr w:rsidR="00A77462" w:rsidRPr="002018AC" w14:paraId="135D4768" w14:textId="77777777" w:rsidTr="001C195C">
        <w:trPr>
          <w:cnfStyle w:val="000000100000" w:firstRow="0" w:lastRow="0" w:firstColumn="0" w:lastColumn="0" w:oddVBand="0" w:evenVBand="0" w:oddHBand="1" w:evenHBand="0" w:firstRowFirstColumn="0" w:firstRowLastColumn="0" w:lastRowFirstColumn="0" w:lastRowLastColumn="0"/>
          <w:trHeight w:val="283"/>
        </w:trPr>
        <w:tc>
          <w:tcPr>
            <w:cnfStyle w:val="001000000000" w:firstRow="0" w:lastRow="0" w:firstColumn="1" w:lastColumn="0" w:oddVBand="0" w:evenVBand="0" w:oddHBand="0" w:evenHBand="0" w:firstRowFirstColumn="0" w:firstRowLastColumn="0" w:lastRowFirstColumn="0" w:lastRowLastColumn="0"/>
            <w:tcW w:w="0" w:type="auto"/>
            <w:hideMark/>
          </w:tcPr>
          <w:p w14:paraId="54A2332E" w14:textId="77777777" w:rsidR="00A77462" w:rsidRPr="002018AC" w:rsidRDefault="00A77462" w:rsidP="00695D8D">
            <w:pPr>
              <w:spacing w:line="276" w:lineRule="auto"/>
              <w:rPr>
                <w:rFonts w:cs="Times New Roman"/>
                <w:lang w:val="en-AU" w:eastAsia="en-AU"/>
              </w:rPr>
            </w:pPr>
            <w:r w:rsidRPr="002018AC">
              <w:rPr>
                <w:rFonts w:cs="Times New Roman"/>
                <w:lang w:val="en-AU" w:eastAsia="en-AU"/>
              </w:rPr>
              <w:t>1</w:t>
            </w:r>
          </w:p>
        </w:tc>
        <w:tc>
          <w:tcPr>
            <w:tcW w:w="0" w:type="auto"/>
            <w:hideMark/>
          </w:tcPr>
          <w:p w14:paraId="6D925BA7"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1 / 1.05</w:t>
            </w:r>
          </w:p>
        </w:tc>
        <w:tc>
          <w:tcPr>
            <w:tcW w:w="0" w:type="auto"/>
            <w:hideMark/>
          </w:tcPr>
          <w:p w14:paraId="22D2FDBF"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b/>
                <w:bCs/>
                <w:lang w:val="en-AU" w:eastAsia="en-AU"/>
              </w:rPr>
              <w:t>0.9524</w:t>
            </w:r>
          </w:p>
        </w:tc>
      </w:tr>
      <w:tr w:rsidR="00A77462" w:rsidRPr="002018AC" w14:paraId="116C87D3" w14:textId="77777777" w:rsidTr="001C195C">
        <w:trPr>
          <w:trHeight w:val="290"/>
        </w:trPr>
        <w:tc>
          <w:tcPr>
            <w:cnfStyle w:val="001000000000" w:firstRow="0" w:lastRow="0" w:firstColumn="1" w:lastColumn="0" w:oddVBand="0" w:evenVBand="0" w:oddHBand="0" w:evenHBand="0" w:firstRowFirstColumn="0" w:firstRowLastColumn="0" w:lastRowFirstColumn="0" w:lastRowLastColumn="0"/>
            <w:tcW w:w="0" w:type="auto"/>
            <w:hideMark/>
          </w:tcPr>
          <w:p w14:paraId="7C890B0A" w14:textId="77777777" w:rsidR="00A77462" w:rsidRPr="002018AC" w:rsidRDefault="00A77462" w:rsidP="00695D8D">
            <w:pPr>
              <w:spacing w:line="276" w:lineRule="auto"/>
              <w:rPr>
                <w:rFonts w:cs="Times New Roman"/>
                <w:lang w:val="en-AU" w:eastAsia="en-AU"/>
              </w:rPr>
            </w:pPr>
            <w:r w:rsidRPr="002018AC">
              <w:rPr>
                <w:rFonts w:cs="Times New Roman"/>
                <w:lang w:val="en-AU" w:eastAsia="en-AU"/>
              </w:rPr>
              <w:t>2</w:t>
            </w:r>
          </w:p>
        </w:tc>
        <w:tc>
          <w:tcPr>
            <w:tcW w:w="0" w:type="auto"/>
            <w:hideMark/>
          </w:tcPr>
          <w:p w14:paraId="3079698F"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1 / 1.05²</w:t>
            </w:r>
          </w:p>
        </w:tc>
        <w:tc>
          <w:tcPr>
            <w:tcW w:w="0" w:type="auto"/>
            <w:hideMark/>
          </w:tcPr>
          <w:p w14:paraId="3CD34E38"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b/>
                <w:bCs/>
                <w:lang w:val="en-AU" w:eastAsia="en-AU"/>
              </w:rPr>
              <w:t>0.9070</w:t>
            </w:r>
          </w:p>
        </w:tc>
      </w:tr>
      <w:tr w:rsidR="00A77462" w:rsidRPr="002018AC" w14:paraId="494D622F" w14:textId="77777777" w:rsidTr="001C195C">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0" w:type="auto"/>
            <w:hideMark/>
          </w:tcPr>
          <w:p w14:paraId="0BA35617" w14:textId="77777777" w:rsidR="00A77462" w:rsidRPr="002018AC" w:rsidRDefault="00A77462" w:rsidP="00695D8D">
            <w:pPr>
              <w:spacing w:line="276" w:lineRule="auto"/>
              <w:rPr>
                <w:rFonts w:cs="Times New Roman"/>
                <w:lang w:val="en-AU" w:eastAsia="en-AU"/>
              </w:rPr>
            </w:pPr>
            <w:r w:rsidRPr="002018AC">
              <w:rPr>
                <w:rFonts w:cs="Times New Roman"/>
                <w:lang w:val="en-AU" w:eastAsia="en-AU"/>
              </w:rPr>
              <w:t>3</w:t>
            </w:r>
          </w:p>
        </w:tc>
        <w:tc>
          <w:tcPr>
            <w:tcW w:w="0" w:type="auto"/>
            <w:hideMark/>
          </w:tcPr>
          <w:p w14:paraId="142A58D2"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1 / 1.05³</w:t>
            </w:r>
          </w:p>
        </w:tc>
        <w:tc>
          <w:tcPr>
            <w:tcW w:w="0" w:type="auto"/>
            <w:hideMark/>
          </w:tcPr>
          <w:p w14:paraId="379E2710"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b/>
                <w:bCs/>
                <w:lang w:val="en-AU" w:eastAsia="en-AU"/>
              </w:rPr>
              <w:t>0.8638</w:t>
            </w:r>
          </w:p>
        </w:tc>
      </w:tr>
      <w:tr w:rsidR="00A77462" w:rsidRPr="002018AC" w14:paraId="01D28158" w14:textId="77777777" w:rsidTr="001C195C">
        <w:trPr>
          <w:trHeight w:val="283"/>
        </w:trPr>
        <w:tc>
          <w:tcPr>
            <w:cnfStyle w:val="001000000000" w:firstRow="0" w:lastRow="0" w:firstColumn="1" w:lastColumn="0" w:oddVBand="0" w:evenVBand="0" w:oddHBand="0" w:evenHBand="0" w:firstRowFirstColumn="0" w:firstRowLastColumn="0" w:lastRowFirstColumn="0" w:lastRowLastColumn="0"/>
            <w:tcW w:w="0" w:type="auto"/>
            <w:hideMark/>
          </w:tcPr>
          <w:p w14:paraId="38BC88F4" w14:textId="77777777" w:rsidR="00A77462" w:rsidRPr="002018AC" w:rsidRDefault="00A77462" w:rsidP="00695D8D">
            <w:pPr>
              <w:spacing w:line="276" w:lineRule="auto"/>
              <w:rPr>
                <w:rFonts w:cs="Times New Roman"/>
                <w:lang w:val="en-AU" w:eastAsia="en-AU"/>
              </w:rPr>
            </w:pPr>
            <w:r w:rsidRPr="002018AC">
              <w:rPr>
                <w:rFonts w:cs="Times New Roman"/>
                <w:lang w:val="en-AU" w:eastAsia="en-AU"/>
              </w:rPr>
              <w:lastRenderedPageBreak/>
              <w:t>4</w:t>
            </w:r>
          </w:p>
        </w:tc>
        <w:tc>
          <w:tcPr>
            <w:tcW w:w="0" w:type="auto"/>
            <w:hideMark/>
          </w:tcPr>
          <w:p w14:paraId="33DED75A"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1 / 1.05⁴</w:t>
            </w:r>
          </w:p>
        </w:tc>
        <w:tc>
          <w:tcPr>
            <w:tcW w:w="0" w:type="auto"/>
            <w:hideMark/>
          </w:tcPr>
          <w:p w14:paraId="06F861F4"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b/>
                <w:bCs/>
                <w:lang w:val="en-AU" w:eastAsia="en-AU"/>
              </w:rPr>
              <w:t>0.8227</w:t>
            </w:r>
          </w:p>
        </w:tc>
      </w:tr>
    </w:tbl>
    <w:p w14:paraId="03B8CD30" w14:textId="36DE4B22" w:rsidR="00A77462" w:rsidRPr="002018AC" w:rsidRDefault="00A77462" w:rsidP="00695D8D">
      <w:pPr>
        <w:pStyle w:val="Heading2"/>
        <w:numPr>
          <w:ilvl w:val="1"/>
          <w:numId w:val="9"/>
        </w:numPr>
        <w:spacing w:line="276" w:lineRule="auto"/>
        <w:rPr>
          <w:rFonts w:cs="Times New Roman"/>
          <w:lang w:val="en-AU"/>
        </w:rPr>
      </w:pPr>
      <w:bookmarkStart w:id="60" w:name="_Toc227609590"/>
      <w:r w:rsidRPr="002018AC">
        <w:rPr>
          <w:rFonts w:cs="Times New Roman"/>
          <w:lang w:val="en-AU"/>
        </w:rPr>
        <w:t>Appendix D: NPV calculations</w:t>
      </w:r>
      <w:bookmarkEnd w:id="60"/>
    </w:p>
    <w:p w14:paraId="63A4511A" w14:textId="20A21A29" w:rsidR="00A77462" w:rsidRPr="002018AC" w:rsidRDefault="00A77462" w:rsidP="00695D8D">
      <w:pPr>
        <w:pStyle w:val="Heading3"/>
        <w:numPr>
          <w:ilvl w:val="2"/>
          <w:numId w:val="9"/>
        </w:numPr>
        <w:spacing w:line="276" w:lineRule="auto"/>
        <w:rPr>
          <w:rFonts w:cs="Times New Roman"/>
          <w:lang w:val="en-AU"/>
        </w:rPr>
      </w:pPr>
      <w:bookmarkStart w:id="61" w:name="_Toc227609591"/>
      <w:r w:rsidRPr="002018AC">
        <w:rPr>
          <w:rFonts w:cs="Times New Roman"/>
          <w:lang w:val="en-AU"/>
        </w:rPr>
        <w:t>D1. Option A: Expand retail outlet</w:t>
      </w:r>
      <w:bookmarkEnd w:id="61"/>
    </w:p>
    <w:p w14:paraId="31C838CA" w14:textId="77777777" w:rsidR="00A77462" w:rsidRPr="002018AC" w:rsidRDefault="00A77462" w:rsidP="00695D8D">
      <w:pPr>
        <w:spacing w:line="276" w:lineRule="auto"/>
        <w:jc w:val="left"/>
        <w:rPr>
          <w:rFonts w:cs="Times New Roman"/>
          <w:lang w:val="en-AU"/>
        </w:rPr>
      </w:pPr>
      <w:r w:rsidRPr="002018AC">
        <w:rPr>
          <w:rFonts w:cs="Times New Roman"/>
          <w:lang w:val="en-AU"/>
        </w:rPr>
        <w:t xml:space="preserve">Initial investment = </w:t>
      </w:r>
      <w:r w:rsidRPr="002018AC">
        <w:rPr>
          <w:rFonts w:cs="Times New Roman"/>
          <w:b/>
          <w:bCs/>
          <w:lang w:val="en-AU"/>
        </w:rPr>
        <w:t>£600k</w:t>
      </w:r>
      <w:r w:rsidRPr="002018AC">
        <w:rPr>
          <w:rFonts w:cs="Times New Roman"/>
          <w:lang w:val="en-AU"/>
        </w:rPr>
        <w:br/>
        <w:t xml:space="preserve">Annual capital allowance = </w:t>
      </w:r>
      <w:r w:rsidRPr="002018AC">
        <w:rPr>
          <w:rFonts w:cs="Times New Roman"/>
          <w:b/>
          <w:bCs/>
          <w:lang w:val="en-AU"/>
        </w:rPr>
        <w:t>£120k</w:t>
      </w:r>
    </w:p>
    <w:tbl>
      <w:tblPr>
        <w:tblStyle w:val="GridTable4-Accent1"/>
        <w:tblW w:w="0" w:type="auto"/>
        <w:tblLook w:val="04A0" w:firstRow="1" w:lastRow="0" w:firstColumn="1" w:lastColumn="0" w:noHBand="0" w:noVBand="1"/>
      </w:tblPr>
      <w:tblGrid>
        <w:gridCol w:w="683"/>
        <w:gridCol w:w="892"/>
        <w:gridCol w:w="1485"/>
        <w:gridCol w:w="1311"/>
        <w:gridCol w:w="1117"/>
        <w:gridCol w:w="1306"/>
        <w:gridCol w:w="887"/>
        <w:gridCol w:w="1669"/>
      </w:tblGrid>
      <w:tr w:rsidR="00A77462" w:rsidRPr="002018AC" w14:paraId="3CCE5FFB" w14:textId="77777777" w:rsidTr="001C195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9376C94" w14:textId="77777777" w:rsidR="00A77462" w:rsidRPr="002018AC" w:rsidRDefault="00A77462" w:rsidP="00695D8D">
            <w:pPr>
              <w:spacing w:line="276" w:lineRule="auto"/>
              <w:jc w:val="left"/>
              <w:rPr>
                <w:rFonts w:cs="Times New Roman"/>
                <w:b w:val="0"/>
                <w:bCs w:val="0"/>
                <w:lang w:val="en-AU" w:eastAsia="en-AU"/>
              </w:rPr>
            </w:pPr>
            <w:r w:rsidRPr="002018AC">
              <w:rPr>
                <w:rFonts w:cs="Times New Roman"/>
                <w:b w:val="0"/>
                <w:bCs w:val="0"/>
                <w:lang w:val="en-AU" w:eastAsia="en-AU"/>
              </w:rPr>
              <w:t>Year</w:t>
            </w:r>
          </w:p>
        </w:tc>
        <w:tc>
          <w:tcPr>
            <w:tcW w:w="0" w:type="auto"/>
            <w:hideMark/>
          </w:tcPr>
          <w:p w14:paraId="0E4D69BF" w14:textId="77777777" w:rsidR="00A77462" w:rsidRPr="002018AC" w:rsidRDefault="00A77462" w:rsidP="00695D8D">
            <w:pPr>
              <w:spacing w:line="276" w:lineRule="auto"/>
              <w:jc w:val="left"/>
              <w:cnfStyle w:val="100000000000" w:firstRow="1" w:lastRow="0" w:firstColumn="0" w:lastColumn="0" w:oddVBand="0" w:evenVBand="0" w:oddHBand="0" w:evenHBand="0" w:firstRowFirstColumn="0" w:firstRowLastColumn="0" w:lastRowFirstColumn="0" w:lastRowLastColumn="0"/>
              <w:rPr>
                <w:rFonts w:cs="Times New Roman"/>
                <w:b w:val="0"/>
                <w:bCs w:val="0"/>
                <w:lang w:val="en-AU" w:eastAsia="en-AU"/>
              </w:rPr>
            </w:pPr>
            <w:r w:rsidRPr="002018AC">
              <w:rPr>
                <w:rFonts w:cs="Times New Roman"/>
                <w:b w:val="0"/>
                <w:bCs w:val="0"/>
                <w:lang w:val="en-AU" w:eastAsia="en-AU"/>
              </w:rPr>
              <w:t>Cash flow</w:t>
            </w:r>
          </w:p>
        </w:tc>
        <w:tc>
          <w:tcPr>
            <w:tcW w:w="0" w:type="auto"/>
            <w:hideMark/>
          </w:tcPr>
          <w:p w14:paraId="4ADE8127" w14:textId="77777777" w:rsidR="00A77462" w:rsidRPr="002018AC" w:rsidRDefault="00A77462" w:rsidP="00695D8D">
            <w:pPr>
              <w:spacing w:line="276" w:lineRule="auto"/>
              <w:jc w:val="left"/>
              <w:cnfStyle w:val="100000000000" w:firstRow="1" w:lastRow="0" w:firstColumn="0" w:lastColumn="0" w:oddVBand="0" w:evenVBand="0" w:oddHBand="0" w:evenHBand="0" w:firstRowFirstColumn="0" w:firstRowLastColumn="0" w:lastRowFirstColumn="0" w:lastRowLastColumn="0"/>
              <w:rPr>
                <w:rFonts w:cs="Times New Roman"/>
                <w:b w:val="0"/>
                <w:bCs w:val="0"/>
                <w:lang w:val="en-AU" w:eastAsia="en-AU"/>
              </w:rPr>
            </w:pPr>
            <w:r w:rsidRPr="002018AC">
              <w:rPr>
                <w:rFonts w:cs="Times New Roman"/>
                <w:b w:val="0"/>
                <w:bCs w:val="0"/>
                <w:lang w:val="en-AU" w:eastAsia="en-AU"/>
              </w:rPr>
              <w:t>Capital allowance</w:t>
            </w:r>
          </w:p>
        </w:tc>
        <w:tc>
          <w:tcPr>
            <w:tcW w:w="0" w:type="auto"/>
            <w:hideMark/>
          </w:tcPr>
          <w:p w14:paraId="550D9AEB" w14:textId="77777777" w:rsidR="00A77462" w:rsidRPr="002018AC" w:rsidRDefault="00A77462" w:rsidP="00695D8D">
            <w:pPr>
              <w:spacing w:line="276" w:lineRule="auto"/>
              <w:jc w:val="left"/>
              <w:cnfStyle w:val="100000000000" w:firstRow="1" w:lastRow="0" w:firstColumn="0" w:lastColumn="0" w:oddVBand="0" w:evenVBand="0" w:oddHBand="0" w:evenHBand="0" w:firstRowFirstColumn="0" w:firstRowLastColumn="0" w:lastRowFirstColumn="0" w:lastRowLastColumn="0"/>
              <w:rPr>
                <w:rFonts w:cs="Times New Roman"/>
                <w:b w:val="0"/>
                <w:bCs w:val="0"/>
                <w:lang w:val="en-AU" w:eastAsia="en-AU"/>
              </w:rPr>
            </w:pPr>
            <w:r w:rsidRPr="002018AC">
              <w:rPr>
                <w:rFonts w:cs="Times New Roman"/>
                <w:b w:val="0"/>
                <w:bCs w:val="0"/>
                <w:lang w:val="en-AU" w:eastAsia="en-AU"/>
              </w:rPr>
              <w:t>Taxable profit</w:t>
            </w:r>
          </w:p>
        </w:tc>
        <w:tc>
          <w:tcPr>
            <w:tcW w:w="0" w:type="auto"/>
            <w:hideMark/>
          </w:tcPr>
          <w:p w14:paraId="05FD1CD7" w14:textId="77777777" w:rsidR="00A77462" w:rsidRPr="002018AC" w:rsidRDefault="00A77462" w:rsidP="00695D8D">
            <w:pPr>
              <w:spacing w:line="276" w:lineRule="auto"/>
              <w:jc w:val="left"/>
              <w:cnfStyle w:val="100000000000" w:firstRow="1" w:lastRow="0" w:firstColumn="0" w:lastColumn="0" w:oddVBand="0" w:evenVBand="0" w:oddHBand="0" w:evenHBand="0" w:firstRowFirstColumn="0" w:firstRowLastColumn="0" w:lastRowFirstColumn="0" w:lastRowLastColumn="0"/>
              <w:rPr>
                <w:rFonts w:cs="Times New Roman"/>
                <w:b w:val="0"/>
                <w:bCs w:val="0"/>
                <w:lang w:val="en-AU" w:eastAsia="en-AU"/>
              </w:rPr>
            </w:pPr>
            <w:r w:rsidRPr="002018AC">
              <w:rPr>
                <w:rFonts w:cs="Times New Roman"/>
                <w:b w:val="0"/>
                <w:bCs w:val="0"/>
                <w:lang w:val="en-AU" w:eastAsia="en-AU"/>
              </w:rPr>
              <w:t>Tax at 25%</w:t>
            </w:r>
          </w:p>
        </w:tc>
        <w:tc>
          <w:tcPr>
            <w:tcW w:w="0" w:type="auto"/>
            <w:hideMark/>
          </w:tcPr>
          <w:p w14:paraId="5A48140F" w14:textId="77777777" w:rsidR="00A77462" w:rsidRPr="002018AC" w:rsidRDefault="00A77462" w:rsidP="00695D8D">
            <w:pPr>
              <w:spacing w:line="276" w:lineRule="auto"/>
              <w:jc w:val="left"/>
              <w:cnfStyle w:val="100000000000" w:firstRow="1" w:lastRow="0" w:firstColumn="0" w:lastColumn="0" w:oddVBand="0" w:evenVBand="0" w:oddHBand="0" w:evenHBand="0" w:firstRowFirstColumn="0" w:firstRowLastColumn="0" w:lastRowFirstColumn="0" w:lastRowLastColumn="0"/>
              <w:rPr>
                <w:rFonts w:cs="Times New Roman"/>
                <w:b w:val="0"/>
                <w:bCs w:val="0"/>
                <w:lang w:val="en-AU" w:eastAsia="en-AU"/>
              </w:rPr>
            </w:pPr>
            <w:r w:rsidRPr="002018AC">
              <w:rPr>
                <w:rFonts w:cs="Times New Roman"/>
                <w:b w:val="0"/>
                <w:bCs w:val="0"/>
                <w:lang w:val="en-AU" w:eastAsia="en-AU"/>
              </w:rPr>
              <w:t>After-tax cash flow</w:t>
            </w:r>
          </w:p>
        </w:tc>
        <w:tc>
          <w:tcPr>
            <w:tcW w:w="0" w:type="auto"/>
            <w:hideMark/>
          </w:tcPr>
          <w:p w14:paraId="1A3666E2" w14:textId="77777777" w:rsidR="00A77462" w:rsidRPr="002018AC" w:rsidRDefault="00A77462" w:rsidP="00695D8D">
            <w:pPr>
              <w:spacing w:line="276" w:lineRule="auto"/>
              <w:jc w:val="left"/>
              <w:cnfStyle w:val="100000000000" w:firstRow="1" w:lastRow="0" w:firstColumn="0" w:lastColumn="0" w:oddVBand="0" w:evenVBand="0" w:oddHBand="0" w:evenHBand="0" w:firstRowFirstColumn="0" w:firstRowLastColumn="0" w:lastRowFirstColumn="0" w:lastRowLastColumn="0"/>
              <w:rPr>
                <w:rFonts w:cs="Times New Roman"/>
                <w:b w:val="0"/>
                <w:bCs w:val="0"/>
                <w:lang w:val="en-AU" w:eastAsia="en-AU"/>
              </w:rPr>
            </w:pPr>
            <w:r w:rsidRPr="002018AC">
              <w:rPr>
                <w:rFonts w:cs="Times New Roman"/>
                <w:b w:val="0"/>
                <w:bCs w:val="0"/>
                <w:lang w:val="en-AU" w:eastAsia="en-AU"/>
              </w:rPr>
              <w:t>DF 5%</w:t>
            </w:r>
          </w:p>
        </w:tc>
        <w:tc>
          <w:tcPr>
            <w:tcW w:w="0" w:type="auto"/>
            <w:hideMark/>
          </w:tcPr>
          <w:p w14:paraId="3415A101" w14:textId="77777777" w:rsidR="00A77462" w:rsidRPr="002018AC" w:rsidRDefault="00A77462" w:rsidP="00695D8D">
            <w:pPr>
              <w:spacing w:line="276" w:lineRule="auto"/>
              <w:jc w:val="left"/>
              <w:cnfStyle w:val="100000000000" w:firstRow="1" w:lastRow="0" w:firstColumn="0" w:lastColumn="0" w:oddVBand="0" w:evenVBand="0" w:oddHBand="0" w:evenHBand="0" w:firstRowFirstColumn="0" w:firstRowLastColumn="0" w:lastRowFirstColumn="0" w:lastRowLastColumn="0"/>
              <w:rPr>
                <w:rFonts w:cs="Times New Roman"/>
                <w:b w:val="0"/>
                <w:bCs w:val="0"/>
                <w:lang w:val="en-AU" w:eastAsia="en-AU"/>
              </w:rPr>
            </w:pPr>
            <w:r w:rsidRPr="002018AC">
              <w:rPr>
                <w:rFonts w:cs="Times New Roman"/>
                <w:b w:val="0"/>
                <w:bCs w:val="0"/>
                <w:lang w:val="en-AU" w:eastAsia="en-AU"/>
              </w:rPr>
              <w:t>Present value</w:t>
            </w:r>
          </w:p>
        </w:tc>
      </w:tr>
      <w:tr w:rsidR="00A77462" w:rsidRPr="002018AC" w14:paraId="4C1832D6" w14:textId="77777777" w:rsidTr="001C19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444F800" w14:textId="77777777" w:rsidR="00A77462" w:rsidRPr="002018AC" w:rsidRDefault="00A77462" w:rsidP="00695D8D">
            <w:pPr>
              <w:spacing w:line="276" w:lineRule="auto"/>
              <w:jc w:val="left"/>
              <w:rPr>
                <w:rFonts w:cs="Times New Roman"/>
                <w:lang w:val="en-AU" w:eastAsia="en-AU"/>
              </w:rPr>
            </w:pPr>
            <w:r w:rsidRPr="002018AC">
              <w:rPr>
                <w:rFonts w:cs="Times New Roman"/>
                <w:lang w:val="en-AU" w:eastAsia="en-AU"/>
              </w:rPr>
              <w:t>1</w:t>
            </w:r>
          </w:p>
        </w:tc>
        <w:tc>
          <w:tcPr>
            <w:tcW w:w="0" w:type="auto"/>
            <w:hideMark/>
          </w:tcPr>
          <w:p w14:paraId="74EAED57" w14:textId="77777777" w:rsidR="00A77462" w:rsidRPr="002018AC" w:rsidRDefault="00A77462" w:rsidP="00695D8D">
            <w:pPr>
              <w:spacing w:line="276" w:lineRule="auto"/>
              <w:jc w:val="left"/>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100</w:t>
            </w:r>
          </w:p>
        </w:tc>
        <w:tc>
          <w:tcPr>
            <w:tcW w:w="0" w:type="auto"/>
            <w:hideMark/>
          </w:tcPr>
          <w:p w14:paraId="73A01E89" w14:textId="77777777" w:rsidR="00A77462" w:rsidRPr="002018AC" w:rsidRDefault="00A77462" w:rsidP="00695D8D">
            <w:pPr>
              <w:spacing w:line="276" w:lineRule="auto"/>
              <w:jc w:val="left"/>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120</w:t>
            </w:r>
          </w:p>
        </w:tc>
        <w:tc>
          <w:tcPr>
            <w:tcW w:w="0" w:type="auto"/>
            <w:hideMark/>
          </w:tcPr>
          <w:p w14:paraId="60C05864" w14:textId="77777777" w:rsidR="00A77462" w:rsidRPr="002018AC" w:rsidRDefault="00A77462" w:rsidP="00695D8D">
            <w:pPr>
              <w:spacing w:line="276" w:lineRule="auto"/>
              <w:jc w:val="left"/>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 xml:space="preserve">100 − 120 = </w:t>
            </w:r>
            <w:r w:rsidRPr="002018AC">
              <w:rPr>
                <w:rFonts w:cs="Times New Roman"/>
                <w:b/>
                <w:bCs/>
                <w:lang w:val="en-AU" w:eastAsia="en-AU"/>
              </w:rPr>
              <w:t>-20</w:t>
            </w:r>
          </w:p>
        </w:tc>
        <w:tc>
          <w:tcPr>
            <w:tcW w:w="0" w:type="auto"/>
            <w:hideMark/>
          </w:tcPr>
          <w:p w14:paraId="4E0BE073" w14:textId="77777777" w:rsidR="00A77462" w:rsidRPr="002018AC" w:rsidRDefault="00A77462" w:rsidP="00695D8D">
            <w:pPr>
              <w:spacing w:line="276" w:lineRule="auto"/>
              <w:jc w:val="left"/>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 xml:space="preserve">-20 × 25% = </w:t>
            </w:r>
            <w:r w:rsidRPr="002018AC">
              <w:rPr>
                <w:rFonts w:cs="Times New Roman"/>
                <w:b/>
                <w:bCs/>
                <w:lang w:val="en-AU" w:eastAsia="en-AU"/>
              </w:rPr>
              <w:t>-5</w:t>
            </w:r>
          </w:p>
        </w:tc>
        <w:tc>
          <w:tcPr>
            <w:tcW w:w="0" w:type="auto"/>
            <w:hideMark/>
          </w:tcPr>
          <w:p w14:paraId="38AE79BD" w14:textId="77777777" w:rsidR="00A77462" w:rsidRPr="002018AC" w:rsidRDefault="00A77462" w:rsidP="00695D8D">
            <w:pPr>
              <w:spacing w:line="276" w:lineRule="auto"/>
              <w:jc w:val="left"/>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 xml:space="preserve">100 − (-5) = </w:t>
            </w:r>
            <w:r w:rsidRPr="002018AC">
              <w:rPr>
                <w:rFonts w:cs="Times New Roman"/>
                <w:b/>
                <w:bCs/>
                <w:lang w:val="en-AU" w:eastAsia="en-AU"/>
              </w:rPr>
              <w:t>105</w:t>
            </w:r>
          </w:p>
        </w:tc>
        <w:tc>
          <w:tcPr>
            <w:tcW w:w="0" w:type="auto"/>
            <w:hideMark/>
          </w:tcPr>
          <w:p w14:paraId="188118F6" w14:textId="77777777" w:rsidR="00A77462" w:rsidRPr="002018AC" w:rsidRDefault="00A77462" w:rsidP="00695D8D">
            <w:pPr>
              <w:spacing w:line="276" w:lineRule="auto"/>
              <w:jc w:val="left"/>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0.9524</w:t>
            </w:r>
          </w:p>
        </w:tc>
        <w:tc>
          <w:tcPr>
            <w:tcW w:w="0" w:type="auto"/>
            <w:hideMark/>
          </w:tcPr>
          <w:p w14:paraId="2BA74BEB" w14:textId="77777777" w:rsidR="00A77462" w:rsidRPr="002018AC" w:rsidRDefault="00A77462" w:rsidP="00695D8D">
            <w:pPr>
              <w:spacing w:line="276" w:lineRule="auto"/>
              <w:jc w:val="left"/>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 xml:space="preserve">105 × 0.9524 = </w:t>
            </w:r>
            <w:r w:rsidRPr="002018AC">
              <w:rPr>
                <w:rFonts w:cs="Times New Roman"/>
                <w:b/>
                <w:bCs/>
                <w:lang w:val="en-AU" w:eastAsia="en-AU"/>
              </w:rPr>
              <w:t>100.000</w:t>
            </w:r>
          </w:p>
        </w:tc>
      </w:tr>
      <w:tr w:rsidR="00A77462" w:rsidRPr="002018AC" w14:paraId="7DDE74AE" w14:textId="77777777" w:rsidTr="001C195C">
        <w:tc>
          <w:tcPr>
            <w:cnfStyle w:val="001000000000" w:firstRow="0" w:lastRow="0" w:firstColumn="1" w:lastColumn="0" w:oddVBand="0" w:evenVBand="0" w:oddHBand="0" w:evenHBand="0" w:firstRowFirstColumn="0" w:firstRowLastColumn="0" w:lastRowFirstColumn="0" w:lastRowLastColumn="0"/>
            <w:tcW w:w="0" w:type="auto"/>
            <w:hideMark/>
          </w:tcPr>
          <w:p w14:paraId="57632BFC" w14:textId="77777777" w:rsidR="00A77462" w:rsidRPr="002018AC" w:rsidRDefault="00A77462" w:rsidP="00695D8D">
            <w:pPr>
              <w:spacing w:line="276" w:lineRule="auto"/>
              <w:jc w:val="left"/>
              <w:rPr>
                <w:rFonts w:cs="Times New Roman"/>
                <w:lang w:val="en-AU" w:eastAsia="en-AU"/>
              </w:rPr>
            </w:pPr>
            <w:r w:rsidRPr="002018AC">
              <w:rPr>
                <w:rFonts w:cs="Times New Roman"/>
                <w:lang w:val="en-AU" w:eastAsia="en-AU"/>
              </w:rPr>
              <w:t>2</w:t>
            </w:r>
          </w:p>
        </w:tc>
        <w:tc>
          <w:tcPr>
            <w:tcW w:w="0" w:type="auto"/>
            <w:hideMark/>
          </w:tcPr>
          <w:p w14:paraId="129B4023" w14:textId="77777777" w:rsidR="00A77462" w:rsidRPr="002018AC" w:rsidRDefault="00A77462" w:rsidP="00695D8D">
            <w:pPr>
              <w:spacing w:line="276" w:lineRule="auto"/>
              <w:jc w:val="left"/>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180</w:t>
            </w:r>
          </w:p>
        </w:tc>
        <w:tc>
          <w:tcPr>
            <w:tcW w:w="0" w:type="auto"/>
            <w:hideMark/>
          </w:tcPr>
          <w:p w14:paraId="68F82D2B" w14:textId="77777777" w:rsidR="00A77462" w:rsidRPr="002018AC" w:rsidRDefault="00A77462" w:rsidP="00695D8D">
            <w:pPr>
              <w:spacing w:line="276" w:lineRule="auto"/>
              <w:jc w:val="left"/>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120</w:t>
            </w:r>
          </w:p>
        </w:tc>
        <w:tc>
          <w:tcPr>
            <w:tcW w:w="0" w:type="auto"/>
            <w:hideMark/>
          </w:tcPr>
          <w:p w14:paraId="13E9BC24" w14:textId="77777777" w:rsidR="00A77462" w:rsidRPr="002018AC" w:rsidRDefault="00A77462" w:rsidP="00695D8D">
            <w:pPr>
              <w:spacing w:line="276" w:lineRule="auto"/>
              <w:jc w:val="left"/>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 xml:space="preserve">180 − 120 = </w:t>
            </w:r>
            <w:r w:rsidRPr="002018AC">
              <w:rPr>
                <w:rFonts w:cs="Times New Roman"/>
                <w:b/>
                <w:bCs/>
                <w:lang w:val="en-AU" w:eastAsia="en-AU"/>
              </w:rPr>
              <w:t>60</w:t>
            </w:r>
          </w:p>
        </w:tc>
        <w:tc>
          <w:tcPr>
            <w:tcW w:w="0" w:type="auto"/>
            <w:hideMark/>
          </w:tcPr>
          <w:p w14:paraId="08E36BAD" w14:textId="77777777" w:rsidR="00A77462" w:rsidRPr="002018AC" w:rsidRDefault="00A77462" w:rsidP="00695D8D">
            <w:pPr>
              <w:spacing w:line="276" w:lineRule="auto"/>
              <w:jc w:val="left"/>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 xml:space="preserve">60 × 25% = </w:t>
            </w:r>
            <w:r w:rsidRPr="002018AC">
              <w:rPr>
                <w:rFonts w:cs="Times New Roman"/>
                <w:b/>
                <w:bCs/>
                <w:lang w:val="en-AU" w:eastAsia="en-AU"/>
              </w:rPr>
              <w:t>15</w:t>
            </w:r>
          </w:p>
        </w:tc>
        <w:tc>
          <w:tcPr>
            <w:tcW w:w="0" w:type="auto"/>
            <w:hideMark/>
          </w:tcPr>
          <w:p w14:paraId="17A680F9" w14:textId="77777777" w:rsidR="00A77462" w:rsidRPr="002018AC" w:rsidRDefault="00A77462" w:rsidP="00695D8D">
            <w:pPr>
              <w:spacing w:line="276" w:lineRule="auto"/>
              <w:jc w:val="left"/>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 xml:space="preserve">180 − 15 = </w:t>
            </w:r>
            <w:r w:rsidRPr="002018AC">
              <w:rPr>
                <w:rFonts w:cs="Times New Roman"/>
                <w:b/>
                <w:bCs/>
                <w:lang w:val="en-AU" w:eastAsia="en-AU"/>
              </w:rPr>
              <w:t>165</w:t>
            </w:r>
          </w:p>
        </w:tc>
        <w:tc>
          <w:tcPr>
            <w:tcW w:w="0" w:type="auto"/>
            <w:hideMark/>
          </w:tcPr>
          <w:p w14:paraId="69AEA1FA" w14:textId="77777777" w:rsidR="00A77462" w:rsidRPr="002018AC" w:rsidRDefault="00A77462" w:rsidP="00695D8D">
            <w:pPr>
              <w:spacing w:line="276" w:lineRule="auto"/>
              <w:jc w:val="left"/>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0.9070</w:t>
            </w:r>
          </w:p>
        </w:tc>
        <w:tc>
          <w:tcPr>
            <w:tcW w:w="0" w:type="auto"/>
            <w:hideMark/>
          </w:tcPr>
          <w:p w14:paraId="6B88E5A2" w14:textId="77777777" w:rsidR="00A77462" w:rsidRPr="002018AC" w:rsidRDefault="00A77462" w:rsidP="00695D8D">
            <w:pPr>
              <w:spacing w:line="276" w:lineRule="auto"/>
              <w:jc w:val="left"/>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 xml:space="preserve">165 × 0.9070 = </w:t>
            </w:r>
            <w:r w:rsidRPr="002018AC">
              <w:rPr>
                <w:rFonts w:cs="Times New Roman"/>
                <w:b/>
                <w:bCs/>
                <w:lang w:val="en-AU" w:eastAsia="en-AU"/>
              </w:rPr>
              <w:t>149.660</w:t>
            </w:r>
          </w:p>
        </w:tc>
      </w:tr>
      <w:tr w:rsidR="00A77462" w:rsidRPr="002018AC" w14:paraId="40E8A202" w14:textId="77777777" w:rsidTr="001C19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A2F28BA" w14:textId="77777777" w:rsidR="00A77462" w:rsidRPr="002018AC" w:rsidRDefault="00A77462" w:rsidP="00695D8D">
            <w:pPr>
              <w:spacing w:line="276" w:lineRule="auto"/>
              <w:jc w:val="left"/>
              <w:rPr>
                <w:rFonts w:cs="Times New Roman"/>
                <w:lang w:val="en-AU" w:eastAsia="en-AU"/>
              </w:rPr>
            </w:pPr>
            <w:r w:rsidRPr="002018AC">
              <w:rPr>
                <w:rFonts w:cs="Times New Roman"/>
                <w:lang w:val="en-AU" w:eastAsia="en-AU"/>
              </w:rPr>
              <w:t>3</w:t>
            </w:r>
          </w:p>
        </w:tc>
        <w:tc>
          <w:tcPr>
            <w:tcW w:w="0" w:type="auto"/>
            <w:hideMark/>
          </w:tcPr>
          <w:p w14:paraId="5E3A489A" w14:textId="77777777" w:rsidR="00A77462" w:rsidRPr="002018AC" w:rsidRDefault="00A77462" w:rsidP="00695D8D">
            <w:pPr>
              <w:spacing w:line="276" w:lineRule="auto"/>
              <w:jc w:val="left"/>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210</w:t>
            </w:r>
          </w:p>
        </w:tc>
        <w:tc>
          <w:tcPr>
            <w:tcW w:w="0" w:type="auto"/>
            <w:hideMark/>
          </w:tcPr>
          <w:p w14:paraId="7D001E66" w14:textId="77777777" w:rsidR="00A77462" w:rsidRPr="002018AC" w:rsidRDefault="00A77462" w:rsidP="00695D8D">
            <w:pPr>
              <w:spacing w:line="276" w:lineRule="auto"/>
              <w:jc w:val="left"/>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120</w:t>
            </w:r>
          </w:p>
        </w:tc>
        <w:tc>
          <w:tcPr>
            <w:tcW w:w="0" w:type="auto"/>
            <w:hideMark/>
          </w:tcPr>
          <w:p w14:paraId="089B22D3" w14:textId="77777777" w:rsidR="00A77462" w:rsidRPr="002018AC" w:rsidRDefault="00A77462" w:rsidP="00695D8D">
            <w:pPr>
              <w:spacing w:line="276" w:lineRule="auto"/>
              <w:jc w:val="left"/>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 xml:space="preserve">210 − 120 = </w:t>
            </w:r>
            <w:r w:rsidRPr="002018AC">
              <w:rPr>
                <w:rFonts w:cs="Times New Roman"/>
                <w:b/>
                <w:bCs/>
                <w:lang w:val="en-AU" w:eastAsia="en-AU"/>
              </w:rPr>
              <w:t>90</w:t>
            </w:r>
          </w:p>
        </w:tc>
        <w:tc>
          <w:tcPr>
            <w:tcW w:w="0" w:type="auto"/>
            <w:hideMark/>
          </w:tcPr>
          <w:p w14:paraId="42939E31" w14:textId="77777777" w:rsidR="00A77462" w:rsidRPr="002018AC" w:rsidRDefault="00A77462" w:rsidP="00695D8D">
            <w:pPr>
              <w:spacing w:line="276" w:lineRule="auto"/>
              <w:jc w:val="left"/>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 xml:space="preserve">90 × 25% = </w:t>
            </w:r>
            <w:r w:rsidRPr="002018AC">
              <w:rPr>
                <w:rFonts w:cs="Times New Roman"/>
                <w:b/>
                <w:bCs/>
                <w:lang w:val="en-AU" w:eastAsia="en-AU"/>
              </w:rPr>
              <w:t>22.5</w:t>
            </w:r>
          </w:p>
        </w:tc>
        <w:tc>
          <w:tcPr>
            <w:tcW w:w="0" w:type="auto"/>
            <w:hideMark/>
          </w:tcPr>
          <w:p w14:paraId="342897B7" w14:textId="77777777" w:rsidR="00A77462" w:rsidRPr="002018AC" w:rsidRDefault="00A77462" w:rsidP="00695D8D">
            <w:pPr>
              <w:spacing w:line="276" w:lineRule="auto"/>
              <w:jc w:val="left"/>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 xml:space="preserve">210 − 22.5 = </w:t>
            </w:r>
            <w:r w:rsidRPr="002018AC">
              <w:rPr>
                <w:rFonts w:cs="Times New Roman"/>
                <w:b/>
                <w:bCs/>
                <w:lang w:val="en-AU" w:eastAsia="en-AU"/>
              </w:rPr>
              <w:t>187.5</w:t>
            </w:r>
          </w:p>
        </w:tc>
        <w:tc>
          <w:tcPr>
            <w:tcW w:w="0" w:type="auto"/>
            <w:hideMark/>
          </w:tcPr>
          <w:p w14:paraId="14512020" w14:textId="77777777" w:rsidR="00A77462" w:rsidRPr="002018AC" w:rsidRDefault="00A77462" w:rsidP="00695D8D">
            <w:pPr>
              <w:spacing w:line="276" w:lineRule="auto"/>
              <w:jc w:val="left"/>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0.8638</w:t>
            </w:r>
          </w:p>
        </w:tc>
        <w:tc>
          <w:tcPr>
            <w:tcW w:w="0" w:type="auto"/>
            <w:hideMark/>
          </w:tcPr>
          <w:p w14:paraId="074A1A89" w14:textId="77777777" w:rsidR="00A77462" w:rsidRPr="002018AC" w:rsidRDefault="00A77462" w:rsidP="00695D8D">
            <w:pPr>
              <w:spacing w:line="276" w:lineRule="auto"/>
              <w:jc w:val="left"/>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 xml:space="preserve">187.5 × 0.8638 = </w:t>
            </w:r>
            <w:r w:rsidRPr="002018AC">
              <w:rPr>
                <w:rFonts w:cs="Times New Roman"/>
                <w:b/>
                <w:bCs/>
                <w:lang w:val="en-AU" w:eastAsia="en-AU"/>
              </w:rPr>
              <w:t>161.970</w:t>
            </w:r>
          </w:p>
        </w:tc>
      </w:tr>
      <w:tr w:rsidR="00A77462" w:rsidRPr="002018AC" w14:paraId="7C900AEF" w14:textId="77777777" w:rsidTr="001C195C">
        <w:tc>
          <w:tcPr>
            <w:cnfStyle w:val="001000000000" w:firstRow="0" w:lastRow="0" w:firstColumn="1" w:lastColumn="0" w:oddVBand="0" w:evenVBand="0" w:oddHBand="0" w:evenHBand="0" w:firstRowFirstColumn="0" w:firstRowLastColumn="0" w:lastRowFirstColumn="0" w:lastRowLastColumn="0"/>
            <w:tcW w:w="0" w:type="auto"/>
            <w:hideMark/>
          </w:tcPr>
          <w:p w14:paraId="379BEEF5" w14:textId="77777777" w:rsidR="00A77462" w:rsidRPr="002018AC" w:rsidRDefault="00A77462" w:rsidP="00695D8D">
            <w:pPr>
              <w:spacing w:line="276" w:lineRule="auto"/>
              <w:jc w:val="left"/>
              <w:rPr>
                <w:rFonts w:cs="Times New Roman"/>
                <w:lang w:val="en-AU" w:eastAsia="en-AU"/>
              </w:rPr>
            </w:pPr>
            <w:r w:rsidRPr="002018AC">
              <w:rPr>
                <w:rFonts w:cs="Times New Roman"/>
                <w:lang w:val="en-AU" w:eastAsia="en-AU"/>
              </w:rPr>
              <w:t>4</w:t>
            </w:r>
          </w:p>
        </w:tc>
        <w:tc>
          <w:tcPr>
            <w:tcW w:w="0" w:type="auto"/>
            <w:hideMark/>
          </w:tcPr>
          <w:p w14:paraId="742B0ABD" w14:textId="77777777" w:rsidR="00A77462" w:rsidRPr="002018AC" w:rsidRDefault="00A77462" w:rsidP="00695D8D">
            <w:pPr>
              <w:spacing w:line="276" w:lineRule="auto"/>
              <w:jc w:val="left"/>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260</w:t>
            </w:r>
          </w:p>
        </w:tc>
        <w:tc>
          <w:tcPr>
            <w:tcW w:w="0" w:type="auto"/>
            <w:hideMark/>
          </w:tcPr>
          <w:p w14:paraId="3247D76B" w14:textId="77777777" w:rsidR="00A77462" w:rsidRPr="002018AC" w:rsidRDefault="00A77462" w:rsidP="00695D8D">
            <w:pPr>
              <w:spacing w:line="276" w:lineRule="auto"/>
              <w:jc w:val="left"/>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120</w:t>
            </w:r>
          </w:p>
        </w:tc>
        <w:tc>
          <w:tcPr>
            <w:tcW w:w="0" w:type="auto"/>
            <w:hideMark/>
          </w:tcPr>
          <w:p w14:paraId="091FE6F0" w14:textId="77777777" w:rsidR="00A77462" w:rsidRPr="002018AC" w:rsidRDefault="00A77462" w:rsidP="00695D8D">
            <w:pPr>
              <w:spacing w:line="276" w:lineRule="auto"/>
              <w:jc w:val="left"/>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 xml:space="preserve">260 − 120 = </w:t>
            </w:r>
            <w:r w:rsidRPr="002018AC">
              <w:rPr>
                <w:rFonts w:cs="Times New Roman"/>
                <w:b/>
                <w:bCs/>
                <w:lang w:val="en-AU" w:eastAsia="en-AU"/>
              </w:rPr>
              <w:t>140</w:t>
            </w:r>
          </w:p>
        </w:tc>
        <w:tc>
          <w:tcPr>
            <w:tcW w:w="0" w:type="auto"/>
            <w:hideMark/>
          </w:tcPr>
          <w:p w14:paraId="27EB281B" w14:textId="77777777" w:rsidR="00A77462" w:rsidRPr="002018AC" w:rsidRDefault="00A77462" w:rsidP="00695D8D">
            <w:pPr>
              <w:spacing w:line="276" w:lineRule="auto"/>
              <w:jc w:val="left"/>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 xml:space="preserve">140 × 25% = </w:t>
            </w:r>
            <w:r w:rsidRPr="002018AC">
              <w:rPr>
                <w:rFonts w:cs="Times New Roman"/>
                <w:b/>
                <w:bCs/>
                <w:lang w:val="en-AU" w:eastAsia="en-AU"/>
              </w:rPr>
              <w:t>35</w:t>
            </w:r>
          </w:p>
        </w:tc>
        <w:tc>
          <w:tcPr>
            <w:tcW w:w="0" w:type="auto"/>
            <w:hideMark/>
          </w:tcPr>
          <w:p w14:paraId="036E6004" w14:textId="77777777" w:rsidR="00A77462" w:rsidRPr="002018AC" w:rsidRDefault="00A77462" w:rsidP="00695D8D">
            <w:pPr>
              <w:spacing w:line="276" w:lineRule="auto"/>
              <w:jc w:val="left"/>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 xml:space="preserve">260 − 35 = </w:t>
            </w:r>
            <w:r w:rsidRPr="002018AC">
              <w:rPr>
                <w:rFonts w:cs="Times New Roman"/>
                <w:b/>
                <w:bCs/>
                <w:lang w:val="en-AU" w:eastAsia="en-AU"/>
              </w:rPr>
              <w:t>225</w:t>
            </w:r>
          </w:p>
        </w:tc>
        <w:tc>
          <w:tcPr>
            <w:tcW w:w="0" w:type="auto"/>
            <w:hideMark/>
          </w:tcPr>
          <w:p w14:paraId="3C662284" w14:textId="77777777" w:rsidR="00A77462" w:rsidRPr="002018AC" w:rsidRDefault="00A77462" w:rsidP="00695D8D">
            <w:pPr>
              <w:spacing w:line="276" w:lineRule="auto"/>
              <w:jc w:val="left"/>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0.8227</w:t>
            </w:r>
          </w:p>
        </w:tc>
        <w:tc>
          <w:tcPr>
            <w:tcW w:w="0" w:type="auto"/>
            <w:hideMark/>
          </w:tcPr>
          <w:p w14:paraId="3546EA1C" w14:textId="77777777" w:rsidR="00A77462" w:rsidRPr="002018AC" w:rsidRDefault="00A77462" w:rsidP="00695D8D">
            <w:pPr>
              <w:spacing w:line="276" w:lineRule="auto"/>
              <w:jc w:val="left"/>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 xml:space="preserve">225 × 0.8227 = </w:t>
            </w:r>
            <w:r w:rsidRPr="002018AC">
              <w:rPr>
                <w:rFonts w:cs="Times New Roman"/>
                <w:b/>
                <w:bCs/>
                <w:lang w:val="en-AU" w:eastAsia="en-AU"/>
              </w:rPr>
              <w:t>185.108</w:t>
            </w:r>
          </w:p>
        </w:tc>
      </w:tr>
    </w:tbl>
    <w:p w14:paraId="3D008011" w14:textId="77777777" w:rsidR="00A77462" w:rsidRPr="002018AC" w:rsidRDefault="00A77462" w:rsidP="00695D8D">
      <w:pPr>
        <w:pStyle w:val="ListParagraph"/>
        <w:numPr>
          <w:ilvl w:val="0"/>
          <w:numId w:val="32"/>
        </w:numPr>
        <w:spacing w:line="276" w:lineRule="auto"/>
        <w:jc w:val="left"/>
        <w:rPr>
          <w:rFonts w:cs="Times New Roman"/>
          <w:lang w:val="en-AU"/>
        </w:rPr>
      </w:pPr>
      <w:r w:rsidRPr="002018AC">
        <w:rPr>
          <w:rFonts w:cs="Times New Roman"/>
          <w:b/>
          <w:bCs/>
          <w:lang w:val="en-AU"/>
        </w:rPr>
        <w:t>Total PV of after-tax cash flows:</w:t>
      </w:r>
      <w:r w:rsidRPr="002018AC">
        <w:rPr>
          <w:rFonts w:cs="Times New Roman"/>
          <w:lang w:val="en-AU"/>
        </w:rPr>
        <w:br/>
        <w:t>= 100.000 + 149.660 + 161.970 + 185.108</w:t>
      </w:r>
      <w:r w:rsidRPr="002018AC">
        <w:rPr>
          <w:rFonts w:cs="Times New Roman"/>
          <w:lang w:val="en-AU"/>
        </w:rPr>
        <w:br/>
        <w:t xml:space="preserve">= </w:t>
      </w:r>
      <w:r w:rsidRPr="002018AC">
        <w:rPr>
          <w:rFonts w:cs="Times New Roman"/>
          <w:b/>
          <w:bCs/>
          <w:lang w:val="en-AU"/>
        </w:rPr>
        <w:t>596.737</w:t>
      </w:r>
    </w:p>
    <w:p w14:paraId="573DCEC9" w14:textId="77777777" w:rsidR="00A77462" w:rsidRPr="002018AC" w:rsidRDefault="00A77462" w:rsidP="00695D8D">
      <w:pPr>
        <w:pStyle w:val="ListParagraph"/>
        <w:numPr>
          <w:ilvl w:val="0"/>
          <w:numId w:val="32"/>
        </w:numPr>
        <w:spacing w:line="276" w:lineRule="auto"/>
        <w:jc w:val="left"/>
        <w:rPr>
          <w:rFonts w:cs="Times New Roman"/>
          <w:lang w:val="en-AU"/>
        </w:rPr>
      </w:pPr>
      <w:r w:rsidRPr="002018AC">
        <w:rPr>
          <w:rFonts w:cs="Times New Roman"/>
          <w:b/>
          <w:bCs/>
          <w:lang w:val="en-AU"/>
        </w:rPr>
        <w:t>NPV:</w:t>
      </w:r>
      <w:r w:rsidRPr="002018AC">
        <w:rPr>
          <w:rFonts w:cs="Times New Roman"/>
          <w:lang w:val="en-AU"/>
        </w:rPr>
        <w:br/>
        <w:t>= 596.737 − 600</w:t>
      </w:r>
      <w:r w:rsidRPr="002018AC">
        <w:rPr>
          <w:rFonts w:cs="Times New Roman"/>
          <w:lang w:val="en-AU"/>
        </w:rPr>
        <w:br/>
        <w:t xml:space="preserve">= </w:t>
      </w:r>
      <w:r w:rsidRPr="002018AC">
        <w:rPr>
          <w:rFonts w:cs="Times New Roman"/>
          <w:b/>
          <w:bCs/>
          <w:lang w:val="en-AU"/>
        </w:rPr>
        <w:t>-3.263</w:t>
      </w:r>
    </w:p>
    <w:p w14:paraId="7932E136" w14:textId="596EFE1C" w:rsidR="00A77462" w:rsidRPr="002018AC" w:rsidRDefault="00A77462" w:rsidP="00695D8D">
      <w:pPr>
        <w:pStyle w:val="Heading3"/>
        <w:numPr>
          <w:ilvl w:val="2"/>
          <w:numId w:val="9"/>
        </w:numPr>
        <w:spacing w:line="276" w:lineRule="auto"/>
        <w:rPr>
          <w:rFonts w:cs="Times New Roman"/>
          <w:lang w:val="en-AU"/>
        </w:rPr>
      </w:pPr>
      <w:bookmarkStart w:id="62" w:name="_Toc227609592"/>
      <w:r w:rsidRPr="002018AC">
        <w:rPr>
          <w:rFonts w:cs="Times New Roman"/>
          <w:lang w:val="en-AU"/>
        </w:rPr>
        <w:t>D2. Option B: Develop internet sales</w:t>
      </w:r>
      <w:bookmarkEnd w:id="62"/>
    </w:p>
    <w:p w14:paraId="2FF6DFE9" w14:textId="77777777" w:rsidR="00A77462" w:rsidRPr="002018AC" w:rsidRDefault="00A77462" w:rsidP="00695D8D">
      <w:pPr>
        <w:spacing w:line="276" w:lineRule="auto"/>
        <w:jc w:val="left"/>
        <w:rPr>
          <w:rFonts w:cs="Times New Roman"/>
          <w:lang w:val="en-AU"/>
        </w:rPr>
      </w:pPr>
      <w:r w:rsidRPr="002018AC">
        <w:rPr>
          <w:rFonts w:cs="Times New Roman"/>
          <w:lang w:val="en-AU"/>
        </w:rPr>
        <w:t xml:space="preserve">Initial investment = </w:t>
      </w:r>
      <w:r w:rsidRPr="002018AC">
        <w:rPr>
          <w:rFonts w:cs="Times New Roman"/>
          <w:b/>
          <w:bCs/>
          <w:lang w:val="en-AU"/>
        </w:rPr>
        <w:t>£900k</w:t>
      </w:r>
      <w:r w:rsidRPr="002018AC">
        <w:rPr>
          <w:rFonts w:cs="Times New Roman"/>
          <w:lang w:val="en-AU"/>
        </w:rPr>
        <w:br/>
        <w:t xml:space="preserve">Annual capital allowance = </w:t>
      </w:r>
      <w:r w:rsidRPr="002018AC">
        <w:rPr>
          <w:rFonts w:cs="Times New Roman"/>
          <w:b/>
          <w:bCs/>
          <w:lang w:val="en-AU"/>
        </w:rPr>
        <w:t>£180k</w:t>
      </w:r>
    </w:p>
    <w:tbl>
      <w:tblPr>
        <w:tblStyle w:val="GridTable4-Accent1"/>
        <w:tblW w:w="0" w:type="auto"/>
        <w:tblLook w:val="04A0" w:firstRow="1" w:lastRow="0" w:firstColumn="1" w:lastColumn="0" w:noHBand="0" w:noVBand="1"/>
      </w:tblPr>
      <w:tblGrid>
        <w:gridCol w:w="683"/>
        <w:gridCol w:w="889"/>
        <w:gridCol w:w="1480"/>
        <w:gridCol w:w="1305"/>
        <w:gridCol w:w="1154"/>
        <w:gridCol w:w="1297"/>
        <w:gridCol w:w="886"/>
        <w:gridCol w:w="1656"/>
      </w:tblGrid>
      <w:tr w:rsidR="00A77462" w:rsidRPr="002018AC" w14:paraId="7FF60B5F" w14:textId="77777777" w:rsidTr="001C195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CF8BAE6" w14:textId="77777777" w:rsidR="00A77462" w:rsidRPr="002018AC" w:rsidRDefault="00A77462" w:rsidP="00695D8D">
            <w:pPr>
              <w:spacing w:line="276" w:lineRule="auto"/>
              <w:jc w:val="left"/>
              <w:rPr>
                <w:rFonts w:cs="Times New Roman"/>
                <w:b w:val="0"/>
                <w:bCs w:val="0"/>
                <w:lang w:val="en-AU" w:eastAsia="en-AU"/>
              </w:rPr>
            </w:pPr>
            <w:r w:rsidRPr="002018AC">
              <w:rPr>
                <w:rFonts w:cs="Times New Roman"/>
                <w:b w:val="0"/>
                <w:bCs w:val="0"/>
                <w:lang w:val="en-AU" w:eastAsia="en-AU"/>
              </w:rPr>
              <w:t>Year</w:t>
            </w:r>
          </w:p>
        </w:tc>
        <w:tc>
          <w:tcPr>
            <w:tcW w:w="0" w:type="auto"/>
            <w:hideMark/>
          </w:tcPr>
          <w:p w14:paraId="5D26C772" w14:textId="77777777" w:rsidR="00A77462" w:rsidRPr="002018AC" w:rsidRDefault="00A77462" w:rsidP="00695D8D">
            <w:pPr>
              <w:spacing w:line="276" w:lineRule="auto"/>
              <w:jc w:val="left"/>
              <w:cnfStyle w:val="100000000000" w:firstRow="1" w:lastRow="0" w:firstColumn="0" w:lastColumn="0" w:oddVBand="0" w:evenVBand="0" w:oddHBand="0" w:evenHBand="0" w:firstRowFirstColumn="0" w:firstRowLastColumn="0" w:lastRowFirstColumn="0" w:lastRowLastColumn="0"/>
              <w:rPr>
                <w:rFonts w:cs="Times New Roman"/>
                <w:b w:val="0"/>
                <w:bCs w:val="0"/>
                <w:lang w:val="en-AU" w:eastAsia="en-AU"/>
              </w:rPr>
            </w:pPr>
            <w:r w:rsidRPr="002018AC">
              <w:rPr>
                <w:rFonts w:cs="Times New Roman"/>
                <w:b w:val="0"/>
                <w:bCs w:val="0"/>
                <w:lang w:val="en-AU" w:eastAsia="en-AU"/>
              </w:rPr>
              <w:t>Cash flow</w:t>
            </w:r>
          </w:p>
        </w:tc>
        <w:tc>
          <w:tcPr>
            <w:tcW w:w="0" w:type="auto"/>
            <w:hideMark/>
          </w:tcPr>
          <w:p w14:paraId="33BE3B9A" w14:textId="77777777" w:rsidR="00A77462" w:rsidRPr="002018AC" w:rsidRDefault="00A77462" w:rsidP="00695D8D">
            <w:pPr>
              <w:spacing w:line="276" w:lineRule="auto"/>
              <w:jc w:val="left"/>
              <w:cnfStyle w:val="100000000000" w:firstRow="1" w:lastRow="0" w:firstColumn="0" w:lastColumn="0" w:oddVBand="0" w:evenVBand="0" w:oddHBand="0" w:evenHBand="0" w:firstRowFirstColumn="0" w:firstRowLastColumn="0" w:lastRowFirstColumn="0" w:lastRowLastColumn="0"/>
              <w:rPr>
                <w:rFonts w:cs="Times New Roman"/>
                <w:b w:val="0"/>
                <w:bCs w:val="0"/>
                <w:lang w:val="en-AU" w:eastAsia="en-AU"/>
              </w:rPr>
            </w:pPr>
            <w:r w:rsidRPr="002018AC">
              <w:rPr>
                <w:rFonts w:cs="Times New Roman"/>
                <w:b w:val="0"/>
                <w:bCs w:val="0"/>
                <w:lang w:val="en-AU" w:eastAsia="en-AU"/>
              </w:rPr>
              <w:t>Capital allowance</w:t>
            </w:r>
          </w:p>
        </w:tc>
        <w:tc>
          <w:tcPr>
            <w:tcW w:w="0" w:type="auto"/>
            <w:hideMark/>
          </w:tcPr>
          <w:p w14:paraId="24015EF6" w14:textId="77777777" w:rsidR="00A77462" w:rsidRPr="002018AC" w:rsidRDefault="00A77462" w:rsidP="00695D8D">
            <w:pPr>
              <w:spacing w:line="276" w:lineRule="auto"/>
              <w:jc w:val="left"/>
              <w:cnfStyle w:val="100000000000" w:firstRow="1" w:lastRow="0" w:firstColumn="0" w:lastColumn="0" w:oddVBand="0" w:evenVBand="0" w:oddHBand="0" w:evenHBand="0" w:firstRowFirstColumn="0" w:firstRowLastColumn="0" w:lastRowFirstColumn="0" w:lastRowLastColumn="0"/>
              <w:rPr>
                <w:rFonts w:cs="Times New Roman"/>
                <w:b w:val="0"/>
                <w:bCs w:val="0"/>
                <w:lang w:val="en-AU" w:eastAsia="en-AU"/>
              </w:rPr>
            </w:pPr>
            <w:r w:rsidRPr="002018AC">
              <w:rPr>
                <w:rFonts w:cs="Times New Roman"/>
                <w:b w:val="0"/>
                <w:bCs w:val="0"/>
                <w:lang w:val="en-AU" w:eastAsia="en-AU"/>
              </w:rPr>
              <w:t>Taxable profit</w:t>
            </w:r>
          </w:p>
        </w:tc>
        <w:tc>
          <w:tcPr>
            <w:tcW w:w="0" w:type="auto"/>
            <w:hideMark/>
          </w:tcPr>
          <w:p w14:paraId="63A4B8F0" w14:textId="77777777" w:rsidR="00A77462" w:rsidRPr="002018AC" w:rsidRDefault="00A77462" w:rsidP="00695D8D">
            <w:pPr>
              <w:spacing w:line="276" w:lineRule="auto"/>
              <w:jc w:val="left"/>
              <w:cnfStyle w:val="100000000000" w:firstRow="1" w:lastRow="0" w:firstColumn="0" w:lastColumn="0" w:oddVBand="0" w:evenVBand="0" w:oddHBand="0" w:evenHBand="0" w:firstRowFirstColumn="0" w:firstRowLastColumn="0" w:lastRowFirstColumn="0" w:lastRowLastColumn="0"/>
              <w:rPr>
                <w:rFonts w:cs="Times New Roman"/>
                <w:b w:val="0"/>
                <w:bCs w:val="0"/>
                <w:lang w:val="en-AU" w:eastAsia="en-AU"/>
              </w:rPr>
            </w:pPr>
            <w:r w:rsidRPr="002018AC">
              <w:rPr>
                <w:rFonts w:cs="Times New Roman"/>
                <w:b w:val="0"/>
                <w:bCs w:val="0"/>
                <w:lang w:val="en-AU" w:eastAsia="en-AU"/>
              </w:rPr>
              <w:t>Tax at 25%</w:t>
            </w:r>
          </w:p>
        </w:tc>
        <w:tc>
          <w:tcPr>
            <w:tcW w:w="0" w:type="auto"/>
            <w:hideMark/>
          </w:tcPr>
          <w:p w14:paraId="4157CA85" w14:textId="77777777" w:rsidR="00A77462" w:rsidRPr="002018AC" w:rsidRDefault="00A77462" w:rsidP="00695D8D">
            <w:pPr>
              <w:spacing w:line="276" w:lineRule="auto"/>
              <w:jc w:val="left"/>
              <w:cnfStyle w:val="100000000000" w:firstRow="1" w:lastRow="0" w:firstColumn="0" w:lastColumn="0" w:oddVBand="0" w:evenVBand="0" w:oddHBand="0" w:evenHBand="0" w:firstRowFirstColumn="0" w:firstRowLastColumn="0" w:lastRowFirstColumn="0" w:lastRowLastColumn="0"/>
              <w:rPr>
                <w:rFonts w:cs="Times New Roman"/>
                <w:b w:val="0"/>
                <w:bCs w:val="0"/>
                <w:lang w:val="en-AU" w:eastAsia="en-AU"/>
              </w:rPr>
            </w:pPr>
            <w:r w:rsidRPr="002018AC">
              <w:rPr>
                <w:rFonts w:cs="Times New Roman"/>
                <w:b w:val="0"/>
                <w:bCs w:val="0"/>
                <w:lang w:val="en-AU" w:eastAsia="en-AU"/>
              </w:rPr>
              <w:t>After-tax cash flow</w:t>
            </w:r>
          </w:p>
        </w:tc>
        <w:tc>
          <w:tcPr>
            <w:tcW w:w="0" w:type="auto"/>
            <w:hideMark/>
          </w:tcPr>
          <w:p w14:paraId="60012968" w14:textId="77777777" w:rsidR="00A77462" w:rsidRPr="002018AC" w:rsidRDefault="00A77462" w:rsidP="00695D8D">
            <w:pPr>
              <w:spacing w:line="276" w:lineRule="auto"/>
              <w:jc w:val="left"/>
              <w:cnfStyle w:val="100000000000" w:firstRow="1" w:lastRow="0" w:firstColumn="0" w:lastColumn="0" w:oddVBand="0" w:evenVBand="0" w:oddHBand="0" w:evenHBand="0" w:firstRowFirstColumn="0" w:firstRowLastColumn="0" w:lastRowFirstColumn="0" w:lastRowLastColumn="0"/>
              <w:rPr>
                <w:rFonts w:cs="Times New Roman"/>
                <w:b w:val="0"/>
                <w:bCs w:val="0"/>
                <w:lang w:val="en-AU" w:eastAsia="en-AU"/>
              </w:rPr>
            </w:pPr>
            <w:r w:rsidRPr="002018AC">
              <w:rPr>
                <w:rFonts w:cs="Times New Roman"/>
                <w:b w:val="0"/>
                <w:bCs w:val="0"/>
                <w:lang w:val="en-AU" w:eastAsia="en-AU"/>
              </w:rPr>
              <w:t>DF 5%</w:t>
            </w:r>
          </w:p>
        </w:tc>
        <w:tc>
          <w:tcPr>
            <w:tcW w:w="0" w:type="auto"/>
            <w:hideMark/>
          </w:tcPr>
          <w:p w14:paraId="279E5380" w14:textId="77777777" w:rsidR="00A77462" w:rsidRPr="002018AC" w:rsidRDefault="00A77462" w:rsidP="00695D8D">
            <w:pPr>
              <w:spacing w:line="276" w:lineRule="auto"/>
              <w:jc w:val="left"/>
              <w:cnfStyle w:val="100000000000" w:firstRow="1" w:lastRow="0" w:firstColumn="0" w:lastColumn="0" w:oddVBand="0" w:evenVBand="0" w:oddHBand="0" w:evenHBand="0" w:firstRowFirstColumn="0" w:firstRowLastColumn="0" w:lastRowFirstColumn="0" w:lastRowLastColumn="0"/>
              <w:rPr>
                <w:rFonts w:cs="Times New Roman"/>
                <w:b w:val="0"/>
                <w:bCs w:val="0"/>
                <w:lang w:val="en-AU" w:eastAsia="en-AU"/>
              </w:rPr>
            </w:pPr>
            <w:r w:rsidRPr="002018AC">
              <w:rPr>
                <w:rFonts w:cs="Times New Roman"/>
                <w:b w:val="0"/>
                <w:bCs w:val="0"/>
                <w:lang w:val="en-AU" w:eastAsia="en-AU"/>
              </w:rPr>
              <w:t>Present value</w:t>
            </w:r>
          </w:p>
        </w:tc>
      </w:tr>
      <w:tr w:rsidR="00A77462" w:rsidRPr="002018AC" w14:paraId="186C0FCF" w14:textId="77777777" w:rsidTr="001C19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D1F2C5B" w14:textId="77777777" w:rsidR="00A77462" w:rsidRPr="002018AC" w:rsidRDefault="00A77462" w:rsidP="00695D8D">
            <w:pPr>
              <w:spacing w:line="276" w:lineRule="auto"/>
              <w:jc w:val="left"/>
              <w:rPr>
                <w:rFonts w:cs="Times New Roman"/>
                <w:lang w:val="en-AU" w:eastAsia="en-AU"/>
              </w:rPr>
            </w:pPr>
            <w:r w:rsidRPr="002018AC">
              <w:rPr>
                <w:rFonts w:cs="Times New Roman"/>
                <w:lang w:val="en-AU" w:eastAsia="en-AU"/>
              </w:rPr>
              <w:t>1</w:t>
            </w:r>
          </w:p>
        </w:tc>
        <w:tc>
          <w:tcPr>
            <w:tcW w:w="0" w:type="auto"/>
            <w:hideMark/>
          </w:tcPr>
          <w:p w14:paraId="4FF567D0" w14:textId="77777777" w:rsidR="00A77462" w:rsidRPr="002018AC" w:rsidRDefault="00A77462" w:rsidP="00695D8D">
            <w:pPr>
              <w:spacing w:line="276" w:lineRule="auto"/>
              <w:jc w:val="left"/>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220</w:t>
            </w:r>
          </w:p>
        </w:tc>
        <w:tc>
          <w:tcPr>
            <w:tcW w:w="0" w:type="auto"/>
            <w:hideMark/>
          </w:tcPr>
          <w:p w14:paraId="149C7EB7" w14:textId="77777777" w:rsidR="00A77462" w:rsidRPr="002018AC" w:rsidRDefault="00A77462" w:rsidP="00695D8D">
            <w:pPr>
              <w:spacing w:line="276" w:lineRule="auto"/>
              <w:jc w:val="left"/>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180</w:t>
            </w:r>
          </w:p>
        </w:tc>
        <w:tc>
          <w:tcPr>
            <w:tcW w:w="0" w:type="auto"/>
            <w:hideMark/>
          </w:tcPr>
          <w:p w14:paraId="52B5F863" w14:textId="77777777" w:rsidR="00A77462" w:rsidRPr="002018AC" w:rsidRDefault="00A77462" w:rsidP="00695D8D">
            <w:pPr>
              <w:spacing w:line="276" w:lineRule="auto"/>
              <w:jc w:val="left"/>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 xml:space="preserve">220 − 180 = </w:t>
            </w:r>
            <w:r w:rsidRPr="002018AC">
              <w:rPr>
                <w:rFonts w:cs="Times New Roman"/>
                <w:b/>
                <w:bCs/>
                <w:lang w:val="en-AU" w:eastAsia="en-AU"/>
              </w:rPr>
              <w:t>40</w:t>
            </w:r>
          </w:p>
        </w:tc>
        <w:tc>
          <w:tcPr>
            <w:tcW w:w="0" w:type="auto"/>
            <w:hideMark/>
          </w:tcPr>
          <w:p w14:paraId="2A06D9DD" w14:textId="77777777" w:rsidR="00A77462" w:rsidRPr="002018AC" w:rsidRDefault="00A77462" w:rsidP="00695D8D">
            <w:pPr>
              <w:spacing w:line="276" w:lineRule="auto"/>
              <w:jc w:val="left"/>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 xml:space="preserve">40 × 25% = </w:t>
            </w:r>
            <w:r w:rsidRPr="002018AC">
              <w:rPr>
                <w:rFonts w:cs="Times New Roman"/>
                <w:b/>
                <w:bCs/>
                <w:lang w:val="en-AU" w:eastAsia="en-AU"/>
              </w:rPr>
              <w:t>10</w:t>
            </w:r>
          </w:p>
        </w:tc>
        <w:tc>
          <w:tcPr>
            <w:tcW w:w="0" w:type="auto"/>
            <w:hideMark/>
          </w:tcPr>
          <w:p w14:paraId="63E0BC57" w14:textId="77777777" w:rsidR="00A77462" w:rsidRPr="002018AC" w:rsidRDefault="00A77462" w:rsidP="00695D8D">
            <w:pPr>
              <w:spacing w:line="276" w:lineRule="auto"/>
              <w:jc w:val="left"/>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 xml:space="preserve">220 − 10 = </w:t>
            </w:r>
            <w:r w:rsidRPr="002018AC">
              <w:rPr>
                <w:rFonts w:cs="Times New Roman"/>
                <w:b/>
                <w:bCs/>
                <w:lang w:val="en-AU" w:eastAsia="en-AU"/>
              </w:rPr>
              <w:t>210</w:t>
            </w:r>
          </w:p>
        </w:tc>
        <w:tc>
          <w:tcPr>
            <w:tcW w:w="0" w:type="auto"/>
            <w:hideMark/>
          </w:tcPr>
          <w:p w14:paraId="3FA63344" w14:textId="77777777" w:rsidR="00A77462" w:rsidRPr="002018AC" w:rsidRDefault="00A77462" w:rsidP="00695D8D">
            <w:pPr>
              <w:spacing w:line="276" w:lineRule="auto"/>
              <w:jc w:val="left"/>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0.9524</w:t>
            </w:r>
          </w:p>
        </w:tc>
        <w:tc>
          <w:tcPr>
            <w:tcW w:w="0" w:type="auto"/>
            <w:hideMark/>
          </w:tcPr>
          <w:p w14:paraId="6609937D" w14:textId="77777777" w:rsidR="00A77462" w:rsidRPr="002018AC" w:rsidRDefault="00A77462" w:rsidP="00695D8D">
            <w:pPr>
              <w:spacing w:line="276" w:lineRule="auto"/>
              <w:jc w:val="left"/>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 xml:space="preserve">210 × 0.9524 = </w:t>
            </w:r>
            <w:r w:rsidRPr="002018AC">
              <w:rPr>
                <w:rFonts w:cs="Times New Roman"/>
                <w:b/>
                <w:bCs/>
                <w:lang w:val="en-AU" w:eastAsia="en-AU"/>
              </w:rPr>
              <w:t>200.000</w:t>
            </w:r>
          </w:p>
        </w:tc>
      </w:tr>
      <w:tr w:rsidR="00A77462" w:rsidRPr="002018AC" w14:paraId="11C24837" w14:textId="77777777" w:rsidTr="001C195C">
        <w:tc>
          <w:tcPr>
            <w:cnfStyle w:val="001000000000" w:firstRow="0" w:lastRow="0" w:firstColumn="1" w:lastColumn="0" w:oddVBand="0" w:evenVBand="0" w:oddHBand="0" w:evenHBand="0" w:firstRowFirstColumn="0" w:firstRowLastColumn="0" w:lastRowFirstColumn="0" w:lastRowLastColumn="0"/>
            <w:tcW w:w="0" w:type="auto"/>
            <w:hideMark/>
          </w:tcPr>
          <w:p w14:paraId="04A7332C" w14:textId="77777777" w:rsidR="00A77462" w:rsidRPr="002018AC" w:rsidRDefault="00A77462" w:rsidP="00695D8D">
            <w:pPr>
              <w:spacing w:line="276" w:lineRule="auto"/>
              <w:jc w:val="left"/>
              <w:rPr>
                <w:rFonts w:cs="Times New Roman"/>
                <w:lang w:val="en-AU" w:eastAsia="en-AU"/>
              </w:rPr>
            </w:pPr>
            <w:r w:rsidRPr="002018AC">
              <w:rPr>
                <w:rFonts w:cs="Times New Roman"/>
                <w:lang w:val="en-AU" w:eastAsia="en-AU"/>
              </w:rPr>
              <w:lastRenderedPageBreak/>
              <w:t>2</w:t>
            </w:r>
          </w:p>
        </w:tc>
        <w:tc>
          <w:tcPr>
            <w:tcW w:w="0" w:type="auto"/>
            <w:hideMark/>
          </w:tcPr>
          <w:p w14:paraId="1D62D097" w14:textId="77777777" w:rsidR="00A77462" w:rsidRPr="002018AC" w:rsidRDefault="00A77462" w:rsidP="00695D8D">
            <w:pPr>
              <w:spacing w:line="276" w:lineRule="auto"/>
              <w:jc w:val="left"/>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270</w:t>
            </w:r>
          </w:p>
        </w:tc>
        <w:tc>
          <w:tcPr>
            <w:tcW w:w="0" w:type="auto"/>
            <w:hideMark/>
          </w:tcPr>
          <w:p w14:paraId="72E8EDC5" w14:textId="77777777" w:rsidR="00A77462" w:rsidRPr="002018AC" w:rsidRDefault="00A77462" w:rsidP="00695D8D">
            <w:pPr>
              <w:spacing w:line="276" w:lineRule="auto"/>
              <w:jc w:val="left"/>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180</w:t>
            </w:r>
          </w:p>
        </w:tc>
        <w:tc>
          <w:tcPr>
            <w:tcW w:w="0" w:type="auto"/>
            <w:hideMark/>
          </w:tcPr>
          <w:p w14:paraId="6CF69241" w14:textId="77777777" w:rsidR="00A77462" w:rsidRPr="002018AC" w:rsidRDefault="00A77462" w:rsidP="00695D8D">
            <w:pPr>
              <w:spacing w:line="276" w:lineRule="auto"/>
              <w:jc w:val="left"/>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 xml:space="preserve">270 − 180 = </w:t>
            </w:r>
            <w:r w:rsidRPr="002018AC">
              <w:rPr>
                <w:rFonts w:cs="Times New Roman"/>
                <w:b/>
                <w:bCs/>
                <w:lang w:val="en-AU" w:eastAsia="en-AU"/>
              </w:rPr>
              <w:t>90</w:t>
            </w:r>
          </w:p>
        </w:tc>
        <w:tc>
          <w:tcPr>
            <w:tcW w:w="0" w:type="auto"/>
            <w:hideMark/>
          </w:tcPr>
          <w:p w14:paraId="4A55B2D6" w14:textId="77777777" w:rsidR="00A77462" w:rsidRPr="002018AC" w:rsidRDefault="00A77462" w:rsidP="00695D8D">
            <w:pPr>
              <w:spacing w:line="276" w:lineRule="auto"/>
              <w:jc w:val="left"/>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 xml:space="preserve">90 × 25% = </w:t>
            </w:r>
            <w:r w:rsidRPr="002018AC">
              <w:rPr>
                <w:rFonts w:cs="Times New Roman"/>
                <w:b/>
                <w:bCs/>
                <w:lang w:val="en-AU" w:eastAsia="en-AU"/>
              </w:rPr>
              <w:t>22.5</w:t>
            </w:r>
          </w:p>
        </w:tc>
        <w:tc>
          <w:tcPr>
            <w:tcW w:w="0" w:type="auto"/>
            <w:hideMark/>
          </w:tcPr>
          <w:p w14:paraId="54BA92E2" w14:textId="77777777" w:rsidR="00A77462" w:rsidRPr="002018AC" w:rsidRDefault="00A77462" w:rsidP="00695D8D">
            <w:pPr>
              <w:spacing w:line="276" w:lineRule="auto"/>
              <w:jc w:val="left"/>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 xml:space="preserve">270 − 22.5 = </w:t>
            </w:r>
            <w:r w:rsidRPr="002018AC">
              <w:rPr>
                <w:rFonts w:cs="Times New Roman"/>
                <w:b/>
                <w:bCs/>
                <w:lang w:val="en-AU" w:eastAsia="en-AU"/>
              </w:rPr>
              <w:t>247.5</w:t>
            </w:r>
          </w:p>
        </w:tc>
        <w:tc>
          <w:tcPr>
            <w:tcW w:w="0" w:type="auto"/>
            <w:hideMark/>
          </w:tcPr>
          <w:p w14:paraId="14A1CB76" w14:textId="77777777" w:rsidR="00A77462" w:rsidRPr="002018AC" w:rsidRDefault="00A77462" w:rsidP="00695D8D">
            <w:pPr>
              <w:spacing w:line="276" w:lineRule="auto"/>
              <w:jc w:val="left"/>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0.9070</w:t>
            </w:r>
          </w:p>
        </w:tc>
        <w:tc>
          <w:tcPr>
            <w:tcW w:w="0" w:type="auto"/>
            <w:hideMark/>
          </w:tcPr>
          <w:p w14:paraId="1E071BCD" w14:textId="77777777" w:rsidR="00A77462" w:rsidRPr="002018AC" w:rsidRDefault="00A77462" w:rsidP="00695D8D">
            <w:pPr>
              <w:spacing w:line="276" w:lineRule="auto"/>
              <w:jc w:val="left"/>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 xml:space="preserve">247.5 × 0.9070 = </w:t>
            </w:r>
            <w:r w:rsidRPr="002018AC">
              <w:rPr>
                <w:rFonts w:cs="Times New Roman"/>
                <w:b/>
                <w:bCs/>
                <w:lang w:val="en-AU" w:eastAsia="en-AU"/>
              </w:rPr>
              <w:t>224.490</w:t>
            </w:r>
          </w:p>
        </w:tc>
      </w:tr>
      <w:tr w:rsidR="00A77462" w:rsidRPr="002018AC" w14:paraId="54EB15AD" w14:textId="77777777" w:rsidTr="001C19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559170E" w14:textId="77777777" w:rsidR="00A77462" w:rsidRPr="002018AC" w:rsidRDefault="00A77462" w:rsidP="00695D8D">
            <w:pPr>
              <w:spacing w:line="276" w:lineRule="auto"/>
              <w:jc w:val="left"/>
              <w:rPr>
                <w:rFonts w:cs="Times New Roman"/>
                <w:lang w:val="en-AU" w:eastAsia="en-AU"/>
              </w:rPr>
            </w:pPr>
            <w:r w:rsidRPr="002018AC">
              <w:rPr>
                <w:rFonts w:cs="Times New Roman"/>
                <w:lang w:val="en-AU" w:eastAsia="en-AU"/>
              </w:rPr>
              <w:t>3</w:t>
            </w:r>
          </w:p>
        </w:tc>
        <w:tc>
          <w:tcPr>
            <w:tcW w:w="0" w:type="auto"/>
            <w:hideMark/>
          </w:tcPr>
          <w:p w14:paraId="25D67351" w14:textId="77777777" w:rsidR="00A77462" w:rsidRPr="002018AC" w:rsidRDefault="00A77462" w:rsidP="00695D8D">
            <w:pPr>
              <w:spacing w:line="276" w:lineRule="auto"/>
              <w:jc w:val="left"/>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350</w:t>
            </w:r>
          </w:p>
        </w:tc>
        <w:tc>
          <w:tcPr>
            <w:tcW w:w="0" w:type="auto"/>
            <w:hideMark/>
          </w:tcPr>
          <w:p w14:paraId="2F12AE3D" w14:textId="77777777" w:rsidR="00A77462" w:rsidRPr="002018AC" w:rsidRDefault="00A77462" w:rsidP="00695D8D">
            <w:pPr>
              <w:spacing w:line="276" w:lineRule="auto"/>
              <w:jc w:val="left"/>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180</w:t>
            </w:r>
          </w:p>
        </w:tc>
        <w:tc>
          <w:tcPr>
            <w:tcW w:w="0" w:type="auto"/>
            <w:hideMark/>
          </w:tcPr>
          <w:p w14:paraId="7AB31C65" w14:textId="77777777" w:rsidR="00A77462" w:rsidRPr="002018AC" w:rsidRDefault="00A77462" w:rsidP="00695D8D">
            <w:pPr>
              <w:spacing w:line="276" w:lineRule="auto"/>
              <w:jc w:val="left"/>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 xml:space="preserve">350 − 180 = </w:t>
            </w:r>
            <w:r w:rsidRPr="002018AC">
              <w:rPr>
                <w:rFonts w:cs="Times New Roman"/>
                <w:b/>
                <w:bCs/>
                <w:lang w:val="en-AU" w:eastAsia="en-AU"/>
              </w:rPr>
              <w:t>170</w:t>
            </w:r>
          </w:p>
        </w:tc>
        <w:tc>
          <w:tcPr>
            <w:tcW w:w="0" w:type="auto"/>
            <w:hideMark/>
          </w:tcPr>
          <w:p w14:paraId="44553E69" w14:textId="77777777" w:rsidR="00A77462" w:rsidRPr="002018AC" w:rsidRDefault="00A77462" w:rsidP="00695D8D">
            <w:pPr>
              <w:spacing w:line="276" w:lineRule="auto"/>
              <w:jc w:val="left"/>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 xml:space="preserve">170 × 25% = </w:t>
            </w:r>
            <w:r w:rsidRPr="002018AC">
              <w:rPr>
                <w:rFonts w:cs="Times New Roman"/>
                <w:b/>
                <w:bCs/>
                <w:lang w:val="en-AU" w:eastAsia="en-AU"/>
              </w:rPr>
              <w:t>42.5</w:t>
            </w:r>
          </w:p>
        </w:tc>
        <w:tc>
          <w:tcPr>
            <w:tcW w:w="0" w:type="auto"/>
            <w:hideMark/>
          </w:tcPr>
          <w:p w14:paraId="15481565" w14:textId="77777777" w:rsidR="00A77462" w:rsidRPr="002018AC" w:rsidRDefault="00A77462" w:rsidP="00695D8D">
            <w:pPr>
              <w:spacing w:line="276" w:lineRule="auto"/>
              <w:jc w:val="left"/>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 xml:space="preserve">350 − 42.5 = </w:t>
            </w:r>
            <w:r w:rsidRPr="002018AC">
              <w:rPr>
                <w:rFonts w:cs="Times New Roman"/>
                <w:b/>
                <w:bCs/>
                <w:lang w:val="en-AU" w:eastAsia="en-AU"/>
              </w:rPr>
              <w:t>307.5</w:t>
            </w:r>
          </w:p>
        </w:tc>
        <w:tc>
          <w:tcPr>
            <w:tcW w:w="0" w:type="auto"/>
            <w:hideMark/>
          </w:tcPr>
          <w:p w14:paraId="09696F9A" w14:textId="77777777" w:rsidR="00A77462" w:rsidRPr="002018AC" w:rsidRDefault="00A77462" w:rsidP="00695D8D">
            <w:pPr>
              <w:spacing w:line="276" w:lineRule="auto"/>
              <w:jc w:val="left"/>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0.8638</w:t>
            </w:r>
          </w:p>
        </w:tc>
        <w:tc>
          <w:tcPr>
            <w:tcW w:w="0" w:type="auto"/>
            <w:hideMark/>
          </w:tcPr>
          <w:p w14:paraId="2CEB2B5B" w14:textId="77777777" w:rsidR="00A77462" w:rsidRPr="002018AC" w:rsidRDefault="00A77462" w:rsidP="00695D8D">
            <w:pPr>
              <w:spacing w:line="276" w:lineRule="auto"/>
              <w:jc w:val="left"/>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 xml:space="preserve">307.5 × 0.8638 = </w:t>
            </w:r>
            <w:r w:rsidRPr="002018AC">
              <w:rPr>
                <w:rFonts w:cs="Times New Roman"/>
                <w:b/>
                <w:bCs/>
                <w:lang w:val="en-AU" w:eastAsia="en-AU"/>
              </w:rPr>
              <w:t>265.630</w:t>
            </w:r>
          </w:p>
        </w:tc>
      </w:tr>
      <w:tr w:rsidR="00A77462" w:rsidRPr="002018AC" w14:paraId="729A3885" w14:textId="77777777" w:rsidTr="001C195C">
        <w:tc>
          <w:tcPr>
            <w:cnfStyle w:val="001000000000" w:firstRow="0" w:lastRow="0" w:firstColumn="1" w:lastColumn="0" w:oddVBand="0" w:evenVBand="0" w:oddHBand="0" w:evenHBand="0" w:firstRowFirstColumn="0" w:firstRowLastColumn="0" w:lastRowFirstColumn="0" w:lastRowLastColumn="0"/>
            <w:tcW w:w="0" w:type="auto"/>
            <w:hideMark/>
          </w:tcPr>
          <w:p w14:paraId="59AB82F6" w14:textId="77777777" w:rsidR="00A77462" w:rsidRPr="002018AC" w:rsidRDefault="00A77462" w:rsidP="00695D8D">
            <w:pPr>
              <w:spacing w:line="276" w:lineRule="auto"/>
              <w:jc w:val="left"/>
              <w:rPr>
                <w:rFonts w:cs="Times New Roman"/>
                <w:lang w:val="en-AU" w:eastAsia="en-AU"/>
              </w:rPr>
            </w:pPr>
            <w:r w:rsidRPr="002018AC">
              <w:rPr>
                <w:rFonts w:cs="Times New Roman"/>
                <w:lang w:val="en-AU" w:eastAsia="en-AU"/>
              </w:rPr>
              <w:t>4</w:t>
            </w:r>
          </w:p>
        </w:tc>
        <w:tc>
          <w:tcPr>
            <w:tcW w:w="0" w:type="auto"/>
            <w:hideMark/>
          </w:tcPr>
          <w:p w14:paraId="23CBED89" w14:textId="77777777" w:rsidR="00A77462" w:rsidRPr="002018AC" w:rsidRDefault="00A77462" w:rsidP="00695D8D">
            <w:pPr>
              <w:spacing w:line="276" w:lineRule="auto"/>
              <w:jc w:val="left"/>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400</w:t>
            </w:r>
          </w:p>
        </w:tc>
        <w:tc>
          <w:tcPr>
            <w:tcW w:w="0" w:type="auto"/>
            <w:hideMark/>
          </w:tcPr>
          <w:p w14:paraId="61647643" w14:textId="77777777" w:rsidR="00A77462" w:rsidRPr="002018AC" w:rsidRDefault="00A77462" w:rsidP="00695D8D">
            <w:pPr>
              <w:spacing w:line="276" w:lineRule="auto"/>
              <w:jc w:val="left"/>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180</w:t>
            </w:r>
          </w:p>
        </w:tc>
        <w:tc>
          <w:tcPr>
            <w:tcW w:w="0" w:type="auto"/>
            <w:hideMark/>
          </w:tcPr>
          <w:p w14:paraId="6619CBD8" w14:textId="77777777" w:rsidR="00A77462" w:rsidRPr="002018AC" w:rsidRDefault="00A77462" w:rsidP="00695D8D">
            <w:pPr>
              <w:spacing w:line="276" w:lineRule="auto"/>
              <w:jc w:val="left"/>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 xml:space="preserve">400 − 180 = </w:t>
            </w:r>
            <w:r w:rsidRPr="002018AC">
              <w:rPr>
                <w:rFonts w:cs="Times New Roman"/>
                <w:b/>
                <w:bCs/>
                <w:lang w:val="en-AU" w:eastAsia="en-AU"/>
              </w:rPr>
              <w:t>220</w:t>
            </w:r>
          </w:p>
        </w:tc>
        <w:tc>
          <w:tcPr>
            <w:tcW w:w="0" w:type="auto"/>
            <w:hideMark/>
          </w:tcPr>
          <w:p w14:paraId="06ADFFB4" w14:textId="77777777" w:rsidR="00A77462" w:rsidRPr="002018AC" w:rsidRDefault="00A77462" w:rsidP="00695D8D">
            <w:pPr>
              <w:spacing w:line="276" w:lineRule="auto"/>
              <w:jc w:val="left"/>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 xml:space="preserve">220 × 25% = </w:t>
            </w:r>
            <w:r w:rsidRPr="002018AC">
              <w:rPr>
                <w:rFonts w:cs="Times New Roman"/>
                <w:b/>
                <w:bCs/>
                <w:lang w:val="en-AU" w:eastAsia="en-AU"/>
              </w:rPr>
              <w:t>55</w:t>
            </w:r>
          </w:p>
        </w:tc>
        <w:tc>
          <w:tcPr>
            <w:tcW w:w="0" w:type="auto"/>
            <w:hideMark/>
          </w:tcPr>
          <w:p w14:paraId="5C3754E3" w14:textId="77777777" w:rsidR="00A77462" w:rsidRPr="002018AC" w:rsidRDefault="00A77462" w:rsidP="00695D8D">
            <w:pPr>
              <w:spacing w:line="276" w:lineRule="auto"/>
              <w:jc w:val="left"/>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 xml:space="preserve">400 − 55 = </w:t>
            </w:r>
            <w:r w:rsidRPr="002018AC">
              <w:rPr>
                <w:rFonts w:cs="Times New Roman"/>
                <w:b/>
                <w:bCs/>
                <w:lang w:val="en-AU" w:eastAsia="en-AU"/>
              </w:rPr>
              <w:t>345</w:t>
            </w:r>
          </w:p>
        </w:tc>
        <w:tc>
          <w:tcPr>
            <w:tcW w:w="0" w:type="auto"/>
            <w:hideMark/>
          </w:tcPr>
          <w:p w14:paraId="51C060A8" w14:textId="77777777" w:rsidR="00A77462" w:rsidRPr="002018AC" w:rsidRDefault="00A77462" w:rsidP="00695D8D">
            <w:pPr>
              <w:spacing w:line="276" w:lineRule="auto"/>
              <w:jc w:val="left"/>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0.8227</w:t>
            </w:r>
          </w:p>
        </w:tc>
        <w:tc>
          <w:tcPr>
            <w:tcW w:w="0" w:type="auto"/>
            <w:hideMark/>
          </w:tcPr>
          <w:p w14:paraId="5C48DEDA" w14:textId="77777777" w:rsidR="00A77462" w:rsidRPr="002018AC" w:rsidRDefault="00A77462" w:rsidP="00695D8D">
            <w:pPr>
              <w:spacing w:line="276" w:lineRule="auto"/>
              <w:jc w:val="left"/>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 xml:space="preserve">345 × 0.8227 = </w:t>
            </w:r>
            <w:r w:rsidRPr="002018AC">
              <w:rPr>
                <w:rFonts w:cs="Times New Roman"/>
                <w:b/>
                <w:bCs/>
                <w:lang w:val="en-AU" w:eastAsia="en-AU"/>
              </w:rPr>
              <w:t>283.832</w:t>
            </w:r>
          </w:p>
        </w:tc>
      </w:tr>
    </w:tbl>
    <w:p w14:paraId="217732AA" w14:textId="77777777" w:rsidR="00A77462" w:rsidRPr="002018AC" w:rsidRDefault="00A77462" w:rsidP="00695D8D">
      <w:pPr>
        <w:pStyle w:val="ListParagraph"/>
        <w:numPr>
          <w:ilvl w:val="0"/>
          <w:numId w:val="35"/>
        </w:numPr>
        <w:spacing w:line="276" w:lineRule="auto"/>
        <w:jc w:val="left"/>
        <w:rPr>
          <w:rFonts w:cs="Times New Roman"/>
          <w:lang w:val="en-AU"/>
        </w:rPr>
      </w:pPr>
      <w:r w:rsidRPr="002018AC">
        <w:rPr>
          <w:rFonts w:cs="Times New Roman"/>
          <w:bCs/>
          <w:lang w:val="en-AU"/>
        </w:rPr>
        <w:t>Total PV of after-tax cash flows:</w:t>
      </w:r>
      <w:r w:rsidRPr="002018AC">
        <w:rPr>
          <w:rFonts w:cs="Times New Roman"/>
          <w:lang w:val="en-AU"/>
        </w:rPr>
        <w:br/>
        <w:t>= 200.000 + 224.490 + 265.630 + 283.832</w:t>
      </w:r>
      <w:r w:rsidRPr="002018AC">
        <w:rPr>
          <w:rFonts w:cs="Times New Roman"/>
          <w:lang w:val="en-AU"/>
        </w:rPr>
        <w:br/>
        <w:t xml:space="preserve">= </w:t>
      </w:r>
      <w:r w:rsidRPr="002018AC">
        <w:rPr>
          <w:rFonts w:cs="Times New Roman"/>
          <w:bCs/>
          <w:lang w:val="en-AU"/>
        </w:rPr>
        <w:t>973.952</w:t>
      </w:r>
    </w:p>
    <w:p w14:paraId="74DF7068" w14:textId="77777777" w:rsidR="00A77462" w:rsidRPr="002018AC" w:rsidRDefault="00A77462" w:rsidP="00695D8D">
      <w:pPr>
        <w:pStyle w:val="ListParagraph"/>
        <w:numPr>
          <w:ilvl w:val="0"/>
          <w:numId w:val="35"/>
        </w:numPr>
        <w:spacing w:line="276" w:lineRule="auto"/>
        <w:jc w:val="left"/>
        <w:rPr>
          <w:rFonts w:cs="Times New Roman"/>
          <w:lang w:val="en-AU"/>
        </w:rPr>
      </w:pPr>
      <w:r w:rsidRPr="002018AC">
        <w:rPr>
          <w:rFonts w:cs="Times New Roman"/>
          <w:bCs/>
          <w:lang w:val="en-AU"/>
        </w:rPr>
        <w:t>NPV:</w:t>
      </w:r>
      <w:r w:rsidRPr="002018AC">
        <w:rPr>
          <w:rFonts w:cs="Times New Roman"/>
          <w:lang w:val="en-AU"/>
        </w:rPr>
        <w:br/>
        <w:t>= 973.952 − 900</w:t>
      </w:r>
      <w:r w:rsidRPr="002018AC">
        <w:rPr>
          <w:rFonts w:cs="Times New Roman"/>
          <w:lang w:val="en-AU"/>
        </w:rPr>
        <w:br/>
        <w:t xml:space="preserve">= </w:t>
      </w:r>
      <w:r w:rsidRPr="002018AC">
        <w:rPr>
          <w:rFonts w:cs="Times New Roman"/>
          <w:bCs/>
          <w:lang w:val="en-AU"/>
        </w:rPr>
        <w:t>73.952</w:t>
      </w:r>
    </w:p>
    <w:p w14:paraId="3AE83F04" w14:textId="2561A720" w:rsidR="00A77462" w:rsidRPr="002018AC" w:rsidRDefault="00A77462" w:rsidP="00695D8D">
      <w:pPr>
        <w:pStyle w:val="Heading3"/>
        <w:numPr>
          <w:ilvl w:val="2"/>
          <w:numId w:val="9"/>
        </w:numPr>
        <w:spacing w:line="276" w:lineRule="auto"/>
        <w:rPr>
          <w:rFonts w:cs="Times New Roman"/>
          <w:lang w:val="en-AU"/>
        </w:rPr>
      </w:pPr>
      <w:bookmarkStart w:id="63" w:name="_Toc227609593"/>
      <w:r w:rsidRPr="002018AC">
        <w:rPr>
          <w:rFonts w:cs="Times New Roman"/>
          <w:lang w:val="en-AU"/>
        </w:rPr>
        <w:t>D3. Option C: Produce purses and wallets</w:t>
      </w:r>
      <w:bookmarkEnd w:id="63"/>
    </w:p>
    <w:p w14:paraId="7AC65265" w14:textId="77777777" w:rsidR="00A77462" w:rsidRPr="002018AC" w:rsidRDefault="00A77462" w:rsidP="00695D8D">
      <w:pPr>
        <w:spacing w:line="276" w:lineRule="auto"/>
        <w:jc w:val="left"/>
        <w:rPr>
          <w:rFonts w:cs="Times New Roman"/>
          <w:lang w:val="en-AU"/>
        </w:rPr>
      </w:pPr>
      <w:r w:rsidRPr="002018AC">
        <w:rPr>
          <w:rFonts w:cs="Times New Roman"/>
          <w:lang w:val="en-AU"/>
        </w:rPr>
        <w:t xml:space="preserve">Initial investment = </w:t>
      </w:r>
      <w:r w:rsidRPr="002018AC">
        <w:rPr>
          <w:rFonts w:cs="Times New Roman"/>
          <w:b/>
          <w:bCs/>
          <w:lang w:val="en-AU"/>
        </w:rPr>
        <w:t>£1,000k</w:t>
      </w:r>
      <w:r w:rsidRPr="002018AC">
        <w:rPr>
          <w:rFonts w:cs="Times New Roman"/>
          <w:lang w:val="en-AU"/>
        </w:rPr>
        <w:br/>
        <w:t xml:space="preserve">Annual capital allowance = </w:t>
      </w:r>
      <w:r w:rsidRPr="002018AC">
        <w:rPr>
          <w:rFonts w:cs="Times New Roman"/>
          <w:b/>
          <w:bCs/>
          <w:lang w:val="en-AU"/>
        </w:rPr>
        <w:t>£200k</w:t>
      </w:r>
    </w:p>
    <w:tbl>
      <w:tblPr>
        <w:tblStyle w:val="GridTable4-Accent1"/>
        <w:tblW w:w="0" w:type="auto"/>
        <w:tblLook w:val="04A0" w:firstRow="1" w:lastRow="0" w:firstColumn="1" w:lastColumn="0" w:noHBand="0" w:noVBand="1"/>
      </w:tblPr>
      <w:tblGrid>
        <w:gridCol w:w="683"/>
        <w:gridCol w:w="889"/>
        <w:gridCol w:w="1480"/>
        <w:gridCol w:w="1305"/>
        <w:gridCol w:w="1154"/>
        <w:gridCol w:w="1297"/>
        <w:gridCol w:w="886"/>
        <w:gridCol w:w="1656"/>
      </w:tblGrid>
      <w:tr w:rsidR="00A77462" w:rsidRPr="002018AC" w14:paraId="522B902A" w14:textId="77777777" w:rsidTr="001C195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553D3A5" w14:textId="77777777" w:rsidR="00A77462" w:rsidRPr="002018AC" w:rsidRDefault="00A77462" w:rsidP="00695D8D">
            <w:pPr>
              <w:spacing w:line="276" w:lineRule="auto"/>
              <w:rPr>
                <w:rFonts w:cs="Times New Roman"/>
                <w:b w:val="0"/>
                <w:bCs w:val="0"/>
                <w:lang w:val="en-AU" w:eastAsia="en-AU"/>
              </w:rPr>
            </w:pPr>
            <w:r w:rsidRPr="002018AC">
              <w:rPr>
                <w:rFonts w:cs="Times New Roman"/>
                <w:b w:val="0"/>
                <w:bCs w:val="0"/>
                <w:lang w:val="en-AU" w:eastAsia="en-AU"/>
              </w:rPr>
              <w:t>Year</w:t>
            </w:r>
          </w:p>
        </w:tc>
        <w:tc>
          <w:tcPr>
            <w:tcW w:w="0" w:type="auto"/>
            <w:hideMark/>
          </w:tcPr>
          <w:p w14:paraId="1BEB2A99" w14:textId="77777777" w:rsidR="00A77462" w:rsidRPr="002018AC" w:rsidRDefault="00A77462" w:rsidP="00695D8D">
            <w:pPr>
              <w:spacing w:line="276" w:lineRule="auto"/>
              <w:cnfStyle w:val="100000000000" w:firstRow="1" w:lastRow="0" w:firstColumn="0" w:lastColumn="0" w:oddVBand="0" w:evenVBand="0" w:oddHBand="0" w:evenHBand="0" w:firstRowFirstColumn="0" w:firstRowLastColumn="0" w:lastRowFirstColumn="0" w:lastRowLastColumn="0"/>
              <w:rPr>
                <w:rFonts w:cs="Times New Roman"/>
                <w:b w:val="0"/>
                <w:bCs w:val="0"/>
                <w:lang w:val="en-AU" w:eastAsia="en-AU"/>
              </w:rPr>
            </w:pPr>
            <w:r w:rsidRPr="002018AC">
              <w:rPr>
                <w:rFonts w:cs="Times New Roman"/>
                <w:b w:val="0"/>
                <w:bCs w:val="0"/>
                <w:lang w:val="en-AU" w:eastAsia="en-AU"/>
              </w:rPr>
              <w:t>Cash flow</w:t>
            </w:r>
          </w:p>
        </w:tc>
        <w:tc>
          <w:tcPr>
            <w:tcW w:w="0" w:type="auto"/>
            <w:hideMark/>
          </w:tcPr>
          <w:p w14:paraId="27CDF844" w14:textId="77777777" w:rsidR="00A77462" w:rsidRPr="002018AC" w:rsidRDefault="00A77462" w:rsidP="00695D8D">
            <w:pPr>
              <w:spacing w:line="276" w:lineRule="auto"/>
              <w:cnfStyle w:val="100000000000" w:firstRow="1" w:lastRow="0" w:firstColumn="0" w:lastColumn="0" w:oddVBand="0" w:evenVBand="0" w:oddHBand="0" w:evenHBand="0" w:firstRowFirstColumn="0" w:firstRowLastColumn="0" w:lastRowFirstColumn="0" w:lastRowLastColumn="0"/>
              <w:rPr>
                <w:rFonts w:cs="Times New Roman"/>
                <w:b w:val="0"/>
                <w:bCs w:val="0"/>
                <w:lang w:val="en-AU" w:eastAsia="en-AU"/>
              </w:rPr>
            </w:pPr>
            <w:r w:rsidRPr="002018AC">
              <w:rPr>
                <w:rFonts w:cs="Times New Roman"/>
                <w:b w:val="0"/>
                <w:bCs w:val="0"/>
                <w:lang w:val="en-AU" w:eastAsia="en-AU"/>
              </w:rPr>
              <w:t>Capital allowance</w:t>
            </w:r>
          </w:p>
        </w:tc>
        <w:tc>
          <w:tcPr>
            <w:tcW w:w="0" w:type="auto"/>
            <w:hideMark/>
          </w:tcPr>
          <w:p w14:paraId="23BA0386" w14:textId="77777777" w:rsidR="00A77462" w:rsidRPr="002018AC" w:rsidRDefault="00A77462" w:rsidP="00695D8D">
            <w:pPr>
              <w:spacing w:line="276" w:lineRule="auto"/>
              <w:cnfStyle w:val="100000000000" w:firstRow="1" w:lastRow="0" w:firstColumn="0" w:lastColumn="0" w:oddVBand="0" w:evenVBand="0" w:oddHBand="0" w:evenHBand="0" w:firstRowFirstColumn="0" w:firstRowLastColumn="0" w:lastRowFirstColumn="0" w:lastRowLastColumn="0"/>
              <w:rPr>
                <w:rFonts w:cs="Times New Roman"/>
                <w:b w:val="0"/>
                <w:bCs w:val="0"/>
                <w:lang w:val="en-AU" w:eastAsia="en-AU"/>
              </w:rPr>
            </w:pPr>
            <w:r w:rsidRPr="002018AC">
              <w:rPr>
                <w:rFonts w:cs="Times New Roman"/>
                <w:b w:val="0"/>
                <w:bCs w:val="0"/>
                <w:lang w:val="en-AU" w:eastAsia="en-AU"/>
              </w:rPr>
              <w:t>Taxable profit</w:t>
            </w:r>
          </w:p>
        </w:tc>
        <w:tc>
          <w:tcPr>
            <w:tcW w:w="0" w:type="auto"/>
            <w:hideMark/>
          </w:tcPr>
          <w:p w14:paraId="3225F5B6" w14:textId="77777777" w:rsidR="00A77462" w:rsidRPr="002018AC" w:rsidRDefault="00A77462" w:rsidP="00695D8D">
            <w:pPr>
              <w:spacing w:line="276" w:lineRule="auto"/>
              <w:cnfStyle w:val="100000000000" w:firstRow="1" w:lastRow="0" w:firstColumn="0" w:lastColumn="0" w:oddVBand="0" w:evenVBand="0" w:oddHBand="0" w:evenHBand="0" w:firstRowFirstColumn="0" w:firstRowLastColumn="0" w:lastRowFirstColumn="0" w:lastRowLastColumn="0"/>
              <w:rPr>
                <w:rFonts w:cs="Times New Roman"/>
                <w:b w:val="0"/>
                <w:bCs w:val="0"/>
                <w:lang w:val="en-AU" w:eastAsia="en-AU"/>
              </w:rPr>
            </w:pPr>
            <w:r w:rsidRPr="002018AC">
              <w:rPr>
                <w:rFonts w:cs="Times New Roman"/>
                <w:b w:val="0"/>
                <w:bCs w:val="0"/>
                <w:lang w:val="en-AU" w:eastAsia="en-AU"/>
              </w:rPr>
              <w:t>Tax at 25%</w:t>
            </w:r>
          </w:p>
        </w:tc>
        <w:tc>
          <w:tcPr>
            <w:tcW w:w="0" w:type="auto"/>
            <w:hideMark/>
          </w:tcPr>
          <w:p w14:paraId="75500C46" w14:textId="77777777" w:rsidR="00A77462" w:rsidRPr="002018AC" w:rsidRDefault="00A77462" w:rsidP="00695D8D">
            <w:pPr>
              <w:spacing w:line="276" w:lineRule="auto"/>
              <w:cnfStyle w:val="100000000000" w:firstRow="1" w:lastRow="0" w:firstColumn="0" w:lastColumn="0" w:oddVBand="0" w:evenVBand="0" w:oddHBand="0" w:evenHBand="0" w:firstRowFirstColumn="0" w:firstRowLastColumn="0" w:lastRowFirstColumn="0" w:lastRowLastColumn="0"/>
              <w:rPr>
                <w:rFonts w:cs="Times New Roman"/>
                <w:b w:val="0"/>
                <w:bCs w:val="0"/>
                <w:lang w:val="en-AU" w:eastAsia="en-AU"/>
              </w:rPr>
            </w:pPr>
            <w:r w:rsidRPr="002018AC">
              <w:rPr>
                <w:rFonts w:cs="Times New Roman"/>
                <w:b w:val="0"/>
                <w:bCs w:val="0"/>
                <w:lang w:val="en-AU" w:eastAsia="en-AU"/>
              </w:rPr>
              <w:t>After-tax cash flow</w:t>
            </w:r>
          </w:p>
        </w:tc>
        <w:tc>
          <w:tcPr>
            <w:tcW w:w="0" w:type="auto"/>
            <w:hideMark/>
          </w:tcPr>
          <w:p w14:paraId="1AF3CC5F" w14:textId="77777777" w:rsidR="00A77462" w:rsidRPr="002018AC" w:rsidRDefault="00A77462" w:rsidP="00695D8D">
            <w:pPr>
              <w:spacing w:line="276" w:lineRule="auto"/>
              <w:cnfStyle w:val="100000000000" w:firstRow="1" w:lastRow="0" w:firstColumn="0" w:lastColumn="0" w:oddVBand="0" w:evenVBand="0" w:oddHBand="0" w:evenHBand="0" w:firstRowFirstColumn="0" w:firstRowLastColumn="0" w:lastRowFirstColumn="0" w:lastRowLastColumn="0"/>
              <w:rPr>
                <w:rFonts w:cs="Times New Roman"/>
                <w:b w:val="0"/>
                <w:bCs w:val="0"/>
                <w:lang w:val="en-AU" w:eastAsia="en-AU"/>
              </w:rPr>
            </w:pPr>
            <w:r w:rsidRPr="002018AC">
              <w:rPr>
                <w:rFonts w:cs="Times New Roman"/>
                <w:b w:val="0"/>
                <w:bCs w:val="0"/>
                <w:lang w:val="en-AU" w:eastAsia="en-AU"/>
              </w:rPr>
              <w:t>DF 5%</w:t>
            </w:r>
          </w:p>
        </w:tc>
        <w:tc>
          <w:tcPr>
            <w:tcW w:w="0" w:type="auto"/>
            <w:hideMark/>
          </w:tcPr>
          <w:p w14:paraId="15F42491" w14:textId="77777777" w:rsidR="00A77462" w:rsidRPr="002018AC" w:rsidRDefault="00A77462" w:rsidP="00695D8D">
            <w:pPr>
              <w:spacing w:line="276" w:lineRule="auto"/>
              <w:cnfStyle w:val="100000000000" w:firstRow="1" w:lastRow="0" w:firstColumn="0" w:lastColumn="0" w:oddVBand="0" w:evenVBand="0" w:oddHBand="0" w:evenHBand="0" w:firstRowFirstColumn="0" w:firstRowLastColumn="0" w:lastRowFirstColumn="0" w:lastRowLastColumn="0"/>
              <w:rPr>
                <w:rFonts w:cs="Times New Roman"/>
                <w:b w:val="0"/>
                <w:bCs w:val="0"/>
                <w:lang w:val="en-AU" w:eastAsia="en-AU"/>
              </w:rPr>
            </w:pPr>
            <w:r w:rsidRPr="002018AC">
              <w:rPr>
                <w:rFonts w:cs="Times New Roman"/>
                <w:b w:val="0"/>
                <w:bCs w:val="0"/>
                <w:lang w:val="en-AU" w:eastAsia="en-AU"/>
              </w:rPr>
              <w:t>Present value</w:t>
            </w:r>
          </w:p>
        </w:tc>
      </w:tr>
      <w:tr w:rsidR="00A77462" w:rsidRPr="002018AC" w14:paraId="4561155C" w14:textId="77777777" w:rsidTr="001C19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C466BA7" w14:textId="77777777" w:rsidR="00A77462" w:rsidRPr="002018AC" w:rsidRDefault="00A77462" w:rsidP="00695D8D">
            <w:pPr>
              <w:spacing w:line="276" w:lineRule="auto"/>
              <w:rPr>
                <w:rFonts w:cs="Times New Roman"/>
                <w:lang w:val="en-AU" w:eastAsia="en-AU"/>
              </w:rPr>
            </w:pPr>
            <w:r w:rsidRPr="002018AC">
              <w:rPr>
                <w:rFonts w:cs="Times New Roman"/>
                <w:lang w:val="en-AU" w:eastAsia="en-AU"/>
              </w:rPr>
              <w:t>1</w:t>
            </w:r>
          </w:p>
        </w:tc>
        <w:tc>
          <w:tcPr>
            <w:tcW w:w="0" w:type="auto"/>
            <w:hideMark/>
          </w:tcPr>
          <w:p w14:paraId="649CE20C"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250</w:t>
            </w:r>
          </w:p>
        </w:tc>
        <w:tc>
          <w:tcPr>
            <w:tcW w:w="0" w:type="auto"/>
            <w:hideMark/>
          </w:tcPr>
          <w:p w14:paraId="7198D447"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200</w:t>
            </w:r>
          </w:p>
        </w:tc>
        <w:tc>
          <w:tcPr>
            <w:tcW w:w="0" w:type="auto"/>
            <w:hideMark/>
          </w:tcPr>
          <w:p w14:paraId="0F14938B"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 xml:space="preserve">250 − 200 = </w:t>
            </w:r>
            <w:r w:rsidRPr="002018AC">
              <w:rPr>
                <w:rFonts w:cs="Times New Roman"/>
                <w:b/>
                <w:bCs/>
                <w:lang w:val="en-AU" w:eastAsia="en-AU"/>
              </w:rPr>
              <w:t>50</w:t>
            </w:r>
          </w:p>
        </w:tc>
        <w:tc>
          <w:tcPr>
            <w:tcW w:w="0" w:type="auto"/>
            <w:hideMark/>
          </w:tcPr>
          <w:p w14:paraId="236CF6C4"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 xml:space="preserve">50 × 25% = </w:t>
            </w:r>
            <w:r w:rsidRPr="002018AC">
              <w:rPr>
                <w:rFonts w:cs="Times New Roman"/>
                <w:b/>
                <w:bCs/>
                <w:lang w:val="en-AU" w:eastAsia="en-AU"/>
              </w:rPr>
              <w:t>12.5</w:t>
            </w:r>
          </w:p>
        </w:tc>
        <w:tc>
          <w:tcPr>
            <w:tcW w:w="0" w:type="auto"/>
            <w:hideMark/>
          </w:tcPr>
          <w:p w14:paraId="26438AAE"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 xml:space="preserve">250 − 12.5 = </w:t>
            </w:r>
            <w:r w:rsidRPr="002018AC">
              <w:rPr>
                <w:rFonts w:cs="Times New Roman"/>
                <w:b/>
                <w:bCs/>
                <w:lang w:val="en-AU" w:eastAsia="en-AU"/>
              </w:rPr>
              <w:t>237.5</w:t>
            </w:r>
          </w:p>
        </w:tc>
        <w:tc>
          <w:tcPr>
            <w:tcW w:w="0" w:type="auto"/>
            <w:hideMark/>
          </w:tcPr>
          <w:p w14:paraId="082C0803"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0.9524</w:t>
            </w:r>
          </w:p>
        </w:tc>
        <w:tc>
          <w:tcPr>
            <w:tcW w:w="0" w:type="auto"/>
            <w:hideMark/>
          </w:tcPr>
          <w:p w14:paraId="1C3C038E"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 xml:space="preserve">237.5 × 0.9524 = </w:t>
            </w:r>
            <w:r w:rsidRPr="002018AC">
              <w:rPr>
                <w:rFonts w:cs="Times New Roman"/>
                <w:b/>
                <w:bCs/>
                <w:lang w:val="en-AU" w:eastAsia="en-AU"/>
              </w:rPr>
              <w:t>226.190</w:t>
            </w:r>
          </w:p>
        </w:tc>
      </w:tr>
      <w:tr w:rsidR="00A77462" w:rsidRPr="002018AC" w14:paraId="3DB4CB7B" w14:textId="77777777" w:rsidTr="001C195C">
        <w:tc>
          <w:tcPr>
            <w:cnfStyle w:val="001000000000" w:firstRow="0" w:lastRow="0" w:firstColumn="1" w:lastColumn="0" w:oddVBand="0" w:evenVBand="0" w:oddHBand="0" w:evenHBand="0" w:firstRowFirstColumn="0" w:firstRowLastColumn="0" w:lastRowFirstColumn="0" w:lastRowLastColumn="0"/>
            <w:tcW w:w="0" w:type="auto"/>
            <w:hideMark/>
          </w:tcPr>
          <w:p w14:paraId="387D3BCB" w14:textId="77777777" w:rsidR="00A77462" w:rsidRPr="002018AC" w:rsidRDefault="00A77462" w:rsidP="00695D8D">
            <w:pPr>
              <w:spacing w:line="276" w:lineRule="auto"/>
              <w:rPr>
                <w:rFonts w:cs="Times New Roman"/>
                <w:lang w:val="en-AU" w:eastAsia="en-AU"/>
              </w:rPr>
            </w:pPr>
            <w:r w:rsidRPr="002018AC">
              <w:rPr>
                <w:rFonts w:cs="Times New Roman"/>
                <w:lang w:val="en-AU" w:eastAsia="en-AU"/>
              </w:rPr>
              <w:t>2</w:t>
            </w:r>
          </w:p>
        </w:tc>
        <w:tc>
          <w:tcPr>
            <w:tcW w:w="0" w:type="auto"/>
            <w:hideMark/>
          </w:tcPr>
          <w:p w14:paraId="376BBEA0"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310</w:t>
            </w:r>
          </w:p>
        </w:tc>
        <w:tc>
          <w:tcPr>
            <w:tcW w:w="0" w:type="auto"/>
            <w:hideMark/>
          </w:tcPr>
          <w:p w14:paraId="3B7CDED6"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200</w:t>
            </w:r>
          </w:p>
        </w:tc>
        <w:tc>
          <w:tcPr>
            <w:tcW w:w="0" w:type="auto"/>
            <w:hideMark/>
          </w:tcPr>
          <w:p w14:paraId="407D81FF"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 xml:space="preserve">310 − 200 = </w:t>
            </w:r>
            <w:r w:rsidRPr="002018AC">
              <w:rPr>
                <w:rFonts w:cs="Times New Roman"/>
                <w:b/>
                <w:bCs/>
                <w:lang w:val="en-AU" w:eastAsia="en-AU"/>
              </w:rPr>
              <w:t>110</w:t>
            </w:r>
          </w:p>
        </w:tc>
        <w:tc>
          <w:tcPr>
            <w:tcW w:w="0" w:type="auto"/>
            <w:hideMark/>
          </w:tcPr>
          <w:p w14:paraId="29F0EDB4"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 xml:space="preserve">110 × 25% = </w:t>
            </w:r>
            <w:r w:rsidRPr="002018AC">
              <w:rPr>
                <w:rFonts w:cs="Times New Roman"/>
                <w:b/>
                <w:bCs/>
                <w:lang w:val="en-AU" w:eastAsia="en-AU"/>
              </w:rPr>
              <w:t>27.5</w:t>
            </w:r>
          </w:p>
        </w:tc>
        <w:tc>
          <w:tcPr>
            <w:tcW w:w="0" w:type="auto"/>
            <w:hideMark/>
          </w:tcPr>
          <w:p w14:paraId="1ADBD29B"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 xml:space="preserve">310 − 27.5 = </w:t>
            </w:r>
            <w:r w:rsidRPr="002018AC">
              <w:rPr>
                <w:rFonts w:cs="Times New Roman"/>
                <w:b/>
                <w:bCs/>
                <w:lang w:val="en-AU" w:eastAsia="en-AU"/>
              </w:rPr>
              <w:t>282.5</w:t>
            </w:r>
          </w:p>
        </w:tc>
        <w:tc>
          <w:tcPr>
            <w:tcW w:w="0" w:type="auto"/>
            <w:hideMark/>
          </w:tcPr>
          <w:p w14:paraId="7E2B5155"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0.9070</w:t>
            </w:r>
          </w:p>
        </w:tc>
        <w:tc>
          <w:tcPr>
            <w:tcW w:w="0" w:type="auto"/>
            <w:hideMark/>
          </w:tcPr>
          <w:p w14:paraId="5EDC1F97"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 xml:space="preserve">282.5 × 0.9070 = </w:t>
            </w:r>
            <w:r w:rsidRPr="002018AC">
              <w:rPr>
                <w:rFonts w:cs="Times New Roman"/>
                <w:b/>
                <w:bCs/>
                <w:lang w:val="en-AU" w:eastAsia="en-AU"/>
              </w:rPr>
              <w:t>256.236</w:t>
            </w:r>
          </w:p>
        </w:tc>
      </w:tr>
      <w:tr w:rsidR="00A77462" w:rsidRPr="002018AC" w14:paraId="74219C23" w14:textId="77777777" w:rsidTr="001C19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BEF0F8A" w14:textId="77777777" w:rsidR="00A77462" w:rsidRPr="002018AC" w:rsidRDefault="00A77462" w:rsidP="00695D8D">
            <w:pPr>
              <w:spacing w:line="276" w:lineRule="auto"/>
              <w:rPr>
                <w:rFonts w:cs="Times New Roman"/>
                <w:lang w:val="en-AU" w:eastAsia="en-AU"/>
              </w:rPr>
            </w:pPr>
            <w:r w:rsidRPr="002018AC">
              <w:rPr>
                <w:rFonts w:cs="Times New Roman"/>
                <w:lang w:val="en-AU" w:eastAsia="en-AU"/>
              </w:rPr>
              <w:t>3</w:t>
            </w:r>
          </w:p>
        </w:tc>
        <w:tc>
          <w:tcPr>
            <w:tcW w:w="0" w:type="auto"/>
            <w:hideMark/>
          </w:tcPr>
          <w:p w14:paraId="7D340383"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400</w:t>
            </w:r>
          </w:p>
        </w:tc>
        <w:tc>
          <w:tcPr>
            <w:tcW w:w="0" w:type="auto"/>
            <w:hideMark/>
          </w:tcPr>
          <w:p w14:paraId="4F77A563"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200</w:t>
            </w:r>
          </w:p>
        </w:tc>
        <w:tc>
          <w:tcPr>
            <w:tcW w:w="0" w:type="auto"/>
            <w:hideMark/>
          </w:tcPr>
          <w:p w14:paraId="3C1096EA"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 xml:space="preserve">400 − 200 = </w:t>
            </w:r>
            <w:r w:rsidRPr="002018AC">
              <w:rPr>
                <w:rFonts w:cs="Times New Roman"/>
                <w:b/>
                <w:bCs/>
                <w:lang w:val="en-AU" w:eastAsia="en-AU"/>
              </w:rPr>
              <w:t>200</w:t>
            </w:r>
          </w:p>
        </w:tc>
        <w:tc>
          <w:tcPr>
            <w:tcW w:w="0" w:type="auto"/>
            <w:hideMark/>
          </w:tcPr>
          <w:p w14:paraId="637A6194"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 xml:space="preserve">200 × 25% = </w:t>
            </w:r>
            <w:r w:rsidRPr="002018AC">
              <w:rPr>
                <w:rFonts w:cs="Times New Roman"/>
                <w:b/>
                <w:bCs/>
                <w:lang w:val="en-AU" w:eastAsia="en-AU"/>
              </w:rPr>
              <w:t>50</w:t>
            </w:r>
          </w:p>
        </w:tc>
        <w:tc>
          <w:tcPr>
            <w:tcW w:w="0" w:type="auto"/>
            <w:hideMark/>
          </w:tcPr>
          <w:p w14:paraId="68FE4B0C"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 xml:space="preserve">400 − 50 = </w:t>
            </w:r>
            <w:r w:rsidRPr="002018AC">
              <w:rPr>
                <w:rFonts w:cs="Times New Roman"/>
                <w:b/>
                <w:bCs/>
                <w:lang w:val="en-AU" w:eastAsia="en-AU"/>
              </w:rPr>
              <w:t>350</w:t>
            </w:r>
          </w:p>
        </w:tc>
        <w:tc>
          <w:tcPr>
            <w:tcW w:w="0" w:type="auto"/>
            <w:hideMark/>
          </w:tcPr>
          <w:p w14:paraId="7E91F4DB"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0.8638</w:t>
            </w:r>
          </w:p>
        </w:tc>
        <w:tc>
          <w:tcPr>
            <w:tcW w:w="0" w:type="auto"/>
            <w:hideMark/>
          </w:tcPr>
          <w:p w14:paraId="406B6C2C"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 xml:space="preserve">350 × 0.8638 = </w:t>
            </w:r>
            <w:r w:rsidRPr="002018AC">
              <w:rPr>
                <w:rFonts w:cs="Times New Roman"/>
                <w:b/>
                <w:bCs/>
                <w:lang w:val="en-AU" w:eastAsia="en-AU"/>
              </w:rPr>
              <w:t>302.343</w:t>
            </w:r>
          </w:p>
        </w:tc>
      </w:tr>
      <w:tr w:rsidR="00A77462" w:rsidRPr="002018AC" w14:paraId="3A95565A" w14:textId="77777777" w:rsidTr="001C195C">
        <w:tc>
          <w:tcPr>
            <w:cnfStyle w:val="001000000000" w:firstRow="0" w:lastRow="0" w:firstColumn="1" w:lastColumn="0" w:oddVBand="0" w:evenVBand="0" w:oddHBand="0" w:evenHBand="0" w:firstRowFirstColumn="0" w:firstRowLastColumn="0" w:lastRowFirstColumn="0" w:lastRowLastColumn="0"/>
            <w:tcW w:w="0" w:type="auto"/>
            <w:hideMark/>
          </w:tcPr>
          <w:p w14:paraId="486FE7D8" w14:textId="77777777" w:rsidR="00A77462" w:rsidRPr="002018AC" w:rsidRDefault="00A77462" w:rsidP="00695D8D">
            <w:pPr>
              <w:spacing w:line="276" w:lineRule="auto"/>
              <w:rPr>
                <w:rFonts w:cs="Times New Roman"/>
                <w:lang w:val="en-AU" w:eastAsia="en-AU"/>
              </w:rPr>
            </w:pPr>
            <w:r w:rsidRPr="002018AC">
              <w:rPr>
                <w:rFonts w:cs="Times New Roman"/>
                <w:lang w:val="en-AU" w:eastAsia="en-AU"/>
              </w:rPr>
              <w:t>4</w:t>
            </w:r>
          </w:p>
        </w:tc>
        <w:tc>
          <w:tcPr>
            <w:tcW w:w="0" w:type="auto"/>
            <w:hideMark/>
          </w:tcPr>
          <w:p w14:paraId="081E3080"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430</w:t>
            </w:r>
          </w:p>
        </w:tc>
        <w:tc>
          <w:tcPr>
            <w:tcW w:w="0" w:type="auto"/>
            <w:hideMark/>
          </w:tcPr>
          <w:p w14:paraId="0937489D"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200</w:t>
            </w:r>
          </w:p>
        </w:tc>
        <w:tc>
          <w:tcPr>
            <w:tcW w:w="0" w:type="auto"/>
            <w:hideMark/>
          </w:tcPr>
          <w:p w14:paraId="28E965A9"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 xml:space="preserve">430 − 200 = </w:t>
            </w:r>
            <w:r w:rsidRPr="002018AC">
              <w:rPr>
                <w:rFonts w:cs="Times New Roman"/>
                <w:b/>
                <w:bCs/>
                <w:lang w:val="en-AU" w:eastAsia="en-AU"/>
              </w:rPr>
              <w:t>230</w:t>
            </w:r>
          </w:p>
        </w:tc>
        <w:tc>
          <w:tcPr>
            <w:tcW w:w="0" w:type="auto"/>
            <w:hideMark/>
          </w:tcPr>
          <w:p w14:paraId="1CEDC7D5"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 xml:space="preserve">230 × 25% = </w:t>
            </w:r>
            <w:r w:rsidRPr="002018AC">
              <w:rPr>
                <w:rFonts w:cs="Times New Roman"/>
                <w:b/>
                <w:bCs/>
                <w:lang w:val="en-AU" w:eastAsia="en-AU"/>
              </w:rPr>
              <w:t>57.5</w:t>
            </w:r>
          </w:p>
        </w:tc>
        <w:tc>
          <w:tcPr>
            <w:tcW w:w="0" w:type="auto"/>
            <w:hideMark/>
          </w:tcPr>
          <w:p w14:paraId="6917FC23"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 xml:space="preserve">430 − 57.5 = </w:t>
            </w:r>
            <w:r w:rsidRPr="002018AC">
              <w:rPr>
                <w:rFonts w:cs="Times New Roman"/>
                <w:b/>
                <w:bCs/>
                <w:lang w:val="en-AU" w:eastAsia="en-AU"/>
              </w:rPr>
              <w:t>372.5</w:t>
            </w:r>
          </w:p>
        </w:tc>
        <w:tc>
          <w:tcPr>
            <w:tcW w:w="0" w:type="auto"/>
            <w:hideMark/>
          </w:tcPr>
          <w:p w14:paraId="5830A8AC"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0.8227</w:t>
            </w:r>
          </w:p>
        </w:tc>
        <w:tc>
          <w:tcPr>
            <w:tcW w:w="0" w:type="auto"/>
            <w:hideMark/>
          </w:tcPr>
          <w:p w14:paraId="5DC3C625"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 xml:space="preserve">372.5 × 0.8227 = </w:t>
            </w:r>
            <w:r w:rsidRPr="002018AC">
              <w:rPr>
                <w:rFonts w:cs="Times New Roman"/>
                <w:b/>
                <w:bCs/>
                <w:lang w:val="en-AU" w:eastAsia="en-AU"/>
              </w:rPr>
              <w:t>306.457</w:t>
            </w:r>
          </w:p>
        </w:tc>
      </w:tr>
    </w:tbl>
    <w:p w14:paraId="0E1E9D87" w14:textId="77777777" w:rsidR="00A77462" w:rsidRPr="002018AC" w:rsidRDefault="00A77462" w:rsidP="00695D8D">
      <w:pPr>
        <w:pStyle w:val="ListParagraph"/>
        <w:numPr>
          <w:ilvl w:val="0"/>
          <w:numId w:val="36"/>
        </w:numPr>
        <w:spacing w:line="276" w:lineRule="auto"/>
        <w:jc w:val="left"/>
        <w:rPr>
          <w:rFonts w:cs="Times New Roman"/>
          <w:lang w:val="en-AU"/>
        </w:rPr>
      </w:pPr>
      <w:r w:rsidRPr="002018AC">
        <w:rPr>
          <w:rFonts w:cs="Times New Roman"/>
          <w:bCs/>
          <w:lang w:val="en-AU"/>
        </w:rPr>
        <w:t>Total PV of after-tax cash flows:</w:t>
      </w:r>
      <w:r w:rsidRPr="002018AC">
        <w:rPr>
          <w:rFonts w:cs="Times New Roman"/>
          <w:lang w:val="en-AU"/>
        </w:rPr>
        <w:br/>
        <w:t>= 226.190 + 256.236 + 302.343 + 306.457</w:t>
      </w:r>
      <w:r w:rsidRPr="002018AC">
        <w:rPr>
          <w:rFonts w:cs="Times New Roman"/>
          <w:lang w:val="en-AU"/>
        </w:rPr>
        <w:br/>
        <w:t xml:space="preserve">= </w:t>
      </w:r>
      <w:r w:rsidRPr="002018AC">
        <w:rPr>
          <w:rFonts w:cs="Times New Roman"/>
          <w:bCs/>
          <w:lang w:val="en-AU"/>
        </w:rPr>
        <w:t>1,091.226</w:t>
      </w:r>
    </w:p>
    <w:p w14:paraId="478E0DEC" w14:textId="77777777" w:rsidR="00A77462" w:rsidRPr="002018AC" w:rsidRDefault="00A77462" w:rsidP="00695D8D">
      <w:pPr>
        <w:pStyle w:val="ListParagraph"/>
        <w:numPr>
          <w:ilvl w:val="0"/>
          <w:numId w:val="36"/>
        </w:numPr>
        <w:spacing w:line="276" w:lineRule="auto"/>
        <w:jc w:val="left"/>
        <w:rPr>
          <w:rFonts w:cs="Times New Roman"/>
          <w:lang w:val="en-AU"/>
        </w:rPr>
      </w:pPr>
      <w:r w:rsidRPr="002018AC">
        <w:rPr>
          <w:rFonts w:cs="Times New Roman"/>
          <w:bCs/>
          <w:lang w:val="en-AU"/>
        </w:rPr>
        <w:lastRenderedPageBreak/>
        <w:t>NPV:</w:t>
      </w:r>
      <w:r w:rsidRPr="002018AC">
        <w:rPr>
          <w:rFonts w:cs="Times New Roman"/>
          <w:lang w:val="en-AU"/>
        </w:rPr>
        <w:br/>
        <w:t>= 1,091.226 − 1,000</w:t>
      </w:r>
      <w:r w:rsidRPr="002018AC">
        <w:rPr>
          <w:rFonts w:cs="Times New Roman"/>
          <w:lang w:val="en-AU"/>
        </w:rPr>
        <w:br/>
        <w:t xml:space="preserve">= </w:t>
      </w:r>
      <w:r w:rsidRPr="002018AC">
        <w:rPr>
          <w:rFonts w:cs="Times New Roman"/>
          <w:bCs/>
          <w:lang w:val="en-AU"/>
        </w:rPr>
        <w:t>91.226</w:t>
      </w:r>
    </w:p>
    <w:p w14:paraId="2FB8F452" w14:textId="38309D38" w:rsidR="00A77462" w:rsidRPr="002018AC" w:rsidRDefault="00A77462" w:rsidP="00695D8D">
      <w:pPr>
        <w:pStyle w:val="Heading2"/>
        <w:numPr>
          <w:ilvl w:val="1"/>
          <w:numId w:val="9"/>
        </w:numPr>
        <w:spacing w:line="276" w:lineRule="auto"/>
        <w:rPr>
          <w:rFonts w:cs="Times New Roman"/>
          <w:lang w:val="en-AU"/>
        </w:rPr>
      </w:pPr>
      <w:bookmarkStart w:id="64" w:name="_Toc227609594"/>
      <w:r w:rsidRPr="002018AC">
        <w:rPr>
          <w:rFonts w:cs="Times New Roman"/>
          <w:lang w:val="en-AU"/>
        </w:rPr>
        <w:t>Appendix E: IRR calculation for Option C</w:t>
      </w:r>
      <w:bookmarkEnd w:id="64"/>
    </w:p>
    <w:p w14:paraId="6581C29B" w14:textId="77777777" w:rsidR="00A77462" w:rsidRPr="002018AC" w:rsidRDefault="00A77462" w:rsidP="00695D8D">
      <w:pPr>
        <w:spacing w:line="276" w:lineRule="auto"/>
        <w:rPr>
          <w:rFonts w:cs="Times New Roman"/>
          <w:lang w:val="en-AU"/>
        </w:rPr>
      </w:pPr>
      <w:r w:rsidRPr="002018AC">
        <w:rPr>
          <w:rFonts w:cs="Times New Roman"/>
          <w:lang w:val="en-AU"/>
        </w:rPr>
        <w:t>Option C after-tax cash flows:</w:t>
      </w:r>
    </w:p>
    <w:tbl>
      <w:tblPr>
        <w:tblStyle w:val="GridTable4-Accent1"/>
        <w:tblW w:w="9566" w:type="dxa"/>
        <w:tblLook w:val="04A0" w:firstRow="1" w:lastRow="0" w:firstColumn="1" w:lastColumn="0" w:noHBand="0" w:noVBand="1"/>
      </w:tblPr>
      <w:tblGrid>
        <w:gridCol w:w="2363"/>
        <w:gridCol w:w="7203"/>
      </w:tblGrid>
      <w:tr w:rsidR="00A77462" w:rsidRPr="002018AC" w14:paraId="6E65EC28" w14:textId="77777777" w:rsidTr="001C195C">
        <w:trPr>
          <w:cnfStyle w:val="100000000000" w:firstRow="1" w:lastRow="0" w:firstColumn="0" w:lastColumn="0" w:oddVBand="0" w:evenVBand="0" w:oddHBand="0" w:evenHBand="0" w:firstRowFirstColumn="0" w:firstRowLastColumn="0" w:lastRowFirstColumn="0" w:lastRowLastColumn="0"/>
          <w:trHeight w:val="328"/>
        </w:trPr>
        <w:tc>
          <w:tcPr>
            <w:cnfStyle w:val="001000000000" w:firstRow="0" w:lastRow="0" w:firstColumn="1" w:lastColumn="0" w:oddVBand="0" w:evenVBand="0" w:oddHBand="0" w:evenHBand="0" w:firstRowFirstColumn="0" w:firstRowLastColumn="0" w:lastRowFirstColumn="0" w:lastRowLastColumn="0"/>
            <w:tcW w:w="0" w:type="auto"/>
            <w:hideMark/>
          </w:tcPr>
          <w:p w14:paraId="3E13A5D3" w14:textId="77777777" w:rsidR="00A77462" w:rsidRPr="002018AC" w:rsidRDefault="00A77462" w:rsidP="00695D8D">
            <w:pPr>
              <w:spacing w:line="276" w:lineRule="auto"/>
              <w:rPr>
                <w:rFonts w:cs="Times New Roman"/>
                <w:b w:val="0"/>
                <w:bCs w:val="0"/>
                <w:lang w:val="en-AU" w:eastAsia="en-AU"/>
              </w:rPr>
            </w:pPr>
            <w:r w:rsidRPr="002018AC">
              <w:rPr>
                <w:rFonts w:cs="Times New Roman"/>
                <w:b w:val="0"/>
                <w:bCs w:val="0"/>
                <w:lang w:val="en-AU" w:eastAsia="en-AU"/>
              </w:rPr>
              <w:t>Year</w:t>
            </w:r>
          </w:p>
        </w:tc>
        <w:tc>
          <w:tcPr>
            <w:tcW w:w="0" w:type="auto"/>
            <w:hideMark/>
          </w:tcPr>
          <w:p w14:paraId="12CD709D" w14:textId="77777777" w:rsidR="00A77462" w:rsidRPr="002018AC" w:rsidRDefault="00A77462" w:rsidP="00695D8D">
            <w:pPr>
              <w:spacing w:line="276" w:lineRule="auto"/>
              <w:cnfStyle w:val="100000000000" w:firstRow="1" w:lastRow="0" w:firstColumn="0" w:lastColumn="0" w:oddVBand="0" w:evenVBand="0" w:oddHBand="0" w:evenHBand="0" w:firstRowFirstColumn="0" w:firstRowLastColumn="0" w:lastRowFirstColumn="0" w:lastRowLastColumn="0"/>
              <w:rPr>
                <w:rFonts w:cs="Times New Roman"/>
                <w:b w:val="0"/>
                <w:bCs w:val="0"/>
                <w:lang w:val="en-AU" w:eastAsia="en-AU"/>
              </w:rPr>
            </w:pPr>
            <w:r w:rsidRPr="002018AC">
              <w:rPr>
                <w:rFonts w:cs="Times New Roman"/>
                <w:b w:val="0"/>
                <w:bCs w:val="0"/>
                <w:lang w:val="en-AU" w:eastAsia="en-AU"/>
              </w:rPr>
              <w:t>After-tax cash flow</w:t>
            </w:r>
          </w:p>
        </w:tc>
      </w:tr>
      <w:tr w:rsidR="00A77462" w:rsidRPr="002018AC" w14:paraId="53E90C9E" w14:textId="77777777" w:rsidTr="001C195C">
        <w:trPr>
          <w:cnfStyle w:val="000000100000" w:firstRow="0" w:lastRow="0" w:firstColumn="0" w:lastColumn="0" w:oddVBand="0" w:evenVBand="0" w:oddHBand="1" w:evenHBand="0" w:firstRowFirstColumn="0" w:firstRowLastColumn="0" w:lastRowFirstColumn="0" w:lastRowLastColumn="0"/>
          <w:trHeight w:val="319"/>
        </w:trPr>
        <w:tc>
          <w:tcPr>
            <w:cnfStyle w:val="001000000000" w:firstRow="0" w:lastRow="0" w:firstColumn="1" w:lastColumn="0" w:oddVBand="0" w:evenVBand="0" w:oddHBand="0" w:evenHBand="0" w:firstRowFirstColumn="0" w:firstRowLastColumn="0" w:lastRowFirstColumn="0" w:lastRowLastColumn="0"/>
            <w:tcW w:w="0" w:type="auto"/>
            <w:hideMark/>
          </w:tcPr>
          <w:p w14:paraId="5721B26A" w14:textId="77777777" w:rsidR="00A77462" w:rsidRPr="002018AC" w:rsidRDefault="00A77462" w:rsidP="00695D8D">
            <w:pPr>
              <w:spacing w:line="276" w:lineRule="auto"/>
              <w:rPr>
                <w:rFonts w:cs="Times New Roman"/>
                <w:lang w:val="en-AU" w:eastAsia="en-AU"/>
              </w:rPr>
            </w:pPr>
            <w:r w:rsidRPr="002018AC">
              <w:rPr>
                <w:rFonts w:cs="Times New Roman"/>
                <w:lang w:val="en-AU" w:eastAsia="en-AU"/>
              </w:rPr>
              <w:t>1</w:t>
            </w:r>
          </w:p>
        </w:tc>
        <w:tc>
          <w:tcPr>
            <w:tcW w:w="0" w:type="auto"/>
            <w:hideMark/>
          </w:tcPr>
          <w:p w14:paraId="42C67E53"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237.5</w:t>
            </w:r>
          </w:p>
        </w:tc>
      </w:tr>
      <w:tr w:rsidR="00A77462" w:rsidRPr="002018AC" w14:paraId="1028E271" w14:textId="77777777" w:rsidTr="001C195C">
        <w:trPr>
          <w:trHeight w:val="328"/>
        </w:trPr>
        <w:tc>
          <w:tcPr>
            <w:cnfStyle w:val="001000000000" w:firstRow="0" w:lastRow="0" w:firstColumn="1" w:lastColumn="0" w:oddVBand="0" w:evenVBand="0" w:oddHBand="0" w:evenHBand="0" w:firstRowFirstColumn="0" w:firstRowLastColumn="0" w:lastRowFirstColumn="0" w:lastRowLastColumn="0"/>
            <w:tcW w:w="0" w:type="auto"/>
            <w:hideMark/>
          </w:tcPr>
          <w:p w14:paraId="2E95FAC4" w14:textId="77777777" w:rsidR="00A77462" w:rsidRPr="002018AC" w:rsidRDefault="00A77462" w:rsidP="00695D8D">
            <w:pPr>
              <w:spacing w:line="276" w:lineRule="auto"/>
              <w:rPr>
                <w:rFonts w:cs="Times New Roman"/>
                <w:lang w:val="en-AU" w:eastAsia="en-AU"/>
              </w:rPr>
            </w:pPr>
            <w:r w:rsidRPr="002018AC">
              <w:rPr>
                <w:rFonts w:cs="Times New Roman"/>
                <w:lang w:val="en-AU" w:eastAsia="en-AU"/>
              </w:rPr>
              <w:t>2</w:t>
            </w:r>
          </w:p>
        </w:tc>
        <w:tc>
          <w:tcPr>
            <w:tcW w:w="0" w:type="auto"/>
            <w:hideMark/>
          </w:tcPr>
          <w:p w14:paraId="4AC20439"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282.5</w:t>
            </w:r>
          </w:p>
        </w:tc>
      </w:tr>
      <w:tr w:rsidR="00A77462" w:rsidRPr="002018AC" w14:paraId="4EE43119" w14:textId="77777777" w:rsidTr="001C195C">
        <w:trPr>
          <w:cnfStyle w:val="000000100000" w:firstRow="0" w:lastRow="0" w:firstColumn="0" w:lastColumn="0" w:oddVBand="0" w:evenVBand="0" w:oddHBand="1" w:evenHBand="0" w:firstRowFirstColumn="0" w:firstRowLastColumn="0" w:lastRowFirstColumn="0" w:lastRowLastColumn="0"/>
          <w:trHeight w:val="328"/>
        </w:trPr>
        <w:tc>
          <w:tcPr>
            <w:cnfStyle w:val="001000000000" w:firstRow="0" w:lastRow="0" w:firstColumn="1" w:lastColumn="0" w:oddVBand="0" w:evenVBand="0" w:oddHBand="0" w:evenHBand="0" w:firstRowFirstColumn="0" w:firstRowLastColumn="0" w:lastRowFirstColumn="0" w:lastRowLastColumn="0"/>
            <w:tcW w:w="0" w:type="auto"/>
            <w:hideMark/>
          </w:tcPr>
          <w:p w14:paraId="0B83B377" w14:textId="77777777" w:rsidR="00A77462" w:rsidRPr="002018AC" w:rsidRDefault="00A77462" w:rsidP="00695D8D">
            <w:pPr>
              <w:spacing w:line="276" w:lineRule="auto"/>
              <w:rPr>
                <w:rFonts w:cs="Times New Roman"/>
                <w:lang w:val="en-AU" w:eastAsia="en-AU"/>
              </w:rPr>
            </w:pPr>
            <w:r w:rsidRPr="002018AC">
              <w:rPr>
                <w:rFonts w:cs="Times New Roman"/>
                <w:lang w:val="en-AU" w:eastAsia="en-AU"/>
              </w:rPr>
              <w:t>3</w:t>
            </w:r>
          </w:p>
        </w:tc>
        <w:tc>
          <w:tcPr>
            <w:tcW w:w="0" w:type="auto"/>
            <w:hideMark/>
          </w:tcPr>
          <w:p w14:paraId="5688885D"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350.0</w:t>
            </w:r>
          </w:p>
        </w:tc>
      </w:tr>
      <w:tr w:rsidR="00A77462" w:rsidRPr="002018AC" w14:paraId="7731024D" w14:textId="77777777" w:rsidTr="001C195C">
        <w:trPr>
          <w:trHeight w:val="319"/>
        </w:trPr>
        <w:tc>
          <w:tcPr>
            <w:cnfStyle w:val="001000000000" w:firstRow="0" w:lastRow="0" w:firstColumn="1" w:lastColumn="0" w:oddVBand="0" w:evenVBand="0" w:oddHBand="0" w:evenHBand="0" w:firstRowFirstColumn="0" w:firstRowLastColumn="0" w:lastRowFirstColumn="0" w:lastRowLastColumn="0"/>
            <w:tcW w:w="0" w:type="auto"/>
            <w:hideMark/>
          </w:tcPr>
          <w:p w14:paraId="233C79B4" w14:textId="77777777" w:rsidR="00A77462" w:rsidRPr="002018AC" w:rsidRDefault="00A77462" w:rsidP="00695D8D">
            <w:pPr>
              <w:spacing w:line="276" w:lineRule="auto"/>
              <w:rPr>
                <w:rFonts w:cs="Times New Roman"/>
                <w:lang w:val="en-AU" w:eastAsia="en-AU"/>
              </w:rPr>
            </w:pPr>
            <w:r w:rsidRPr="002018AC">
              <w:rPr>
                <w:rFonts w:cs="Times New Roman"/>
                <w:lang w:val="en-AU" w:eastAsia="en-AU"/>
              </w:rPr>
              <w:t>4</w:t>
            </w:r>
          </w:p>
        </w:tc>
        <w:tc>
          <w:tcPr>
            <w:tcW w:w="0" w:type="auto"/>
            <w:hideMark/>
          </w:tcPr>
          <w:p w14:paraId="6215BE43"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372.5</w:t>
            </w:r>
          </w:p>
        </w:tc>
      </w:tr>
    </w:tbl>
    <w:p w14:paraId="2E324EBE" w14:textId="77777777" w:rsidR="00A77462" w:rsidRPr="002018AC" w:rsidRDefault="00A77462" w:rsidP="00695D8D">
      <w:pPr>
        <w:spacing w:line="276" w:lineRule="auto"/>
        <w:rPr>
          <w:rFonts w:cs="Times New Roman"/>
          <w:b/>
          <w:bCs/>
          <w:lang w:val="en-AU"/>
        </w:rPr>
      </w:pPr>
      <w:r w:rsidRPr="002018AC">
        <w:rPr>
          <w:rFonts w:cs="Times New Roman"/>
          <w:b/>
          <w:bCs/>
          <w:lang w:val="en-AU"/>
        </w:rPr>
        <w:t>E1. NPV at 8%</w:t>
      </w:r>
    </w:p>
    <w:tbl>
      <w:tblPr>
        <w:tblStyle w:val="GridTable4-Accent1"/>
        <w:tblW w:w="9535" w:type="dxa"/>
        <w:tblLook w:val="04A0" w:firstRow="1" w:lastRow="0" w:firstColumn="1" w:lastColumn="0" w:noHBand="0" w:noVBand="1"/>
      </w:tblPr>
      <w:tblGrid>
        <w:gridCol w:w="1138"/>
        <w:gridCol w:w="1993"/>
        <w:gridCol w:w="1893"/>
        <w:gridCol w:w="4511"/>
      </w:tblGrid>
      <w:tr w:rsidR="00A77462" w:rsidRPr="002018AC" w14:paraId="2FDEF879" w14:textId="77777777" w:rsidTr="001C195C">
        <w:trPr>
          <w:cnfStyle w:val="100000000000" w:firstRow="1" w:lastRow="0" w:firstColumn="0" w:lastColumn="0" w:oddVBand="0" w:evenVBand="0" w:oddHBand="0" w:evenHBand="0" w:firstRowFirstColumn="0" w:firstRowLastColumn="0" w:lastRowFirstColumn="0" w:lastRowLastColumn="0"/>
          <w:trHeight w:val="373"/>
        </w:trPr>
        <w:tc>
          <w:tcPr>
            <w:cnfStyle w:val="001000000000" w:firstRow="0" w:lastRow="0" w:firstColumn="1" w:lastColumn="0" w:oddVBand="0" w:evenVBand="0" w:oddHBand="0" w:evenHBand="0" w:firstRowFirstColumn="0" w:firstRowLastColumn="0" w:lastRowFirstColumn="0" w:lastRowLastColumn="0"/>
            <w:tcW w:w="0" w:type="auto"/>
            <w:hideMark/>
          </w:tcPr>
          <w:p w14:paraId="5B0391C9" w14:textId="77777777" w:rsidR="00A77462" w:rsidRPr="002018AC" w:rsidRDefault="00A77462" w:rsidP="00695D8D">
            <w:pPr>
              <w:spacing w:line="276" w:lineRule="auto"/>
              <w:rPr>
                <w:rFonts w:cs="Times New Roman"/>
                <w:b w:val="0"/>
                <w:bCs w:val="0"/>
                <w:lang w:val="en-AU" w:eastAsia="en-AU"/>
              </w:rPr>
            </w:pPr>
            <w:r w:rsidRPr="002018AC">
              <w:rPr>
                <w:rFonts w:cs="Times New Roman"/>
                <w:b w:val="0"/>
                <w:bCs w:val="0"/>
                <w:lang w:val="en-AU" w:eastAsia="en-AU"/>
              </w:rPr>
              <w:t>Year</w:t>
            </w:r>
          </w:p>
        </w:tc>
        <w:tc>
          <w:tcPr>
            <w:tcW w:w="0" w:type="auto"/>
            <w:hideMark/>
          </w:tcPr>
          <w:p w14:paraId="32FC9FCA" w14:textId="77777777" w:rsidR="00A77462" w:rsidRPr="002018AC" w:rsidRDefault="00A77462" w:rsidP="00695D8D">
            <w:pPr>
              <w:spacing w:line="276" w:lineRule="auto"/>
              <w:cnfStyle w:val="100000000000" w:firstRow="1" w:lastRow="0" w:firstColumn="0" w:lastColumn="0" w:oddVBand="0" w:evenVBand="0" w:oddHBand="0" w:evenHBand="0" w:firstRowFirstColumn="0" w:firstRowLastColumn="0" w:lastRowFirstColumn="0" w:lastRowLastColumn="0"/>
              <w:rPr>
                <w:rFonts w:cs="Times New Roman"/>
                <w:b w:val="0"/>
                <w:bCs w:val="0"/>
                <w:lang w:val="en-AU" w:eastAsia="en-AU"/>
              </w:rPr>
            </w:pPr>
            <w:r w:rsidRPr="002018AC">
              <w:rPr>
                <w:rFonts w:cs="Times New Roman"/>
                <w:b w:val="0"/>
                <w:bCs w:val="0"/>
                <w:lang w:val="en-AU" w:eastAsia="en-AU"/>
              </w:rPr>
              <w:t>Cash flow</w:t>
            </w:r>
          </w:p>
        </w:tc>
        <w:tc>
          <w:tcPr>
            <w:tcW w:w="0" w:type="auto"/>
            <w:hideMark/>
          </w:tcPr>
          <w:p w14:paraId="208AE512" w14:textId="77777777" w:rsidR="00A77462" w:rsidRPr="002018AC" w:rsidRDefault="00A77462" w:rsidP="00695D8D">
            <w:pPr>
              <w:spacing w:line="276" w:lineRule="auto"/>
              <w:cnfStyle w:val="100000000000" w:firstRow="1" w:lastRow="0" w:firstColumn="0" w:lastColumn="0" w:oddVBand="0" w:evenVBand="0" w:oddHBand="0" w:evenHBand="0" w:firstRowFirstColumn="0" w:firstRowLastColumn="0" w:lastRowFirstColumn="0" w:lastRowLastColumn="0"/>
              <w:rPr>
                <w:rFonts w:cs="Times New Roman"/>
                <w:b w:val="0"/>
                <w:bCs w:val="0"/>
                <w:lang w:val="en-AU" w:eastAsia="en-AU"/>
              </w:rPr>
            </w:pPr>
            <w:r w:rsidRPr="002018AC">
              <w:rPr>
                <w:rFonts w:cs="Times New Roman"/>
                <w:b w:val="0"/>
                <w:bCs w:val="0"/>
                <w:lang w:val="en-AU" w:eastAsia="en-AU"/>
              </w:rPr>
              <w:t>DF at 8%</w:t>
            </w:r>
          </w:p>
        </w:tc>
        <w:tc>
          <w:tcPr>
            <w:tcW w:w="0" w:type="auto"/>
            <w:hideMark/>
          </w:tcPr>
          <w:p w14:paraId="0B82B178" w14:textId="77777777" w:rsidR="00A77462" w:rsidRPr="002018AC" w:rsidRDefault="00A77462" w:rsidP="00695D8D">
            <w:pPr>
              <w:spacing w:line="276" w:lineRule="auto"/>
              <w:cnfStyle w:val="100000000000" w:firstRow="1" w:lastRow="0" w:firstColumn="0" w:lastColumn="0" w:oddVBand="0" w:evenVBand="0" w:oddHBand="0" w:evenHBand="0" w:firstRowFirstColumn="0" w:firstRowLastColumn="0" w:lastRowFirstColumn="0" w:lastRowLastColumn="0"/>
              <w:rPr>
                <w:rFonts w:cs="Times New Roman"/>
                <w:b w:val="0"/>
                <w:bCs w:val="0"/>
                <w:lang w:val="en-AU" w:eastAsia="en-AU"/>
              </w:rPr>
            </w:pPr>
            <w:r w:rsidRPr="002018AC">
              <w:rPr>
                <w:rFonts w:cs="Times New Roman"/>
                <w:b w:val="0"/>
                <w:bCs w:val="0"/>
                <w:lang w:val="en-AU" w:eastAsia="en-AU"/>
              </w:rPr>
              <w:t>Present value</w:t>
            </w:r>
          </w:p>
        </w:tc>
      </w:tr>
      <w:tr w:rsidR="00A77462" w:rsidRPr="002018AC" w14:paraId="42F7FE3C" w14:textId="77777777" w:rsidTr="001C195C">
        <w:trPr>
          <w:cnfStyle w:val="000000100000" w:firstRow="0" w:lastRow="0" w:firstColumn="0" w:lastColumn="0" w:oddVBand="0" w:evenVBand="0" w:oddHBand="1" w:evenHBand="0" w:firstRowFirstColumn="0" w:firstRowLastColumn="0" w:lastRowFirstColumn="0" w:lastRowLastColumn="0"/>
          <w:trHeight w:val="363"/>
        </w:trPr>
        <w:tc>
          <w:tcPr>
            <w:cnfStyle w:val="001000000000" w:firstRow="0" w:lastRow="0" w:firstColumn="1" w:lastColumn="0" w:oddVBand="0" w:evenVBand="0" w:oddHBand="0" w:evenHBand="0" w:firstRowFirstColumn="0" w:firstRowLastColumn="0" w:lastRowFirstColumn="0" w:lastRowLastColumn="0"/>
            <w:tcW w:w="0" w:type="auto"/>
            <w:hideMark/>
          </w:tcPr>
          <w:p w14:paraId="17EF166C" w14:textId="77777777" w:rsidR="00A77462" w:rsidRPr="002018AC" w:rsidRDefault="00A77462" w:rsidP="00695D8D">
            <w:pPr>
              <w:spacing w:line="276" w:lineRule="auto"/>
              <w:rPr>
                <w:rFonts w:cs="Times New Roman"/>
                <w:lang w:val="en-AU" w:eastAsia="en-AU"/>
              </w:rPr>
            </w:pPr>
            <w:r w:rsidRPr="002018AC">
              <w:rPr>
                <w:rFonts w:cs="Times New Roman"/>
                <w:lang w:val="en-AU" w:eastAsia="en-AU"/>
              </w:rPr>
              <w:t>1</w:t>
            </w:r>
          </w:p>
        </w:tc>
        <w:tc>
          <w:tcPr>
            <w:tcW w:w="0" w:type="auto"/>
            <w:hideMark/>
          </w:tcPr>
          <w:p w14:paraId="4A3BE641"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237.5</w:t>
            </w:r>
          </w:p>
        </w:tc>
        <w:tc>
          <w:tcPr>
            <w:tcW w:w="0" w:type="auto"/>
            <w:hideMark/>
          </w:tcPr>
          <w:p w14:paraId="76FD2E37"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0.9259</w:t>
            </w:r>
          </w:p>
        </w:tc>
        <w:tc>
          <w:tcPr>
            <w:tcW w:w="0" w:type="auto"/>
            <w:hideMark/>
          </w:tcPr>
          <w:p w14:paraId="69E2F5AE"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 xml:space="preserve">237.5 × 0.9259 = </w:t>
            </w:r>
            <w:r w:rsidRPr="002018AC">
              <w:rPr>
                <w:rFonts w:cs="Times New Roman"/>
                <w:b/>
                <w:bCs/>
                <w:lang w:val="en-AU" w:eastAsia="en-AU"/>
              </w:rPr>
              <w:t>219.907</w:t>
            </w:r>
          </w:p>
        </w:tc>
      </w:tr>
      <w:tr w:rsidR="00A77462" w:rsidRPr="002018AC" w14:paraId="1FD356E9" w14:textId="77777777" w:rsidTr="001C195C">
        <w:trPr>
          <w:trHeight w:val="373"/>
        </w:trPr>
        <w:tc>
          <w:tcPr>
            <w:cnfStyle w:val="001000000000" w:firstRow="0" w:lastRow="0" w:firstColumn="1" w:lastColumn="0" w:oddVBand="0" w:evenVBand="0" w:oddHBand="0" w:evenHBand="0" w:firstRowFirstColumn="0" w:firstRowLastColumn="0" w:lastRowFirstColumn="0" w:lastRowLastColumn="0"/>
            <w:tcW w:w="0" w:type="auto"/>
            <w:hideMark/>
          </w:tcPr>
          <w:p w14:paraId="3EE11E76" w14:textId="77777777" w:rsidR="00A77462" w:rsidRPr="002018AC" w:rsidRDefault="00A77462" w:rsidP="00695D8D">
            <w:pPr>
              <w:spacing w:line="276" w:lineRule="auto"/>
              <w:rPr>
                <w:rFonts w:cs="Times New Roman"/>
                <w:lang w:val="en-AU" w:eastAsia="en-AU"/>
              </w:rPr>
            </w:pPr>
            <w:r w:rsidRPr="002018AC">
              <w:rPr>
                <w:rFonts w:cs="Times New Roman"/>
                <w:lang w:val="en-AU" w:eastAsia="en-AU"/>
              </w:rPr>
              <w:t>2</w:t>
            </w:r>
          </w:p>
        </w:tc>
        <w:tc>
          <w:tcPr>
            <w:tcW w:w="0" w:type="auto"/>
            <w:hideMark/>
          </w:tcPr>
          <w:p w14:paraId="5D5A6676"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282.5</w:t>
            </w:r>
          </w:p>
        </w:tc>
        <w:tc>
          <w:tcPr>
            <w:tcW w:w="0" w:type="auto"/>
            <w:hideMark/>
          </w:tcPr>
          <w:p w14:paraId="7019B5A6"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0.8573</w:t>
            </w:r>
          </w:p>
        </w:tc>
        <w:tc>
          <w:tcPr>
            <w:tcW w:w="0" w:type="auto"/>
            <w:hideMark/>
          </w:tcPr>
          <w:p w14:paraId="255A9A04"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 xml:space="preserve">282.5 × 0.8573 = </w:t>
            </w:r>
            <w:r w:rsidRPr="002018AC">
              <w:rPr>
                <w:rFonts w:cs="Times New Roman"/>
                <w:b/>
                <w:bCs/>
                <w:lang w:val="en-AU" w:eastAsia="en-AU"/>
              </w:rPr>
              <w:t>242.198</w:t>
            </w:r>
          </w:p>
        </w:tc>
      </w:tr>
      <w:tr w:rsidR="00A77462" w:rsidRPr="002018AC" w14:paraId="29BBA167" w14:textId="77777777" w:rsidTr="001C195C">
        <w:trPr>
          <w:cnfStyle w:val="000000100000" w:firstRow="0" w:lastRow="0" w:firstColumn="0" w:lastColumn="0" w:oddVBand="0" w:evenVBand="0" w:oddHBand="1" w:evenHBand="0" w:firstRowFirstColumn="0" w:firstRowLastColumn="0" w:lastRowFirstColumn="0" w:lastRowLastColumn="0"/>
          <w:trHeight w:val="373"/>
        </w:trPr>
        <w:tc>
          <w:tcPr>
            <w:cnfStyle w:val="001000000000" w:firstRow="0" w:lastRow="0" w:firstColumn="1" w:lastColumn="0" w:oddVBand="0" w:evenVBand="0" w:oddHBand="0" w:evenHBand="0" w:firstRowFirstColumn="0" w:firstRowLastColumn="0" w:lastRowFirstColumn="0" w:lastRowLastColumn="0"/>
            <w:tcW w:w="0" w:type="auto"/>
            <w:hideMark/>
          </w:tcPr>
          <w:p w14:paraId="09B9D8C1" w14:textId="77777777" w:rsidR="00A77462" w:rsidRPr="002018AC" w:rsidRDefault="00A77462" w:rsidP="00695D8D">
            <w:pPr>
              <w:spacing w:line="276" w:lineRule="auto"/>
              <w:rPr>
                <w:rFonts w:cs="Times New Roman"/>
                <w:lang w:val="en-AU" w:eastAsia="en-AU"/>
              </w:rPr>
            </w:pPr>
            <w:r w:rsidRPr="002018AC">
              <w:rPr>
                <w:rFonts w:cs="Times New Roman"/>
                <w:lang w:val="en-AU" w:eastAsia="en-AU"/>
              </w:rPr>
              <w:t>3</w:t>
            </w:r>
          </w:p>
        </w:tc>
        <w:tc>
          <w:tcPr>
            <w:tcW w:w="0" w:type="auto"/>
            <w:hideMark/>
          </w:tcPr>
          <w:p w14:paraId="39BD08C1"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350.0</w:t>
            </w:r>
          </w:p>
        </w:tc>
        <w:tc>
          <w:tcPr>
            <w:tcW w:w="0" w:type="auto"/>
            <w:hideMark/>
          </w:tcPr>
          <w:p w14:paraId="2405A723"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0.7938</w:t>
            </w:r>
          </w:p>
        </w:tc>
        <w:tc>
          <w:tcPr>
            <w:tcW w:w="0" w:type="auto"/>
            <w:hideMark/>
          </w:tcPr>
          <w:p w14:paraId="07E9A716"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 xml:space="preserve">350 × 0.7938 = </w:t>
            </w:r>
            <w:r w:rsidRPr="002018AC">
              <w:rPr>
                <w:rFonts w:cs="Times New Roman"/>
                <w:b/>
                <w:bCs/>
                <w:lang w:val="en-AU" w:eastAsia="en-AU"/>
              </w:rPr>
              <w:t>277.841</w:t>
            </w:r>
          </w:p>
        </w:tc>
      </w:tr>
      <w:tr w:rsidR="00A77462" w:rsidRPr="002018AC" w14:paraId="6E83466B" w14:textId="77777777" w:rsidTr="001C195C">
        <w:trPr>
          <w:trHeight w:val="363"/>
        </w:trPr>
        <w:tc>
          <w:tcPr>
            <w:cnfStyle w:val="001000000000" w:firstRow="0" w:lastRow="0" w:firstColumn="1" w:lastColumn="0" w:oddVBand="0" w:evenVBand="0" w:oddHBand="0" w:evenHBand="0" w:firstRowFirstColumn="0" w:firstRowLastColumn="0" w:lastRowFirstColumn="0" w:lastRowLastColumn="0"/>
            <w:tcW w:w="0" w:type="auto"/>
            <w:hideMark/>
          </w:tcPr>
          <w:p w14:paraId="1E2BBEEB" w14:textId="77777777" w:rsidR="00A77462" w:rsidRPr="002018AC" w:rsidRDefault="00A77462" w:rsidP="00695D8D">
            <w:pPr>
              <w:spacing w:line="276" w:lineRule="auto"/>
              <w:jc w:val="left"/>
              <w:rPr>
                <w:rFonts w:cs="Times New Roman"/>
                <w:lang w:val="en-AU" w:eastAsia="en-AU"/>
              </w:rPr>
            </w:pPr>
            <w:r w:rsidRPr="002018AC">
              <w:rPr>
                <w:rFonts w:cs="Times New Roman"/>
                <w:lang w:val="en-AU" w:eastAsia="en-AU"/>
              </w:rPr>
              <w:t>4</w:t>
            </w:r>
          </w:p>
        </w:tc>
        <w:tc>
          <w:tcPr>
            <w:tcW w:w="0" w:type="auto"/>
            <w:hideMark/>
          </w:tcPr>
          <w:p w14:paraId="0F47F053" w14:textId="77777777" w:rsidR="00A77462" w:rsidRPr="002018AC" w:rsidRDefault="00A77462" w:rsidP="00695D8D">
            <w:pPr>
              <w:spacing w:line="276" w:lineRule="auto"/>
              <w:jc w:val="left"/>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372.5</w:t>
            </w:r>
          </w:p>
        </w:tc>
        <w:tc>
          <w:tcPr>
            <w:tcW w:w="0" w:type="auto"/>
            <w:hideMark/>
          </w:tcPr>
          <w:p w14:paraId="55DB6768" w14:textId="77777777" w:rsidR="00A77462" w:rsidRPr="002018AC" w:rsidRDefault="00A77462" w:rsidP="00695D8D">
            <w:pPr>
              <w:spacing w:line="276" w:lineRule="auto"/>
              <w:jc w:val="left"/>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0.7350</w:t>
            </w:r>
          </w:p>
        </w:tc>
        <w:tc>
          <w:tcPr>
            <w:tcW w:w="0" w:type="auto"/>
            <w:hideMark/>
          </w:tcPr>
          <w:p w14:paraId="5D1AF704" w14:textId="77777777" w:rsidR="00A77462" w:rsidRPr="002018AC" w:rsidRDefault="00A77462" w:rsidP="00695D8D">
            <w:pPr>
              <w:spacing w:line="276" w:lineRule="auto"/>
              <w:jc w:val="left"/>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 xml:space="preserve">372.5 × 0.7350 = </w:t>
            </w:r>
            <w:r w:rsidRPr="002018AC">
              <w:rPr>
                <w:rFonts w:cs="Times New Roman"/>
                <w:b/>
                <w:bCs/>
                <w:lang w:val="en-AU" w:eastAsia="en-AU"/>
              </w:rPr>
              <w:t>273.799</w:t>
            </w:r>
          </w:p>
        </w:tc>
      </w:tr>
    </w:tbl>
    <w:p w14:paraId="3D315B47" w14:textId="77777777" w:rsidR="00A77462" w:rsidRPr="002018AC" w:rsidRDefault="00A77462" w:rsidP="00695D8D">
      <w:pPr>
        <w:pStyle w:val="ListParagraph"/>
        <w:numPr>
          <w:ilvl w:val="0"/>
          <w:numId w:val="37"/>
        </w:numPr>
        <w:spacing w:line="276" w:lineRule="auto"/>
        <w:rPr>
          <w:rFonts w:cs="Times New Roman"/>
          <w:lang w:val="en-AU"/>
        </w:rPr>
      </w:pPr>
      <w:r w:rsidRPr="002018AC">
        <w:rPr>
          <w:rFonts w:cs="Times New Roman"/>
          <w:bCs/>
          <w:lang w:val="en-AU"/>
        </w:rPr>
        <w:t>Total PV at 8%:</w:t>
      </w:r>
      <w:r w:rsidRPr="002018AC">
        <w:rPr>
          <w:rFonts w:cs="Times New Roman"/>
          <w:lang w:val="en-AU"/>
        </w:rPr>
        <w:br/>
        <w:t>= 219.907 + 242.198 + 277.841 + 273.799</w:t>
      </w:r>
      <w:r w:rsidRPr="002018AC">
        <w:rPr>
          <w:rFonts w:cs="Times New Roman"/>
          <w:lang w:val="en-AU"/>
        </w:rPr>
        <w:br/>
        <w:t xml:space="preserve">= </w:t>
      </w:r>
      <w:r w:rsidRPr="002018AC">
        <w:rPr>
          <w:rFonts w:cs="Times New Roman"/>
          <w:bCs/>
          <w:lang w:val="en-AU"/>
        </w:rPr>
        <w:t>1,013.746</w:t>
      </w:r>
    </w:p>
    <w:p w14:paraId="2987758E" w14:textId="77777777" w:rsidR="00A77462" w:rsidRPr="002018AC" w:rsidRDefault="00A77462" w:rsidP="00695D8D">
      <w:pPr>
        <w:pStyle w:val="ListParagraph"/>
        <w:numPr>
          <w:ilvl w:val="0"/>
          <w:numId w:val="37"/>
        </w:numPr>
        <w:spacing w:line="276" w:lineRule="auto"/>
        <w:rPr>
          <w:rFonts w:cs="Times New Roman"/>
          <w:lang w:val="en-AU"/>
        </w:rPr>
      </w:pPr>
      <w:r w:rsidRPr="002018AC">
        <w:rPr>
          <w:rFonts w:cs="Times New Roman"/>
          <w:bCs/>
          <w:lang w:val="en-AU"/>
        </w:rPr>
        <w:t>NPV at 8%:</w:t>
      </w:r>
      <w:r w:rsidRPr="002018AC">
        <w:rPr>
          <w:rFonts w:cs="Times New Roman"/>
          <w:lang w:val="en-AU"/>
        </w:rPr>
        <w:br/>
        <w:t>= 1,013.746 − 1,000</w:t>
      </w:r>
      <w:r w:rsidRPr="002018AC">
        <w:rPr>
          <w:rFonts w:cs="Times New Roman"/>
          <w:lang w:val="en-AU"/>
        </w:rPr>
        <w:br/>
        <w:t xml:space="preserve">= </w:t>
      </w:r>
      <w:r w:rsidRPr="002018AC">
        <w:rPr>
          <w:rFonts w:cs="Times New Roman"/>
          <w:bCs/>
          <w:lang w:val="en-AU"/>
        </w:rPr>
        <w:t>13.746</w:t>
      </w:r>
    </w:p>
    <w:p w14:paraId="4CB59C5B" w14:textId="77777777" w:rsidR="00A77462" w:rsidRPr="002018AC" w:rsidRDefault="00A77462" w:rsidP="00695D8D">
      <w:pPr>
        <w:spacing w:line="276" w:lineRule="auto"/>
        <w:jc w:val="left"/>
        <w:rPr>
          <w:rFonts w:cs="Times New Roman"/>
          <w:b/>
          <w:bCs/>
          <w:lang w:val="en-AU"/>
        </w:rPr>
      </w:pPr>
      <w:r w:rsidRPr="002018AC">
        <w:rPr>
          <w:rFonts w:cs="Times New Roman"/>
          <w:b/>
          <w:bCs/>
          <w:lang w:val="en-AU"/>
        </w:rPr>
        <w:t>E2. NPV at 9%</w:t>
      </w:r>
    </w:p>
    <w:tbl>
      <w:tblPr>
        <w:tblStyle w:val="GridTable4-Accent1"/>
        <w:tblW w:w="9727" w:type="dxa"/>
        <w:tblLook w:val="04A0" w:firstRow="1" w:lastRow="0" w:firstColumn="1" w:lastColumn="0" w:noHBand="0" w:noVBand="1"/>
      </w:tblPr>
      <w:tblGrid>
        <w:gridCol w:w="1161"/>
        <w:gridCol w:w="2033"/>
        <w:gridCol w:w="1931"/>
        <w:gridCol w:w="4602"/>
      </w:tblGrid>
      <w:tr w:rsidR="00A77462" w:rsidRPr="002018AC" w14:paraId="6F86347E" w14:textId="77777777" w:rsidTr="001C195C">
        <w:trPr>
          <w:cnfStyle w:val="100000000000" w:firstRow="1" w:lastRow="0" w:firstColumn="0" w:lastColumn="0" w:oddVBand="0" w:evenVBand="0" w:oddHBand="0" w:evenHBand="0" w:firstRowFirstColumn="0" w:firstRowLastColumn="0" w:lastRowFirstColumn="0" w:lastRowLastColumn="0"/>
          <w:trHeight w:val="373"/>
        </w:trPr>
        <w:tc>
          <w:tcPr>
            <w:cnfStyle w:val="001000000000" w:firstRow="0" w:lastRow="0" w:firstColumn="1" w:lastColumn="0" w:oddVBand="0" w:evenVBand="0" w:oddHBand="0" w:evenHBand="0" w:firstRowFirstColumn="0" w:firstRowLastColumn="0" w:lastRowFirstColumn="0" w:lastRowLastColumn="0"/>
            <w:tcW w:w="0" w:type="auto"/>
            <w:hideMark/>
          </w:tcPr>
          <w:p w14:paraId="6E3C2BBE" w14:textId="77777777" w:rsidR="00A77462" w:rsidRPr="002018AC" w:rsidRDefault="00A77462" w:rsidP="00695D8D">
            <w:pPr>
              <w:spacing w:line="276" w:lineRule="auto"/>
              <w:jc w:val="left"/>
              <w:rPr>
                <w:rFonts w:cs="Times New Roman"/>
                <w:b w:val="0"/>
                <w:bCs w:val="0"/>
                <w:lang w:val="en-AU" w:eastAsia="en-AU"/>
              </w:rPr>
            </w:pPr>
            <w:r w:rsidRPr="002018AC">
              <w:rPr>
                <w:rFonts w:cs="Times New Roman"/>
                <w:b w:val="0"/>
                <w:bCs w:val="0"/>
                <w:lang w:val="en-AU" w:eastAsia="en-AU"/>
              </w:rPr>
              <w:t>Year</w:t>
            </w:r>
          </w:p>
        </w:tc>
        <w:tc>
          <w:tcPr>
            <w:tcW w:w="0" w:type="auto"/>
            <w:hideMark/>
          </w:tcPr>
          <w:p w14:paraId="15670C51" w14:textId="77777777" w:rsidR="00A77462" w:rsidRPr="002018AC" w:rsidRDefault="00A77462" w:rsidP="00695D8D">
            <w:pPr>
              <w:spacing w:line="276" w:lineRule="auto"/>
              <w:jc w:val="left"/>
              <w:cnfStyle w:val="100000000000" w:firstRow="1" w:lastRow="0" w:firstColumn="0" w:lastColumn="0" w:oddVBand="0" w:evenVBand="0" w:oddHBand="0" w:evenHBand="0" w:firstRowFirstColumn="0" w:firstRowLastColumn="0" w:lastRowFirstColumn="0" w:lastRowLastColumn="0"/>
              <w:rPr>
                <w:rFonts w:cs="Times New Roman"/>
                <w:b w:val="0"/>
                <w:bCs w:val="0"/>
                <w:lang w:val="en-AU" w:eastAsia="en-AU"/>
              </w:rPr>
            </w:pPr>
            <w:r w:rsidRPr="002018AC">
              <w:rPr>
                <w:rFonts w:cs="Times New Roman"/>
                <w:b w:val="0"/>
                <w:bCs w:val="0"/>
                <w:lang w:val="en-AU" w:eastAsia="en-AU"/>
              </w:rPr>
              <w:t>Cash flow</w:t>
            </w:r>
          </w:p>
        </w:tc>
        <w:tc>
          <w:tcPr>
            <w:tcW w:w="0" w:type="auto"/>
            <w:hideMark/>
          </w:tcPr>
          <w:p w14:paraId="2D502F4E" w14:textId="77777777" w:rsidR="00A77462" w:rsidRPr="002018AC" w:rsidRDefault="00A77462" w:rsidP="00695D8D">
            <w:pPr>
              <w:spacing w:line="276" w:lineRule="auto"/>
              <w:jc w:val="left"/>
              <w:cnfStyle w:val="100000000000" w:firstRow="1" w:lastRow="0" w:firstColumn="0" w:lastColumn="0" w:oddVBand="0" w:evenVBand="0" w:oddHBand="0" w:evenHBand="0" w:firstRowFirstColumn="0" w:firstRowLastColumn="0" w:lastRowFirstColumn="0" w:lastRowLastColumn="0"/>
              <w:rPr>
                <w:rFonts w:cs="Times New Roman"/>
                <w:b w:val="0"/>
                <w:bCs w:val="0"/>
                <w:lang w:val="en-AU" w:eastAsia="en-AU"/>
              </w:rPr>
            </w:pPr>
            <w:r w:rsidRPr="002018AC">
              <w:rPr>
                <w:rFonts w:cs="Times New Roman"/>
                <w:b w:val="0"/>
                <w:bCs w:val="0"/>
                <w:lang w:val="en-AU" w:eastAsia="en-AU"/>
              </w:rPr>
              <w:t>DF at 9%</w:t>
            </w:r>
          </w:p>
        </w:tc>
        <w:tc>
          <w:tcPr>
            <w:tcW w:w="0" w:type="auto"/>
            <w:hideMark/>
          </w:tcPr>
          <w:p w14:paraId="78339FCB" w14:textId="77777777" w:rsidR="00A77462" w:rsidRPr="002018AC" w:rsidRDefault="00A77462" w:rsidP="00695D8D">
            <w:pPr>
              <w:spacing w:line="276" w:lineRule="auto"/>
              <w:jc w:val="left"/>
              <w:cnfStyle w:val="100000000000" w:firstRow="1" w:lastRow="0" w:firstColumn="0" w:lastColumn="0" w:oddVBand="0" w:evenVBand="0" w:oddHBand="0" w:evenHBand="0" w:firstRowFirstColumn="0" w:firstRowLastColumn="0" w:lastRowFirstColumn="0" w:lastRowLastColumn="0"/>
              <w:rPr>
                <w:rFonts w:cs="Times New Roman"/>
                <w:b w:val="0"/>
                <w:bCs w:val="0"/>
                <w:lang w:val="en-AU" w:eastAsia="en-AU"/>
              </w:rPr>
            </w:pPr>
            <w:r w:rsidRPr="002018AC">
              <w:rPr>
                <w:rFonts w:cs="Times New Roman"/>
                <w:b w:val="0"/>
                <w:bCs w:val="0"/>
                <w:lang w:val="en-AU" w:eastAsia="en-AU"/>
              </w:rPr>
              <w:t>Present value</w:t>
            </w:r>
          </w:p>
        </w:tc>
      </w:tr>
      <w:tr w:rsidR="00A77462" w:rsidRPr="002018AC" w14:paraId="3AB65E9E" w14:textId="77777777" w:rsidTr="001C195C">
        <w:trPr>
          <w:cnfStyle w:val="000000100000" w:firstRow="0" w:lastRow="0" w:firstColumn="0" w:lastColumn="0" w:oddVBand="0" w:evenVBand="0" w:oddHBand="1" w:evenHBand="0" w:firstRowFirstColumn="0" w:firstRowLastColumn="0" w:lastRowFirstColumn="0" w:lastRowLastColumn="0"/>
          <w:trHeight w:val="363"/>
        </w:trPr>
        <w:tc>
          <w:tcPr>
            <w:cnfStyle w:val="001000000000" w:firstRow="0" w:lastRow="0" w:firstColumn="1" w:lastColumn="0" w:oddVBand="0" w:evenVBand="0" w:oddHBand="0" w:evenHBand="0" w:firstRowFirstColumn="0" w:firstRowLastColumn="0" w:lastRowFirstColumn="0" w:lastRowLastColumn="0"/>
            <w:tcW w:w="0" w:type="auto"/>
            <w:hideMark/>
          </w:tcPr>
          <w:p w14:paraId="0A98A875" w14:textId="77777777" w:rsidR="00A77462" w:rsidRPr="002018AC" w:rsidRDefault="00A77462" w:rsidP="00695D8D">
            <w:pPr>
              <w:spacing w:line="276" w:lineRule="auto"/>
              <w:jc w:val="left"/>
              <w:rPr>
                <w:rFonts w:cs="Times New Roman"/>
                <w:lang w:val="en-AU" w:eastAsia="en-AU"/>
              </w:rPr>
            </w:pPr>
            <w:r w:rsidRPr="002018AC">
              <w:rPr>
                <w:rFonts w:cs="Times New Roman"/>
                <w:lang w:val="en-AU" w:eastAsia="en-AU"/>
              </w:rPr>
              <w:t>1</w:t>
            </w:r>
          </w:p>
        </w:tc>
        <w:tc>
          <w:tcPr>
            <w:tcW w:w="0" w:type="auto"/>
            <w:hideMark/>
          </w:tcPr>
          <w:p w14:paraId="1D834C86" w14:textId="77777777" w:rsidR="00A77462" w:rsidRPr="002018AC" w:rsidRDefault="00A77462" w:rsidP="00695D8D">
            <w:pPr>
              <w:spacing w:line="276" w:lineRule="auto"/>
              <w:jc w:val="left"/>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237.5</w:t>
            </w:r>
          </w:p>
        </w:tc>
        <w:tc>
          <w:tcPr>
            <w:tcW w:w="0" w:type="auto"/>
            <w:hideMark/>
          </w:tcPr>
          <w:p w14:paraId="511B771D" w14:textId="77777777" w:rsidR="00A77462" w:rsidRPr="002018AC" w:rsidRDefault="00A77462" w:rsidP="00695D8D">
            <w:pPr>
              <w:spacing w:line="276" w:lineRule="auto"/>
              <w:jc w:val="left"/>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0.9174</w:t>
            </w:r>
          </w:p>
        </w:tc>
        <w:tc>
          <w:tcPr>
            <w:tcW w:w="0" w:type="auto"/>
            <w:hideMark/>
          </w:tcPr>
          <w:p w14:paraId="25B5637C" w14:textId="77777777" w:rsidR="00A77462" w:rsidRPr="002018AC" w:rsidRDefault="00A77462" w:rsidP="00695D8D">
            <w:pPr>
              <w:spacing w:line="276" w:lineRule="auto"/>
              <w:jc w:val="left"/>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 xml:space="preserve">237.5 × 0.9174 = </w:t>
            </w:r>
            <w:r w:rsidRPr="002018AC">
              <w:rPr>
                <w:rFonts w:cs="Times New Roman"/>
                <w:b/>
                <w:bCs/>
                <w:lang w:val="en-AU" w:eastAsia="en-AU"/>
              </w:rPr>
              <w:t>217.890</w:t>
            </w:r>
          </w:p>
        </w:tc>
      </w:tr>
      <w:tr w:rsidR="00A77462" w:rsidRPr="002018AC" w14:paraId="214D6E73" w14:textId="77777777" w:rsidTr="001C195C">
        <w:trPr>
          <w:trHeight w:val="373"/>
        </w:trPr>
        <w:tc>
          <w:tcPr>
            <w:cnfStyle w:val="001000000000" w:firstRow="0" w:lastRow="0" w:firstColumn="1" w:lastColumn="0" w:oddVBand="0" w:evenVBand="0" w:oddHBand="0" w:evenHBand="0" w:firstRowFirstColumn="0" w:firstRowLastColumn="0" w:lastRowFirstColumn="0" w:lastRowLastColumn="0"/>
            <w:tcW w:w="0" w:type="auto"/>
            <w:hideMark/>
          </w:tcPr>
          <w:p w14:paraId="0158B3AF" w14:textId="77777777" w:rsidR="00A77462" w:rsidRPr="002018AC" w:rsidRDefault="00A77462" w:rsidP="00695D8D">
            <w:pPr>
              <w:spacing w:line="276" w:lineRule="auto"/>
              <w:jc w:val="left"/>
              <w:rPr>
                <w:rFonts w:cs="Times New Roman"/>
                <w:lang w:val="en-AU" w:eastAsia="en-AU"/>
              </w:rPr>
            </w:pPr>
            <w:r w:rsidRPr="002018AC">
              <w:rPr>
                <w:rFonts w:cs="Times New Roman"/>
                <w:lang w:val="en-AU" w:eastAsia="en-AU"/>
              </w:rPr>
              <w:t>2</w:t>
            </w:r>
          </w:p>
        </w:tc>
        <w:tc>
          <w:tcPr>
            <w:tcW w:w="0" w:type="auto"/>
            <w:hideMark/>
          </w:tcPr>
          <w:p w14:paraId="42F203B6" w14:textId="77777777" w:rsidR="00A77462" w:rsidRPr="002018AC" w:rsidRDefault="00A77462" w:rsidP="00695D8D">
            <w:pPr>
              <w:spacing w:line="276" w:lineRule="auto"/>
              <w:jc w:val="left"/>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282.5</w:t>
            </w:r>
          </w:p>
        </w:tc>
        <w:tc>
          <w:tcPr>
            <w:tcW w:w="0" w:type="auto"/>
            <w:hideMark/>
          </w:tcPr>
          <w:p w14:paraId="59852D5E" w14:textId="77777777" w:rsidR="00A77462" w:rsidRPr="002018AC" w:rsidRDefault="00A77462" w:rsidP="00695D8D">
            <w:pPr>
              <w:spacing w:line="276" w:lineRule="auto"/>
              <w:jc w:val="left"/>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0.8417</w:t>
            </w:r>
          </w:p>
        </w:tc>
        <w:tc>
          <w:tcPr>
            <w:tcW w:w="0" w:type="auto"/>
            <w:hideMark/>
          </w:tcPr>
          <w:p w14:paraId="652A42B1" w14:textId="77777777" w:rsidR="00A77462" w:rsidRPr="002018AC" w:rsidRDefault="00A77462" w:rsidP="00695D8D">
            <w:pPr>
              <w:spacing w:line="276" w:lineRule="auto"/>
              <w:jc w:val="left"/>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 xml:space="preserve">282.5 × 0.8417 = </w:t>
            </w:r>
            <w:r w:rsidRPr="002018AC">
              <w:rPr>
                <w:rFonts w:cs="Times New Roman"/>
                <w:b/>
                <w:bCs/>
                <w:lang w:val="en-AU" w:eastAsia="en-AU"/>
              </w:rPr>
              <w:t>237.775</w:t>
            </w:r>
          </w:p>
        </w:tc>
      </w:tr>
      <w:tr w:rsidR="00A77462" w:rsidRPr="002018AC" w14:paraId="0CE3ABFB" w14:textId="77777777" w:rsidTr="001C195C">
        <w:trPr>
          <w:cnfStyle w:val="000000100000" w:firstRow="0" w:lastRow="0" w:firstColumn="0" w:lastColumn="0" w:oddVBand="0" w:evenVBand="0" w:oddHBand="1" w:evenHBand="0" w:firstRowFirstColumn="0" w:firstRowLastColumn="0" w:lastRowFirstColumn="0" w:lastRowLastColumn="0"/>
          <w:trHeight w:val="373"/>
        </w:trPr>
        <w:tc>
          <w:tcPr>
            <w:cnfStyle w:val="001000000000" w:firstRow="0" w:lastRow="0" w:firstColumn="1" w:lastColumn="0" w:oddVBand="0" w:evenVBand="0" w:oddHBand="0" w:evenHBand="0" w:firstRowFirstColumn="0" w:firstRowLastColumn="0" w:lastRowFirstColumn="0" w:lastRowLastColumn="0"/>
            <w:tcW w:w="0" w:type="auto"/>
            <w:hideMark/>
          </w:tcPr>
          <w:p w14:paraId="3292E5B4" w14:textId="77777777" w:rsidR="00A77462" w:rsidRPr="002018AC" w:rsidRDefault="00A77462" w:rsidP="00695D8D">
            <w:pPr>
              <w:spacing w:line="276" w:lineRule="auto"/>
              <w:jc w:val="left"/>
              <w:rPr>
                <w:rFonts w:cs="Times New Roman"/>
                <w:lang w:val="en-AU" w:eastAsia="en-AU"/>
              </w:rPr>
            </w:pPr>
            <w:r w:rsidRPr="002018AC">
              <w:rPr>
                <w:rFonts w:cs="Times New Roman"/>
                <w:lang w:val="en-AU" w:eastAsia="en-AU"/>
              </w:rPr>
              <w:t>3</w:t>
            </w:r>
          </w:p>
        </w:tc>
        <w:tc>
          <w:tcPr>
            <w:tcW w:w="0" w:type="auto"/>
            <w:hideMark/>
          </w:tcPr>
          <w:p w14:paraId="4882FF82" w14:textId="77777777" w:rsidR="00A77462" w:rsidRPr="002018AC" w:rsidRDefault="00A77462" w:rsidP="00695D8D">
            <w:pPr>
              <w:spacing w:line="276" w:lineRule="auto"/>
              <w:jc w:val="left"/>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350.0</w:t>
            </w:r>
          </w:p>
        </w:tc>
        <w:tc>
          <w:tcPr>
            <w:tcW w:w="0" w:type="auto"/>
            <w:hideMark/>
          </w:tcPr>
          <w:p w14:paraId="64910540" w14:textId="77777777" w:rsidR="00A77462" w:rsidRPr="002018AC" w:rsidRDefault="00A77462" w:rsidP="00695D8D">
            <w:pPr>
              <w:spacing w:line="276" w:lineRule="auto"/>
              <w:jc w:val="left"/>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0.7722</w:t>
            </w:r>
          </w:p>
        </w:tc>
        <w:tc>
          <w:tcPr>
            <w:tcW w:w="0" w:type="auto"/>
            <w:hideMark/>
          </w:tcPr>
          <w:p w14:paraId="2A835F17" w14:textId="77777777" w:rsidR="00A77462" w:rsidRPr="002018AC" w:rsidRDefault="00A77462" w:rsidP="00695D8D">
            <w:pPr>
              <w:spacing w:line="276" w:lineRule="auto"/>
              <w:jc w:val="left"/>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 xml:space="preserve">350 × 0.7722 = </w:t>
            </w:r>
            <w:r w:rsidRPr="002018AC">
              <w:rPr>
                <w:rFonts w:cs="Times New Roman"/>
                <w:b/>
                <w:bCs/>
                <w:lang w:val="en-AU" w:eastAsia="en-AU"/>
              </w:rPr>
              <w:t>270.264</w:t>
            </w:r>
          </w:p>
        </w:tc>
      </w:tr>
      <w:tr w:rsidR="00A77462" w:rsidRPr="002018AC" w14:paraId="32A8A845" w14:textId="77777777" w:rsidTr="001C195C">
        <w:trPr>
          <w:trHeight w:val="363"/>
        </w:trPr>
        <w:tc>
          <w:tcPr>
            <w:cnfStyle w:val="001000000000" w:firstRow="0" w:lastRow="0" w:firstColumn="1" w:lastColumn="0" w:oddVBand="0" w:evenVBand="0" w:oddHBand="0" w:evenHBand="0" w:firstRowFirstColumn="0" w:firstRowLastColumn="0" w:lastRowFirstColumn="0" w:lastRowLastColumn="0"/>
            <w:tcW w:w="0" w:type="auto"/>
            <w:hideMark/>
          </w:tcPr>
          <w:p w14:paraId="15497F9F" w14:textId="77777777" w:rsidR="00A77462" w:rsidRPr="002018AC" w:rsidRDefault="00A77462" w:rsidP="00695D8D">
            <w:pPr>
              <w:spacing w:line="276" w:lineRule="auto"/>
              <w:jc w:val="left"/>
              <w:rPr>
                <w:rFonts w:cs="Times New Roman"/>
                <w:lang w:val="en-AU" w:eastAsia="en-AU"/>
              </w:rPr>
            </w:pPr>
            <w:r w:rsidRPr="002018AC">
              <w:rPr>
                <w:rFonts w:cs="Times New Roman"/>
                <w:lang w:val="en-AU" w:eastAsia="en-AU"/>
              </w:rPr>
              <w:t>4</w:t>
            </w:r>
          </w:p>
        </w:tc>
        <w:tc>
          <w:tcPr>
            <w:tcW w:w="0" w:type="auto"/>
            <w:hideMark/>
          </w:tcPr>
          <w:p w14:paraId="3FB1BC85" w14:textId="77777777" w:rsidR="00A77462" w:rsidRPr="002018AC" w:rsidRDefault="00A77462" w:rsidP="00695D8D">
            <w:pPr>
              <w:spacing w:line="276" w:lineRule="auto"/>
              <w:jc w:val="left"/>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372.5</w:t>
            </w:r>
          </w:p>
        </w:tc>
        <w:tc>
          <w:tcPr>
            <w:tcW w:w="0" w:type="auto"/>
            <w:hideMark/>
          </w:tcPr>
          <w:p w14:paraId="209A1847" w14:textId="77777777" w:rsidR="00A77462" w:rsidRPr="002018AC" w:rsidRDefault="00A77462" w:rsidP="00695D8D">
            <w:pPr>
              <w:spacing w:line="276" w:lineRule="auto"/>
              <w:jc w:val="left"/>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0.7084</w:t>
            </w:r>
          </w:p>
        </w:tc>
        <w:tc>
          <w:tcPr>
            <w:tcW w:w="0" w:type="auto"/>
            <w:hideMark/>
          </w:tcPr>
          <w:p w14:paraId="52A22D17" w14:textId="77777777" w:rsidR="00A77462" w:rsidRPr="002018AC" w:rsidRDefault="00A77462" w:rsidP="00695D8D">
            <w:pPr>
              <w:spacing w:line="276" w:lineRule="auto"/>
              <w:jc w:val="left"/>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 xml:space="preserve">372.5 × 0.7084 = </w:t>
            </w:r>
            <w:r w:rsidRPr="002018AC">
              <w:rPr>
                <w:rFonts w:cs="Times New Roman"/>
                <w:b/>
                <w:bCs/>
                <w:lang w:val="en-AU" w:eastAsia="en-AU"/>
              </w:rPr>
              <w:t>263.888</w:t>
            </w:r>
          </w:p>
        </w:tc>
      </w:tr>
    </w:tbl>
    <w:p w14:paraId="0B4C1B89" w14:textId="77777777" w:rsidR="00A77462" w:rsidRPr="002018AC" w:rsidRDefault="00A77462" w:rsidP="00695D8D">
      <w:pPr>
        <w:pStyle w:val="ListParagraph"/>
        <w:numPr>
          <w:ilvl w:val="0"/>
          <w:numId w:val="39"/>
        </w:numPr>
        <w:spacing w:line="276" w:lineRule="auto"/>
        <w:jc w:val="left"/>
        <w:rPr>
          <w:rFonts w:cs="Times New Roman"/>
          <w:lang w:val="en-AU"/>
        </w:rPr>
      </w:pPr>
      <w:r w:rsidRPr="002018AC">
        <w:rPr>
          <w:rFonts w:cs="Times New Roman"/>
          <w:bCs/>
          <w:lang w:val="en-AU"/>
        </w:rPr>
        <w:lastRenderedPageBreak/>
        <w:t>Total PV at 9%:</w:t>
      </w:r>
      <w:r w:rsidRPr="002018AC">
        <w:rPr>
          <w:rFonts w:cs="Times New Roman"/>
          <w:lang w:val="en-AU"/>
        </w:rPr>
        <w:br/>
        <w:t>= 217.890 + 237.775 + 270.264 + 263.888</w:t>
      </w:r>
      <w:r w:rsidRPr="002018AC">
        <w:rPr>
          <w:rFonts w:cs="Times New Roman"/>
          <w:lang w:val="en-AU"/>
        </w:rPr>
        <w:br/>
        <w:t xml:space="preserve">= </w:t>
      </w:r>
      <w:r w:rsidRPr="002018AC">
        <w:rPr>
          <w:rFonts w:cs="Times New Roman"/>
          <w:bCs/>
          <w:lang w:val="en-AU"/>
        </w:rPr>
        <w:t>989.817</w:t>
      </w:r>
    </w:p>
    <w:p w14:paraId="01C920A7" w14:textId="77777777" w:rsidR="00A77462" w:rsidRPr="002018AC" w:rsidRDefault="00A77462" w:rsidP="00695D8D">
      <w:pPr>
        <w:pStyle w:val="ListParagraph"/>
        <w:numPr>
          <w:ilvl w:val="0"/>
          <w:numId w:val="39"/>
        </w:numPr>
        <w:spacing w:line="276" w:lineRule="auto"/>
        <w:jc w:val="left"/>
        <w:rPr>
          <w:rFonts w:cs="Times New Roman"/>
          <w:lang w:val="en-AU"/>
        </w:rPr>
      </w:pPr>
      <w:r w:rsidRPr="002018AC">
        <w:rPr>
          <w:rFonts w:cs="Times New Roman"/>
          <w:bCs/>
          <w:lang w:val="en-AU"/>
        </w:rPr>
        <w:t>NPV at 9%:</w:t>
      </w:r>
      <w:r w:rsidRPr="002018AC">
        <w:rPr>
          <w:rFonts w:cs="Times New Roman"/>
          <w:lang w:val="en-AU"/>
        </w:rPr>
        <w:br/>
        <w:t>= 989.817 − 1,000</w:t>
      </w:r>
      <w:r w:rsidRPr="002018AC">
        <w:rPr>
          <w:rFonts w:cs="Times New Roman"/>
          <w:lang w:val="en-AU"/>
        </w:rPr>
        <w:br/>
        <w:t xml:space="preserve">= </w:t>
      </w:r>
      <w:r w:rsidRPr="002018AC">
        <w:rPr>
          <w:rFonts w:cs="Times New Roman"/>
          <w:bCs/>
          <w:lang w:val="en-AU"/>
        </w:rPr>
        <w:t>-10.183</w:t>
      </w:r>
    </w:p>
    <w:p w14:paraId="1BF65DE5" w14:textId="77777777" w:rsidR="00A77462" w:rsidRPr="002018AC" w:rsidRDefault="00A77462" w:rsidP="00695D8D">
      <w:pPr>
        <w:spacing w:line="276" w:lineRule="auto"/>
        <w:jc w:val="left"/>
        <w:rPr>
          <w:rFonts w:cs="Times New Roman"/>
          <w:b/>
          <w:bCs/>
          <w:lang w:val="en-AU"/>
        </w:rPr>
      </w:pPr>
      <w:r w:rsidRPr="002018AC">
        <w:rPr>
          <w:rFonts w:cs="Times New Roman"/>
          <w:b/>
          <w:bCs/>
          <w:lang w:val="en-AU"/>
        </w:rPr>
        <w:t>E3. IRR interpolation</w:t>
      </w:r>
    </w:p>
    <w:p w14:paraId="557CC8A6" w14:textId="77777777" w:rsidR="00A77462" w:rsidRPr="002018AC" w:rsidRDefault="00A77462" w:rsidP="00695D8D">
      <w:pPr>
        <w:pStyle w:val="ListParagraph"/>
        <w:numPr>
          <w:ilvl w:val="0"/>
          <w:numId w:val="38"/>
        </w:numPr>
        <w:spacing w:line="276" w:lineRule="auto"/>
        <w:jc w:val="left"/>
        <w:rPr>
          <w:rFonts w:cs="Times New Roman"/>
          <w:lang w:val="en-AU"/>
        </w:rPr>
      </w:pPr>
      <w:r w:rsidRPr="002018AC">
        <w:rPr>
          <w:rFonts w:cs="Times New Roman"/>
          <w:bCs/>
          <w:lang w:val="en-AU"/>
        </w:rPr>
        <w:t>Formula:</w:t>
      </w:r>
      <w:r w:rsidRPr="002018AC">
        <w:rPr>
          <w:rFonts w:cs="Times New Roman"/>
          <w:lang w:val="en-AU"/>
        </w:rPr>
        <w:br/>
        <w:t>IRR = lower rate + [NPV at lower rate / difference between NPVs] × rate gap</w:t>
      </w:r>
    </w:p>
    <w:p w14:paraId="6EE4FCF0" w14:textId="77777777" w:rsidR="009A74D4" w:rsidRPr="002018AC" w:rsidRDefault="00A77462" w:rsidP="00695D8D">
      <w:pPr>
        <w:pStyle w:val="ListParagraph"/>
        <w:numPr>
          <w:ilvl w:val="0"/>
          <w:numId w:val="38"/>
        </w:numPr>
        <w:spacing w:line="276" w:lineRule="auto"/>
        <w:jc w:val="left"/>
        <w:rPr>
          <w:rFonts w:cs="Times New Roman"/>
          <w:lang w:val="en-AU"/>
        </w:rPr>
      </w:pPr>
      <w:r w:rsidRPr="002018AC">
        <w:rPr>
          <w:rFonts w:cs="Times New Roman"/>
          <w:bCs/>
          <w:lang w:val="en-AU"/>
        </w:rPr>
        <w:t>IRR:</w:t>
      </w:r>
    </w:p>
    <w:p w14:paraId="2F2A6A76" w14:textId="09D5ECAA" w:rsidR="00A77462" w:rsidRPr="002018AC" w:rsidRDefault="00A77462" w:rsidP="00695D8D">
      <w:pPr>
        <w:spacing w:line="276" w:lineRule="auto"/>
        <w:jc w:val="left"/>
        <w:rPr>
          <w:rFonts w:cs="Times New Roman"/>
          <w:lang w:val="en-AU"/>
        </w:rPr>
      </w:pPr>
      <w:r w:rsidRPr="002018AC">
        <w:rPr>
          <w:rFonts w:cs="Times New Roman"/>
          <w:lang w:val="en-AU"/>
        </w:rPr>
        <w:t>= 8% + [13.746 / (13.746 − -10.183)] × 1%</w:t>
      </w:r>
    </w:p>
    <w:p w14:paraId="094308C3" w14:textId="77777777" w:rsidR="00A77462" w:rsidRPr="002018AC" w:rsidRDefault="00A77462" w:rsidP="00695D8D">
      <w:pPr>
        <w:spacing w:line="276" w:lineRule="auto"/>
        <w:rPr>
          <w:rFonts w:cs="Times New Roman"/>
          <w:lang w:val="en-AU"/>
        </w:rPr>
      </w:pPr>
      <w:r w:rsidRPr="002018AC">
        <w:rPr>
          <w:rFonts w:cs="Times New Roman"/>
          <w:lang w:val="en-AU"/>
        </w:rPr>
        <w:t>= 8% + [13.746 / 23.929] × 1%</w:t>
      </w:r>
    </w:p>
    <w:p w14:paraId="6BB3D6C9" w14:textId="77777777" w:rsidR="00A77462" w:rsidRPr="002018AC" w:rsidRDefault="00A77462" w:rsidP="00695D8D">
      <w:pPr>
        <w:spacing w:line="276" w:lineRule="auto"/>
        <w:rPr>
          <w:rFonts w:cs="Times New Roman"/>
          <w:lang w:val="en-AU"/>
        </w:rPr>
      </w:pPr>
      <w:r w:rsidRPr="002018AC">
        <w:rPr>
          <w:rFonts w:cs="Times New Roman"/>
          <w:lang w:val="en-AU"/>
        </w:rPr>
        <w:t>= 8% + 0.574%</w:t>
      </w:r>
    </w:p>
    <w:p w14:paraId="6D43D4D4" w14:textId="77777777" w:rsidR="00A77462" w:rsidRPr="002018AC" w:rsidRDefault="00A77462" w:rsidP="00695D8D">
      <w:pPr>
        <w:spacing w:line="276" w:lineRule="auto"/>
        <w:rPr>
          <w:rFonts w:cs="Times New Roman"/>
          <w:lang w:val="en-AU"/>
        </w:rPr>
      </w:pPr>
      <w:r w:rsidRPr="002018AC">
        <w:rPr>
          <w:rFonts w:cs="Times New Roman"/>
          <w:lang w:val="en-AU"/>
        </w:rPr>
        <w:t xml:space="preserve">= </w:t>
      </w:r>
      <w:r w:rsidRPr="002018AC">
        <w:rPr>
          <w:rFonts w:cs="Times New Roman"/>
          <w:bCs/>
          <w:lang w:val="en-AU"/>
        </w:rPr>
        <w:t>8.574%</w:t>
      </w:r>
    </w:p>
    <w:p w14:paraId="5E48B3F0" w14:textId="77777777" w:rsidR="00A77462" w:rsidRPr="002018AC" w:rsidRDefault="00A77462" w:rsidP="00695D8D">
      <w:pPr>
        <w:pStyle w:val="ListParagraph"/>
        <w:numPr>
          <w:ilvl w:val="0"/>
          <w:numId w:val="38"/>
        </w:numPr>
        <w:spacing w:line="276" w:lineRule="auto"/>
        <w:rPr>
          <w:rFonts w:cs="Times New Roman"/>
          <w:lang w:val="en-AU"/>
        </w:rPr>
      </w:pPr>
      <w:r w:rsidRPr="002018AC">
        <w:rPr>
          <w:rFonts w:cs="Times New Roman"/>
          <w:lang w:val="en-AU"/>
        </w:rPr>
        <w:t xml:space="preserve">Approximate IRR = </w:t>
      </w:r>
      <w:r w:rsidRPr="002018AC">
        <w:rPr>
          <w:rFonts w:cs="Times New Roman"/>
          <w:bCs/>
          <w:lang w:val="en-AU"/>
        </w:rPr>
        <w:t>8.57%</w:t>
      </w:r>
    </w:p>
    <w:p w14:paraId="262BDFD2" w14:textId="533D29B5" w:rsidR="00A77462" w:rsidRPr="002018AC" w:rsidRDefault="00A77462" w:rsidP="00695D8D">
      <w:pPr>
        <w:pStyle w:val="Heading2"/>
        <w:numPr>
          <w:ilvl w:val="1"/>
          <w:numId w:val="9"/>
        </w:numPr>
        <w:spacing w:line="276" w:lineRule="auto"/>
        <w:rPr>
          <w:rFonts w:cs="Times New Roman"/>
          <w:lang w:val="en-AU"/>
        </w:rPr>
      </w:pPr>
      <w:bookmarkStart w:id="65" w:name="_Toc227609595"/>
      <w:r w:rsidRPr="002018AC">
        <w:rPr>
          <w:rFonts w:cs="Times New Roman"/>
          <w:lang w:val="en-AU"/>
        </w:rPr>
        <w:t>Appendix F: Capital rationing calculation</w:t>
      </w:r>
      <w:bookmarkEnd w:id="65"/>
    </w:p>
    <w:p w14:paraId="7C3648C3" w14:textId="77777777" w:rsidR="00A77462" w:rsidRPr="002018AC" w:rsidRDefault="00A77462" w:rsidP="00695D8D">
      <w:pPr>
        <w:spacing w:line="276" w:lineRule="auto"/>
        <w:rPr>
          <w:rFonts w:cs="Times New Roman"/>
          <w:lang w:val="en-AU"/>
        </w:rPr>
      </w:pPr>
      <w:r w:rsidRPr="002018AC">
        <w:rPr>
          <w:rFonts w:cs="Times New Roman"/>
          <w:lang w:val="en-AU"/>
        </w:rPr>
        <w:t xml:space="preserve">Funds available = </w:t>
      </w:r>
      <w:r w:rsidRPr="002018AC">
        <w:rPr>
          <w:rFonts w:cs="Times New Roman"/>
          <w:b/>
          <w:bCs/>
          <w:lang w:val="en-AU"/>
        </w:rPr>
        <w:t>£1,500k</w:t>
      </w:r>
    </w:p>
    <w:p w14:paraId="49925A00" w14:textId="77777777" w:rsidR="00A77462" w:rsidRPr="002018AC" w:rsidRDefault="00A77462" w:rsidP="00695D8D">
      <w:pPr>
        <w:spacing w:line="276" w:lineRule="auto"/>
        <w:rPr>
          <w:rFonts w:cs="Times New Roman"/>
          <w:lang w:val="en-AU"/>
        </w:rPr>
      </w:pPr>
      <w:r w:rsidRPr="002018AC">
        <w:rPr>
          <w:rFonts w:cs="Times New Roman"/>
          <w:lang w:val="en-AU"/>
        </w:rPr>
        <w:t xml:space="preserve">Projects are divisible, so use the </w:t>
      </w:r>
      <w:r w:rsidRPr="002018AC">
        <w:rPr>
          <w:rFonts w:cs="Times New Roman"/>
          <w:b/>
          <w:bCs/>
          <w:lang w:val="en-AU"/>
        </w:rPr>
        <w:t>profitability index</w:t>
      </w:r>
      <w:r w:rsidRPr="002018AC">
        <w:rPr>
          <w:rFonts w:cs="Times New Roman"/>
          <w:lang w:val="en-AU"/>
        </w:rPr>
        <w:t>.</w:t>
      </w:r>
    </w:p>
    <w:p w14:paraId="0E9380E7" w14:textId="77777777" w:rsidR="00A77462" w:rsidRPr="002018AC" w:rsidRDefault="00A77462" w:rsidP="00695D8D">
      <w:pPr>
        <w:spacing w:line="276" w:lineRule="auto"/>
        <w:rPr>
          <w:rFonts w:cs="Times New Roman"/>
          <w:lang w:val="en-AU"/>
        </w:rPr>
      </w:pPr>
      <w:r w:rsidRPr="002018AC">
        <w:rPr>
          <w:rFonts w:cs="Times New Roman"/>
          <w:b/>
          <w:bCs/>
          <w:lang w:val="en-AU"/>
        </w:rPr>
        <w:t>Formula:</w:t>
      </w:r>
      <w:r w:rsidRPr="002018AC">
        <w:rPr>
          <w:rFonts w:cs="Times New Roman"/>
          <w:lang w:val="en-AU"/>
        </w:rPr>
        <w:br/>
        <w:t>Profitability index = PV of cash inflows / Initial investment</w:t>
      </w:r>
    </w:p>
    <w:tbl>
      <w:tblPr>
        <w:tblStyle w:val="GridTable4-Accent1"/>
        <w:tblW w:w="9500" w:type="dxa"/>
        <w:tblLook w:val="04A0" w:firstRow="1" w:lastRow="0" w:firstColumn="1" w:lastColumn="0" w:noHBand="0" w:noVBand="1"/>
      </w:tblPr>
      <w:tblGrid>
        <w:gridCol w:w="1113"/>
        <w:gridCol w:w="2585"/>
        <w:gridCol w:w="2399"/>
        <w:gridCol w:w="3403"/>
      </w:tblGrid>
      <w:tr w:rsidR="00A77462" w:rsidRPr="002018AC" w14:paraId="0F7626B6" w14:textId="77777777" w:rsidTr="009A74D4">
        <w:trPr>
          <w:cnfStyle w:val="100000000000" w:firstRow="1" w:lastRow="0" w:firstColumn="0" w:lastColumn="0" w:oddVBand="0" w:evenVBand="0" w:oddHBand="0" w:evenHBand="0" w:firstRowFirstColumn="0" w:firstRowLastColumn="0" w:lastRowFirstColumn="0" w:lastRowLastColumn="0"/>
          <w:trHeight w:val="382"/>
        </w:trPr>
        <w:tc>
          <w:tcPr>
            <w:cnfStyle w:val="001000000000" w:firstRow="0" w:lastRow="0" w:firstColumn="1" w:lastColumn="0" w:oddVBand="0" w:evenVBand="0" w:oddHBand="0" w:evenHBand="0" w:firstRowFirstColumn="0" w:firstRowLastColumn="0" w:lastRowFirstColumn="0" w:lastRowLastColumn="0"/>
            <w:tcW w:w="0" w:type="auto"/>
            <w:hideMark/>
          </w:tcPr>
          <w:p w14:paraId="4BC4DBA9" w14:textId="77777777" w:rsidR="00A77462" w:rsidRPr="002018AC" w:rsidRDefault="00A77462" w:rsidP="00695D8D">
            <w:pPr>
              <w:spacing w:line="276" w:lineRule="auto"/>
              <w:rPr>
                <w:rFonts w:cs="Times New Roman"/>
                <w:b w:val="0"/>
                <w:bCs w:val="0"/>
                <w:lang w:val="en-AU" w:eastAsia="en-AU"/>
              </w:rPr>
            </w:pPr>
            <w:r w:rsidRPr="002018AC">
              <w:rPr>
                <w:rFonts w:cs="Times New Roman"/>
                <w:b w:val="0"/>
                <w:bCs w:val="0"/>
                <w:lang w:val="en-AU" w:eastAsia="en-AU"/>
              </w:rPr>
              <w:t>Option</w:t>
            </w:r>
          </w:p>
        </w:tc>
        <w:tc>
          <w:tcPr>
            <w:tcW w:w="0" w:type="auto"/>
            <w:hideMark/>
          </w:tcPr>
          <w:p w14:paraId="5A2BAFA5" w14:textId="77777777" w:rsidR="00A77462" w:rsidRPr="002018AC" w:rsidRDefault="00A77462" w:rsidP="00695D8D">
            <w:pPr>
              <w:spacing w:line="276" w:lineRule="auto"/>
              <w:cnfStyle w:val="100000000000" w:firstRow="1" w:lastRow="0" w:firstColumn="0" w:lastColumn="0" w:oddVBand="0" w:evenVBand="0" w:oddHBand="0" w:evenHBand="0" w:firstRowFirstColumn="0" w:firstRowLastColumn="0" w:lastRowFirstColumn="0" w:lastRowLastColumn="0"/>
              <w:rPr>
                <w:rFonts w:cs="Times New Roman"/>
                <w:b w:val="0"/>
                <w:bCs w:val="0"/>
                <w:lang w:val="en-AU" w:eastAsia="en-AU"/>
              </w:rPr>
            </w:pPr>
            <w:r w:rsidRPr="002018AC">
              <w:rPr>
                <w:rFonts w:cs="Times New Roman"/>
                <w:b w:val="0"/>
                <w:bCs w:val="0"/>
                <w:lang w:val="en-AU" w:eastAsia="en-AU"/>
              </w:rPr>
              <w:t>PV of cash inflows</w:t>
            </w:r>
          </w:p>
        </w:tc>
        <w:tc>
          <w:tcPr>
            <w:tcW w:w="0" w:type="auto"/>
            <w:hideMark/>
          </w:tcPr>
          <w:p w14:paraId="58FE3132" w14:textId="77777777" w:rsidR="00A77462" w:rsidRPr="002018AC" w:rsidRDefault="00A77462" w:rsidP="00695D8D">
            <w:pPr>
              <w:spacing w:line="276" w:lineRule="auto"/>
              <w:cnfStyle w:val="100000000000" w:firstRow="1" w:lastRow="0" w:firstColumn="0" w:lastColumn="0" w:oddVBand="0" w:evenVBand="0" w:oddHBand="0" w:evenHBand="0" w:firstRowFirstColumn="0" w:firstRowLastColumn="0" w:lastRowFirstColumn="0" w:lastRowLastColumn="0"/>
              <w:rPr>
                <w:rFonts w:cs="Times New Roman"/>
                <w:b w:val="0"/>
                <w:bCs w:val="0"/>
                <w:lang w:val="en-AU" w:eastAsia="en-AU"/>
              </w:rPr>
            </w:pPr>
            <w:r w:rsidRPr="002018AC">
              <w:rPr>
                <w:rFonts w:cs="Times New Roman"/>
                <w:b w:val="0"/>
                <w:bCs w:val="0"/>
                <w:lang w:val="en-AU" w:eastAsia="en-AU"/>
              </w:rPr>
              <w:t>Initial investment</w:t>
            </w:r>
          </w:p>
        </w:tc>
        <w:tc>
          <w:tcPr>
            <w:tcW w:w="0" w:type="auto"/>
            <w:hideMark/>
          </w:tcPr>
          <w:p w14:paraId="2AB2265A" w14:textId="77777777" w:rsidR="00A77462" w:rsidRPr="002018AC" w:rsidRDefault="00A77462" w:rsidP="00695D8D">
            <w:pPr>
              <w:spacing w:line="276" w:lineRule="auto"/>
              <w:cnfStyle w:val="100000000000" w:firstRow="1" w:lastRow="0" w:firstColumn="0" w:lastColumn="0" w:oddVBand="0" w:evenVBand="0" w:oddHBand="0" w:evenHBand="0" w:firstRowFirstColumn="0" w:firstRowLastColumn="0" w:lastRowFirstColumn="0" w:lastRowLastColumn="0"/>
              <w:rPr>
                <w:rFonts w:cs="Times New Roman"/>
                <w:b w:val="0"/>
                <w:bCs w:val="0"/>
                <w:lang w:val="en-AU" w:eastAsia="en-AU"/>
              </w:rPr>
            </w:pPr>
            <w:r w:rsidRPr="002018AC">
              <w:rPr>
                <w:rFonts w:cs="Times New Roman"/>
                <w:b w:val="0"/>
                <w:bCs w:val="0"/>
                <w:lang w:val="en-AU" w:eastAsia="en-AU"/>
              </w:rPr>
              <w:t>Profitability index</w:t>
            </w:r>
          </w:p>
        </w:tc>
      </w:tr>
      <w:tr w:rsidR="00A77462" w:rsidRPr="002018AC" w14:paraId="4243F820" w14:textId="77777777" w:rsidTr="009A74D4">
        <w:trPr>
          <w:cnfStyle w:val="000000100000" w:firstRow="0" w:lastRow="0" w:firstColumn="0" w:lastColumn="0" w:oddVBand="0" w:evenVBand="0" w:oddHBand="1" w:evenHBand="0" w:firstRowFirstColumn="0" w:firstRowLastColumn="0" w:lastRowFirstColumn="0" w:lastRowLastColumn="0"/>
          <w:trHeight w:val="372"/>
        </w:trPr>
        <w:tc>
          <w:tcPr>
            <w:cnfStyle w:val="001000000000" w:firstRow="0" w:lastRow="0" w:firstColumn="1" w:lastColumn="0" w:oddVBand="0" w:evenVBand="0" w:oddHBand="0" w:evenHBand="0" w:firstRowFirstColumn="0" w:firstRowLastColumn="0" w:lastRowFirstColumn="0" w:lastRowLastColumn="0"/>
            <w:tcW w:w="0" w:type="auto"/>
            <w:hideMark/>
          </w:tcPr>
          <w:p w14:paraId="42B7C9B1" w14:textId="77777777" w:rsidR="00A77462" w:rsidRPr="002018AC" w:rsidRDefault="00A77462" w:rsidP="00695D8D">
            <w:pPr>
              <w:spacing w:line="276" w:lineRule="auto"/>
              <w:rPr>
                <w:rFonts w:cs="Times New Roman"/>
                <w:lang w:val="en-AU" w:eastAsia="en-AU"/>
              </w:rPr>
            </w:pPr>
            <w:r w:rsidRPr="002018AC">
              <w:rPr>
                <w:rFonts w:cs="Times New Roman"/>
                <w:lang w:val="en-AU" w:eastAsia="en-AU"/>
              </w:rPr>
              <w:t>A</w:t>
            </w:r>
          </w:p>
        </w:tc>
        <w:tc>
          <w:tcPr>
            <w:tcW w:w="0" w:type="auto"/>
            <w:hideMark/>
          </w:tcPr>
          <w:p w14:paraId="1FC16046"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596.737</w:t>
            </w:r>
          </w:p>
        </w:tc>
        <w:tc>
          <w:tcPr>
            <w:tcW w:w="0" w:type="auto"/>
            <w:hideMark/>
          </w:tcPr>
          <w:p w14:paraId="58971028"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600</w:t>
            </w:r>
          </w:p>
        </w:tc>
        <w:tc>
          <w:tcPr>
            <w:tcW w:w="0" w:type="auto"/>
            <w:hideMark/>
          </w:tcPr>
          <w:p w14:paraId="3653A73F"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 xml:space="preserve">596.737 / 600 = </w:t>
            </w:r>
            <w:r w:rsidRPr="002018AC">
              <w:rPr>
                <w:rFonts w:cs="Times New Roman"/>
                <w:b/>
                <w:bCs/>
                <w:lang w:val="en-AU" w:eastAsia="en-AU"/>
              </w:rPr>
              <w:t>0.995</w:t>
            </w:r>
          </w:p>
        </w:tc>
      </w:tr>
      <w:tr w:rsidR="00A77462" w:rsidRPr="002018AC" w14:paraId="69EF6734" w14:textId="77777777" w:rsidTr="009A74D4">
        <w:trPr>
          <w:trHeight w:val="382"/>
        </w:trPr>
        <w:tc>
          <w:tcPr>
            <w:cnfStyle w:val="001000000000" w:firstRow="0" w:lastRow="0" w:firstColumn="1" w:lastColumn="0" w:oddVBand="0" w:evenVBand="0" w:oddHBand="0" w:evenHBand="0" w:firstRowFirstColumn="0" w:firstRowLastColumn="0" w:lastRowFirstColumn="0" w:lastRowLastColumn="0"/>
            <w:tcW w:w="0" w:type="auto"/>
            <w:hideMark/>
          </w:tcPr>
          <w:p w14:paraId="4492AE1B" w14:textId="77777777" w:rsidR="00A77462" w:rsidRPr="002018AC" w:rsidRDefault="00A77462" w:rsidP="00695D8D">
            <w:pPr>
              <w:spacing w:line="276" w:lineRule="auto"/>
              <w:rPr>
                <w:rFonts w:cs="Times New Roman"/>
                <w:lang w:val="en-AU" w:eastAsia="en-AU"/>
              </w:rPr>
            </w:pPr>
            <w:r w:rsidRPr="002018AC">
              <w:rPr>
                <w:rFonts w:cs="Times New Roman"/>
                <w:lang w:val="en-AU" w:eastAsia="en-AU"/>
              </w:rPr>
              <w:t>B</w:t>
            </w:r>
          </w:p>
        </w:tc>
        <w:tc>
          <w:tcPr>
            <w:tcW w:w="0" w:type="auto"/>
            <w:hideMark/>
          </w:tcPr>
          <w:p w14:paraId="4A2E0A6A"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973.952</w:t>
            </w:r>
          </w:p>
        </w:tc>
        <w:tc>
          <w:tcPr>
            <w:tcW w:w="0" w:type="auto"/>
            <w:hideMark/>
          </w:tcPr>
          <w:p w14:paraId="63525EB8"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900</w:t>
            </w:r>
          </w:p>
        </w:tc>
        <w:tc>
          <w:tcPr>
            <w:tcW w:w="0" w:type="auto"/>
            <w:hideMark/>
          </w:tcPr>
          <w:p w14:paraId="6A08AD5B"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 xml:space="preserve">973.952 / 900 = </w:t>
            </w:r>
            <w:r w:rsidRPr="002018AC">
              <w:rPr>
                <w:rFonts w:cs="Times New Roman"/>
                <w:b/>
                <w:bCs/>
                <w:lang w:val="en-AU" w:eastAsia="en-AU"/>
              </w:rPr>
              <w:t>1.082</w:t>
            </w:r>
          </w:p>
        </w:tc>
      </w:tr>
      <w:tr w:rsidR="00A77462" w:rsidRPr="002018AC" w14:paraId="4F9DC279" w14:textId="77777777" w:rsidTr="009A74D4">
        <w:trPr>
          <w:cnfStyle w:val="000000100000" w:firstRow="0" w:lastRow="0" w:firstColumn="0" w:lastColumn="0" w:oddVBand="0" w:evenVBand="0" w:oddHBand="1" w:evenHBand="0" w:firstRowFirstColumn="0" w:firstRowLastColumn="0" w:lastRowFirstColumn="0" w:lastRowLastColumn="0"/>
          <w:trHeight w:val="382"/>
        </w:trPr>
        <w:tc>
          <w:tcPr>
            <w:cnfStyle w:val="001000000000" w:firstRow="0" w:lastRow="0" w:firstColumn="1" w:lastColumn="0" w:oddVBand="0" w:evenVBand="0" w:oddHBand="0" w:evenHBand="0" w:firstRowFirstColumn="0" w:firstRowLastColumn="0" w:lastRowFirstColumn="0" w:lastRowLastColumn="0"/>
            <w:tcW w:w="0" w:type="auto"/>
            <w:hideMark/>
          </w:tcPr>
          <w:p w14:paraId="20572C5B" w14:textId="77777777" w:rsidR="00A77462" w:rsidRPr="002018AC" w:rsidRDefault="00A77462" w:rsidP="00695D8D">
            <w:pPr>
              <w:spacing w:line="276" w:lineRule="auto"/>
              <w:rPr>
                <w:rFonts w:cs="Times New Roman"/>
                <w:lang w:val="en-AU" w:eastAsia="en-AU"/>
              </w:rPr>
            </w:pPr>
            <w:r w:rsidRPr="002018AC">
              <w:rPr>
                <w:rFonts w:cs="Times New Roman"/>
                <w:lang w:val="en-AU" w:eastAsia="en-AU"/>
              </w:rPr>
              <w:t>C</w:t>
            </w:r>
          </w:p>
        </w:tc>
        <w:tc>
          <w:tcPr>
            <w:tcW w:w="0" w:type="auto"/>
            <w:hideMark/>
          </w:tcPr>
          <w:p w14:paraId="4B4D5934"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1,091.226</w:t>
            </w:r>
          </w:p>
        </w:tc>
        <w:tc>
          <w:tcPr>
            <w:tcW w:w="0" w:type="auto"/>
            <w:hideMark/>
          </w:tcPr>
          <w:p w14:paraId="7163F7EE"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1,000</w:t>
            </w:r>
          </w:p>
        </w:tc>
        <w:tc>
          <w:tcPr>
            <w:tcW w:w="0" w:type="auto"/>
            <w:hideMark/>
          </w:tcPr>
          <w:p w14:paraId="232B4FB6"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 xml:space="preserve">1,091.226 / 1,000 = </w:t>
            </w:r>
            <w:r w:rsidRPr="002018AC">
              <w:rPr>
                <w:rFonts w:cs="Times New Roman"/>
                <w:b/>
                <w:bCs/>
                <w:lang w:val="en-AU" w:eastAsia="en-AU"/>
              </w:rPr>
              <w:t>1.091</w:t>
            </w:r>
          </w:p>
        </w:tc>
      </w:tr>
    </w:tbl>
    <w:p w14:paraId="723A6F20" w14:textId="77777777" w:rsidR="00A77462" w:rsidRPr="002018AC" w:rsidRDefault="00A77462" w:rsidP="00695D8D">
      <w:pPr>
        <w:spacing w:line="276" w:lineRule="auto"/>
        <w:rPr>
          <w:rFonts w:cs="Times New Roman"/>
          <w:b/>
          <w:bCs/>
          <w:lang w:val="en-AU"/>
        </w:rPr>
      </w:pPr>
      <w:r w:rsidRPr="002018AC">
        <w:rPr>
          <w:rFonts w:cs="Times New Roman"/>
          <w:b/>
          <w:bCs/>
          <w:lang w:val="en-AU"/>
        </w:rPr>
        <w:t>Ranking</w:t>
      </w:r>
    </w:p>
    <w:tbl>
      <w:tblPr>
        <w:tblStyle w:val="GridTable4-Accent1"/>
        <w:tblW w:w="9501" w:type="dxa"/>
        <w:tblLook w:val="04A0" w:firstRow="1" w:lastRow="0" w:firstColumn="1" w:lastColumn="0" w:noHBand="0" w:noVBand="1"/>
      </w:tblPr>
      <w:tblGrid>
        <w:gridCol w:w="1921"/>
        <w:gridCol w:w="2346"/>
        <w:gridCol w:w="5234"/>
      </w:tblGrid>
      <w:tr w:rsidR="00A77462" w:rsidRPr="002018AC" w14:paraId="474F184B" w14:textId="77777777" w:rsidTr="009A74D4">
        <w:trPr>
          <w:cnfStyle w:val="100000000000" w:firstRow="1" w:lastRow="0" w:firstColumn="0" w:lastColumn="0" w:oddVBand="0" w:evenVBand="0" w:oddHBand="0" w:evenHBand="0" w:firstRowFirstColumn="0" w:firstRowLastColumn="0" w:lastRowFirstColumn="0" w:lastRowLastColumn="0"/>
          <w:trHeight w:val="373"/>
        </w:trPr>
        <w:tc>
          <w:tcPr>
            <w:cnfStyle w:val="001000000000" w:firstRow="0" w:lastRow="0" w:firstColumn="1" w:lastColumn="0" w:oddVBand="0" w:evenVBand="0" w:oddHBand="0" w:evenHBand="0" w:firstRowFirstColumn="0" w:firstRowLastColumn="0" w:lastRowFirstColumn="0" w:lastRowLastColumn="0"/>
            <w:tcW w:w="0" w:type="auto"/>
            <w:hideMark/>
          </w:tcPr>
          <w:p w14:paraId="46C6104B" w14:textId="77777777" w:rsidR="00A77462" w:rsidRPr="002018AC" w:rsidRDefault="00A77462" w:rsidP="00695D8D">
            <w:pPr>
              <w:spacing w:line="276" w:lineRule="auto"/>
              <w:rPr>
                <w:rFonts w:cs="Times New Roman"/>
                <w:b w:val="0"/>
                <w:bCs w:val="0"/>
                <w:lang w:val="en-AU" w:eastAsia="en-AU"/>
              </w:rPr>
            </w:pPr>
            <w:r w:rsidRPr="002018AC">
              <w:rPr>
                <w:rFonts w:cs="Times New Roman"/>
                <w:b w:val="0"/>
                <w:bCs w:val="0"/>
                <w:lang w:val="en-AU" w:eastAsia="en-AU"/>
              </w:rPr>
              <w:t>Rank</w:t>
            </w:r>
          </w:p>
        </w:tc>
        <w:tc>
          <w:tcPr>
            <w:tcW w:w="0" w:type="auto"/>
            <w:hideMark/>
          </w:tcPr>
          <w:p w14:paraId="376BD5DA" w14:textId="77777777" w:rsidR="00A77462" w:rsidRPr="002018AC" w:rsidRDefault="00A77462" w:rsidP="00695D8D">
            <w:pPr>
              <w:spacing w:line="276" w:lineRule="auto"/>
              <w:cnfStyle w:val="100000000000" w:firstRow="1" w:lastRow="0" w:firstColumn="0" w:lastColumn="0" w:oddVBand="0" w:evenVBand="0" w:oddHBand="0" w:evenHBand="0" w:firstRowFirstColumn="0" w:firstRowLastColumn="0" w:lastRowFirstColumn="0" w:lastRowLastColumn="0"/>
              <w:rPr>
                <w:rFonts w:cs="Times New Roman"/>
                <w:b w:val="0"/>
                <w:bCs w:val="0"/>
                <w:lang w:val="en-AU" w:eastAsia="en-AU"/>
              </w:rPr>
            </w:pPr>
            <w:r w:rsidRPr="002018AC">
              <w:rPr>
                <w:rFonts w:cs="Times New Roman"/>
                <w:b w:val="0"/>
                <w:bCs w:val="0"/>
                <w:lang w:val="en-AU" w:eastAsia="en-AU"/>
              </w:rPr>
              <w:t>Option</w:t>
            </w:r>
          </w:p>
        </w:tc>
        <w:tc>
          <w:tcPr>
            <w:tcW w:w="0" w:type="auto"/>
            <w:hideMark/>
          </w:tcPr>
          <w:p w14:paraId="3EF7E669" w14:textId="77777777" w:rsidR="00A77462" w:rsidRPr="002018AC" w:rsidRDefault="00A77462" w:rsidP="00695D8D">
            <w:pPr>
              <w:spacing w:line="276" w:lineRule="auto"/>
              <w:cnfStyle w:val="100000000000" w:firstRow="1" w:lastRow="0" w:firstColumn="0" w:lastColumn="0" w:oddVBand="0" w:evenVBand="0" w:oddHBand="0" w:evenHBand="0" w:firstRowFirstColumn="0" w:firstRowLastColumn="0" w:lastRowFirstColumn="0" w:lastRowLastColumn="0"/>
              <w:rPr>
                <w:rFonts w:cs="Times New Roman"/>
                <w:b w:val="0"/>
                <w:bCs w:val="0"/>
                <w:lang w:val="en-AU" w:eastAsia="en-AU"/>
              </w:rPr>
            </w:pPr>
            <w:r w:rsidRPr="002018AC">
              <w:rPr>
                <w:rFonts w:cs="Times New Roman"/>
                <w:b w:val="0"/>
                <w:bCs w:val="0"/>
                <w:lang w:val="en-AU" w:eastAsia="en-AU"/>
              </w:rPr>
              <w:t>Profitability index</w:t>
            </w:r>
          </w:p>
        </w:tc>
      </w:tr>
      <w:tr w:rsidR="00A77462" w:rsidRPr="002018AC" w14:paraId="42E7D5DE" w14:textId="77777777" w:rsidTr="009A74D4">
        <w:trPr>
          <w:cnfStyle w:val="000000100000" w:firstRow="0" w:lastRow="0" w:firstColumn="0" w:lastColumn="0" w:oddVBand="0" w:evenVBand="0" w:oddHBand="1" w:evenHBand="0" w:firstRowFirstColumn="0" w:firstRowLastColumn="0" w:lastRowFirstColumn="0" w:lastRowLastColumn="0"/>
          <w:trHeight w:val="363"/>
        </w:trPr>
        <w:tc>
          <w:tcPr>
            <w:cnfStyle w:val="001000000000" w:firstRow="0" w:lastRow="0" w:firstColumn="1" w:lastColumn="0" w:oddVBand="0" w:evenVBand="0" w:oddHBand="0" w:evenHBand="0" w:firstRowFirstColumn="0" w:firstRowLastColumn="0" w:lastRowFirstColumn="0" w:lastRowLastColumn="0"/>
            <w:tcW w:w="0" w:type="auto"/>
            <w:hideMark/>
          </w:tcPr>
          <w:p w14:paraId="4063E065" w14:textId="77777777" w:rsidR="00A77462" w:rsidRPr="002018AC" w:rsidRDefault="00A77462" w:rsidP="00695D8D">
            <w:pPr>
              <w:spacing w:line="276" w:lineRule="auto"/>
              <w:rPr>
                <w:rFonts w:cs="Times New Roman"/>
                <w:lang w:val="en-AU" w:eastAsia="en-AU"/>
              </w:rPr>
            </w:pPr>
            <w:r w:rsidRPr="002018AC">
              <w:rPr>
                <w:rFonts w:cs="Times New Roman"/>
                <w:lang w:val="en-AU" w:eastAsia="en-AU"/>
              </w:rPr>
              <w:t>1</w:t>
            </w:r>
          </w:p>
        </w:tc>
        <w:tc>
          <w:tcPr>
            <w:tcW w:w="0" w:type="auto"/>
            <w:hideMark/>
          </w:tcPr>
          <w:p w14:paraId="52A452CA"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C</w:t>
            </w:r>
          </w:p>
        </w:tc>
        <w:tc>
          <w:tcPr>
            <w:tcW w:w="0" w:type="auto"/>
            <w:hideMark/>
          </w:tcPr>
          <w:p w14:paraId="0508EFE5"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b/>
                <w:bCs/>
                <w:lang w:val="en-AU" w:eastAsia="en-AU"/>
              </w:rPr>
              <w:t>1.091</w:t>
            </w:r>
          </w:p>
        </w:tc>
      </w:tr>
      <w:tr w:rsidR="00A77462" w:rsidRPr="002018AC" w14:paraId="3B2CFD73" w14:textId="77777777" w:rsidTr="009A74D4">
        <w:trPr>
          <w:trHeight w:val="373"/>
        </w:trPr>
        <w:tc>
          <w:tcPr>
            <w:cnfStyle w:val="001000000000" w:firstRow="0" w:lastRow="0" w:firstColumn="1" w:lastColumn="0" w:oddVBand="0" w:evenVBand="0" w:oddHBand="0" w:evenHBand="0" w:firstRowFirstColumn="0" w:firstRowLastColumn="0" w:lastRowFirstColumn="0" w:lastRowLastColumn="0"/>
            <w:tcW w:w="0" w:type="auto"/>
            <w:hideMark/>
          </w:tcPr>
          <w:p w14:paraId="53048FE5" w14:textId="77777777" w:rsidR="00A77462" w:rsidRPr="002018AC" w:rsidRDefault="00A77462" w:rsidP="00695D8D">
            <w:pPr>
              <w:spacing w:line="276" w:lineRule="auto"/>
              <w:rPr>
                <w:rFonts w:cs="Times New Roman"/>
                <w:lang w:val="en-AU" w:eastAsia="en-AU"/>
              </w:rPr>
            </w:pPr>
            <w:r w:rsidRPr="002018AC">
              <w:rPr>
                <w:rFonts w:cs="Times New Roman"/>
                <w:lang w:val="en-AU" w:eastAsia="en-AU"/>
              </w:rPr>
              <w:t>2</w:t>
            </w:r>
          </w:p>
        </w:tc>
        <w:tc>
          <w:tcPr>
            <w:tcW w:w="0" w:type="auto"/>
            <w:hideMark/>
          </w:tcPr>
          <w:p w14:paraId="711133C2"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B</w:t>
            </w:r>
          </w:p>
        </w:tc>
        <w:tc>
          <w:tcPr>
            <w:tcW w:w="0" w:type="auto"/>
            <w:hideMark/>
          </w:tcPr>
          <w:p w14:paraId="3BFB8513"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b/>
                <w:bCs/>
                <w:lang w:val="en-AU" w:eastAsia="en-AU"/>
              </w:rPr>
              <w:t>1.082</w:t>
            </w:r>
          </w:p>
        </w:tc>
      </w:tr>
      <w:tr w:rsidR="00A77462" w:rsidRPr="002018AC" w14:paraId="068F23D3" w14:textId="77777777" w:rsidTr="009A74D4">
        <w:trPr>
          <w:cnfStyle w:val="000000100000" w:firstRow="0" w:lastRow="0" w:firstColumn="0" w:lastColumn="0" w:oddVBand="0" w:evenVBand="0" w:oddHBand="1" w:evenHBand="0" w:firstRowFirstColumn="0" w:firstRowLastColumn="0" w:lastRowFirstColumn="0" w:lastRowLastColumn="0"/>
          <w:trHeight w:val="373"/>
        </w:trPr>
        <w:tc>
          <w:tcPr>
            <w:cnfStyle w:val="001000000000" w:firstRow="0" w:lastRow="0" w:firstColumn="1" w:lastColumn="0" w:oddVBand="0" w:evenVBand="0" w:oddHBand="0" w:evenHBand="0" w:firstRowFirstColumn="0" w:firstRowLastColumn="0" w:lastRowFirstColumn="0" w:lastRowLastColumn="0"/>
            <w:tcW w:w="0" w:type="auto"/>
            <w:hideMark/>
          </w:tcPr>
          <w:p w14:paraId="4803EC8F" w14:textId="77777777" w:rsidR="00A77462" w:rsidRPr="002018AC" w:rsidRDefault="00A77462" w:rsidP="00695D8D">
            <w:pPr>
              <w:spacing w:line="276" w:lineRule="auto"/>
              <w:rPr>
                <w:rFonts w:cs="Times New Roman"/>
                <w:lang w:val="en-AU" w:eastAsia="en-AU"/>
              </w:rPr>
            </w:pPr>
            <w:r w:rsidRPr="002018AC">
              <w:rPr>
                <w:rFonts w:cs="Times New Roman"/>
                <w:lang w:val="en-AU" w:eastAsia="en-AU"/>
              </w:rPr>
              <w:t>3</w:t>
            </w:r>
          </w:p>
        </w:tc>
        <w:tc>
          <w:tcPr>
            <w:tcW w:w="0" w:type="auto"/>
            <w:hideMark/>
          </w:tcPr>
          <w:p w14:paraId="5997043D"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A</w:t>
            </w:r>
          </w:p>
        </w:tc>
        <w:tc>
          <w:tcPr>
            <w:tcW w:w="0" w:type="auto"/>
            <w:hideMark/>
          </w:tcPr>
          <w:p w14:paraId="118A6D48"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b/>
                <w:bCs/>
                <w:lang w:val="en-AU" w:eastAsia="en-AU"/>
              </w:rPr>
              <w:t>0.995</w:t>
            </w:r>
          </w:p>
        </w:tc>
      </w:tr>
    </w:tbl>
    <w:p w14:paraId="3C5DFFC3" w14:textId="77777777" w:rsidR="00A77462" w:rsidRPr="002018AC" w:rsidRDefault="00A77462" w:rsidP="00695D8D">
      <w:pPr>
        <w:spacing w:line="276" w:lineRule="auto"/>
        <w:rPr>
          <w:rFonts w:cs="Times New Roman"/>
          <w:b/>
          <w:bCs/>
          <w:lang w:val="en-AU"/>
        </w:rPr>
      </w:pPr>
      <w:r w:rsidRPr="002018AC">
        <w:rPr>
          <w:rFonts w:cs="Times New Roman"/>
          <w:b/>
          <w:bCs/>
          <w:lang w:val="en-AU"/>
        </w:rPr>
        <w:lastRenderedPageBreak/>
        <w:t>Optimal investment policy</w:t>
      </w:r>
    </w:p>
    <w:p w14:paraId="7D29B8D3" w14:textId="77777777" w:rsidR="00A77462" w:rsidRPr="002018AC" w:rsidRDefault="00A77462" w:rsidP="00695D8D">
      <w:pPr>
        <w:pStyle w:val="ListParagraph"/>
        <w:numPr>
          <w:ilvl w:val="0"/>
          <w:numId w:val="38"/>
        </w:numPr>
        <w:spacing w:line="276" w:lineRule="auto"/>
        <w:rPr>
          <w:rFonts w:cs="Times New Roman"/>
          <w:lang w:val="en-AU"/>
        </w:rPr>
      </w:pPr>
      <w:r w:rsidRPr="002018AC">
        <w:rPr>
          <w:rFonts w:cs="Times New Roman"/>
          <w:lang w:val="en-AU"/>
        </w:rPr>
        <w:t>Invest fully in Option C:</w:t>
      </w:r>
    </w:p>
    <w:p w14:paraId="44A46073" w14:textId="77777777" w:rsidR="00A77462" w:rsidRPr="002018AC" w:rsidRDefault="00A77462" w:rsidP="00695D8D">
      <w:pPr>
        <w:pStyle w:val="ListParagraph"/>
        <w:spacing w:line="276" w:lineRule="auto"/>
        <w:rPr>
          <w:rFonts w:cs="Times New Roman"/>
          <w:lang w:val="en-AU"/>
        </w:rPr>
      </w:pPr>
      <w:r w:rsidRPr="002018AC">
        <w:rPr>
          <w:rFonts w:cs="Times New Roman"/>
          <w:b/>
          <w:bCs/>
          <w:lang w:val="en-AU"/>
        </w:rPr>
        <w:t>Cost of C = £1,000k</w:t>
      </w:r>
    </w:p>
    <w:p w14:paraId="711507E5" w14:textId="77777777" w:rsidR="00A77462" w:rsidRPr="002018AC" w:rsidRDefault="00A77462" w:rsidP="00695D8D">
      <w:pPr>
        <w:pStyle w:val="ListParagraph"/>
        <w:numPr>
          <w:ilvl w:val="0"/>
          <w:numId w:val="38"/>
        </w:numPr>
        <w:spacing w:line="276" w:lineRule="auto"/>
        <w:rPr>
          <w:rFonts w:cs="Times New Roman"/>
          <w:lang w:val="en-AU"/>
        </w:rPr>
      </w:pPr>
      <w:r w:rsidRPr="002018AC">
        <w:rPr>
          <w:rFonts w:cs="Times New Roman"/>
          <w:lang w:val="en-AU"/>
        </w:rPr>
        <w:t>Remaining funds:</w:t>
      </w:r>
    </w:p>
    <w:p w14:paraId="4EDCE084" w14:textId="77777777" w:rsidR="00A77462" w:rsidRPr="002018AC" w:rsidRDefault="00A77462" w:rsidP="00695D8D">
      <w:pPr>
        <w:pStyle w:val="ListParagraph"/>
        <w:spacing w:line="276" w:lineRule="auto"/>
        <w:rPr>
          <w:rFonts w:cs="Times New Roman"/>
          <w:lang w:val="en-AU"/>
        </w:rPr>
      </w:pPr>
      <w:r w:rsidRPr="002018AC">
        <w:rPr>
          <w:rFonts w:cs="Times New Roman"/>
          <w:b/>
          <w:bCs/>
          <w:lang w:val="en-AU"/>
        </w:rPr>
        <w:t>£1,500k − £1,000k = £500k</w:t>
      </w:r>
    </w:p>
    <w:p w14:paraId="0A9DF967" w14:textId="77777777" w:rsidR="00A77462" w:rsidRPr="002018AC" w:rsidRDefault="00A77462" w:rsidP="00695D8D">
      <w:pPr>
        <w:pStyle w:val="ListParagraph"/>
        <w:numPr>
          <w:ilvl w:val="0"/>
          <w:numId w:val="38"/>
        </w:numPr>
        <w:spacing w:line="276" w:lineRule="auto"/>
        <w:rPr>
          <w:rFonts w:cs="Times New Roman"/>
          <w:lang w:val="en-AU"/>
        </w:rPr>
      </w:pPr>
      <w:r w:rsidRPr="002018AC">
        <w:rPr>
          <w:rFonts w:cs="Times New Roman"/>
          <w:lang w:val="en-AU"/>
        </w:rPr>
        <w:t>Fraction of Option B possible:</w:t>
      </w:r>
    </w:p>
    <w:p w14:paraId="6975A8E6" w14:textId="77777777" w:rsidR="00A77462" w:rsidRPr="002018AC" w:rsidRDefault="00A77462" w:rsidP="00695D8D">
      <w:pPr>
        <w:pStyle w:val="ListParagraph"/>
        <w:spacing w:line="276" w:lineRule="auto"/>
        <w:rPr>
          <w:rFonts w:cs="Times New Roman"/>
          <w:lang w:val="en-AU"/>
        </w:rPr>
      </w:pPr>
      <w:r w:rsidRPr="002018AC">
        <w:rPr>
          <w:rFonts w:cs="Times New Roman"/>
          <w:b/>
          <w:bCs/>
          <w:lang w:val="en-AU"/>
        </w:rPr>
        <w:t>£500k / £900k = 0.5556</w:t>
      </w:r>
    </w:p>
    <w:p w14:paraId="61DD8081" w14:textId="77777777" w:rsidR="00A77462" w:rsidRPr="002018AC" w:rsidRDefault="00A77462" w:rsidP="00695D8D">
      <w:pPr>
        <w:pStyle w:val="ListParagraph"/>
        <w:numPr>
          <w:ilvl w:val="0"/>
          <w:numId w:val="38"/>
        </w:numPr>
        <w:spacing w:line="276" w:lineRule="auto"/>
        <w:rPr>
          <w:rFonts w:cs="Times New Roman"/>
          <w:lang w:val="en-AU"/>
        </w:rPr>
      </w:pPr>
      <w:r w:rsidRPr="002018AC">
        <w:rPr>
          <w:rFonts w:cs="Times New Roman"/>
          <w:lang w:val="en-AU"/>
        </w:rPr>
        <w:t>Therefore, Beard Plc should invest in:</w:t>
      </w:r>
    </w:p>
    <w:p w14:paraId="0997C5DC" w14:textId="77777777" w:rsidR="00A77462" w:rsidRPr="002018AC" w:rsidRDefault="00A77462" w:rsidP="00695D8D">
      <w:pPr>
        <w:pStyle w:val="ListParagraph"/>
        <w:spacing w:line="276" w:lineRule="auto"/>
        <w:rPr>
          <w:rFonts w:cs="Times New Roman"/>
          <w:lang w:val="en-AU"/>
        </w:rPr>
      </w:pPr>
      <w:r w:rsidRPr="002018AC">
        <w:rPr>
          <w:rFonts w:cs="Times New Roman"/>
          <w:b/>
          <w:bCs/>
          <w:lang w:val="en-AU"/>
        </w:rPr>
        <w:t>100% of Option C + 55.56% of Option B</w:t>
      </w:r>
    </w:p>
    <w:p w14:paraId="1E8E391A" w14:textId="77777777" w:rsidR="00A77462" w:rsidRPr="002018AC" w:rsidRDefault="00A77462" w:rsidP="00695D8D">
      <w:pPr>
        <w:pStyle w:val="ListParagraph"/>
        <w:numPr>
          <w:ilvl w:val="0"/>
          <w:numId w:val="38"/>
        </w:numPr>
        <w:spacing w:line="276" w:lineRule="auto"/>
        <w:rPr>
          <w:rFonts w:cs="Times New Roman"/>
          <w:b/>
          <w:bCs/>
          <w:lang w:val="en-AU"/>
        </w:rPr>
      </w:pPr>
      <w:r w:rsidRPr="002018AC">
        <w:rPr>
          <w:rFonts w:cs="Times New Roman"/>
          <w:b/>
          <w:bCs/>
          <w:lang w:val="en-AU"/>
        </w:rPr>
        <w:t>Total NPV</w:t>
      </w:r>
    </w:p>
    <w:p w14:paraId="51316C6B" w14:textId="77777777" w:rsidR="00A77462" w:rsidRPr="002018AC" w:rsidRDefault="00A77462" w:rsidP="00695D8D">
      <w:pPr>
        <w:pStyle w:val="ListParagraph"/>
        <w:numPr>
          <w:ilvl w:val="0"/>
          <w:numId w:val="38"/>
        </w:numPr>
        <w:spacing w:line="276" w:lineRule="auto"/>
        <w:rPr>
          <w:rFonts w:cs="Times New Roman"/>
          <w:lang w:val="en-AU"/>
        </w:rPr>
      </w:pPr>
      <w:r w:rsidRPr="002018AC">
        <w:rPr>
          <w:rFonts w:cs="Times New Roman"/>
          <w:lang w:val="en-AU"/>
        </w:rPr>
        <w:t>NPV of Option C:</w:t>
      </w:r>
    </w:p>
    <w:p w14:paraId="701913C5" w14:textId="77777777" w:rsidR="00A77462" w:rsidRPr="002018AC" w:rsidRDefault="00A77462" w:rsidP="00695D8D">
      <w:pPr>
        <w:pStyle w:val="ListParagraph"/>
        <w:spacing w:line="276" w:lineRule="auto"/>
        <w:rPr>
          <w:rFonts w:cs="Times New Roman"/>
          <w:lang w:val="en-AU"/>
        </w:rPr>
      </w:pPr>
      <w:r w:rsidRPr="002018AC">
        <w:rPr>
          <w:rFonts w:cs="Times New Roman"/>
          <w:b/>
          <w:bCs/>
          <w:lang w:val="en-AU"/>
        </w:rPr>
        <w:t>£91.226k</w:t>
      </w:r>
    </w:p>
    <w:p w14:paraId="0D1850AD" w14:textId="77777777" w:rsidR="00A77462" w:rsidRPr="002018AC" w:rsidRDefault="00A77462" w:rsidP="00695D8D">
      <w:pPr>
        <w:pStyle w:val="ListParagraph"/>
        <w:numPr>
          <w:ilvl w:val="0"/>
          <w:numId w:val="38"/>
        </w:numPr>
        <w:spacing w:line="276" w:lineRule="auto"/>
        <w:rPr>
          <w:rFonts w:cs="Times New Roman"/>
          <w:lang w:val="en-AU"/>
        </w:rPr>
      </w:pPr>
      <w:r w:rsidRPr="002018AC">
        <w:rPr>
          <w:rFonts w:cs="Times New Roman"/>
          <w:lang w:val="en-AU"/>
        </w:rPr>
        <w:t>NPV from 55.56% of Option B:</w:t>
      </w:r>
    </w:p>
    <w:p w14:paraId="78DBA3BB" w14:textId="77777777" w:rsidR="00A77462" w:rsidRPr="002018AC" w:rsidRDefault="00A77462" w:rsidP="00695D8D">
      <w:pPr>
        <w:pStyle w:val="ListParagraph"/>
        <w:spacing w:line="276" w:lineRule="auto"/>
        <w:rPr>
          <w:rFonts w:cs="Times New Roman"/>
          <w:lang w:val="en-AU"/>
        </w:rPr>
      </w:pPr>
      <w:r w:rsidRPr="002018AC">
        <w:rPr>
          <w:rFonts w:cs="Times New Roman"/>
          <w:b/>
          <w:bCs/>
          <w:lang w:val="en-AU"/>
        </w:rPr>
        <w:t>£73.952k × 55.56% = £41.084k</w:t>
      </w:r>
    </w:p>
    <w:p w14:paraId="1D25478E" w14:textId="77777777" w:rsidR="00A77462" w:rsidRPr="002018AC" w:rsidRDefault="00A77462" w:rsidP="00695D8D">
      <w:pPr>
        <w:pStyle w:val="ListParagraph"/>
        <w:numPr>
          <w:ilvl w:val="0"/>
          <w:numId w:val="38"/>
        </w:numPr>
        <w:spacing w:line="276" w:lineRule="auto"/>
        <w:rPr>
          <w:rFonts w:cs="Times New Roman"/>
          <w:lang w:val="en-AU"/>
        </w:rPr>
      </w:pPr>
      <w:r w:rsidRPr="002018AC">
        <w:rPr>
          <w:rFonts w:cs="Times New Roman"/>
          <w:lang w:val="en-AU"/>
        </w:rPr>
        <w:t>Total NPV:</w:t>
      </w:r>
    </w:p>
    <w:p w14:paraId="3A36C790" w14:textId="77777777" w:rsidR="00A77462" w:rsidRPr="002018AC" w:rsidRDefault="00A77462" w:rsidP="00695D8D">
      <w:pPr>
        <w:pStyle w:val="ListParagraph"/>
        <w:spacing w:line="276" w:lineRule="auto"/>
        <w:rPr>
          <w:rFonts w:cs="Times New Roman"/>
          <w:lang w:val="en-AU"/>
        </w:rPr>
      </w:pPr>
      <w:r w:rsidRPr="002018AC">
        <w:rPr>
          <w:rFonts w:cs="Times New Roman"/>
          <w:b/>
          <w:bCs/>
          <w:lang w:val="en-AU"/>
        </w:rPr>
        <w:t>£91.226k + £41.084k = £132.310k</w:t>
      </w:r>
    </w:p>
    <w:p w14:paraId="6292A2E5" w14:textId="77777777" w:rsidR="00A77462" w:rsidRPr="002018AC" w:rsidRDefault="00A77462" w:rsidP="00695D8D">
      <w:pPr>
        <w:pStyle w:val="ListParagraph"/>
        <w:numPr>
          <w:ilvl w:val="0"/>
          <w:numId w:val="38"/>
        </w:numPr>
        <w:spacing w:line="276" w:lineRule="auto"/>
        <w:rPr>
          <w:rFonts w:cs="Times New Roman"/>
          <w:lang w:val="en-AU"/>
        </w:rPr>
      </w:pPr>
      <w:r w:rsidRPr="002018AC">
        <w:rPr>
          <w:rFonts w:cs="Times New Roman"/>
          <w:lang w:val="en-AU"/>
        </w:rPr>
        <w:t>Final capital-rationing recommendation:</w:t>
      </w:r>
    </w:p>
    <w:tbl>
      <w:tblPr>
        <w:tblStyle w:val="GridTable4-Accent1"/>
        <w:tblW w:w="9432" w:type="dxa"/>
        <w:tblLook w:val="04A0" w:firstRow="1" w:lastRow="0" w:firstColumn="1" w:lastColumn="0" w:noHBand="0" w:noVBand="1"/>
      </w:tblPr>
      <w:tblGrid>
        <w:gridCol w:w="3665"/>
        <w:gridCol w:w="3025"/>
        <w:gridCol w:w="2742"/>
      </w:tblGrid>
      <w:tr w:rsidR="00A77462" w:rsidRPr="002018AC" w14:paraId="52624BF2" w14:textId="77777777" w:rsidTr="009A74D4">
        <w:trPr>
          <w:cnfStyle w:val="100000000000" w:firstRow="1" w:lastRow="0" w:firstColumn="0" w:lastColumn="0" w:oddVBand="0" w:evenVBand="0" w:oddHBand="0" w:evenHBand="0" w:firstRowFirstColumn="0" w:firstRowLastColumn="0" w:lastRowFirstColumn="0" w:lastRowLastColumn="0"/>
          <w:trHeight w:val="364"/>
        </w:trPr>
        <w:tc>
          <w:tcPr>
            <w:cnfStyle w:val="001000000000" w:firstRow="0" w:lastRow="0" w:firstColumn="1" w:lastColumn="0" w:oddVBand="0" w:evenVBand="0" w:oddHBand="0" w:evenHBand="0" w:firstRowFirstColumn="0" w:firstRowLastColumn="0" w:lastRowFirstColumn="0" w:lastRowLastColumn="0"/>
            <w:tcW w:w="0" w:type="auto"/>
            <w:hideMark/>
          </w:tcPr>
          <w:p w14:paraId="2E802540" w14:textId="77777777" w:rsidR="00A77462" w:rsidRPr="002018AC" w:rsidRDefault="00A77462" w:rsidP="00695D8D">
            <w:pPr>
              <w:spacing w:line="276" w:lineRule="auto"/>
              <w:rPr>
                <w:rFonts w:cs="Times New Roman"/>
                <w:b w:val="0"/>
                <w:bCs w:val="0"/>
                <w:lang w:val="en-AU" w:eastAsia="en-AU"/>
              </w:rPr>
            </w:pPr>
            <w:r w:rsidRPr="002018AC">
              <w:rPr>
                <w:rFonts w:cs="Times New Roman"/>
                <w:b w:val="0"/>
                <w:bCs w:val="0"/>
                <w:lang w:val="en-AU" w:eastAsia="en-AU"/>
              </w:rPr>
              <w:t>Investment</w:t>
            </w:r>
          </w:p>
        </w:tc>
        <w:tc>
          <w:tcPr>
            <w:tcW w:w="0" w:type="auto"/>
            <w:hideMark/>
          </w:tcPr>
          <w:p w14:paraId="0521DDF9" w14:textId="77777777" w:rsidR="00A77462" w:rsidRPr="002018AC" w:rsidRDefault="00A77462" w:rsidP="00695D8D">
            <w:pPr>
              <w:spacing w:line="276" w:lineRule="auto"/>
              <w:cnfStyle w:val="100000000000" w:firstRow="1" w:lastRow="0" w:firstColumn="0" w:lastColumn="0" w:oddVBand="0" w:evenVBand="0" w:oddHBand="0" w:evenHBand="0" w:firstRowFirstColumn="0" w:firstRowLastColumn="0" w:lastRowFirstColumn="0" w:lastRowLastColumn="0"/>
              <w:rPr>
                <w:rFonts w:cs="Times New Roman"/>
                <w:b w:val="0"/>
                <w:bCs w:val="0"/>
                <w:lang w:val="en-AU" w:eastAsia="en-AU"/>
              </w:rPr>
            </w:pPr>
            <w:r w:rsidRPr="002018AC">
              <w:rPr>
                <w:rFonts w:cs="Times New Roman"/>
                <w:b w:val="0"/>
                <w:bCs w:val="0"/>
                <w:lang w:val="en-AU" w:eastAsia="en-AU"/>
              </w:rPr>
              <w:t>Amount invested</w:t>
            </w:r>
          </w:p>
        </w:tc>
        <w:tc>
          <w:tcPr>
            <w:tcW w:w="0" w:type="auto"/>
            <w:hideMark/>
          </w:tcPr>
          <w:p w14:paraId="7F4D4523" w14:textId="77777777" w:rsidR="00A77462" w:rsidRPr="002018AC" w:rsidRDefault="00A77462" w:rsidP="00695D8D">
            <w:pPr>
              <w:spacing w:line="276" w:lineRule="auto"/>
              <w:cnfStyle w:val="100000000000" w:firstRow="1" w:lastRow="0" w:firstColumn="0" w:lastColumn="0" w:oddVBand="0" w:evenVBand="0" w:oddHBand="0" w:evenHBand="0" w:firstRowFirstColumn="0" w:firstRowLastColumn="0" w:lastRowFirstColumn="0" w:lastRowLastColumn="0"/>
              <w:rPr>
                <w:rFonts w:cs="Times New Roman"/>
                <w:b w:val="0"/>
                <w:bCs w:val="0"/>
                <w:lang w:val="en-AU" w:eastAsia="en-AU"/>
              </w:rPr>
            </w:pPr>
            <w:r w:rsidRPr="002018AC">
              <w:rPr>
                <w:rFonts w:cs="Times New Roman"/>
                <w:b w:val="0"/>
                <w:bCs w:val="0"/>
                <w:lang w:val="en-AU" w:eastAsia="en-AU"/>
              </w:rPr>
              <w:t>NPV generated</w:t>
            </w:r>
          </w:p>
        </w:tc>
      </w:tr>
      <w:tr w:rsidR="00A77462" w:rsidRPr="002018AC" w14:paraId="12EB247B" w14:textId="77777777" w:rsidTr="009A74D4">
        <w:trPr>
          <w:cnfStyle w:val="000000100000" w:firstRow="0" w:lastRow="0" w:firstColumn="0" w:lastColumn="0" w:oddVBand="0" w:evenVBand="0" w:oddHBand="1" w:evenHBand="0" w:firstRowFirstColumn="0" w:firstRowLastColumn="0" w:lastRowFirstColumn="0" w:lastRowLastColumn="0"/>
          <w:trHeight w:val="355"/>
        </w:trPr>
        <w:tc>
          <w:tcPr>
            <w:cnfStyle w:val="001000000000" w:firstRow="0" w:lastRow="0" w:firstColumn="1" w:lastColumn="0" w:oddVBand="0" w:evenVBand="0" w:oddHBand="0" w:evenHBand="0" w:firstRowFirstColumn="0" w:firstRowLastColumn="0" w:lastRowFirstColumn="0" w:lastRowLastColumn="0"/>
            <w:tcW w:w="0" w:type="auto"/>
            <w:hideMark/>
          </w:tcPr>
          <w:p w14:paraId="2008630D" w14:textId="77777777" w:rsidR="00A77462" w:rsidRPr="002018AC" w:rsidRDefault="00A77462" w:rsidP="00695D8D">
            <w:pPr>
              <w:spacing w:line="276" w:lineRule="auto"/>
              <w:rPr>
                <w:rFonts w:cs="Times New Roman"/>
                <w:lang w:val="en-AU" w:eastAsia="en-AU"/>
              </w:rPr>
            </w:pPr>
            <w:r w:rsidRPr="002018AC">
              <w:rPr>
                <w:rFonts w:cs="Times New Roman"/>
                <w:lang w:val="en-AU" w:eastAsia="en-AU"/>
              </w:rPr>
              <w:t>100% of Option C</w:t>
            </w:r>
          </w:p>
        </w:tc>
        <w:tc>
          <w:tcPr>
            <w:tcW w:w="0" w:type="auto"/>
            <w:hideMark/>
          </w:tcPr>
          <w:p w14:paraId="7CCC9EEB"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1,000</w:t>
            </w:r>
          </w:p>
        </w:tc>
        <w:tc>
          <w:tcPr>
            <w:tcW w:w="0" w:type="auto"/>
            <w:hideMark/>
          </w:tcPr>
          <w:p w14:paraId="50F99C39"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lang w:val="en-AU" w:eastAsia="en-AU"/>
              </w:rPr>
              <w:t>91.226</w:t>
            </w:r>
          </w:p>
        </w:tc>
      </w:tr>
      <w:tr w:rsidR="00A77462" w:rsidRPr="002018AC" w14:paraId="0084ED27" w14:textId="77777777" w:rsidTr="009A74D4">
        <w:trPr>
          <w:trHeight w:val="364"/>
        </w:trPr>
        <w:tc>
          <w:tcPr>
            <w:cnfStyle w:val="001000000000" w:firstRow="0" w:lastRow="0" w:firstColumn="1" w:lastColumn="0" w:oddVBand="0" w:evenVBand="0" w:oddHBand="0" w:evenHBand="0" w:firstRowFirstColumn="0" w:firstRowLastColumn="0" w:lastRowFirstColumn="0" w:lastRowLastColumn="0"/>
            <w:tcW w:w="0" w:type="auto"/>
            <w:hideMark/>
          </w:tcPr>
          <w:p w14:paraId="61E33A21" w14:textId="77777777" w:rsidR="00A77462" w:rsidRPr="002018AC" w:rsidRDefault="00A77462" w:rsidP="00695D8D">
            <w:pPr>
              <w:spacing w:line="276" w:lineRule="auto"/>
              <w:rPr>
                <w:rFonts w:cs="Times New Roman"/>
                <w:lang w:val="en-AU" w:eastAsia="en-AU"/>
              </w:rPr>
            </w:pPr>
            <w:r w:rsidRPr="002018AC">
              <w:rPr>
                <w:rFonts w:cs="Times New Roman"/>
                <w:lang w:val="en-AU" w:eastAsia="en-AU"/>
              </w:rPr>
              <w:t>55.56% of Option B</w:t>
            </w:r>
          </w:p>
        </w:tc>
        <w:tc>
          <w:tcPr>
            <w:tcW w:w="0" w:type="auto"/>
            <w:hideMark/>
          </w:tcPr>
          <w:p w14:paraId="6539EDB6"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500</w:t>
            </w:r>
          </w:p>
        </w:tc>
        <w:tc>
          <w:tcPr>
            <w:tcW w:w="0" w:type="auto"/>
            <w:hideMark/>
          </w:tcPr>
          <w:p w14:paraId="7A614444" w14:textId="77777777" w:rsidR="00A77462" w:rsidRPr="002018AC" w:rsidRDefault="00A77462" w:rsidP="00695D8D">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val="en-AU" w:eastAsia="en-AU"/>
              </w:rPr>
            </w:pPr>
            <w:r w:rsidRPr="002018AC">
              <w:rPr>
                <w:rFonts w:cs="Times New Roman"/>
                <w:lang w:val="en-AU" w:eastAsia="en-AU"/>
              </w:rPr>
              <w:t>41.084</w:t>
            </w:r>
          </w:p>
        </w:tc>
      </w:tr>
      <w:tr w:rsidR="00A77462" w:rsidRPr="002018AC" w14:paraId="340E710F" w14:textId="77777777" w:rsidTr="009A74D4">
        <w:trPr>
          <w:cnfStyle w:val="000000100000" w:firstRow="0" w:lastRow="0" w:firstColumn="0" w:lastColumn="0" w:oddVBand="0" w:evenVBand="0" w:oddHBand="1" w:evenHBand="0" w:firstRowFirstColumn="0" w:firstRowLastColumn="0" w:lastRowFirstColumn="0" w:lastRowLastColumn="0"/>
          <w:trHeight w:val="364"/>
        </w:trPr>
        <w:tc>
          <w:tcPr>
            <w:cnfStyle w:val="001000000000" w:firstRow="0" w:lastRow="0" w:firstColumn="1" w:lastColumn="0" w:oddVBand="0" w:evenVBand="0" w:oddHBand="0" w:evenHBand="0" w:firstRowFirstColumn="0" w:firstRowLastColumn="0" w:lastRowFirstColumn="0" w:lastRowLastColumn="0"/>
            <w:tcW w:w="0" w:type="auto"/>
            <w:hideMark/>
          </w:tcPr>
          <w:p w14:paraId="068A9BCE" w14:textId="77777777" w:rsidR="00A77462" w:rsidRPr="002018AC" w:rsidRDefault="00A77462" w:rsidP="00695D8D">
            <w:pPr>
              <w:spacing w:line="276" w:lineRule="auto"/>
              <w:rPr>
                <w:rFonts w:cs="Times New Roman"/>
                <w:lang w:val="en-AU" w:eastAsia="en-AU"/>
              </w:rPr>
            </w:pPr>
            <w:r w:rsidRPr="002018AC">
              <w:rPr>
                <w:rFonts w:cs="Times New Roman"/>
                <w:b w:val="0"/>
                <w:bCs w:val="0"/>
                <w:lang w:val="en-AU" w:eastAsia="en-AU"/>
              </w:rPr>
              <w:t>Total</w:t>
            </w:r>
          </w:p>
        </w:tc>
        <w:tc>
          <w:tcPr>
            <w:tcW w:w="0" w:type="auto"/>
            <w:hideMark/>
          </w:tcPr>
          <w:p w14:paraId="0E87EEE1"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b/>
                <w:bCs/>
                <w:lang w:val="en-AU" w:eastAsia="en-AU"/>
              </w:rPr>
              <w:t>1,500</w:t>
            </w:r>
          </w:p>
        </w:tc>
        <w:tc>
          <w:tcPr>
            <w:tcW w:w="0" w:type="auto"/>
            <w:hideMark/>
          </w:tcPr>
          <w:p w14:paraId="0FE3DFD4" w14:textId="77777777" w:rsidR="00A77462" w:rsidRPr="002018AC" w:rsidRDefault="00A77462" w:rsidP="00695D8D">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val="en-AU" w:eastAsia="en-AU"/>
              </w:rPr>
            </w:pPr>
            <w:r w:rsidRPr="002018AC">
              <w:rPr>
                <w:rFonts w:cs="Times New Roman"/>
                <w:b/>
                <w:bCs/>
                <w:lang w:val="en-AU" w:eastAsia="en-AU"/>
              </w:rPr>
              <w:t>132.310</w:t>
            </w:r>
          </w:p>
        </w:tc>
      </w:tr>
      <w:bookmarkEnd w:id="0"/>
    </w:tbl>
    <w:p w14:paraId="5FCC7107" w14:textId="77777777" w:rsidR="00A943C0" w:rsidRPr="002018AC" w:rsidRDefault="00A943C0" w:rsidP="00695D8D">
      <w:pPr>
        <w:spacing w:line="276" w:lineRule="auto"/>
        <w:rPr>
          <w:rFonts w:cs="Times New Roman"/>
        </w:rPr>
      </w:pPr>
    </w:p>
    <w:sectPr w:rsidR="00A943C0" w:rsidRPr="002018AC" w:rsidSect="00F0066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7C9712" w14:textId="77777777" w:rsidR="00A22E03" w:rsidRDefault="00A22E03">
      <w:pPr>
        <w:spacing w:line="240" w:lineRule="auto"/>
      </w:pPr>
      <w:r>
        <w:separator/>
      </w:r>
    </w:p>
  </w:endnote>
  <w:endnote w:type="continuationSeparator" w:id="0">
    <w:p w14:paraId="2903BEDC" w14:textId="77777777" w:rsidR="00A22E03" w:rsidRDefault="00A22E0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Aptos">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Display">
    <w:altName w:val="Arial"/>
    <w:charset w:val="00"/>
    <w:family w:val="swiss"/>
    <w:pitch w:val="variable"/>
    <w:sig w:usb0="00000001"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499EC6" w14:textId="77777777" w:rsidR="00A22E03" w:rsidRDefault="00A22E03">
      <w:pPr>
        <w:spacing w:after="0"/>
      </w:pPr>
      <w:r>
        <w:separator/>
      </w:r>
    </w:p>
  </w:footnote>
  <w:footnote w:type="continuationSeparator" w:id="0">
    <w:p w14:paraId="220F7C3F" w14:textId="77777777" w:rsidR="00A22E03" w:rsidRDefault="00A22E03">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8C19F7"/>
    <w:multiLevelType w:val="hybridMultilevel"/>
    <w:tmpl w:val="465A79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EDF4486"/>
    <w:multiLevelType w:val="hybridMultilevel"/>
    <w:tmpl w:val="392472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08201F0"/>
    <w:multiLevelType w:val="hybridMultilevel"/>
    <w:tmpl w:val="117074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1522403"/>
    <w:multiLevelType w:val="hybridMultilevel"/>
    <w:tmpl w:val="66289A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1CE2FC0"/>
    <w:multiLevelType w:val="hybridMultilevel"/>
    <w:tmpl w:val="4E988D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6" w15:restartNumberingAfterBreak="0">
    <w:nsid w:val="1C7C0687"/>
    <w:multiLevelType w:val="multilevel"/>
    <w:tmpl w:val="31A26A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B297538"/>
    <w:multiLevelType w:val="hybridMultilevel"/>
    <w:tmpl w:val="8BD295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BC43023"/>
    <w:multiLevelType w:val="multilevel"/>
    <w:tmpl w:val="CAE65B5A"/>
    <w:lvl w:ilvl="0">
      <w:start w:val="4"/>
      <w:numFmt w:val="decimal"/>
      <w:lvlText w:val="%1"/>
      <w:lvlJc w:val="left"/>
      <w:pPr>
        <w:ind w:left="672" w:hanging="672"/>
      </w:pPr>
      <w:rPr>
        <w:rFonts w:hint="default"/>
      </w:rPr>
    </w:lvl>
    <w:lvl w:ilvl="1">
      <w:start w:val="3"/>
      <w:numFmt w:val="decimal"/>
      <w:lvlText w:val="%1.%2"/>
      <w:lvlJc w:val="left"/>
      <w:pPr>
        <w:ind w:left="900" w:hanging="72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620" w:hanging="1080"/>
      </w:pPr>
      <w:rPr>
        <w:rFonts w:hint="default"/>
      </w:rPr>
    </w:lvl>
    <w:lvl w:ilvl="4">
      <w:start w:val="1"/>
      <w:numFmt w:val="decimal"/>
      <w:lvlText w:val="%1.%2.%3.%4.%5"/>
      <w:lvlJc w:val="left"/>
      <w:pPr>
        <w:ind w:left="2160" w:hanging="144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880" w:hanging="1800"/>
      </w:pPr>
      <w:rPr>
        <w:rFonts w:hint="default"/>
      </w:rPr>
    </w:lvl>
    <w:lvl w:ilvl="7">
      <w:start w:val="1"/>
      <w:numFmt w:val="decimal"/>
      <w:lvlText w:val="%1.%2.%3.%4.%5.%6.%7.%8"/>
      <w:lvlJc w:val="left"/>
      <w:pPr>
        <w:ind w:left="3420" w:hanging="2160"/>
      </w:pPr>
      <w:rPr>
        <w:rFonts w:hint="default"/>
      </w:rPr>
    </w:lvl>
    <w:lvl w:ilvl="8">
      <w:start w:val="1"/>
      <w:numFmt w:val="decimal"/>
      <w:lvlText w:val="%1.%2.%3.%4.%5.%6.%7.%8.%9"/>
      <w:lvlJc w:val="left"/>
      <w:pPr>
        <w:ind w:left="3600" w:hanging="2160"/>
      </w:pPr>
      <w:rPr>
        <w:rFonts w:hint="default"/>
      </w:rPr>
    </w:lvl>
  </w:abstractNum>
  <w:abstractNum w:abstractNumId="9" w15:restartNumberingAfterBreak="0">
    <w:nsid w:val="2CEC0E29"/>
    <w:multiLevelType w:val="hybridMultilevel"/>
    <w:tmpl w:val="D818AA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E617F1E"/>
    <w:multiLevelType w:val="multilevel"/>
    <w:tmpl w:val="36ACBE72"/>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571"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11" w15:restartNumberingAfterBreak="0">
    <w:nsid w:val="30CE1AD5"/>
    <w:multiLevelType w:val="hybridMultilevel"/>
    <w:tmpl w:val="03367F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1413578"/>
    <w:multiLevelType w:val="hybridMultilevel"/>
    <w:tmpl w:val="E1A4F8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3BE341E"/>
    <w:multiLevelType w:val="hybridMultilevel"/>
    <w:tmpl w:val="3A80A4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5274C8A"/>
    <w:multiLevelType w:val="multilevel"/>
    <w:tmpl w:val="36ACBE72"/>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15" w15:restartNumberingAfterBreak="0">
    <w:nsid w:val="35C761F1"/>
    <w:multiLevelType w:val="hybridMultilevel"/>
    <w:tmpl w:val="5266A8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B02099A"/>
    <w:multiLevelType w:val="hybridMultilevel"/>
    <w:tmpl w:val="F806CA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B821795"/>
    <w:multiLevelType w:val="hybridMultilevel"/>
    <w:tmpl w:val="EDD471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069417D"/>
    <w:multiLevelType w:val="hybridMultilevel"/>
    <w:tmpl w:val="0E9E0C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7595899"/>
    <w:multiLevelType w:val="multilevel"/>
    <w:tmpl w:val="70840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8F52810"/>
    <w:multiLevelType w:val="hybridMultilevel"/>
    <w:tmpl w:val="69BE3C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95F0528"/>
    <w:multiLevelType w:val="multilevel"/>
    <w:tmpl w:val="36ACBE72"/>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22" w15:restartNumberingAfterBreak="0">
    <w:nsid w:val="520D0BE8"/>
    <w:multiLevelType w:val="hybridMultilevel"/>
    <w:tmpl w:val="DB96AB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3C0381D"/>
    <w:multiLevelType w:val="hybridMultilevel"/>
    <w:tmpl w:val="FA3677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4994617"/>
    <w:multiLevelType w:val="multilevel"/>
    <w:tmpl w:val="23C6A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4CF4E09"/>
    <w:multiLevelType w:val="multilevel"/>
    <w:tmpl w:val="D200E0CE"/>
    <w:lvl w:ilvl="0">
      <w:start w:val="6"/>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6" w15:restartNumberingAfterBreak="0">
    <w:nsid w:val="5659615A"/>
    <w:multiLevelType w:val="multilevel"/>
    <w:tmpl w:val="36ACBE72"/>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27" w15:restartNumberingAfterBreak="0">
    <w:nsid w:val="569549DF"/>
    <w:multiLevelType w:val="hybridMultilevel"/>
    <w:tmpl w:val="5DBC7D32"/>
    <w:lvl w:ilvl="0" w:tplc="0C090001">
      <w:start w:val="1"/>
      <w:numFmt w:val="bullet"/>
      <w:lvlText w:val=""/>
      <w:lvlJc w:val="left"/>
      <w:pPr>
        <w:ind w:left="853" w:hanging="360"/>
      </w:pPr>
      <w:rPr>
        <w:rFonts w:ascii="Symbol" w:hAnsi="Symbol" w:hint="default"/>
      </w:rPr>
    </w:lvl>
    <w:lvl w:ilvl="1" w:tplc="0C090003" w:tentative="1">
      <w:start w:val="1"/>
      <w:numFmt w:val="bullet"/>
      <w:lvlText w:val="o"/>
      <w:lvlJc w:val="left"/>
      <w:pPr>
        <w:ind w:left="1573" w:hanging="360"/>
      </w:pPr>
      <w:rPr>
        <w:rFonts w:ascii="Courier New" w:hAnsi="Courier New" w:cs="Courier New" w:hint="default"/>
      </w:rPr>
    </w:lvl>
    <w:lvl w:ilvl="2" w:tplc="0C090005" w:tentative="1">
      <w:start w:val="1"/>
      <w:numFmt w:val="bullet"/>
      <w:lvlText w:val=""/>
      <w:lvlJc w:val="left"/>
      <w:pPr>
        <w:ind w:left="2293" w:hanging="360"/>
      </w:pPr>
      <w:rPr>
        <w:rFonts w:ascii="Wingdings" w:hAnsi="Wingdings" w:hint="default"/>
      </w:rPr>
    </w:lvl>
    <w:lvl w:ilvl="3" w:tplc="0C090001" w:tentative="1">
      <w:start w:val="1"/>
      <w:numFmt w:val="bullet"/>
      <w:lvlText w:val=""/>
      <w:lvlJc w:val="left"/>
      <w:pPr>
        <w:ind w:left="3013" w:hanging="360"/>
      </w:pPr>
      <w:rPr>
        <w:rFonts w:ascii="Symbol" w:hAnsi="Symbol" w:hint="default"/>
      </w:rPr>
    </w:lvl>
    <w:lvl w:ilvl="4" w:tplc="0C090003" w:tentative="1">
      <w:start w:val="1"/>
      <w:numFmt w:val="bullet"/>
      <w:lvlText w:val="o"/>
      <w:lvlJc w:val="left"/>
      <w:pPr>
        <w:ind w:left="3733" w:hanging="360"/>
      </w:pPr>
      <w:rPr>
        <w:rFonts w:ascii="Courier New" w:hAnsi="Courier New" w:cs="Courier New" w:hint="default"/>
      </w:rPr>
    </w:lvl>
    <w:lvl w:ilvl="5" w:tplc="0C090005" w:tentative="1">
      <w:start w:val="1"/>
      <w:numFmt w:val="bullet"/>
      <w:lvlText w:val=""/>
      <w:lvlJc w:val="left"/>
      <w:pPr>
        <w:ind w:left="4453" w:hanging="360"/>
      </w:pPr>
      <w:rPr>
        <w:rFonts w:ascii="Wingdings" w:hAnsi="Wingdings" w:hint="default"/>
      </w:rPr>
    </w:lvl>
    <w:lvl w:ilvl="6" w:tplc="0C090001" w:tentative="1">
      <w:start w:val="1"/>
      <w:numFmt w:val="bullet"/>
      <w:lvlText w:val=""/>
      <w:lvlJc w:val="left"/>
      <w:pPr>
        <w:ind w:left="5173" w:hanging="360"/>
      </w:pPr>
      <w:rPr>
        <w:rFonts w:ascii="Symbol" w:hAnsi="Symbol" w:hint="default"/>
      </w:rPr>
    </w:lvl>
    <w:lvl w:ilvl="7" w:tplc="0C090003" w:tentative="1">
      <w:start w:val="1"/>
      <w:numFmt w:val="bullet"/>
      <w:lvlText w:val="o"/>
      <w:lvlJc w:val="left"/>
      <w:pPr>
        <w:ind w:left="5893" w:hanging="360"/>
      </w:pPr>
      <w:rPr>
        <w:rFonts w:ascii="Courier New" w:hAnsi="Courier New" w:cs="Courier New" w:hint="default"/>
      </w:rPr>
    </w:lvl>
    <w:lvl w:ilvl="8" w:tplc="0C090005" w:tentative="1">
      <w:start w:val="1"/>
      <w:numFmt w:val="bullet"/>
      <w:lvlText w:val=""/>
      <w:lvlJc w:val="left"/>
      <w:pPr>
        <w:ind w:left="6613" w:hanging="360"/>
      </w:pPr>
      <w:rPr>
        <w:rFonts w:ascii="Wingdings" w:hAnsi="Wingdings" w:hint="default"/>
      </w:rPr>
    </w:lvl>
  </w:abstractNum>
  <w:abstractNum w:abstractNumId="28" w15:restartNumberingAfterBreak="0">
    <w:nsid w:val="58271892"/>
    <w:multiLevelType w:val="hybridMultilevel"/>
    <w:tmpl w:val="84D2DE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62A80601"/>
    <w:multiLevelType w:val="multilevel"/>
    <w:tmpl w:val="136456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F710328"/>
    <w:multiLevelType w:val="multilevel"/>
    <w:tmpl w:val="36ACBE72"/>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31" w15:restartNumberingAfterBreak="0">
    <w:nsid w:val="710A667F"/>
    <w:multiLevelType w:val="hybridMultilevel"/>
    <w:tmpl w:val="B9986D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72CD7B2D"/>
    <w:multiLevelType w:val="multilevel"/>
    <w:tmpl w:val="36ACBE72"/>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33" w15:restartNumberingAfterBreak="0">
    <w:nsid w:val="76EF01B3"/>
    <w:multiLevelType w:val="multilevel"/>
    <w:tmpl w:val="36ACBE72"/>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34" w15:restartNumberingAfterBreak="0">
    <w:nsid w:val="775964BD"/>
    <w:multiLevelType w:val="hybridMultilevel"/>
    <w:tmpl w:val="E81896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77652250"/>
    <w:multiLevelType w:val="hybridMultilevel"/>
    <w:tmpl w:val="723A75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799A61EC"/>
    <w:multiLevelType w:val="multilevel"/>
    <w:tmpl w:val="D32A7B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BBB09C6"/>
    <w:multiLevelType w:val="hybridMultilevel"/>
    <w:tmpl w:val="46C8D1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7C757000"/>
    <w:multiLevelType w:val="hybridMultilevel"/>
    <w:tmpl w:val="F9B66F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36"/>
  </w:num>
  <w:num w:numId="3">
    <w:abstractNumId w:val="24"/>
  </w:num>
  <w:num w:numId="4">
    <w:abstractNumId w:val="25"/>
  </w:num>
  <w:num w:numId="5">
    <w:abstractNumId w:val="5"/>
  </w:num>
  <w:num w:numId="6">
    <w:abstractNumId w:val="27"/>
  </w:num>
  <w:num w:numId="7">
    <w:abstractNumId w:val="29"/>
  </w:num>
  <w:num w:numId="8">
    <w:abstractNumId w:val="19"/>
  </w:num>
  <w:num w:numId="9">
    <w:abstractNumId w:val="10"/>
  </w:num>
  <w:num w:numId="10">
    <w:abstractNumId w:val="14"/>
  </w:num>
  <w:num w:numId="11">
    <w:abstractNumId w:val="32"/>
  </w:num>
  <w:num w:numId="12">
    <w:abstractNumId w:val="21"/>
  </w:num>
  <w:num w:numId="13">
    <w:abstractNumId w:val="38"/>
  </w:num>
  <w:num w:numId="14">
    <w:abstractNumId w:val="26"/>
  </w:num>
  <w:num w:numId="15">
    <w:abstractNumId w:val="35"/>
  </w:num>
  <w:num w:numId="16">
    <w:abstractNumId w:val="7"/>
  </w:num>
  <w:num w:numId="17">
    <w:abstractNumId w:val="13"/>
  </w:num>
  <w:num w:numId="18">
    <w:abstractNumId w:val="4"/>
  </w:num>
  <w:num w:numId="19">
    <w:abstractNumId w:val="17"/>
  </w:num>
  <w:num w:numId="20">
    <w:abstractNumId w:val="11"/>
  </w:num>
  <w:num w:numId="21">
    <w:abstractNumId w:val="18"/>
  </w:num>
  <w:num w:numId="22">
    <w:abstractNumId w:val="22"/>
  </w:num>
  <w:num w:numId="23">
    <w:abstractNumId w:val="34"/>
  </w:num>
  <w:num w:numId="24">
    <w:abstractNumId w:val="16"/>
  </w:num>
  <w:num w:numId="25">
    <w:abstractNumId w:val="31"/>
  </w:num>
  <w:num w:numId="26">
    <w:abstractNumId w:val="28"/>
  </w:num>
  <w:num w:numId="27">
    <w:abstractNumId w:val="2"/>
  </w:num>
  <w:num w:numId="28">
    <w:abstractNumId w:val="3"/>
  </w:num>
  <w:num w:numId="29">
    <w:abstractNumId w:val="15"/>
  </w:num>
  <w:num w:numId="30">
    <w:abstractNumId w:val="1"/>
  </w:num>
  <w:num w:numId="31">
    <w:abstractNumId w:val="33"/>
  </w:num>
  <w:num w:numId="32">
    <w:abstractNumId w:val="23"/>
  </w:num>
  <w:num w:numId="33">
    <w:abstractNumId w:val="30"/>
  </w:num>
  <w:num w:numId="34">
    <w:abstractNumId w:val="8"/>
  </w:num>
  <w:num w:numId="35">
    <w:abstractNumId w:val="9"/>
  </w:num>
  <w:num w:numId="36">
    <w:abstractNumId w:val="12"/>
  </w:num>
  <w:num w:numId="37">
    <w:abstractNumId w:val="20"/>
  </w:num>
  <w:num w:numId="38">
    <w:abstractNumId w:val="0"/>
  </w:num>
  <w:num w:numId="39">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5659"/>
    <w:rsid w:val="0000153C"/>
    <w:rsid w:val="00001C3B"/>
    <w:rsid w:val="00002F21"/>
    <w:rsid w:val="00004E38"/>
    <w:rsid w:val="000057EC"/>
    <w:rsid w:val="0002351F"/>
    <w:rsid w:val="00035D8B"/>
    <w:rsid w:val="000624F2"/>
    <w:rsid w:val="00067355"/>
    <w:rsid w:val="0007029D"/>
    <w:rsid w:val="00071860"/>
    <w:rsid w:val="000A43A6"/>
    <w:rsid w:val="000A5FDC"/>
    <w:rsid w:val="000B1CD8"/>
    <w:rsid w:val="000C685B"/>
    <w:rsid w:val="001012C6"/>
    <w:rsid w:val="001113CB"/>
    <w:rsid w:val="0011622F"/>
    <w:rsid w:val="00123608"/>
    <w:rsid w:val="00157B57"/>
    <w:rsid w:val="001667BE"/>
    <w:rsid w:val="001B6A03"/>
    <w:rsid w:val="001C195C"/>
    <w:rsid w:val="001F1432"/>
    <w:rsid w:val="001F5728"/>
    <w:rsid w:val="001F683C"/>
    <w:rsid w:val="002018AC"/>
    <w:rsid w:val="00227BF6"/>
    <w:rsid w:val="00230BC1"/>
    <w:rsid w:val="002F7981"/>
    <w:rsid w:val="0030627D"/>
    <w:rsid w:val="00351819"/>
    <w:rsid w:val="00392E06"/>
    <w:rsid w:val="003B720D"/>
    <w:rsid w:val="003D366C"/>
    <w:rsid w:val="003E6635"/>
    <w:rsid w:val="003E70C8"/>
    <w:rsid w:val="003E7FEB"/>
    <w:rsid w:val="0040289D"/>
    <w:rsid w:val="0040527A"/>
    <w:rsid w:val="004512D0"/>
    <w:rsid w:val="00460519"/>
    <w:rsid w:val="00461154"/>
    <w:rsid w:val="00467E61"/>
    <w:rsid w:val="004A1438"/>
    <w:rsid w:val="004C2218"/>
    <w:rsid w:val="004D3165"/>
    <w:rsid w:val="004E5921"/>
    <w:rsid w:val="004F2030"/>
    <w:rsid w:val="00510B4B"/>
    <w:rsid w:val="005131CC"/>
    <w:rsid w:val="005220F7"/>
    <w:rsid w:val="00537DA6"/>
    <w:rsid w:val="005464D4"/>
    <w:rsid w:val="0054705E"/>
    <w:rsid w:val="005628AE"/>
    <w:rsid w:val="005745F2"/>
    <w:rsid w:val="005A3F52"/>
    <w:rsid w:val="005B182D"/>
    <w:rsid w:val="005B5BC5"/>
    <w:rsid w:val="005C2272"/>
    <w:rsid w:val="005C43DC"/>
    <w:rsid w:val="005C52D0"/>
    <w:rsid w:val="005D011A"/>
    <w:rsid w:val="005D398B"/>
    <w:rsid w:val="0060523A"/>
    <w:rsid w:val="00612BEC"/>
    <w:rsid w:val="00643434"/>
    <w:rsid w:val="00651443"/>
    <w:rsid w:val="0066526B"/>
    <w:rsid w:val="0067546C"/>
    <w:rsid w:val="00695D8D"/>
    <w:rsid w:val="006971D4"/>
    <w:rsid w:val="00697B58"/>
    <w:rsid w:val="006B26E4"/>
    <w:rsid w:val="006B38E8"/>
    <w:rsid w:val="006B3A6D"/>
    <w:rsid w:val="006C1D8B"/>
    <w:rsid w:val="006D4AEF"/>
    <w:rsid w:val="006E64B3"/>
    <w:rsid w:val="00713A5C"/>
    <w:rsid w:val="00713EF0"/>
    <w:rsid w:val="0072089C"/>
    <w:rsid w:val="007421D5"/>
    <w:rsid w:val="00756634"/>
    <w:rsid w:val="0076000E"/>
    <w:rsid w:val="0076635D"/>
    <w:rsid w:val="00777C7F"/>
    <w:rsid w:val="0079569A"/>
    <w:rsid w:val="007B362F"/>
    <w:rsid w:val="007B54C4"/>
    <w:rsid w:val="00806DF8"/>
    <w:rsid w:val="00826E21"/>
    <w:rsid w:val="00844654"/>
    <w:rsid w:val="00875659"/>
    <w:rsid w:val="00883016"/>
    <w:rsid w:val="00887CC3"/>
    <w:rsid w:val="008A1439"/>
    <w:rsid w:val="008A5A5B"/>
    <w:rsid w:val="008B7659"/>
    <w:rsid w:val="008D0E54"/>
    <w:rsid w:val="008F1FC4"/>
    <w:rsid w:val="00944B2D"/>
    <w:rsid w:val="009535F1"/>
    <w:rsid w:val="00970D02"/>
    <w:rsid w:val="0098652B"/>
    <w:rsid w:val="0098728D"/>
    <w:rsid w:val="009A74D4"/>
    <w:rsid w:val="009D31CC"/>
    <w:rsid w:val="009D4B64"/>
    <w:rsid w:val="009E3104"/>
    <w:rsid w:val="00A22E03"/>
    <w:rsid w:val="00A437F7"/>
    <w:rsid w:val="00A534A0"/>
    <w:rsid w:val="00A55A9E"/>
    <w:rsid w:val="00A64731"/>
    <w:rsid w:val="00A67BD4"/>
    <w:rsid w:val="00A67E97"/>
    <w:rsid w:val="00A73082"/>
    <w:rsid w:val="00A77462"/>
    <w:rsid w:val="00A87E74"/>
    <w:rsid w:val="00A943C0"/>
    <w:rsid w:val="00A97C5D"/>
    <w:rsid w:val="00AB3CE2"/>
    <w:rsid w:val="00AC26D3"/>
    <w:rsid w:val="00AE21FF"/>
    <w:rsid w:val="00B44DE1"/>
    <w:rsid w:val="00B537A8"/>
    <w:rsid w:val="00B70255"/>
    <w:rsid w:val="00B71262"/>
    <w:rsid w:val="00B90C9D"/>
    <w:rsid w:val="00B910DE"/>
    <w:rsid w:val="00B95546"/>
    <w:rsid w:val="00BA011A"/>
    <w:rsid w:val="00BA3BBA"/>
    <w:rsid w:val="00BA77DE"/>
    <w:rsid w:val="00BB0139"/>
    <w:rsid w:val="00BD5BEF"/>
    <w:rsid w:val="00BE3D80"/>
    <w:rsid w:val="00BF4564"/>
    <w:rsid w:val="00BF72B2"/>
    <w:rsid w:val="00C022FF"/>
    <w:rsid w:val="00C11CE5"/>
    <w:rsid w:val="00C1345F"/>
    <w:rsid w:val="00C15717"/>
    <w:rsid w:val="00C37225"/>
    <w:rsid w:val="00C71A27"/>
    <w:rsid w:val="00CB7563"/>
    <w:rsid w:val="00CD23DA"/>
    <w:rsid w:val="00CE4753"/>
    <w:rsid w:val="00D15678"/>
    <w:rsid w:val="00D20CBE"/>
    <w:rsid w:val="00D71E25"/>
    <w:rsid w:val="00DB6BEC"/>
    <w:rsid w:val="00DC46DD"/>
    <w:rsid w:val="00DC5ABD"/>
    <w:rsid w:val="00DD3C44"/>
    <w:rsid w:val="00DE1B86"/>
    <w:rsid w:val="00DF4177"/>
    <w:rsid w:val="00E04EBA"/>
    <w:rsid w:val="00E1284F"/>
    <w:rsid w:val="00E26950"/>
    <w:rsid w:val="00E32A25"/>
    <w:rsid w:val="00E90346"/>
    <w:rsid w:val="00EB45FC"/>
    <w:rsid w:val="00EC0223"/>
    <w:rsid w:val="00ED06C1"/>
    <w:rsid w:val="00EF1614"/>
    <w:rsid w:val="00EF317E"/>
    <w:rsid w:val="00F0066F"/>
    <w:rsid w:val="00F236EA"/>
    <w:rsid w:val="00F56876"/>
    <w:rsid w:val="00F62DD5"/>
    <w:rsid w:val="00F7483C"/>
    <w:rsid w:val="00FD0658"/>
    <w:rsid w:val="5D430FD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CC6E1F"/>
  <w15:docId w15:val="{25DFD476-2A60-4AE1-BE7D-16EBD86E6B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AU" w:eastAsia="en-AU"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360" w:lineRule="auto"/>
      <w:jc w:val="both"/>
    </w:pPr>
    <w:rPr>
      <w:rFonts w:eastAsiaTheme="minorHAnsi" w:cstheme="minorBidi"/>
      <w:sz w:val="24"/>
      <w:szCs w:val="22"/>
      <w:lang w:val="en-GB" w:eastAsia="en-US"/>
      <w14:ligatures w14:val="standardContextual"/>
    </w:rPr>
  </w:style>
  <w:style w:type="paragraph" w:styleId="Heading1">
    <w:name w:val="heading 1"/>
    <w:basedOn w:val="Normal"/>
    <w:next w:val="Normal"/>
    <w:link w:val="Heading1Char"/>
    <w:uiPriority w:val="9"/>
    <w:qFormat/>
    <w:rsid w:val="000C685B"/>
    <w:pPr>
      <w:keepNext/>
      <w:keepLines/>
      <w:spacing w:before="360" w:after="80"/>
      <w:outlineLvl w:val="0"/>
    </w:pPr>
    <w:rPr>
      <w:rFonts w:eastAsiaTheme="majorEastAsia" w:cstheme="majorBidi"/>
      <w:b/>
      <w:color w:val="0F4761" w:themeColor="accent1" w:themeShade="BF"/>
      <w:sz w:val="40"/>
      <w:szCs w:val="40"/>
      <w:u w:val="single"/>
    </w:rPr>
  </w:style>
  <w:style w:type="paragraph" w:styleId="Heading2">
    <w:name w:val="heading 2"/>
    <w:basedOn w:val="Normal"/>
    <w:next w:val="Normal"/>
    <w:link w:val="Heading2Char"/>
    <w:uiPriority w:val="9"/>
    <w:unhideWhenUsed/>
    <w:qFormat/>
    <w:rsid w:val="000C685B"/>
    <w:pPr>
      <w:keepNext/>
      <w:keepLines/>
      <w:spacing w:before="160" w:after="80"/>
      <w:outlineLvl w:val="1"/>
    </w:pPr>
    <w:rPr>
      <w:rFonts w:eastAsiaTheme="majorEastAsia" w:cstheme="majorBidi"/>
      <w:b/>
      <w:color w:val="4C94D8" w:themeColor="text2" w:themeTint="80"/>
      <w:sz w:val="36"/>
      <w:szCs w:val="32"/>
    </w:rPr>
  </w:style>
  <w:style w:type="paragraph" w:styleId="Heading3">
    <w:name w:val="heading 3"/>
    <w:basedOn w:val="Normal"/>
    <w:next w:val="Normal"/>
    <w:link w:val="Heading3Char"/>
    <w:uiPriority w:val="9"/>
    <w:unhideWhenUsed/>
    <w:qFormat/>
    <w:rsid w:val="000C685B"/>
    <w:pPr>
      <w:keepNext/>
      <w:keepLines/>
      <w:spacing w:before="160" w:after="80"/>
      <w:outlineLvl w:val="2"/>
    </w:pPr>
    <w:rPr>
      <w:rFonts w:eastAsiaTheme="majorEastAsia" w:cstheme="majorBidi"/>
      <w:b/>
      <w:color w:val="215E99" w:themeColor="text2" w:themeTint="BF"/>
      <w:sz w:val="32"/>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pPr>
      <w:keepNext/>
      <w:keepLines/>
      <w:spacing w:after="0"/>
      <w:outlineLvl w:val="7"/>
    </w:pPr>
    <w:rPr>
      <w:rFonts w:eastAsiaTheme="majorEastAsia" w:cstheme="majorBidi"/>
      <w:i/>
      <w:iCs/>
      <w:color w:val="262626" w:themeColor="text1" w:themeTint="D9"/>
    </w:rPr>
  </w:style>
  <w:style w:type="paragraph" w:styleId="Heading9">
    <w:name w:val="heading 9"/>
    <w:basedOn w:val="Normal"/>
    <w:next w:val="Normal"/>
    <w:link w:val="Heading9Char"/>
    <w:uiPriority w:val="9"/>
    <w:semiHidden/>
    <w:unhideWhenUsed/>
    <w:qFormat/>
    <w:pPr>
      <w:keepNext/>
      <w:keepLines/>
      <w:spacing w:after="0"/>
      <w:outlineLvl w:val="8"/>
    </w:pPr>
    <w:rPr>
      <w:rFonts w:eastAsiaTheme="majorEastAsia" w:cstheme="majorBidi"/>
      <w:color w:val="262626" w:themeColor="text1" w:themeTint="D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qFormat/>
    <w:rPr>
      <w:color w:val="467886" w:themeColor="hyperlink"/>
      <w:u w:val="single"/>
    </w:rPr>
  </w:style>
  <w:style w:type="paragraph" w:styleId="NormalWeb">
    <w:name w:val="Normal (Web)"/>
    <w:basedOn w:val="Normal"/>
    <w:uiPriority w:val="99"/>
    <w:unhideWhenUsed/>
    <w:rPr>
      <w:rFonts w:cs="Times New Roman"/>
      <w:szCs w:val="24"/>
    </w:rPr>
  </w:style>
  <w:style w:type="character" w:styleId="Strong">
    <w:name w:val="Strong"/>
    <w:basedOn w:val="DefaultParagraphFont"/>
    <w:uiPriority w:val="22"/>
    <w:qFormat/>
    <w:rPr>
      <w:b/>
      <w:bCs/>
    </w:rPr>
  </w:style>
  <w:style w:type="paragraph" w:styleId="Subtitle">
    <w:name w:val="Subtitle"/>
    <w:basedOn w:val="Normal"/>
    <w:next w:val="Normal"/>
    <w:link w:val="SubtitleChar"/>
    <w:uiPriority w:val="11"/>
    <w:qFormat/>
    <w:rPr>
      <w:rFonts w:eastAsiaTheme="majorEastAsia" w:cstheme="majorBidi"/>
      <w:color w:val="595959" w:themeColor="text1" w:themeTint="A6"/>
      <w:spacing w:val="15"/>
      <w:sz w:val="28"/>
      <w:szCs w:val="28"/>
    </w:rPr>
  </w:style>
  <w:style w:type="table" w:styleId="TableGrid">
    <w:name w:val="Table Grid"/>
    <w:basedOn w:val="TableNormal"/>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qFormat/>
    <w:rsid w:val="000C685B"/>
    <w:rPr>
      <w:rFonts w:eastAsiaTheme="majorEastAsia" w:cstheme="majorBidi"/>
      <w:b/>
      <w:color w:val="0F4761" w:themeColor="accent1" w:themeShade="BF"/>
      <w:sz w:val="40"/>
      <w:szCs w:val="40"/>
      <w:u w:val="single"/>
      <w:lang w:val="en-GB" w:eastAsia="en-US"/>
      <w14:ligatures w14:val="standardContextual"/>
    </w:rPr>
  </w:style>
  <w:style w:type="character" w:customStyle="1" w:styleId="Heading2Char">
    <w:name w:val="Heading 2 Char"/>
    <w:basedOn w:val="DefaultParagraphFont"/>
    <w:link w:val="Heading2"/>
    <w:uiPriority w:val="9"/>
    <w:qFormat/>
    <w:rsid w:val="000C685B"/>
    <w:rPr>
      <w:rFonts w:eastAsiaTheme="majorEastAsia" w:cstheme="majorBidi"/>
      <w:b/>
      <w:color w:val="4C94D8" w:themeColor="text2" w:themeTint="80"/>
      <w:sz w:val="36"/>
      <w:szCs w:val="32"/>
      <w:lang w:val="en-GB" w:eastAsia="en-US"/>
      <w14:ligatures w14:val="standardContextual"/>
    </w:rPr>
  </w:style>
  <w:style w:type="character" w:customStyle="1" w:styleId="Heading3Char">
    <w:name w:val="Heading 3 Char"/>
    <w:basedOn w:val="DefaultParagraphFont"/>
    <w:link w:val="Heading3"/>
    <w:uiPriority w:val="9"/>
    <w:qFormat/>
    <w:rsid w:val="000C685B"/>
    <w:rPr>
      <w:rFonts w:eastAsiaTheme="majorEastAsia" w:cstheme="majorBidi"/>
      <w:b/>
      <w:color w:val="215E99" w:themeColor="text2" w:themeTint="BF"/>
      <w:sz w:val="32"/>
      <w:szCs w:val="28"/>
      <w:lang w:val="en-GB" w:eastAsia="en-US"/>
      <w14:ligatures w14:val="standardContextual"/>
    </w:rPr>
  </w:style>
  <w:style w:type="character" w:customStyle="1" w:styleId="Heading4Char">
    <w:name w:val="Heading 4 Char"/>
    <w:basedOn w:val="DefaultParagraphFont"/>
    <w:link w:val="Heading4"/>
    <w:uiPriority w:val="9"/>
    <w:semiHidden/>
    <w:qFormat/>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qFormat/>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qFormat/>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qFormat/>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qFormat/>
    <w:rPr>
      <w:rFonts w:eastAsiaTheme="majorEastAsia" w:cstheme="majorBidi"/>
      <w:i/>
      <w:iCs/>
      <w:color w:val="262626" w:themeColor="text1" w:themeTint="D9"/>
      <w:lang w:val="en-GB"/>
    </w:rPr>
  </w:style>
  <w:style w:type="character" w:customStyle="1" w:styleId="Heading9Char">
    <w:name w:val="Heading 9 Char"/>
    <w:basedOn w:val="DefaultParagraphFont"/>
    <w:link w:val="Heading9"/>
    <w:uiPriority w:val="9"/>
    <w:semiHidden/>
    <w:qFormat/>
    <w:rPr>
      <w:rFonts w:eastAsiaTheme="majorEastAsia" w:cstheme="majorBidi"/>
      <w:color w:val="262626" w:themeColor="text1" w:themeTint="D9"/>
      <w:lang w:val="en-GB"/>
    </w:rPr>
  </w:style>
  <w:style w:type="character" w:customStyle="1" w:styleId="TitleChar">
    <w:name w:val="Title Char"/>
    <w:basedOn w:val="DefaultParagraphFont"/>
    <w:link w:val="Title"/>
    <w:uiPriority w:val="10"/>
    <w:qFormat/>
    <w:rPr>
      <w:rFonts w:asciiTheme="majorHAnsi" w:eastAsiaTheme="majorEastAsia" w:hAnsiTheme="majorHAnsi" w:cstheme="majorBidi"/>
      <w:spacing w:val="-10"/>
      <w:kern w:val="28"/>
      <w:sz w:val="56"/>
      <w:szCs w:val="56"/>
      <w:lang w:val="en-GB"/>
    </w:rPr>
  </w:style>
  <w:style w:type="character" w:customStyle="1" w:styleId="SubtitleChar">
    <w:name w:val="Subtitle Char"/>
    <w:basedOn w:val="DefaultParagraphFont"/>
    <w:link w:val="Subtitle"/>
    <w:uiPriority w:val="11"/>
    <w:qFormat/>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QuoteChar">
    <w:name w:val="Quote Char"/>
    <w:basedOn w:val="DefaultParagraphFont"/>
    <w:link w:val="Quote"/>
    <w:uiPriority w:val="29"/>
    <w:qFormat/>
    <w:rPr>
      <w:i/>
      <w:iCs/>
      <w:color w:val="404040" w:themeColor="text1" w:themeTint="BF"/>
      <w:lang w:val="en-GB"/>
    </w:rPr>
  </w:style>
  <w:style w:type="paragraph" w:styleId="ListParagraph">
    <w:name w:val="List Paragraph"/>
    <w:basedOn w:val="Normal"/>
    <w:uiPriority w:val="34"/>
    <w:qFormat/>
    <w:pPr>
      <w:ind w:left="720"/>
      <w:contextualSpacing/>
    </w:pPr>
  </w:style>
  <w:style w:type="character" w:customStyle="1" w:styleId="IntenseEmphasis1">
    <w:name w:val="Intense Emphasis1"/>
    <w:basedOn w:val="DefaultParagraphFont"/>
    <w:uiPriority w:val="21"/>
    <w:qFormat/>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Pr>
      <w:i/>
      <w:iCs/>
      <w:color w:val="0F4761" w:themeColor="accent1" w:themeShade="BF"/>
      <w:lang w:val="en-GB"/>
    </w:rPr>
  </w:style>
  <w:style w:type="character" w:customStyle="1" w:styleId="IntenseReference1">
    <w:name w:val="Intense Reference1"/>
    <w:basedOn w:val="DefaultParagraphFont"/>
    <w:uiPriority w:val="32"/>
    <w:qFormat/>
    <w:rPr>
      <w:b/>
      <w:bCs/>
      <w:smallCaps/>
      <w:color w:val="0F4761" w:themeColor="accent1" w:themeShade="BF"/>
      <w:spacing w:val="5"/>
    </w:rPr>
  </w:style>
  <w:style w:type="character" w:customStyle="1" w:styleId="UnresolvedMention1">
    <w:name w:val="Unresolved Mention1"/>
    <w:basedOn w:val="DefaultParagraphFont"/>
    <w:uiPriority w:val="99"/>
    <w:semiHidden/>
    <w:unhideWhenUsed/>
    <w:rPr>
      <w:color w:val="605E5C"/>
      <w:shd w:val="clear" w:color="auto" w:fill="E1DFDD"/>
    </w:rPr>
  </w:style>
  <w:style w:type="paragraph" w:styleId="BalloonText">
    <w:name w:val="Balloon Text"/>
    <w:basedOn w:val="Normal"/>
    <w:link w:val="BalloonTextChar"/>
    <w:uiPriority w:val="99"/>
    <w:semiHidden/>
    <w:unhideWhenUsed/>
    <w:rsid w:val="00A7746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7462"/>
    <w:rPr>
      <w:rFonts w:ascii="Tahoma" w:eastAsiaTheme="minorHAnsi" w:hAnsi="Tahoma" w:cs="Tahoma"/>
      <w:sz w:val="16"/>
      <w:szCs w:val="16"/>
      <w:lang w:val="en-GB" w:eastAsia="en-US"/>
      <w14:ligatures w14:val="standardContextual"/>
    </w:rPr>
  </w:style>
  <w:style w:type="character" w:styleId="IntenseEmphasis">
    <w:name w:val="Intense Emphasis"/>
    <w:basedOn w:val="DefaultParagraphFont"/>
    <w:uiPriority w:val="21"/>
    <w:qFormat/>
    <w:rsid w:val="00A77462"/>
    <w:rPr>
      <w:b/>
      <w:bCs/>
      <w:i/>
      <w:iCs/>
      <w:caps/>
    </w:rPr>
  </w:style>
  <w:style w:type="character" w:styleId="IntenseReference">
    <w:name w:val="Intense Reference"/>
    <w:basedOn w:val="DefaultParagraphFont"/>
    <w:uiPriority w:val="32"/>
    <w:qFormat/>
    <w:rsid w:val="00A77462"/>
    <w:rPr>
      <w:b/>
      <w:bCs/>
      <w:smallCaps/>
      <w:u w:val="single"/>
    </w:rPr>
  </w:style>
  <w:style w:type="table" w:customStyle="1" w:styleId="PlainTable11">
    <w:name w:val="Plain Table 11"/>
    <w:basedOn w:val="TableNormal"/>
    <w:uiPriority w:val="41"/>
    <w:rsid w:val="00A77462"/>
    <w:rPr>
      <w:rFonts w:asciiTheme="minorHAnsi" w:eastAsiaTheme="minorEastAsia" w:hAnsiTheme="minorHAnsi" w:cstheme="minorBidi"/>
      <w:sz w:val="22"/>
      <w:szCs w:val="22"/>
      <w:lang w:eastAsia="en-US"/>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PlainTable21">
    <w:name w:val="Plain Table 21"/>
    <w:basedOn w:val="TableNormal"/>
    <w:uiPriority w:val="42"/>
    <w:rsid w:val="00A77462"/>
    <w:rPr>
      <w:rFonts w:asciiTheme="minorHAnsi" w:eastAsiaTheme="minorEastAsia" w:hAnsiTheme="minorHAnsi" w:cstheme="minorBidi"/>
      <w:sz w:val="22"/>
      <w:szCs w:val="22"/>
      <w:lang w:eastAsia="en-US"/>
    </w:r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Caption">
    <w:name w:val="caption"/>
    <w:basedOn w:val="Normal"/>
    <w:next w:val="Normal"/>
    <w:uiPriority w:val="35"/>
    <w:semiHidden/>
    <w:unhideWhenUsed/>
    <w:qFormat/>
    <w:rsid w:val="00A77462"/>
    <w:pPr>
      <w:spacing w:after="200" w:line="240" w:lineRule="auto"/>
      <w:jc w:val="left"/>
    </w:pPr>
    <w:rPr>
      <w:rFonts w:asciiTheme="minorHAnsi" w:eastAsiaTheme="minorEastAsia" w:hAnsiTheme="minorHAnsi"/>
      <w:i/>
      <w:iCs/>
      <w:color w:val="0E2841" w:themeColor="text2"/>
      <w:sz w:val="18"/>
      <w:szCs w:val="18"/>
      <w:lang w:val="en-AU"/>
      <w14:ligatures w14:val="none"/>
    </w:rPr>
  </w:style>
  <w:style w:type="character" w:styleId="Emphasis">
    <w:name w:val="Emphasis"/>
    <w:basedOn w:val="DefaultParagraphFont"/>
    <w:uiPriority w:val="20"/>
    <w:qFormat/>
    <w:rsid w:val="00A77462"/>
    <w:rPr>
      <w:i/>
      <w:iCs/>
      <w:color w:val="auto"/>
    </w:rPr>
  </w:style>
  <w:style w:type="paragraph" w:styleId="NoSpacing">
    <w:name w:val="No Spacing"/>
    <w:uiPriority w:val="1"/>
    <w:qFormat/>
    <w:rsid w:val="00A77462"/>
    <w:rPr>
      <w:rFonts w:asciiTheme="minorHAnsi" w:eastAsiaTheme="minorEastAsia" w:hAnsiTheme="minorHAnsi" w:cstheme="minorBidi"/>
      <w:sz w:val="22"/>
      <w:szCs w:val="22"/>
      <w:lang w:eastAsia="en-US"/>
    </w:rPr>
  </w:style>
  <w:style w:type="character" w:styleId="SubtleEmphasis">
    <w:name w:val="Subtle Emphasis"/>
    <w:basedOn w:val="DefaultParagraphFont"/>
    <w:uiPriority w:val="19"/>
    <w:qFormat/>
    <w:rsid w:val="00A77462"/>
    <w:rPr>
      <w:i/>
      <w:iCs/>
      <w:color w:val="404040" w:themeColor="text1" w:themeTint="BF"/>
    </w:rPr>
  </w:style>
  <w:style w:type="character" w:styleId="SubtleReference">
    <w:name w:val="Subtle Reference"/>
    <w:basedOn w:val="DefaultParagraphFont"/>
    <w:uiPriority w:val="31"/>
    <w:qFormat/>
    <w:rsid w:val="00A77462"/>
    <w:rPr>
      <w:smallCaps/>
      <w:color w:val="404040" w:themeColor="text1" w:themeTint="BF"/>
      <w:u w:val="single" w:color="7F7F7F" w:themeColor="text1" w:themeTint="80"/>
    </w:rPr>
  </w:style>
  <w:style w:type="character" w:styleId="BookTitle">
    <w:name w:val="Book Title"/>
    <w:basedOn w:val="DefaultParagraphFont"/>
    <w:uiPriority w:val="33"/>
    <w:qFormat/>
    <w:rsid w:val="00A77462"/>
    <w:rPr>
      <w:b w:val="0"/>
      <w:bCs w:val="0"/>
      <w:smallCaps/>
      <w:spacing w:val="5"/>
    </w:rPr>
  </w:style>
  <w:style w:type="paragraph" w:styleId="TOCHeading">
    <w:name w:val="TOC Heading"/>
    <w:basedOn w:val="Heading1"/>
    <w:next w:val="Normal"/>
    <w:uiPriority w:val="39"/>
    <w:unhideWhenUsed/>
    <w:qFormat/>
    <w:rsid w:val="00A77462"/>
    <w:pPr>
      <w:pBdr>
        <w:bottom w:val="single" w:sz="4" w:space="1" w:color="595959" w:themeColor="text1" w:themeTint="A6"/>
      </w:pBdr>
      <w:tabs>
        <w:tab w:val="num" w:pos="360"/>
      </w:tabs>
      <w:spacing w:after="160" w:line="259" w:lineRule="auto"/>
      <w:jc w:val="left"/>
      <w:outlineLvl w:val="9"/>
    </w:pPr>
    <w:rPr>
      <w:rFonts w:asciiTheme="majorHAnsi" w:hAnsiTheme="majorHAnsi"/>
      <w:bCs/>
      <w:smallCaps/>
      <w:color w:val="000000" w:themeColor="text1"/>
      <w:sz w:val="36"/>
      <w:szCs w:val="36"/>
      <w:lang w:val="en-AU"/>
      <w14:ligatures w14:val="none"/>
    </w:rPr>
  </w:style>
  <w:style w:type="paragraph" w:styleId="TOC1">
    <w:name w:val="toc 1"/>
    <w:basedOn w:val="Normal"/>
    <w:next w:val="Normal"/>
    <w:autoRedefine/>
    <w:uiPriority w:val="39"/>
    <w:unhideWhenUsed/>
    <w:rsid w:val="00A77462"/>
    <w:pPr>
      <w:spacing w:before="120" w:after="0"/>
      <w:jc w:val="left"/>
    </w:pPr>
    <w:rPr>
      <w:rFonts w:asciiTheme="minorHAnsi" w:hAnsiTheme="minorHAnsi"/>
      <w:b/>
      <w:bCs/>
      <w:i/>
      <w:iCs/>
      <w:szCs w:val="24"/>
    </w:rPr>
  </w:style>
  <w:style w:type="table" w:customStyle="1" w:styleId="PlainTable51">
    <w:name w:val="Plain Table 51"/>
    <w:basedOn w:val="TableNormal"/>
    <w:uiPriority w:val="45"/>
    <w:rsid w:val="00A77462"/>
    <w:rPr>
      <w:rFonts w:asciiTheme="minorHAnsi" w:eastAsiaTheme="minorEastAsia" w:hAnsiTheme="minorHAnsi" w:cstheme="minorBidi"/>
      <w:sz w:val="22"/>
      <w:szCs w:val="22"/>
      <w:lang w:eastAsia="en-US"/>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GridTable3-Accent11">
    <w:name w:val="Grid Table 3 - Accent 11"/>
    <w:basedOn w:val="TableNormal"/>
    <w:uiPriority w:val="48"/>
    <w:rsid w:val="00A77462"/>
    <w:rPr>
      <w:rFonts w:asciiTheme="minorHAnsi" w:eastAsiaTheme="minorEastAsia" w:hAnsiTheme="minorHAnsi" w:cstheme="minorBidi"/>
      <w:sz w:val="22"/>
      <w:szCs w:val="22"/>
      <w:lang w:eastAsia="en-US"/>
    </w:r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1E4F5" w:themeFill="accent1" w:themeFillTint="33"/>
      </w:tcPr>
    </w:tblStylePr>
    <w:tblStylePr w:type="band1Horz">
      <w:tblPr/>
      <w:tcPr>
        <w:shd w:val="clear" w:color="auto" w:fill="C1E4F5" w:themeFill="accent1" w:themeFillTint="33"/>
      </w:tcPr>
    </w:tblStylePr>
    <w:tblStylePr w:type="neCell">
      <w:tblPr/>
      <w:tcPr>
        <w:tcBorders>
          <w:bottom w:val="single" w:sz="4" w:space="0" w:color="45B0E1" w:themeColor="accent1" w:themeTint="99"/>
        </w:tcBorders>
      </w:tcPr>
    </w:tblStylePr>
    <w:tblStylePr w:type="nwCell">
      <w:tblPr/>
      <w:tcPr>
        <w:tcBorders>
          <w:bottom w:val="single" w:sz="4" w:space="0" w:color="45B0E1" w:themeColor="accent1" w:themeTint="99"/>
        </w:tcBorders>
      </w:tcPr>
    </w:tblStylePr>
    <w:tblStylePr w:type="seCell">
      <w:tblPr/>
      <w:tcPr>
        <w:tcBorders>
          <w:top w:val="single" w:sz="4" w:space="0" w:color="45B0E1" w:themeColor="accent1" w:themeTint="99"/>
        </w:tcBorders>
      </w:tcPr>
    </w:tblStylePr>
    <w:tblStylePr w:type="swCell">
      <w:tblPr/>
      <w:tcPr>
        <w:tcBorders>
          <w:top w:val="single" w:sz="4" w:space="0" w:color="45B0E1" w:themeColor="accent1" w:themeTint="99"/>
        </w:tcBorders>
      </w:tcPr>
    </w:tblStylePr>
  </w:style>
  <w:style w:type="table" w:customStyle="1" w:styleId="GridTable2-Accent11">
    <w:name w:val="Grid Table 2 - Accent 11"/>
    <w:basedOn w:val="TableNormal"/>
    <w:uiPriority w:val="47"/>
    <w:rsid w:val="00A77462"/>
    <w:rPr>
      <w:rFonts w:asciiTheme="minorHAnsi" w:eastAsiaTheme="minorEastAsia" w:hAnsiTheme="minorHAnsi" w:cstheme="minorBidi"/>
      <w:sz w:val="22"/>
      <w:szCs w:val="22"/>
      <w:lang w:eastAsia="en-US"/>
    </w:rPr>
    <w:tblPr>
      <w:tblStyleRowBandSize w:val="1"/>
      <w:tblStyleColBandSize w:val="1"/>
      <w:tblBorders>
        <w:top w:val="single" w:sz="2" w:space="0" w:color="45B0E1" w:themeColor="accent1" w:themeTint="99"/>
        <w:bottom w:val="single" w:sz="2" w:space="0" w:color="45B0E1" w:themeColor="accent1" w:themeTint="99"/>
        <w:insideH w:val="single" w:sz="2" w:space="0" w:color="45B0E1" w:themeColor="accent1" w:themeTint="99"/>
        <w:insideV w:val="single" w:sz="2" w:space="0" w:color="45B0E1" w:themeColor="accent1" w:themeTint="99"/>
      </w:tblBorders>
    </w:tblPr>
    <w:tblStylePr w:type="firstRow">
      <w:rPr>
        <w:b/>
        <w:bCs/>
      </w:rPr>
      <w:tblPr/>
      <w:tcPr>
        <w:tcBorders>
          <w:top w:val="nil"/>
          <w:bottom w:val="single" w:sz="12" w:space="0" w:color="45B0E1" w:themeColor="accent1" w:themeTint="99"/>
          <w:insideH w:val="nil"/>
          <w:insideV w:val="nil"/>
        </w:tcBorders>
        <w:shd w:val="clear" w:color="auto" w:fill="FFFFFF" w:themeFill="background1"/>
      </w:tcPr>
    </w:tblStylePr>
    <w:tblStylePr w:type="lastRow">
      <w:rPr>
        <w:b/>
        <w:bCs/>
      </w:rPr>
      <w:tblPr/>
      <w:tcPr>
        <w:tcBorders>
          <w:top w:val="double" w:sz="2" w:space="0" w:color="45B0E1"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character" w:customStyle="1" w:styleId="UnresolvedMention2">
    <w:name w:val="Unresolved Mention2"/>
    <w:basedOn w:val="DefaultParagraphFont"/>
    <w:uiPriority w:val="99"/>
    <w:semiHidden/>
    <w:unhideWhenUsed/>
    <w:rsid w:val="00A77462"/>
    <w:rPr>
      <w:color w:val="605E5C"/>
      <w:shd w:val="clear" w:color="auto" w:fill="E1DFDD"/>
    </w:rPr>
  </w:style>
  <w:style w:type="character" w:styleId="FollowedHyperlink">
    <w:name w:val="FollowedHyperlink"/>
    <w:basedOn w:val="DefaultParagraphFont"/>
    <w:uiPriority w:val="99"/>
    <w:semiHidden/>
    <w:unhideWhenUsed/>
    <w:rsid w:val="00A77462"/>
    <w:rPr>
      <w:color w:val="96607D" w:themeColor="followedHyperlink"/>
      <w:u w:val="single"/>
    </w:rPr>
  </w:style>
  <w:style w:type="table" w:styleId="GridTable4-Accent1">
    <w:name w:val="Grid Table 4 Accent 1"/>
    <w:basedOn w:val="TableNormal"/>
    <w:uiPriority w:val="49"/>
    <w:rsid w:val="000C685B"/>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TableGridLight">
    <w:name w:val="Grid Table Light"/>
    <w:basedOn w:val="TableNormal"/>
    <w:uiPriority w:val="40"/>
    <w:rsid w:val="009A74D4"/>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2">
    <w:name w:val="toc 2"/>
    <w:basedOn w:val="Normal"/>
    <w:next w:val="Normal"/>
    <w:autoRedefine/>
    <w:uiPriority w:val="39"/>
    <w:unhideWhenUsed/>
    <w:rsid w:val="009A74D4"/>
    <w:pPr>
      <w:spacing w:before="120" w:after="0"/>
      <w:ind w:left="240"/>
      <w:jc w:val="left"/>
    </w:pPr>
    <w:rPr>
      <w:rFonts w:asciiTheme="minorHAnsi" w:hAnsiTheme="minorHAnsi"/>
      <w:b/>
      <w:bCs/>
      <w:sz w:val="22"/>
    </w:rPr>
  </w:style>
  <w:style w:type="paragraph" w:styleId="TOC3">
    <w:name w:val="toc 3"/>
    <w:basedOn w:val="Normal"/>
    <w:next w:val="Normal"/>
    <w:autoRedefine/>
    <w:uiPriority w:val="39"/>
    <w:unhideWhenUsed/>
    <w:rsid w:val="009A74D4"/>
    <w:pPr>
      <w:spacing w:after="0"/>
      <w:ind w:left="480"/>
      <w:jc w:val="left"/>
    </w:pPr>
    <w:rPr>
      <w:rFonts w:asciiTheme="minorHAnsi" w:hAnsiTheme="minorHAnsi"/>
      <w:sz w:val="20"/>
      <w:szCs w:val="20"/>
    </w:rPr>
  </w:style>
  <w:style w:type="paragraph" w:styleId="TOC4">
    <w:name w:val="toc 4"/>
    <w:basedOn w:val="Normal"/>
    <w:next w:val="Normal"/>
    <w:autoRedefine/>
    <w:uiPriority w:val="39"/>
    <w:unhideWhenUsed/>
    <w:rsid w:val="009A74D4"/>
    <w:pPr>
      <w:spacing w:after="0"/>
      <w:ind w:left="720"/>
      <w:jc w:val="left"/>
    </w:pPr>
    <w:rPr>
      <w:rFonts w:asciiTheme="minorHAnsi" w:hAnsiTheme="minorHAnsi"/>
      <w:sz w:val="20"/>
      <w:szCs w:val="20"/>
    </w:rPr>
  </w:style>
  <w:style w:type="paragraph" w:styleId="TOC5">
    <w:name w:val="toc 5"/>
    <w:basedOn w:val="Normal"/>
    <w:next w:val="Normal"/>
    <w:autoRedefine/>
    <w:uiPriority w:val="39"/>
    <w:unhideWhenUsed/>
    <w:rsid w:val="009A74D4"/>
    <w:pPr>
      <w:spacing w:after="0"/>
      <w:ind w:left="960"/>
      <w:jc w:val="left"/>
    </w:pPr>
    <w:rPr>
      <w:rFonts w:asciiTheme="minorHAnsi" w:hAnsiTheme="minorHAnsi"/>
      <w:sz w:val="20"/>
      <w:szCs w:val="20"/>
    </w:rPr>
  </w:style>
  <w:style w:type="paragraph" w:styleId="TOC6">
    <w:name w:val="toc 6"/>
    <w:basedOn w:val="Normal"/>
    <w:next w:val="Normal"/>
    <w:autoRedefine/>
    <w:uiPriority w:val="39"/>
    <w:unhideWhenUsed/>
    <w:rsid w:val="009A74D4"/>
    <w:pPr>
      <w:spacing w:after="0"/>
      <w:ind w:left="1200"/>
      <w:jc w:val="left"/>
    </w:pPr>
    <w:rPr>
      <w:rFonts w:asciiTheme="minorHAnsi" w:hAnsiTheme="minorHAnsi"/>
      <w:sz w:val="20"/>
      <w:szCs w:val="20"/>
    </w:rPr>
  </w:style>
  <w:style w:type="paragraph" w:styleId="TOC7">
    <w:name w:val="toc 7"/>
    <w:basedOn w:val="Normal"/>
    <w:next w:val="Normal"/>
    <w:autoRedefine/>
    <w:uiPriority w:val="39"/>
    <w:unhideWhenUsed/>
    <w:rsid w:val="009A74D4"/>
    <w:pPr>
      <w:spacing w:after="0"/>
      <w:ind w:left="1440"/>
      <w:jc w:val="left"/>
    </w:pPr>
    <w:rPr>
      <w:rFonts w:asciiTheme="minorHAnsi" w:hAnsiTheme="minorHAnsi"/>
      <w:sz w:val="20"/>
      <w:szCs w:val="20"/>
    </w:rPr>
  </w:style>
  <w:style w:type="paragraph" w:styleId="TOC8">
    <w:name w:val="toc 8"/>
    <w:basedOn w:val="Normal"/>
    <w:next w:val="Normal"/>
    <w:autoRedefine/>
    <w:uiPriority w:val="39"/>
    <w:unhideWhenUsed/>
    <w:rsid w:val="009A74D4"/>
    <w:pPr>
      <w:spacing w:after="0"/>
      <w:ind w:left="1680"/>
      <w:jc w:val="left"/>
    </w:pPr>
    <w:rPr>
      <w:rFonts w:asciiTheme="minorHAnsi" w:hAnsiTheme="minorHAnsi"/>
      <w:sz w:val="20"/>
      <w:szCs w:val="20"/>
    </w:rPr>
  </w:style>
  <w:style w:type="paragraph" w:styleId="TOC9">
    <w:name w:val="toc 9"/>
    <w:basedOn w:val="Normal"/>
    <w:next w:val="Normal"/>
    <w:autoRedefine/>
    <w:uiPriority w:val="39"/>
    <w:unhideWhenUsed/>
    <w:rsid w:val="009A74D4"/>
    <w:pPr>
      <w:spacing w:after="0"/>
      <w:ind w:left="1920"/>
      <w:jc w:val="left"/>
    </w:pPr>
    <w:rPr>
      <w:rFonts w:asciiTheme="minorHAnsi" w:hAnsiTheme="minorHAnsi"/>
      <w:sz w:val="20"/>
      <w:szCs w:val="20"/>
    </w:rPr>
  </w:style>
  <w:style w:type="character" w:styleId="UnresolvedMention">
    <w:name w:val="Unresolved Mention"/>
    <w:basedOn w:val="DefaultParagraphFont"/>
    <w:uiPriority w:val="99"/>
    <w:semiHidden/>
    <w:unhideWhenUsed/>
    <w:rsid w:val="00035D8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6968753">
      <w:bodyDiv w:val="1"/>
      <w:marLeft w:val="0"/>
      <w:marRight w:val="0"/>
      <w:marTop w:val="0"/>
      <w:marBottom w:val="0"/>
      <w:divBdr>
        <w:top w:val="none" w:sz="0" w:space="0" w:color="auto"/>
        <w:left w:val="none" w:sz="0" w:space="0" w:color="auto"/>
        <w:bottom w:val="none" w:sz="0" w:space="0" w:color="auto"/>
        <w:right w:val="none" w:sz="0" w:space="0" w:color="auto"/>
      </w:divBdr>
      <w:divsChild>
        <w:div w:id="1173564277">
          <w:marLeft w:val="0"/>
          <w:marRight w:val="0"/>
          <w:marTop w:val="0"/>
          <w:marBottom w:val="0"/>
          <w:divBdr>
            <w:top w:val="none" w:sz="0" w:space="0" w:color="auto"/>
            <w:left w:val="none" w:sz="0" w:space="0" w:color="auto"/>
            <w:bottom w:val="none" w:sz="0" w:space="0" w:color="auto"/>
            <w:right w:val="none" w:sz="0" w:space="0" w:color="auto"/>
          </w:divBdr>
        </w:div>
      </w:divsChild>
    </w:div>
    <w:div w:id="802772027">
      <w:bodyDiv w:val="1"/>
      <w:marLeft w:val="0"/>
      <w:marRight w:val="0"/>
      <w:marTop w:val="0"/>
      <w:marBottom w:val="0"/>
      <w:divBdr>
        <w:top w:val="none" w:sz="0" w:space="0" w:color="auto"/>
        <w:left w:val="none" w:sz="0" w:space="0" w:color="auto"/>
        <w:bottom w:val="none" w:sz="0" w:space="0" w:color="auto"/>
        <w:right w:val="none" w:sz="0" w:space="0" w:color="auto"/>
      </w:divBdr>
      <w:divsChild>
        <w:div w:id="1121150047">
          <w:marLeft w:val="0"/>
          <w:marRight w:val="0"/>
          <w:marTop w:val="0"/>
          <w:marBottom w:val="0"/>
          <w:divBdr>
            <w:top w:val="none" w:sz="0" w:space="0" w:color="auto"/>
            <w:left w:val="none" w:sz="0" w:space="0" w:color="auto"/>
            <w:bottom w:val="none" w:sz="0" w:space="0" w:color="auto"/>
            <w:right w:val="none" w:sz="0" w:space="0" w:color="auto"/>
          </w:divBdr>
        </w:div>
      </w:divsChild>
    </w:div>
    <w:div w:id="1263759823">
      <w:bodyDiv w:val="1"/>
      <w:marLeft w:val="0"/>
      <w:marRight w:val="0"/>
      <w:marTop w:val="0"/>
      <w:marBottom w:val="0"/>
      <w:divBdr>
        <w:top w:val="none" w:sz="0" w:space="0" w:color="auto"/>
        <w:left w:val="none" w:sz="0" w:space="0" w:color="auto"/>
        <w:bottom w:val="none" w:sz="0" w:space="0" w:color="auto"/>
        <w:right w:val="none" w:sz="0" w:space="0" w:color="auto"/>
      </w:divBdr>
      <w:divsChild>
        <w:div w:id="1854369355">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gsma.com/solutions-and-impact/connectivity-for-good/mobile-economy/europe/" TargetMode="External"/><Relationship Id="rId18" Type="http://schemas.openxmlformats.org/officeDocument/2006/relationships/image" Target="media/image2.png"/><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5.png"/><Relationship Id="rId7" Type="http://schemas.openxmlformats.org/officeDocument/2006/relationships/footnotes" Target="footnotes.xml"/><Relationship Id="rId12" Type="http://schemas.openxmlformats.org/officeDocument/2006/relationships/hyperlink" Target="https://connecteurope.org/insights/reports/state-digital-communications-2025" TargetMode="External"/><Relationship Id="rId17" Type="http://schemas.openxmlformats.org/officeDocument/2006/relationships/image" Target="media/image1.png"/><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reports.investors.vodafone.com/view/897876789/" TargetMode="External"/><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ritish-business-bank.co.uk/about/research-and-publications/small-business-equity-tracker-2025"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ukfinance.org.uk/system/files/2025-06/Business%20Finance%20Review%202025%20Q1.pdf" TargetMode="External"/><Relationship Id="rId23" Type="http://schemas.openxmlformats.org/officeDocument/2006/relationships/image" Target="media/image7.png"/><Relationship Id="rId10" Type="http://schemas.openxmlformats.org/officeDocument/2006/relationships/hyperlink" Target="https://www.british-business-bank.co.uk/about/research-and-publications/small-business-finance-markets-report-2025" TargetMode="External"/><Relationship Id="rId19" Type="http://schemas.openxmlformats.org/officeDocument/2006/relationships/image" Target="media/image3.png"/><Relationship Id="rId4" Type="http://schemas.openxmlformats.org/officeDocument/2006/relationships/styles" Target="styles.xml"/><Relationship Id="rId9" Type="http://schemas.openxmlformats.org/officeDocument/2006/relationships/hyperlink" Target="https://www.bankofengland.co.uk/quarterly-bulletin/2024/2024/identifying-barriers-to-productive-investment-and-external-finance-a-survey-of-uk-smes" TargetMode="External"/><Relationship Id="rId14" Type="http://schemas.openxmlformats.org/officeDocument/2006/relationships/hyperlink" Target="https://www.ofcom.org.uk/phones-and-broadband/service-quality/the-communications-market-2025" TargetMode="External"/><Relationship Id="rId22" Type="http://schemas.openxmlformats.org/officeDocument/2006/relationships/image" Target="media/image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A94EE93863D4F73BBF9520F0019F31A"/>
        <w:category>
          <w:name w:val="General"/>
          <w:gallery w:val="placeholder"/>
        </w:category>
        <w:types>
          <w:type w:val="bbPlcHdr"/>
        </w:types>
        <w:behaviors>
          <w:behavior w:val="content"/>
        </w:behaviors>
        <w:guid w:val="{EE25020B-2FDA-4ACB-BE3B-1154EEF50544}"/>
      </w:docPartPr>
      <w:docPartBody>
        <w:p w:rsidR="00A709B3" w:rsidRDefault="00B56AA4" w:rsidP="00B56AA4">
          <w:pPr>
            <w:pStyle w:val="EA94EE93863D4F73BBF9520F0019F31A"/>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Aptos">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Display">
    <w:altName w:val="Arial"/>
    <w:charset w:val="00"/>
    <w:family w:val="swiss"/>
    <w:pitch w:val="variable"/>
    <w:sig w:usb0="00000001"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6AA4"/>
    <w:rsid w:val="00040511"/>
    <w:rsid w:val="000D6AE3"/>
    <w:rsid w:val="003902C1"/>
    <w:rsid w:val="00872C08"/>
    <w:rsid w:val="00A709B3"/>
    <w:rsid w:val="00B56AA4"/>
    <w:rsid w:val="00CB7936"/>
    <w:rsid w:val="00D010B7"/>
    <w:rsid w:val="00DD09E4"/>
    <w:rsid w:val="00DE55A3"/>
    <w:rsid w:val="00F2003C"/>
    <w:rsid w:val="00F242F0"/>
    <w:rsid w:val="00F41F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A94EE93863D4F73BBF9520F0019F31A">
    <w:name w:val="EA94EE93863D4F73BBF9520F0019F31A"/>
    <w:rsid w:val="00B56AA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C7E5F90-0EA7-4059-B329-3A191FCDBA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214</TotalTime>
  <Pages>40</Pages>
  <Words>9357</Words>
  <Characters>53340</Characters>
  <Application>Microsoft Office Word</Application>
  <DocSecurity>0</DocSecurity>
  <Lines>444</Lines>
  <Paragraphs>125</Paragraphs>
  <ScaleCrop>false</ScaleCrop>
  <HeadingPairs>
    <vt:vector size="2" baseType="variant">
      <vt:variant>
        <vt:lpstr>Title</vt:lpstr>
      </vt:variant>
      <vt:variant>
        <vt:i4>1</vt:i4>
      </vt:variant>
    </vt:vector>
  </HeadingPairs>
  <TitlesOfParts>
    <vt:vector size="1" baseType="lpstr">
      <vt:lpstr>financial performance analasys and investment aprisal : A Case study of vodafone and beard plc</vt:lpstr>
    </vt:vector>
  </TitlesOfParts>
  <Company>uNIVERSITY OF WALES TRINITY SAINT DAVID</Company>
  <LinksUpToDate>false</LinksUpToDate>
  <CharactersWithSpaces>62572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performance analasys and investment aprisal : A Case study of vodafone and beard plc</dc:title>
  <dc:subject>Finance for Business Managers BMMB7005</dc:subject>
  <dc:creator>Sayam Ahmed (2519728)</dc:creator>
  <cp:lastModifiedBy>Sayam Ahmed (2519728)</cp:lastModifiedBy>
  <cp:revision>15</cp:revision>
  <dcterms:created xsi:type="dcterms:W3CDTF">2026-04-20T17:02:00Z</dcterms:created>
  <dcterms:modified xsi:type="dcterms:W3CDTF">2026-04-20T20:50:00Z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eyJoZGlkIjoiMmMyYWM1MWY5NGE4N2RlY2U5NWM0NzJiODNiMGJjYzkiLCJ1c2VySWQiOiI4ODEzOTczNjQ5NjIwIn0=</vt:lpwstr>
  </property>
  <property fmtid="{D5CDD505-2E9C-101B-9397-08002B2CF9AE}" pid="3" name="KSOProductBuildVer">
    <vt:lpwstr>1033-12.1.0.25242</vt:lpwstr>
  </property>
  <property fmtid="{D5CDD505-2E9C-101B-9397-08002B2CF9AE}" pid="4" name="ICV">
    <vt:lpwstr>E84A9DD3B94F4370B98EBF6A9E57DCD5_12</vt:lpwstr>
  </property>
</Properties>
</file>