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theme/theme1.xml" ContentType="application/vnd.openxmlformats-officedocument.theme+xml"/>
  <Override PartName="/word/fontTable.xml" ContentType="application/vnd.openxmlformats-officedocument.wordprocessingml.fontTable+xml"/>
  <Override PartName="/docProps/core.xml" ContentType="application/vnd.openxmlformats-package.core-properties+xml"/>
  <Override PartName="/word/document.xml" ContentType="application/vnd.openxmlformats-officedocument.wordprocessingml.document.main+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docProps/custom.xml" ContentType="application/vnd.openxmlformats-officedocument.custom-properties+xml"/>
  <Override PartName="/word/styles.xml" ContentType="application/vnd.openxmlformats-officedocument.wordprocessingml.styles+xml"/>
  <Override PartName="/docProps/app.xml" ContentType="application/vnd.openxmlformats-officedocument.extended-properties+xml"/>
</Types>
</file>

<file path=_rels/.rels><?xml version="1.0" encoding="UTF-8"?>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body>
    <w:p>
      <w:pPr>
        <w:pStyle w:val="style0"/>
        <w:jc w:val="center"/>
        <w:rPr/>
      </w:pPr>
    </w:p>
    <w:p>
      <w:pPr>
        <w:pStyle w:val="style0"/>
        <w:jc w:val="center"/>
        <w:rPr/>
      </w:pPr>
    </w:p>
    <w:p>
      <w:pPr>
        <w:pStyle w:val="style0"/>
        <w:jc w:val="center"/>
        <w:rPr/>
      </w:pPr>
    </w:p>
    <w:p>
      <w:pPr>
        <w:pStyle w:val="style0"/>
        <w:jc w:val="center"/>
        <w:rPr/>
      </w:pPr>
      <w:r>
        <w:rPr>
          <w:noProof/>
          <w:lang w:val="en-IN" w:eastAsia="en-IN"/>
        </w:rPr>
        <w:drawing>
          <wp:inline distL="0" distT="0" distB="0" distR="0">
            <wp:extent cx="1809750" cy="723900"/>
            <wp:effectExtent l="0" t="0" r="0" b="0"/>
            <wp:docPr id="1026" name="image1.png" descr="Discover University of Wales Trinity Saint David"/>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0" name="image1.png"/>
                    <pic:cNvPicPr/>
                  </pic:nvPicPr>
                  <pic:blipFill>
                    <a:blip r:embed="rId2" cstate="print"/>
                    <a:srcRect l="0" t="0" r="0" b="0"/>
                    <a:stretch/>
                  </pic:blipFill>
                  <pic:spPr>
                    <a:xfrm rot="0">
                      <a:off x="0" y="0"/>
                      <a:ext cx="1809750" cy="723900"/>
                    </a:xfrm>
                    <a:prstGeom prst="rect"/>
                    <a:ln cmpd="sng" cap="flat" w="9525">
                      <a:solidFill>
                        <a:srgbClr val="000000"/>
                      </a:solidFill>
                      <a:prstDash val="solid"/>
                      <a:round/>
                      <a:headEnd/>
                      <a:tailEnd/>
                    </a:ln>
                  </pic:spPr>
                </pic:pic>
              </a:graphicData>
            </a:graphic>
          </wp:inline>
        </w:drawing>
      </w:r>
    </w:p>
    <w:p>
      <w:pPr>
        <w:pStyle w:val="style0"/>
        <w:jc w:val="center"/>
        <w:rPr/>
      </w:pPr>
    </w:p>
    <w:p>
      <w:pPr>
        <w:pStyle w:val="style0"/>
        <w:rPr/>
      </w:pPr>
    </w:p>
    <w:p>
      <w:pPr>
        <w:pStyle w:val="style0"/>
        <w:spacing w:lineRule="auto" w:line="480"/>
        <w:jc w:val="center"/>
        <w:rPr>
          <w:rFonts w:ascii="Times New Roman" w:cs="Times New Roman" w:hAnsi="Times New Roman"/>
          <w:b/>
          <w:bCs/>
          <w:sz w:val="28"/>
          <w:szCs w:val="28"/>
        </w:rPr>
      </w:pPr>
    </w:p>
    <w:p>
      <w:pPr>
        <w:pStyle w:val="style0"/>
        <w:spacing w:lineRule="auto" w:line="480"/>
        <w:jc w:val="center"/>
        <w:rPr>
          <w:rFonts w:ascii="Times New Roman" w:cs="Times New Roman" w:hAnsi="Times New Roman"/>
          <w:b/>
          <w:bCs/>
          <w:sz w:val="28"/>
          <w:szCs w:val="28"/>
        </w:rPr>
      </w:pPr>
    </w:p>
    <w:p>
      <w:pPr>
        <w:pStyle w:val="style0"/>
        <w:spacing w:lineRule="auto" w:line="480"/>
        <w:jc w:val="center"/>
        <w:rPr>
          <w:rFonts w:ascii="Times New Roman" w:cs="Times New Roman" w:hAnsi="Times New Roman"/>
          <w:b/>
          <w:bCs/>
          <w:sz w:val="28"/>
          <w:szCs w:val="28"/>
        </w:rPr>
      </w:pPr>
      <w:r>
        <w:rPr>
          <w:rFonts w:ascii="Times New Roman" w:cs="Times New Roman" w:hAnsi="Times New Roman"/>
          <w:b/>
          <w:bCs/>
          <w:sz w:val="28"/>
          <w:szCs w:val="28"/>
        </w:rPr>
        <w:t>Module: Criminal Law – Assignment 1</w:t>
      </w:r>
    </w:p>
    <w:p>
      <w:pPr>
        <w:pStyle w:val="style0"/>
        <w:spacing w:lineRule="auto" w:line="480"/>
        <w:jc w:val="center"/>
        <w:rPr>
          <w:rFonts w:ascii="Times New Roman" w:cs="Times New Roman" w:hAnsi="Times New Roman"/>
          <w:b/>
          <w:bCs/>
          <w:sz w:val="28"/>
          <w:szCs w:val="28"/>
        </w:rPr>
      </w:pPr>
    </w:p>
    <w:p>
      <w:pPr>
        <w:pStyle w:val="style0"/>
        <w:spacing w:lineRule="auto" w:line="480"/>
        <w:jc w:val="center"/>
        <w:rPr>
          <w:rFonts w:ascii="Times New Roman" w:cs="Times New Roman" w:hAnsi="Times New Roman"/>
          <w:b/>
          <w:bCs/>
          <w:sz w:val="28"/>
          <w:szCs w:val="28"/>
        </w:rPr>
      </w:pPr>
      <w:r>
        <w:rPr>
          <w:rFonts w:ascii="Times New Roman" w:cs="Times New Roman" w:hAnsi="Times New Roman"/>
          <w:b/>
          <w:bCs/>
          <w:sz w:val="28"/>
          <w:szCs w:val="28"/>
        </w:rPr>
        <w:t>Module Code: BMLW4005/BMPL4009</w:t>
      </w:r>
    </w:p>
    <w:p>
      <w:pPr>
        <w:pStyle w:val="style0"/>
        <w:spacing w:lineRule="auto" w:line="480"/>
        <w:jc w:val="center"/>
        <w:rPr>
          <w:rFonts w:ascii="Times New Roman" w:cs="Times New Roman" w:hAnsi="Times New Roman"/>
          <w:b/>
          <w:bCs/>
          <w:sz w:val="28"/>
          <w:szCs w:val="28"/>
        </w:rPr>
      </w:pPr>
    </w:p>
    <w:p>
      <w:pPr>
        <w:pStyle w:val="style0"/>
        <w:spacing w:lineRule="auto" w:line="480"/>
        <w:jc w:val="center"/>
        <w:rPr>
          <w:rFonts w:ascii="Times New Roman" w:cs="Times New Roman" w:hAnsi="Times New Roman"/>
          <w:b/>
          <w:bCs/>
          <w:sz w:val="28"/>
          <w:szCs w:val="28"/>
        </w:rPr>
      </w:pPr>
      <w:r>
        <w:rPr>
          <w:rFonts w:ascii="Times New Roman" w:cs="Times New Roman" w:hAnsi="Times New Roman"/>
          <w:b/>
          <w:bCs/>
          <w:sz w:val="28"/>
          <w:szCs w:val="28"/>
        </w:rPr>
        <w:t>Assignment Title: Liability by Omission</w:t>
      </w:r>
    </w:p>
    <w:p>
      <w:pPr>
        <w:pStyle w:val="style0"/>
        <w:spacing w:lineRule="auto" w:line="480"/>
        <w:jc w:val="center"/>
        <w:rPr>
          <w:rFonts w:ascii="Times New Roman" w:cs="Times New Roman" w:hAnsi="Times New Roman"/>
          <w:b/>
          <w:bCs/>
          <w:sz w:val="28"/>
          <w:szCs w:val="28"/>
        </w:rPr>
      </w:pPr>
    </w:p>
    <w:p>
      <w:pPr>
        <w:pStyle w:val="style0"/>
        <w:spacing w:lineRule="auto" w:line="480"/>
        <w:jc w:val="center"/>
        <w:rPr>
          <w:rFonts w:ascii="Times New Roman" w:cs="Times New Roman" w:hAnsi="Times New Roman"/>
          <w:b/>
          <w:bCs/>
          <w:sz w:val="28"/>
          <w:szCs w:val="28"/>
        </w:rPr>
      </w:pPr>
    </w:p>
    <w:p>
      <w:pPr>
        <w:pStyle w:val="style0"/>
        <w:spacing w:lineRule="auto" w:line="480"/>
        <w:jc w:val="center"/>
        <w:rPr>
          <w:rFonts w:ascii="Times New Roman" w:cs="Times New Roman" w:hAnsi="Times New Roman"/>
          <w:b/>
          <w:bCs/>
          <w:sz w:val="28"/>
          <w:szCs w:val="28"/>
        </w:rPr>
      </w:pPr>
    </w:p>
    <w:p>
      <w:pPr>
        <w:pStyle w:val="style0"/>
        <w:spacing w:lineRule="auto" w:line="480"/>
        <w:jc w:val="center"/>
        <w:rPr>
          <w:rFonts w:ascii="Times New Roman" w:cs="Times New Roman" w:hAnsi="Times New Roman"/>
          <w:sz w:val="24"/>
          <w:szCs w:val="24"/>
        </w:rPr>
      </w:pPr>
      <w:r>
        <w:rPr>
          <w:rFonts w:ascii="Times New Roman" w:cs="Times New Roman" w:hAnsi="Times New Roman"/>
          <w:sz w:val="24"/>
          <w:szCs w:val="24"/>
        </w:rPr>
        <w:t xml:space="preserve">Student Name: </w:t>
      </w:r>
      <w:r>
        <w:rPr>
          <w:rFonts w:ascii="Times New Roman" w:cs="Times New Roman" w:hAnsi="Times New Roman"/>
          <w:sz w:val="24"/>
          <w:szCs w:val="24"/>
          <w:lang w:val="en-US"/>
        </w:rPr>
        <w:t>Florin Doditoiu</w:t>
      </w:r>
    </w:p>
    <w:p>
      <w:pPr>
        <w:pStyle w:val="style0"/>
        <w:spacing w:lineRule="auto" w:line="480"/>
        <w:jc w:val="center"/>
        <w:rPr>
          <w:rFonts w:ascii="Times New Roman" w:cs="Times New Roman" w:hAnsi="Times New Roman"/>
          <w:sz w:val="24"/>
          <w:szCs w:val="24"/>
        </w:rPr>
      </w:pPr>
      <w:r>
        <w:rPr>
          <w:rFonts w:ascii="Times New Roman" w:cs="Times New Roman" w:hAnsi="Times New Roman"/>
          <w:sz w:val="24"/>
          <w:szCs w:val="24"/>
        </w:rPr>
        <w:t>Student ID:</w:t>
      </w:r>
      <w:r>
        <w:rPr>
          <w:rFonts w:ascii="Times New Roman" w:cs="Times New Roman" w:hAnsi="Times New Roman"/>
          <w:sz w:val="24"/>
          <w:szCs w:val="24"/>
          <w:lang w:val="en-US"/>
        </w:rPr>
        <w:t xml:space="preserve"> 2132424</w:t>
      </w:r>
    </w:p>
    <w:p>
      <w:pPr>
        <w:pStyle w:val="style0"/>
        <w:spacing w:lineRule="auto" w:line="480"/>
        <w:jc w:val="both"/>
        <w:rPr>
          <w:rFonts w:ascii="Times New Roman" w:cs="Times New Roman" w:hAnsi="Times New Roman"/>
          <w:sz w:val="24"/>
          <w:szCs w:val="24"/>
        </w:rPr>
      </w:pPr>
      <w:r>
        <w:rPr>
          <w:rFonts w:ascii="Times New Roman" w:cs="Times New Roman" w:hAnsi="Times New Roman"/>
          <w:sz w:val="24"/>
          <w:szCs w:val="24"/>
        </w:rPr>
        <w:t>Criminal law is a complex area of law that seeks to regulate social behaviour through the imposition of legal sanctions</w:t>
      </w:r>
      <w:r>
        <w:rPr>
          <w:rFonts w:ascii="Times New Roman" w:cs="Times New Roman" w:hAnsi="Times New Roman"/>
          <w:sz w:val="24"/>
          <w:szCs w:val="24"/>
        </w:rPr>
        <w:t xml:space="preserve"> (Ashworth and </w:t>
      </w:r>
      <w:r>
        <w:rPr>
          <w:rFonts w:ascii="Times New Roman" w:cs="Times New Roman" w:hAnsi="Times New Roman"/>
          <w:sz w:val="24"/>
          <w:szCs w:val="24"/>
        </w:rPr>
        <w:t>Zedner</w:t>
      </w:r>
      <w:r>
        <w:rPr>
          <w:rFonts w:ascii="Times New Roman" w:cs="Times New Roman" w:hAnsi="Times New Roman"/>
          <w:sz w:val="24"/>
          <w:szCs w:val="24"/>
        </w:rPr>
        <w:t>, 2008)</w:t>
      </w:r>
      <w:r>
        <w:rPr>
          <w:rFonts w:ascii="Times New Roman" w:cs="Times New Roman" w:hAnsi="Times New Roman"/>
          <w:sz w:val="24"/>
          <w:szCs w:val="24"/>
        </w:rPr>
        <w:t xml:space="preserve">. </w:t>
      </w:r>
      <w:r>
        <w:rPr>
          <w:rFonts w:ascii="Times New Roman" w:cs="Times New Roman" w:hAnsi="Times New Roman"/>
          <w:sz w:val="24"/>
          <w:szCs w:val="24"/>
        </w:rPr>
        <w:t xml:space="preserve">There </w:t>
      </w:r>
      <w:r>
        <w:rPr>
          <w:rFonts w:ascii="Times New Roman" w:cs="Times New Roman" w:hAnsi="Times New Roman"/>
          <w:sz w:val="24"/>
          <w:szCs w:val="24"/>
        </w:rPr>
        <w:t xml:space="preserve">are several </w:t>
      </w:r>
      <w:r>
        <w:rPr>
          <w:rFonts w:ascii="Times New Roman" w:cs="Times New Roman" w:hAnsi="Times New Roman"/>
          <w:sz w:val="24"/>
          <w:szCs w:val="24"/>
        </w:rPr>
        <w:t>factors that underline cri</w:t>
      </w:r>
      <w:r>
        <w:rPr>
          <w:rFonts w:ascii="Times New Roman" w:cs="Times New Roman" w:hAnsi="Times New Roman"/>
          <w:sz w:val="24"/>
          <w:szCs w:val="24"/>
        </w:rPr>
        <w:t>minal law, that includes ethical factors, moral factors, and social factors</w:t>
      </w:r>
      <w:r>
        <w:rPr>
          <w:rFonts w:ascii="Times New Roman" w:cs="Times New Roman" w:hAnsi="Times New Roman"/>
          <w:sz w:val="24"/>
          <w:szCs w:val="24"/>
        </w:rPr>
        <w:t>,</w:t>
      </w:r>
      <w:r>
        <w:rPr>
          <w:rFonts w:ascii="Times New Roman" w:cs="Times New Roman" w:hAnsi="Times New Roman"/>
          <w:sz w:val="24"/>
          <w:szCs w:val="24"/>
        </w:rPr>
        <w:t xml:space="preserve"> and these are categorized as important </w:t>
      </w:r>
      <w:r>
        <w:rPr>
          <w:rFonts w:ascii="Times New Roman" w:cs="Times New Roman" w:hAnsi="Times New Roman"/>
          <w:sz w:val="24"/>
          <w:szCs w:val="24"/>
        </w:rPr>
        <w:t>in order to debate these challenges are critical</w:t>
      </w:r>
      <w:r>
        <w:rPr>
          <w:rFonts w:ascii="Times New Roman" w:cs="Times New Roman" w:hAnsi="Times New Roman"/>
          <w:sz w:val="24"/>
          <w:szCs w:val="24"/>
        </w:rPr>
        <w:t xml:space="preserve"> (Ashworth and </w:t>
      </w:r>
      <w:r>
        <w:rPr>
          <w:rFonts w:ascii="Times New Roman" w:cs="Times New Roman" w:hAnsi="Times New Roman"/>
          <w:sz w:val="24"/>
          <w:szCs w:val="24"/>
        </w:rPr>
        <w:t>Horder</w:t>
      </w:r>
      <w:r>
        <w:rPr>
          <w:rFonts w:ascii="Times New Roman" w:cs="Times New Roman" w:hAnsi="Times New Roman"/>
          <w:sz w:val="24"/>
          <w:szCs w:val="24"/>
        </w:rPr>
        <w:t>, 2013)</w:t>
      </w:r>
      <w:r>
        <w:rPr>
          <w:rFonts w:ascii="Times New Roman" w:cs="Times New Roman" w:hAnsi="Times New Roman"/>
          <w:sz w:val="24"/>
          <w:szCs w:val="24"/>
        </w:rPr>
        <w:t>. One area of criminal law that raises such issues is the failure to act. In this context, criminal liability can be imposed not only for acts committed but also for omissions or failures to act</w:t>
      </w:r>
      <w:r>
        <w:rPr>
          <w:rFonts w:ascii="Times New Roman" w:cs="Times New Roman" w:hAnsi="Times New Roman"/>
          <w:sz w:val="24"/>
          <w:szCs w:val="24"/>
        </w:rPr>
        <w:t xml:space="preserve"> (Hillyard and Tombs, 2007)</w:t>
      </w:r>
      <w:r>
        <w:rPr>
          <w:rFonts w:ascii="Times New Roman" w:cs="Times New Roman" w:hAnsi="Times New Roman"/>
          <w:sz w:val="24"/>
          <w:szCs w:val="24"/>
        </w:rPr>
        <w:t>.</w:t>
      </w:r>
      <w:r>
        <w:rPr>
          <w:rFonts w:ascii="Times New Roman" w:cs="Times New Roman" w:hAnsi="Times New Roman"/>
          <w:sz w:val="24"/>
          <w:szCs w:val="24"/>
        </w:rPr>
        <w:t xml:space="preserve"> </w:t>
      </w:r>
      <w:r>
        <w:rPr>
          <w:rFonts w:ascii="Times New Roman" w:cs="Times New Roman" w:hAnsi="Times New Roman"/>
          <w:sz w:val="24"/>
          <w:szCs w:val="24"/>
        </w:rPr>
        <w:t>This essay will explore</w:t>
      </w:r>
      <w:r>
        <w:rPr>
          <w:rFonts w:ascii="Times New Roman" w:cs="Times New Roman" w:hAnsi="Times New Roman"/>
          <w:sz w:val="24"/>
          <w:szCs w:val="24"/>
        </w:rPr>
        <w:t xml:space="preserve"> the overall policies and challenges associated with criminal law and </w:t>
      </w:r>
      <w:r>
        <w:rPr>
          <w:rFonts w:ascii="Times New Roman" w:cs="Times New Roman" w:hAnsi="Times New Roman"/>
          <w:sz w:val="24"/>
          <w:szCs w:val="24"/>
        </w:rPr>
        <w:t>facilitates the need for regulating social behaviour while implementing the interests of the people</w:t>
      </w:r>
      <w:r>
        <w:rPr>
          <w:rFonts w:ascii="Times New Roman" w:cs="Times New Roman" w:hAnsi="Times New Roman"/>
          <w:sz w:val="24"/>
          <w:szCs w:val="24"/>
        </w:rPr>
        <w:t>.</w:t>
      </w:r>
      <w:r>
        <w:rPr>
          <w:rFonts w:ascii="Times New Roman" w:cs="Times New Roman" w:hAnsi="Times New Roman"/>
          <w:sz w:val="24"/>
          <w:szCs w:val="24"/>
        </w:rPr>
        <w:t xml:space="preserve"> </w:t>
      </w:r>
      <w:r>
        <w:rPr>
          <w:rFonts w:ascii="Times New Roman" w:cs="Times New Roman" w:hAnsi="Times New Roman"/>
          <w:sz w:val="24"/>
          <w:szCs w:val="24"/>
        </w:rPr>
        <w:t>Additionally, it will discuss the circumstances under which criminal liability</w:t>
      </w:r>
      <w:r>
        <w:rPr>
          <w:rFonts w:ascii="Times New Roman" w:cs="Times New Roman" w:hAnsi="Times New Roman"/>
          <w:sz w:val="24"/>
          <w:szCs w:val="24"/>
        </w:rPr>
        <w:t xml:space="preserve"> and its associated standards and laws </w:t>
      </w:r>
      <w:r>
        <w:rPr>
          <w:rFonts w:ascii="Times New Roman" w:cs="Times New Roman" w:hAnsi="Times New Roman"/>
          <w:sz w:val="24"/>
          <w:szCs w:val="24"/>
        </w:rPr>
        <w:t xml:space="preserve">will be </w:t>
      </w:r>
      <w:r>
        <w:rPr>
          <w:rFonts w:ascii="Times New Roman" w:cs="Times New Roman" w:hAnsi="Times New Roman"/>
          <w:sz w:val="24"/>
          <w:szCs w:val="24"/>
        </w:rPr>
        <w:t xml:space="preserve">applied </w:t>
      </w:r>
      <w:r>
        <w:rPr>
          <w:rFonts w:ascii="Times New Roman" w:cs="Times New Roman" w:hAnsi="Times New Roman"/>
          <w:sz w:val="24"/>
          <w:szCs w:val="24"/>
        </w:rPr>
        <w:t>for failing to act.</w:t>
      </w:r>
    </w:p>
    <w:p>
      <w:pPr>
        <w:pStyle w:val="style0"/>
        <w:spacing w:lineRule="auto" w:line="480"/>
        <w:jc w:val="both"/>
        <w:rPr>
          <w:rFonts w:ascii="Times New Roman" w:cs="Times New Roman" w:hAnsi="Times New Roman"/>
          <w:sz w:val="24"/>
          <w:szCs w:val="24"/>
        </w:rPr>
      </w:pPr>
      <w:r>
        <w:rPr>
          <w:rFonts w:ascii="Times New Roman" w:cs="Times New Roman" w:hAnsi="Times New Roman"/>
          <w:sz w:val="24"/>
          <w:szCs w:val="24"/>
        </w:rPr>
        <w:t>Liability by omission refers to the situation where an individual is held criminally liable for failing to act in a particular circumstance. The omission may result in harm or damage to another person or property, and the failure to act may constitute a criminal offen</w:t>
      </w:r>
      <w:r>
        <w:rPr>
          <w:rFonts w:ascii="Times New Roman" w:cs="Times New Roman" w:hAnsi="Times New Roman"/>
          <w:sz w:val="24"/>
          <w:szCs w:val="24"/>
        </w:rPr>
        <w:t>c</w:t>
      </w:r>
      <w:r>
        <w:rPr>
          <w:rFonts w:ascii="Times New Roman" w:cs="Times New Roman" w:hAnsi="Times New Roman"/>
          <w:sz w:val="24"/>
          <w:szCs w:val="24"/>
        </w:rPr>
        <w:t>e</w:t>
      </w:r>
      <w:r>
        <w:rPr>
          <w:rFonts w:ascii="Times New Roman" w:cs="Times New Roman" w:hAnsi="Times New Roman"/>
          <w:sz w:val="24"/>
          <w:szCs w:val="24"/>
        </w:rPr>
        <w:t xml:space="preserve"> (</w:t>
      </w:r>
      <w:r>
        <w:rPr>
          <w:rFonts w:ascii="Times New Roman" w:cs="Times New Roman" w:hAnsi="Times New Roman"/>
          <w:sz w:val="24"/>
          <w:szCs w:val="24"/>
        </w:rPr>
        <w:t>Abdrews</w:t>
      </w:r>
      <w:r>
        <w:rPr>
          <w:rFonts w:ascii="Times New Roman" w:cs="Times New Roman" w:hAnsi="Times New Roman"/>
          <w:sz w:val="24"/>
          <w:szCs w:val="24"/>
        </w:rPr>
        <w:t xml:space="preserve"> and </w:t>
      </w:r>
      <w:r>
        <w:rPr>
          <w:rFonts w:ascii="Times New Roman" w:cs="Times New Roman" w:hAnsi="Times New Roman"/>
          <w:sz w:val="24"/>
          <w:szCs w:val="24"/>
        </w:rPr>
        <w:t>Bonta</w:t>
      </w:r>
      <w:r>
        <w:rPr>
          <w:rFonts w:ascii="Times New Roman" w:cs="Times New Roman" w:hAnsi="Times New Roman"/>
          <w:sz w:val="24"/>
          <w:szCs w:val="24"/>
        </w:rPr>
        <w:t>, 2010)</w:t>
      </w:r>
      <w:r>
        <w:rPr>
          <w:rFonts w:ascii="Times New Roman" w:cs="Times New Roman" w:hAnsi="Times New Roman"/>
          <w:sz w:val="24"/>
          <w:szCs w:val="24"/>
        </w:rPr>
        <w:t>. Liability by omission is not a separate offen</w:t>
      </w:r>
      <w:r>
        <w:rPr>
          <w:rFonts w:ascii="Times New Roman" w:cs="Times New Roman" w:hAnsi="Times New Roman"/>
          <w:sz w:val="24"/>
          <w:szCs w:val="24"/>
        </w:rPr>
        <w:t>c</w:t>
      </w:r>
      <w:r>
        <w:rPr>
          <w:rFonts w:ascii="Times New Roman" w:cs="Times New Roman" w:hAnsi="Times New Roman"/>
          <w:sz w:val="24"/>
          <w:szCs w:val="24"/>
        </w:rPr>
        <w:t xml:space="preserve">e, but it is treated as a form of actus </w:t>
      </w:r>
      <w:r>
        <w:rPr>
          <w:rFonts w:ascii="Times New Roman" w:cs="Times New Roman" w:hAnsi="Times New Roman"/>
          <w:sz w:val="24"/>
          <w:szCs w:val="24"/>
        </w:rPr>
        <w:t>reus</w:t>
      </w:r>
      <w:r>
        <w:rPr>
          <w:rFonts w:ascii="Times New Roman" w:cs="Times New Roman" w:hAnsi="Times New Roman"/>
          <w:sz w:val="24"/>
          <w:szCs w:val="24"/>
        </w:rPr>
        <w:t>, which refers to the guilty act that must be committed to establish criminal liability.</w:t>
      </w:r>
      <w:r>
        <w:rPr>
          <w:rFonts w:ascii="Times New Roman" w:cs="Times New Roman" w:hAnsi="Times New Roman"/>
          <w:sz w:val="24"/>
          <w:szCs w:val="24"/>
        </w:rPr>
        <w:t xml:space="preserve"> </w:t>
      </w:r>
      <w:r>
        <w:rPr>
          <w:rFonts w:ascii="Times New Roman" w:cs="Times New Roman" w:hAnsi="Times New Roman"/>
          <w:sz w:val="24"/>
          <w:szCs w:val="24"/>
        </w:rPr>
        <w:t xml:space="preserve">There is no </w:t>
      </w:r>
      <w:r>
        <w:rPr>
          <w:rFonts w:ascii="Times New Roman" w:cs="Times New Roman" w:hAnsi="Times New Roman"/>
          <w:sz w:val="24"/>
          <w:szCs w:val="24"/>
        </w:rPr>
        <w:t xml:space="preserve">recorded or </w:t>
      </w:r>
      <w:r>
        <w:rPr>
          <w:rFonts w:ascii="Times New Roman" w:cs="Times New Roman" w:hAnsi="Times New Roman"/>
          <w:sz w:val="24"/>
          <w:szCs w:val="24"/>
        </w:rPr>
        <w:t xml:space="preserve">written </w:t>
      </w:r>
      <w:r>
        <w:rPr>
          <w:rFonts w:ascii="Times New Roman" w:cs="Times New Roman" w:hAnsi="Times New Roman"/>
          <w:sz w:val="24"/>
          <w:szCs w:val="24"/>
        </w:rPr>
        <w:t xml:space="preserve">general duty </w:t>
      </w:r>
      <w:r>
        <w:rPr>
          <w:rFonts w:ascii="Times New Roman" w:cs="Times New Roman" w:hAnsi="Times New Roman"/>
          <w:sz w:val="24"/>
          <w:szCs w:val="24"/>
        </w:rPr>
        <w:t xml:space="preserve">for individuals or groups </w:t>
      </w:r>
      <w:r>
        <w:rPr>
          <w:rFonts w:ascii="Times New Roman" w:cs="Times New Roman" w:hAnsi="Times New Roman"/>
          <w:sz w:val="24"/>
          <w:szCs w:val="24"/>
        </w:rPr>
        <w:t xml:space="preserve">to act in criminal law. However, </w:t>
      </w:r>
      <w:r>
        <w:rPr>
          <w:rFonts w:ascii="Times New Roman" w:cs="Times New Roman" w:hAnsi="Times New Roman"/>
          <w:sz w:val="24"/>
          <w:szCs w:val="24"/>
        </w:rPr>
        <w:t>under specific cir</w:t>
      </w:r>
      <w:r>
        <w:rPr>
          <w:rFonts w:ascii="Times New Roman" w:cs="Times New Roman" w:hAnsi="Times New Roman"/>
          <w:sz w:val="24"/>
          <w:szCs w:val="24"/>
        </w:rPr>
        <w:t>c</w:t>
      </w:r>
      <w:r>
        <w:rPr>
          <w:rFonts w:ascii="Times New Roman" w:cs="Times New Roman" w:hAnsi="Times New Roman"/>
          <w:sz w:val="24"/>
          <w:szCs w:val="24"/>
        </w:rPr>
        <w:t>umstances</w:t>
      </w:r>
      <w:r>
        <w:rPr>
          <w:rFonts w:ascii="Times New Roman" w:cs="Times New Roman" w:hAnsi="Times New Roman"/>
          <w:sz w:val="24"/>
          <w:szCs w:val="24"/>
        </w:rPr>
        <w:t>,</w:t>
      </w:r>
      <w:r>
        <w:rPr>
          <w:rFonts w:ascii="Times New Roman" w:cs="Times New Roman" w:hAnsi="Times New Roman"/>
          <w:sz w:val="24"/>
          <w:szCs w:val="24"/>
        </w:rPr>
        <w:t xml:space="preserve"> </w:t>
      </w:r>
      <w:r>
        <w:rPr>
          <w:rFonts w:ascii="Times New Roman" w:cs="Times New Roman" w:hAnsi="Times New Roman"/>
          <w:sz w:val="24"/>
          <w:szCs w:val="24"/>
        </w:rPr>
        <w:t>there are specific situations</w:t>
      </w:r>
      <w:r>
        <w:rPr>
          <w:rFonts w:ascii="Times New Roman" w:cs="Times New Roman" w:hAnsi="Times New Roman"/>
          <w:sz w:val="24"/>
          <w:szCs w:val="24"/>
        </w:rPr>
        <w:t xml:space="preserve"> that demand an individual to act or</w:t>
      </w:r>
      <w:r>
        <w:rPr>
          <w:rFonts w:ascii="Times New Roman" w:cs="Times New Roman" w:hAnsi="Times New Roman"/>
          <w:sz w:val="24"/>
          <w:szCs w:val="24"/>
        </w:rPr>
        <w:t xml:space="preserve"> where the law imp</w:t>
      </w:r>
      <w:r>
        <w:rPr>
          <w:rFonts w:ascii="Times New Roman" w:cs="Times New Roman" w:hAnsi="Times New Roman"/>
          <w:sz w:val="24"/>
          <w:szCs w:val="24"/>
        </w:rPr>
        <w:t>lements</w:t>
      </w:r>
      <w:r>
        <w:rPr>
          <w:rFonts w:ascii="Times New Roman" w:cs="Times New Roman" w:hAnsi="Times New Roman"/>
          <w:sz w:val="24"/>
          <w:szCs w:val="24"/>
        </w:rPr>
        <w:t xml:space="preserve"> a duty to act</w:t>
      </w:r>
      <w:r>
        <w:rPr>
          <w:rFonts w:ascii="Times New Roman" w:cs="Times New Roman" w:hAnsi="Times New Roman"/>
          <w:sz w:val="24"/>
          <w:szCs w:val="24"/>
        </w:rPr>
        <w:t xml:space="preserve"> (Robinson, 2017)</w:t>
      </w:r>
      <w:r>
        <w:rPr>
          <w:rFonts w:ascii="Times New Roman" w:cs="Times New Roman" w:hAnsi="Times New Roman"/>
          <w:sz w:val="24"/>
          <w:szCs w:val="24"/>
        </w:rPr>
        <w:t>. The duty to act may arise from a statutory provision, a contractual obligation, a duty based on office, or a common law duty. For a crime to be committed by omission, three elements must be present: (1) the defendant had a legal duty to act; (2) the defendant failed to act; and (3) the defendant's failure to act</w:t>
      </w:r>
      <w:r>
        <w:rPr>
          <w:rFonts w:ascii="Times New Roman" w:cs="Times New Roman" w:hAnsi="Times New Roman"/>
          <w:sz w:val="24"/>
          <w:szCs w:val="24"/>
        </w:rPr>
        <w:t xml:space="preserve"> under certain event have</w:t>
      </w:r>
      <w:r>
        <w:rPr>
          <w:rFonts w:ascii="Times New Roman" w:cs="Times New Roman" w:hAnsi="Times New Roman"/>
          <w:sz w:val="24"/>
          <w:szCs w:val="24"/>
        </w:rPr>
        <w:t xml:space="preserve"> caused harm to another person </w:t>
      </w:r>
      <w:r>
        <w:rPr>
          <w:rFonts w:ascii="Times New Roman" w:cs="Times New Roman" w:hAnsi="Times New Roman"/>
          <w:sz w:val="24"/>
          <w:szCs w:val="24"/>
        </w:rPr>
        <w:t>sometime</w:t>
      </w:r>
      <w:r>
        <w:rPr>
          <w:rFonts w:ascii="Times New Roman" w:cs="Times New Roman" w:hAnsi="Times New Roman"/>
          <w:sz w:val="24"/>
          <w:szCs w:val="24"/>
        </w:rPr>
        <w:t>s</w:t>
      </w:r>
      <w:r>
        <w:rPr>
          <w:rFonts w:ascii="Times New Roman" w:cs="Times New Roman" w:hAnsi="Times New Roman"/>
          <w:sz w:val="24"/>
          <w:szCs w:val="24"/>
        </w:rPr>
        <w:t xml:space="preserve"> resulting in death </w:t>
      </w:r>
      <w:r>
        <w:rPr>
          <w:rFonts w:ascii="Times New Roman" w:cs="Times New Roman" w:hAnsi="Times New Roman"/>
          <w:sz w:val="24"/>
          <w:szCs w:val="24"/>
        </w:rPr>
        <w:t>or</w:t>
      </w:r>
      <w:r>
        <w:rPr>
          <w:rFonts w:ascii="Times New Roman" w:cs="Times New Roman" w:hAnsi="Times New Roman"/>
          <w:sz w:val="24"/>
          <w:szCs w:val="24"/>
        </w:rPr>
        <w:t xml:space="preserve"> damage to</w:t>
      </w:r>
      <w:r>
        <w:rPr>
          <w:rFonts w:ascii="Times New Roman" w:cs="Times New Roman" w:hAnsi="Times New Roman"/>
          <w:sz w:val="24"/>
          <w:szCs w:val="24"/>
        </w:rPr>
        <w:t xml:space="preserve"> property. These elements must be present for a defendant to be liable for an omission</w:t>
      </w:r>
      <w:r>
        <w:rPr>
          <w:rFonts w:ascii="Times New Roman" w:cs="Times New Roman" w:hAnsi="Times New Roman"/>
          <w:sz w:val="24"/>
          <w:szCs w:val="24"/>
        </w:rPr>
        <w:t xml:space="preserve"> (</w:t>
      </w:r>
      <w:r>
        <w:rPr>
          <w:rFonts w:ascii="Times New Roman" w:cs="Times New Roman" w:hAnsi="Times New Roman"/>
          <w:sz w:val="24"/>
          <w:szCs w:val="24"/>
        </w:rPr>
        <w:t>Meloni</w:t>
      </w:r>
      <w:r>
        <w:rPr>
          <w:rFonts w:ascii="Times New Roman" w:cs="Times New Roman" w:hAnsi="Times New Roman"/>
          <w:sz w:val="24"/>
          <w:szCs w:val="24"/>
        </w:rPr>
        <w:t>, 2007)</w:t>
      </w:r>
      <w:r>
        <w:rPr>
          <w:rFonts w:ascii="Times New Roman" w:cs="Times New Roman" w:hAnsi="Times New Roman"/>
          <w:sz w:val="24"/>
          <w:szCs w:val="24"/>
        </w:rPr>
        <w:t>.</w:t>
      </w:r>
      <w:r>
        <w:rPr>
          <w:rFonts w:ascii="Times New Roman" w:cs="Times New Roman" w:hAnsi="Times New Roman"/>
          <w:sz w:val="24"/>
          <w:szCs w:val="24"/>
        </w:rPr>
        <w:t xml:space="preserve"> </w:t>
      </w:r>
      <w:r>
        <w:rPr>
          <w:rFonts w:ascii="Times New Roman" w:cs="Times New Roman" w:hAnsi="Times New Roman"/>
          <w:sz w:val="24"/>
          <w:szCs w:val="24"/>
        </w:rPr>
        <w:t xml:space="preserve">Such as the case </w:t>
      </w:r>
      <w:r>
        <w:rPr>
          <w:rFonts w:ascii="Times New Roman" w:cs="Times New Roman" w:hAnsi="Times New Roman"/>
          <w:sz w:val="24"/>
          <w:szCs w:val="24"/>
        </w:rPr>
        <w:t xml:space="preserve">R v Miller </w:t>
      </w:r>
      <w:r>
        <w:rPr>
          <w:rFonts w:ascii="Times New Roman" w:cs="Times New Roman" w:hAnsi="Times New Roman"/>
          <w:sz w:val="24"/>
          <w:szCs w:val="24"/>
        </w:rPr>
        <w:t>[1983] 2 AC 161</w:t>
      </w:r>
      <w:r>
        <w:rPr>
          <w:rFonts w:ascii="Times New Roman" w:cs="Times New Roman" w:hAnsi="Times New Roman"/>
          <w:sz w:val="24"/>
          <w:szCs w:val="24"/>
        </w:rPr>
        <w:t xml:space="preserve"> </w:t>
      </w:r>
      <w:r>
        <w:rPr>
          <w:rFonts w:ascii="Times New Roman" w:cs="Times New Roman" w:hAnsi="Times New Roman"/>
          <w:sz w:val="24"/>
          <w:szCs w:val="24"/>
        </w:rPr>
        <w:t xml:space="preserve">illustrates </w:t>
      </w:r>
      <w:r>
        <w:rPr>
          <w:rFonts w:ascii="Times New Roman" w:cs="Times New Roman" w:hAnsi="Times New Roman"/>
          <w:sz w:val="24"/>
          <w:szCs w:val="24"/>
        </w:rPr>
        <w:t xml:space="preserve">the </w:t>
      </w:r>
      <w:r>
        <w:rPr>
          <w:rFonts w:ascii="Times New Roman" w:cs="Times New Roman" w:hAnsi="Times New Roman"/>
          <w:sz w:val="24"/>
          <w:szCs w:val="24"/>
        </w:rPr>
        <w:t xml:space="preserve">general concept of liability by omission. </w:t>
      </w:r>
      <w:r>
        <w:rPr>
          <w:rFonts w:ascii="Times New Roman" w:cs="Times New Roman" w:hAnsi="Times New Roman"/>
          <w:sz w:val="24"/>
          <w:szCs w:val="24"/>
        </w:rPr>
        <w:t xml:space="preserve">In this case, the defendant was a homeless man who broke into an empty house </w:t>
      </w:r>
      <w:r>
        <w:rPr>
          <w:rFonts w:ascii="Times New Roman" w:cs="Times New Roman" w:hAnsi="Times New Roman"/>
          <w:sz w:val="24"/>
          <w:szCs w:val="24"/>
        </w:rPr>
        <w:t xml:space="preserve">(the house did not belong to the </w:t>
      </w:r>
      <w:r>
        <w:rPr>
          <w:rFonts w:ascii="Times New Roman" w:cs="Times New Roman" w:hAnsi="Times New Roman"/>
          <w:sz w:val="24"/>
          <w:szCs w:val="24"/>
        </w:rPr>
        <w:t>man</w:t>
      </w:r>
      <w:r>
        <w:rPr>
          <w:rFonts w:ascii="Times New Roman" w:cs="Times New Roman" w:hAnsi="Times New Roman"/>
          <w:sz w:val="24"/>
          <w:szCs w:val="24"/>
        </w:rPr>
        <w:t xml:space="preserve">) </w:t>
      </w:r>
      <w:r>
        <w:rPr>
          <w:rFonts w:ascii="Times New Roman" w:cs="Times New Roman" w:hAnsi="Times New Roman"/>
          <w:sz w:val="24"/>
          <w:szCs w:val="24"/>
        </w:rPr>
        <w:t>and fell asleep while smoking a cigarette</w:t>
      </w:r>
      <w:r>
        <w:rPr>
          <w:rFonts w:ascii="Times New Roman" w:cs="Times New Roman" w:hAnsi="Times New Roman"/>
          <w:sz w:val="24"/>
          <w:szCs w:val="24"/>
        </w:rPr>
        <w:t xml:space="preserve"> (Chen, 2021)</w:t>
      </w:r>
      <w:r>
        <w:rPr>
          <w:rFonts w:ascii="Times New Roman" w:cs="Times New Roman" w:hAnsi="Times New Roman"/>
          <w:sz w:val="24"/>
          <w:szCs w:val="24"/>
        </w:rPr>
        <w:t xml:space="preserve">. </w:t>
      </w:r>
      <w:r>
        <w:rPr>
          <w:rFonts w:ascii="Times New Roman" w:cs="Times New Roman" w:hAnsi="Times New Roman"/>
          <w:sz w:val="24"/>
          <w:szCs w:val="24"/>
        </w:rPr>
        <w:t xml:space="preserve">Later in </w:t>
      </w:r>
      <w:r>
        <w:rPr>
          <w:rFonts w:ascii="Times New Roman" w:cs="Times New Roman" w:hAnsi="Times New Roman"/>
          <w:sz w:val="24"/>
          <w:szCs w:val="24"/>
        </w:rPr>
        <w:t>an u</w:t>
      </w:r>
      <w:r>
        <w:rPr>
          <w:rFonts w:ascii="Times New Roman" w:cs="Times New Roman" w:hAnsi="Times New Roman"/>
          <w:sz w:val="24"/>
          <w:szCs w:val="24"/>
        </w:rPr>
        <w:t>ndefined time, t</w:t>
      </w:r>
      <w:r>
        <w:rPr>
          <w:rFonts w:ascii="Times New Roman" w:cs="Times New Roman" w:hAnsi="Times New Roman"/>
          <w:sz w:val="24"/>
          <w:szCs w:val="24"/>
        </w:rPr>
        <w:t xml:space="preserve">he cigarette set fire to the mattress, but the </w:t>
      </w:r>
      <w:r>
        <w:rPr>
          <w:rFonts w:ascii="Times New Roman" w:cs="Times New Roman" w:hAnsi="Times New Roman"/>
          <w:sz w:val="24"/>
          <w:szCs w:val="24"/>
        </w:rPr>
        <w:t>homeless man</w:t>
      </w:r>
      <w:r>
        <w:rPr>
          <w:rFonts w:ascii="Times New Roman" w:cs="Times New Roman" w:hAnsi="Times New Roman"/>
          <w:sz w:val="24"/>
          <w:szCs w:val="24"/>
        </w:rPr>
        <w:t xml:space="preserve"> failed to take any steps to put out the fire or </w:t>
      </w:r>
      <w:r>
        <w:rPr>
          <w:rFonts w:ascii="Times New Roman" w:cs="Times New Roman" w:hAnsi="Times New Roman"/>
          <w:sz w:val="24"/>
          <w:szCs w:val="24"/>
        </w:rPr>
        <w:t xml:space="preserve">did not take action to </w:t>
      </w:r>
      <w:r>
        <w:rPr>
          <w:rFonts w:ascii="Times New Roman" w:cs="Times New Roman" w:hAnsi="Times New Roman"/>
          <w:sz w:val="24"/>
          <w:szCs w:val="24"/>
        </w:rPr>
        <w:t>alert the authorities.</w:t>
      </w:r>
      <w:r>
        <w:rPr>
          <w:rFonts w:ascii="Times New Roman" w:cs="Times New Roman" w:hAnsi="Times New Roman"/>
          <w:sz w:val="24"/>
          <w:szCs w:val="24"/>
        </w:rPr>
        <w:t xml:space="preserve"> </w:t>
      </w:r>
      <w:r>
        <w:rPr>
          <w:rFonts w:ascii="Times New Roman" w:cs="Times New Roman" w:hAnsi="Times New Roman"/>
          <w:sz w:val="24"/>
          <w:szCs w:val="24"/>
        </w:rPr>
        <w:t>As a result, the fire caused significant damage to the house. The defendant was charged with arson, and he argued that he could not be held criminally liable for the fire because he did not intend to cause it.</w:t>
      </w:r>
      <w:r>
        <w:rPr>
          <w:rFonts w:ascii="Times New Roman" w:cs="Times New Roman" w:hAnsi="Times New Roman"/>
          <w:sz w:val="24"/>
          <w:szCs w:val="24"/>
        </w:rPr>
        <w:t xml:space="preserve"> </w:t>
      </w:r>
      <w:r>
        <w:rPr>
          <w:rFonts w:ascii="Times New Roman" w:cs="Times New Roman" w:hAnsi="Times New Roman"/>
          <w:sz w:val="24"/>
          <w:szCs w:val="24"/>
        </w:rPr>
        <w:t xml:space="preserve">The court held that the defendant was </w:t>
      </w:r>
      <w:r>
        <w:rPr>
          <w:rFonts w:ascii="Times New Roman" w:cs="Times New Roman" w:hAnsi="Times New Roman"/>
          <w:sz w:val="24"/>
          <w:szCs w:val="24"/>
        </w:rPr>
        <w:t xml:space="preserve">found to be </w:t>
      </w:r>
      <w:r>
        <w:rPr>
          <w:rFonts w:ascii="Times New Roman" w:cs="Times New Roman" w:hAnsi="Times New Roman"/>
          <w:sz w:val="24"/>
          <w:szCs w:val="24"/>
        </w:rPr>
        <w:t xml:space="preserve">guilty of the </w:t>
      </w:r>
      <w:r>
        <w:rPr>
          <w:rFonts w:ascii="Times New Roman" w:cs="Times New Roman" w:hAnsi="Times New Roman"/>
          <w:sz w:val="24"/>
          <w:szCs w:val="24"/>
        </w:rPr>
        <w:t xml:space="preserve">entire event or </w:t>
      </w:r>
      <w:r>
        <w:rPr>
          <w:rFonts w:ascii="Times New Roman" w:cs="Times New Roman" w:hAnsi="Times New Roman"/>
          <w:sz w:val="24"/>
          <w:szCs w:val="24"/>
        </w:rPr>
        <w:t>offen</w:t>
      </w:r>
      <w:r>
        <w:rPr>
          <w:rFonts w:ascii="Times New Roman" w:cs="Times New Roman" w:hAnsi="Times New Roman"/>
          <w:sz w:val="24"/>
          <w:szCs w:val="24"/>
        </w:rPr>
        <w:t>s</w:t>
      </w:r>
      <w:r>
        <w:rPr>
          <w:rFonts w:ascii="Times New Roman" w:cs="Times New Roman" w:hAnsi="Times New Roman"/>
          <w:sz w:val="24"/>
          <w:szCs w:val="24"/>
        </w:rPr>
        <w:t>e</w:t>
      </w:r>
      <w:r>
        <w:rPr>
          <w:rFonts w:ascii="Times New Roman" w:cs="Times New Roman" w:hAnsi="Times New Roman"/>
          <w:sz w:val="24"/>
          <w:szCs w:val="24"/>
        </w:rPr>
        <w:t xml:space="preserve"> due to several factors, that includes that</w:t>
      </w:r>
      <w:r>
        <w:rPr>
          <w:rFonts w:ascii="Times New Roman" w:cs="Times New Roman" w:hAnsi="Times New Roman"/>
          <w:sz w:val="24"/>
          <w:szCs w:val="24"/>
        </w:rPr>
        <w:t xml:space="preserve"> he had created </w:t>
      </w:r>
      <w:r>
        <w:rPr>
          <w:rFonts w:ascii="Times New Roman" w:cs="Times New Roman" w:hAnsi="Times New Roman"/>
          <w:sz w:val="24"/>
          <w:szCs w:val="24"/>
        </w:rPr>
        <w:t>a</w:t>
      </w:r>
      <w:r>
        <w:rPr>
          <w:rFonts w:ascii="Times New Roman" w:cs="Times New Roman" w:hAnsi="Times New Roman"/>
          <w:sz w:val="24"/>
          <w:szCs w:val="24"/>
        </w:rPr>
        <w:t xml:space="preserve"> dangerous </w:t>
      </w:r>
      <w:r>
        <w:rPr>
          <w:rFonts w:ascii="Times New Roman" w:cs="Times New Roman" w:hAnsi="Times New Roman"/>
          <w:sz w:val="24"/>
          <w:szCs w:val="24"/>
        </w:rPr>
        <w:t xml:space="preserve">event </w:t>
      </w:r>
      <w:r>
        <w:rPr>
          <w:rFonts w:ascii="Times New Roman" w:cs="Times New Roman" w:hAnsi="Times New Roman"/>
          <w:sz w:val="24"/>
          <w:szCs w:val="24"/>
        </w:rPr>
        <w:t>in</w:t>
      </w:r>
      <w:r>
        <w:rPr>
          <w:rFonts w:ascii="Times New Roman" w:cs="Times New Roman" w:hAnsi="Times New Roman"/>
          <w:sz w:val="24"/>
          <w:szCs w:val="24"/>
        </w:rPr>
        <w:t xml:space="preserve"> </w:t>
      </w:r>
      <w:r>
        <w:rPr>
          <w:rFonts w:ascii="Times New Roman" w:cs="Times New Roman" w:hAnsi="Times New Roman"/>
          <w:sz w:val="24"/>
          <w:szCs w:val="24"/>
        </w:rPr>
        <w:t xml:space="preserve">the </w:t>
      </w:r>
      <w:r>
        <w:rPr>
          <w:rFonts w:ascii="Times New Roman" w:cs="Times New Roman" w:hAnsi="Times New Roman"/>
          <w:sz w:val="24"/>
          <w:szCs w:val="24"/>
        </w:rPr>
        <w:t>first place</w:t>
      </w:r>
      <w:r>
        <w:rPr>
          <w:rFonts w:ascii="Times New Roman" w:cs="Times New Roman" w:hAnsi="Times New Roman"/>
          <w:sz w:val="24"/>
          <w:szCs w:val="24"/>
        </w:rPr>
        <w:t xml:space="preserve"> and failed to</w:t>
      </w:r>
      <w:r>
        <w:rPr>
          <w:rFonts w:ascii="Times New Roman" w:cs="Times New Roman" w:hAnsi="Times New Roman"/>
          <w:sz w:val="24"/>
          <w:szCs w:val="24"/>
        </w:rPr>
        <w:t xml:space="preserve"> take</w:t>
      </w:r>
      <w:r>
        <w:rPr>
          <w:rFonts w:ascii="Times New Roman" w:cs="Times New Roman" w:hAnsi="Times New Roman"/>
          <w:sz w:val="24"/>
          <w:szCs w:val="24"/>
        </w:rPr>
        <w:t xml:space="preserve"> </w:t>
      </w:r>
      <w:r>
        <w:rPr>
          <w:rFonts w:ascii="Times New Roman" w:cs="Times New Roman" w:hAnsi="Times New Roman"/>
          <w:sz w:val="24"/>
          <w:szCs w:val="24"/>
        </w:rPr>
        <w:t>apt or requ</w:t>
      </w:r>
      <w:r>
        <w:rPr>
          <w:rFonts w:ascii="Times New Roman" w:cs="Times New Roman" w:hAnsi="Times New Roman"/>
          <w:sz w:val="24"/>
          <w:szCs w:val="24"/>
        </w:rPr>
        <w:t>ir</w:t>
      </w:r>
      <w:r>
        <w:rPr>
          <w:rFonts w:ascii="Times New Roman" w:cs="Times New Roman" w:hAnsi="Times New Roman"/>
          <w:sz w:val="24"/>
          <w:szCs w:val="24"/>
        </w:rPr>
        <w:t xml:space="preserve">ed </w:t>
      </w:r>
      <w:r>
        <w:rPr>
          <w:rFonts w:ascii="Times New Roman" w:cs="Times New Roman" w:hAnsi="Times New Roman"/>
          <w:sz w:val="24"/>
          <w:szCs w:val="24"/>
        </w:rPr>
        <w:t>reasonab</w:t>
      </w:r>
      <w:r>
        <w:rPr>
          <w:rFonts w:ascii="Times New Roman" w:cs="Times New Roman" w:hAnsi="Times New Roman"/>
          <w:sz w:val="24"/>
          <w:szCs w:val="24"/>
        </w:rPr>
        <w:t>le</w:t>
      </w:r>
      <w:r>
        <w:rPr>
          <w:rFonts w:ascii="Times New Roman" w:cs="Times New Roman" w:hAnsi="Times New Roman"/>
          <w:sz w:val="24"/>
          <w:szCs w:val="24"/>
        </w:rPr>
        <w:t xml:space="preserve"> </w:t>
      </w:r>
      <w:r>
        <w:rPr>
          <w:rFonts w:ascii="Times New Roman" w:cs="Times New Roman" w:hAnsi="Times New Roman"/>
          <w:sz w:val="24"/>
          <w:szCs w:val="24"/>
        </w:rPr>
        <w:t>approaches</w:t>
      </w:r>
      <w:r>
        <w:rPr>
          <w:rFonts w:ascii="Times New Roman" w:cs="Times New Roman" w:hAnsi="Times New Roman"/>
          <w:sz w:val="24"/>
          <w:szCs w:val="24"/>
        </w:rPr>
        <w:t xml:space="preserve"> to prevent harm from occurring</w:t>
      </w:r>
      <w:r>
        <w:rPr>
          <w:rFonts w:ascii="Times New Roman" w:cs="Times New Roman" w:hAnsi="Times New Roman"/>
          <w:sz w:val="24"/>
          <w:szCs w:val="24"/>
        </w:rPr>
        <w:t xml:space="preserve"> (Chen, 2021)</w:t>
      </w:r>
      <w:r>
        <w:rPr>
          <w:rFonts w:ascii="Times New Roman" w:cs="Times New Roman" w:hAnsi="Times New Roman"/>
          <w:sz w:val="24"/>
          <w:szCs w:val="24"/>
        </w:rPr>
        <w:t>. This case demonstrates how liability by omission can arise when an individual fails to act in a situation that they have created, resulting in harm or damage to another person or property.</w:t>
      </w:r>
    </w:p>
    <w:p>
      <w:pPr>
        <w:pStyle w:val="style0"/>
        <w:spacing w:lineRule="auto" w:line="480"/>
        <w:jc w:val="both"/>
        <w:rPr>
          <w:rFonts w:ascii="Times New Roman" w:cs="Times New Roman" w:hAnsi="Times New Roman"/>
          <w:sz w:val="24"/>
          <w:szCs w:val="24"/>
        </w:rPr>
      </w:pPr>
      <w:r>
        <w:rPr>
          <w:rFonts w:ascii="Times New Roman" w:cs="Times New Roman" w:hAnsi="Times New Roman"/>
          <w:sz w:val="24"/>
          <w:szCs w:val="24"/>
        </w:rPr>
        <w:t>A statutory duty to act may arise when a statute specifically imp</w:t>
      </w:r>
      <w:r>
        <w:rPr>
          <w:rFonts w:ascii="Times New Roman" w:cs="Times New Roman" w:hAnsi="Times New Roman"/>
          <w:sz w:val="24"/>
          <w:szCs w:val="24"/>
        </w:rPr>
        <w:t>lements</w:t>
      </w:r>
      <w:r>
        <w:rPr>
          <w:rFonts w:ascii="Times New Roman" w:cs="Times New Roman" w:hAnsi="Times New Roman"/>
          <w:sz w:val="24"/>
          <w:szCs w:val="24"/>
        </w:rPr>
        <w:t xml:space="preserve"> a duty on a</w:t>
      </w:r>
      <w:r>
        <w:rPr>
          <w:rFonts w:ascii="Times New Roman" w:cs="Times New Roman" w:hAnsi="Times New Roman"/>
          <w:sz w:val="24"/>
          <w:szCs w:val="24"/>
        </w:rPr>
        <w:t>n</w:t>
      </w:r>
      <w:r>
        <w:rPr>
          <w:rFonts w:ascii="Times New Roman" w:cs="Times New Roman" w:hAnsi="Times New Roman"/>
          <w:sz w:val="24"/>
          <w:szCs w:val="24"/>
        </w:rPr>
        <w:t xml:space="preserve"> </w:t>
      </w:r>
      <w:r>
        <w:rPr>
          <w:rFonts w:ascii="Times New Roman" w:cs="Times New Roman" w:hAnsi="Times New Roman"/>
          <w:sz w:val="24"/>
          <w:szCs w:val="24"/>
        </w:rPr>
        <w:t xml:space="preserve">individual or group </w:t>
      </w:r>
      <w:r>
        <w:rPr>
          <w:rFonts w:ascii="Times New Roman" w:cs="Times New Roman" w:hAnsi="Times New Roman"/>
          <w:sz w:val="24"/>
          <w:szCs w:val="24"/>
        </w:rPr>
        <w:t>to act</w:t>
      </w:r>
      <w:r>
        <w:rPr>
          <w:rFonts w:ascii="Times New Roman" w:cs="Times New Roman" w:hAnsi="Times New Roman"/>
          <w:sz w:val="24"/>
          <w:szCs w:val="24"/>
        </w:rPr>
        <w:t xml:space="preserve"> (</w:t>
      </w:r>
      <w:r>
        <w:rPr>
          <w:rFonts w:ascii="Times New Roman" w:cs="Times New Roman" w:hAnsi="Times New Roman"/>
          <w:sz w:val="24"/>
          <w:szCs w:val="24"/>
        </w:rPr>
        <w:t>Berster</w:t>
      </w:r>
      <w:r>
        <w:rPr>
          <w:rFonts w:ascii="Times New Roman" w:cs="Times New Roman" w:hAnsi="Times New Roman"/>
          <w:sz w:val="24"/>
          <w:szCs w:val="24"/>
        </w:rPr>
        <w:t>, 2010)</w:t>
      </w:r>
      <w:r>
        <w:rPr>
          <w:rFonts w:ascii="Times New Roman" w:cs="Times New Roman" w:hAnsi="Times New Roman"/>
          <w:sz w:val="24"/>
          <w:szCs w:val="24"/>
        </w:rPr>
        <w:t xml:space="preserve">. For example, the Road Traffic Act </w:t>
      </w:r>
      <w:r>
        <w:rPr>
          <w:rFonts w:ascii="Times New Roman" w:cs="Times New Roman" w:hAnsi="Times New Roman"/>
          <w:sz w:val="24"/>
          <w:szCs w:val="24"/>
        </w:rPr>
        <w:t xml:space="preserve">of </w:t>
      </w:r>
      <w:r>
        <w:rPr>
          <w:rFonts w:ascii="Times New Roman" w:cs="Times New Roman" w:hAnsi="Times New Roman"/>
          <w:sz w:val="24"/>
          <w:szCs w:val="24"/>
        </w:rPr>
        <w:t>1988</w:t>
      </w:r>
      <w:r>
        <w:rPr>
          <w:rFonts w:ascii="Times New Roman" w:cs="Times New Roman" w:hAnsi="Times New Roman"/>
          <w:sz w:val="24"/>
          <w:szCs w:val="24"/>
        </w:rPr>
        <w:t xml:space="preserve"> tends to implement</w:t>
      </w:r>
      <w:r>
        <w:rPr>
          <w:rFonts w:ascii="Times New Roman" w:cs="Times New Roman" w:hAnsi="Times New Roman"/>
          <w:sz w:val="24"/>
          <w:szCs w:val="24"/>
        </w:rPr>
        <w:t xml:space="preserve"> a duty on drivers to stop</w:t>
      </w:r>
      <w:r>
        <w:rPr>
          <w:rFonts w:ascii="Times New Roman" w:cs="Times New Roman" w:hAnsi="Times New Roman"/>
          <w:sz w:val="24"/>
          <w:szCs w:val="24"/>
        </w:rPr>
        <w:t xml:space="preserve"> their v</w:t>
      </w:r>
      <w:r>
        <w:rPr>
          <w:rFonts w:ascii="Times New Roman" w:cs="Times New Roman" w:hAnsi="Times New Roman"/>
          <w:sz w:val="24"/>
          <w:szCs w:val="24"/>
        </w:rPr>
        <w:t>ehicles</w:t>
      </w:r>
      <w:r>
        <w:rPr>
          <w:rFonts w:ascii="Times New Roman" w:cs="Times New Roman" w:hAnsi="Times New Roman"/>
          <w:sz w:val="24"/>
          <w:szCs w:val="24"/>
        </w:rPr>
        <w:t xml:space="preserve"> and report an accident. Failure to com</w:t>
      </w:r>
      <w:r>
        <w:rPr>
          <w:rFonts w:ascii="Times New Roman" w:cs="Times New Roman" w:hAnsi="Times New Roman"/>
          <w:sz w:val="24"/>
          <w:szCs w:val="24"/>
        </w:rPr>
        <w:t>plete</w:t>
      </w:r>
      <w:r>
        <w:rPr>
          <w:rFonts w:ascii="Times New Roman" w:cs="Times New Roman" w:hAnsi="Times New Roman"/>
          <w:sz w:val="24"/>
          <w:szCs w:val="24"/>
        </w:rPr>
        <w:t xml:space="preserve"> this duty </w:t>
      </w:r>
      <w:r>
        <w:rPr>
          <w:rFonts w:ascii="Times New Roman" w:cs="Times New Roman" w:hAnsi="Times New Roman"/>
          <w:sz w:val="24"/>
          <w:szCs w:val="24"/>
        </w:rPr>
        <w:t>tends to</w:t>
      </w:r>
      <w:r>
        <w:rPr>
          <w:rFonts w:ascii="Times New Roman" w:cs="Times New Roman" w:hAnsi="Times New Roman"/>
          <w:sz w:val="24"/>
          <w:szCs w:val="24"/>
        </w:rPr>
        <w:t xml:space="preserve"> result in criminal liability.</w:t>
      </w:r>
      <w:r>
        <w:rPr>
          <w:rFonts w:ascii="Times New Roman" w:cs="Times New Roman" w:hAnsi="Times New Roman"/>
          <w:sz w:val="24"/>
          <w:szCs w:val="24"/>
        </w:rPr>
        <w:t xml:space="preserve"> </w:t>
      </w:r>
      <w:r>
        <w:rPr>
          <w:rFonts w:ascii="Times New Roman" w:cs="Times New Roman" w:hAnsi="Times New Roman"/>
          <w:sz w:val="24"/>
          <w:szCs w:val="24"/>
        </w:rPr>
        <w:t xml:space="preserve">Such as the case </w:t>
      </w:r>
      <w:r>
        <w:rPr>
          <w:rFonts w:ascii="Times New Roman" w:cs="Times New Roman" w:hAnsi="Times New Roman"/>
          <w:sz w:val="24"/>
          <w:szCs w:val="24"/>
        </w:rPr>
        <w:t xml:space="preserve">R v </w:t>
      </w:r>
      <w:r>
        <w:rPr>
          <w:rFonts w:ascii="Times New Roman" w:cs="Times New Roman" w:hAnsi="Times New Roman"/>
          <w:sz w:val="24"/>
          <w:szCs w:val="24"/>
        </w:rPr>
        <w:t>Pittwood</w:t>
      </w:r>
      <w:r>
        <w:rPr>
          <w:rFonts w:ascii="Times New Roman" w:cs="Times New Roman" w:hAnsi="Times New Roman"/>
          <w:sz w:val="24"/>
          <w:szCs w:val="24"/>
        </w:rPr>
        <w:t xml:space="preserve"> [1902] 19 TLR 37</w:t>
      </w:r>
      <w:r>
        <w:rPr>
          <w:rFonts w:ascii="Times New Roman" w:cs="Times New Roman" w:hAnsi="Times New Roman"/>
          <w:sz w:val="24"/>
          <w:szCs w:val="24"/>
        </w:rPr>
        <w:t xml:space="preserve"> </w:t>
      </w:r>
      <w:r>
        <w:rPr>
          <w:rFonts w:ascii="Times New Roman" w:cs="Times New Roman" w:hAnsi="Times New Roman"/>
          <w:sz w:val="24"/>
          <w:szCs w:val="24"/>
        </w:rPr>
        <w:t xml:space="preserve">illustrates the </w:t>
      </w:r>
      <w:r>
        <w:rPr>
          <w:rFonts w:ascii="Times New Roman" w:cs="Times New Roman" w:hAnsi="Times New Roman"/>
          <w:sz w:val="24"/>
          <w:szCs w:val="24"/>
        </w:rPr>
        <w:t xml:space="preserve">failure to comply with </w:t>
      </w:r>
      <w:r>
        <w:rPr>
          <w:rFonts w:ascii="Times New Roman" w:cs="Times New Roman" w:hAnsi="Times New Roman"/>
          <w:sz w:val="24"/>
          <w:szCs w:val="24"/>
        </w:rPr>
        <w:t xml:space="preserve">the </w:t>
      </w:r>
      <w:r>
        <w:rPr>
          <w:rFonts w:ascii="Times New Roman" w:cs="Times New Roman" w:hAnsi="Times New Roman"/>
          <w:sz w:val="24"/>
          <w:szCs w:val="24"/>
        </w:rPr>
        <w:t xml:space="preserve">duty. </w:t>
      </w:r>
      <w:r>
        <w:rPr>
          <w:rFonts w:ascii="Times New Roman" w:cs="Times New Roman" w:hAnsi="Times New Roman"/>
          <w:sz w:val="24"/>
          <w:szCs w:val="24"/>
        </w:rPr>
        <w:t>In this case, the defendant was a gatekeeper at a level crossing</w:t>
      </w:r>
      <w:r>
        <w:rPr>
          <w:rFonts w:ascii="Times New Roman" w:cs="Times New Roman" w:hAnsi="Times New Roman"/>
          <w:sz w:val="24"/>
          <w:szCs w:val="24"/>
        </w:rPr>
        <w:t xml:space="preserve"> (Hails, 1966)</w:t>
      </w:r>
      <w:r>
        <w:rPr>
          <w:rFonts w:ascii="Times New Roman" w:cs="Times New Roman" w:hAnsi="Times New Roman"/>
          <w:sz w:val="24"/>
          <w:szCs w:val="24"/>
        </w:rPr>
        <w:t>. His duty was to close the gate when a train was approaching and to reopen it after the train had passed. One day, he failed to close the gate, and as a result, a person was killed by an oncoming train</w:t>
      </w:r>
      <w:r>
        <w:rPr>
          <w:rFonts w:ascii="Times New Roman" w:cs="Times New Roman" w:hAnsi="Times New Roman"/>
          <w:sz w:val="24"/>
          <w:szCs w:val="24"/>
        </w:rPr>
        <w:t xml:space="preserve"> (</w:t>
      </w:r>
      <w:r>
        <w:rPr>
          <w:rFonts w:ascii="Times New Roman" w:cs="Times New Roman" w:hAnsi="Times New Roman"/>
          <w:sz w:val="24"/>
          <w:szCs w:val="24"/>
        </w:rPr>
        <w:t>Lawprof</w:t>
      </w:r>
      <w:r>
        <w:rPr>
          <w:rFonts w:ascii="Times New Roman" w:cs="Times New Roman" w:hAnsi="Times New Roman"/>
          <w:sz w:val="24"/>
          <w:szCs w:val="24"/>
        </w:rPr>
        <w:t>, 2021)</w:t>
      </w:r>
      <w:r>
        <w:rPr>
          <w:rFonts w:ascii="Times New Roman" w:cs="Times New Roman" w:hAnsi="Times New Roman"/>
          <w:sz w:val="24"/>
          <w:szCs w:val="24"/>
        </w:rPr>
        <w:t>. The defendant was charged with manslaughter, and he argued that he had not intended to cause any harm.</w:t>
      </w:r>
      <w:r>
        <w:rPr>
          <w:rFonts w:ascii="Times New Roman" w:cs="Times New Roman" w:hAnsi="Times New Roman"/>
          <w:sz w:val="24"/>
          <w:szCs w:val="24"/>
        </w:rPr>
        <w:t xml:space="preserve"> </w:t>
      </w:r>
      <w:r>
        <w:rPr>
          <w:rFonts w:ascii="Times New Roman" w:cs="Times New Roman" w:hAnsi="Times New Roman"/>
          <w:sz w:val="24"/>
          <w:szCs w:val="24"/>
        </w:rPr>
        <w:t>The court</w:t>
      </w:r>
      <w:r>
        <w:rPr>
          <w:rFonts w:ascii="Times New Roman" w:cs="Times New Roman" w:hAnsi="Times New Roman"/>
          <w:sz w:val="24"/>
          <w:szCs w:val="24"/>
        </w:rPr>
        <w:t xml:space="preserve"> heard the plea and then</w:t>
      </w:r>
      <w:r>
        <w:rPr>
          <w:rFonts w:ascii="Times New Roman" w:cs="Times New Roman" w:hAnsi="Times New Roman"/>
          <w:sz w:val="24"/>
          <w:szCs w:val="24"/>
        </w:rPr>
        <w:t xml:space="preserve"> rejected this argument </w:t>
      </w:r>
      <w:r>
        <w:rPr>
          <w:rFonts w:ascii="Times New Roman" w:cs="Times New Roman" w:hAnsi="Times New Roman"/>
          <w:sz w:val="24"/>
          <w:szCs w:val="24"/>
        </w:rPr>
        <w:t xml:space="preserve">presented by the defendant </w:t>
      </w:r>
      <w:r>
        <w:rPr>
          <w:rFonts w:ascii="Times New Roman" w:cs="Times New Roman" w:hAnsi="Times New Roman"/>
          <w:sz w:val="24"/>
          <w:szCs w:val="24"/>
        </w:rPr>
        <w:t>and held that the defendant was guilty of manslaughter because he had a statutory duty to act, which he had breached.</w:t>
      </w:r>
    </w:p>
    <w:p>
      <w:pPr>
        <w:pStyle w:val="style0"/>
        <w:spacing w:lineRule="auto" w:line="480"/>
        <w:jc w:val="both"/>
        <w:rPr>
          <w:rFonts w:ascii="Times New Roman" w:cs="Times New Roman" w:hAnsi="Times New Roman"/>
          <w:sz w:val="24"/>
          <w:szCs w:val="24"/>
        </w:rPr>
      </w:pPr>
      <w:r>
        <w:rPr>
          <w:rFonts w:ascii="Times New Roman" w:cs="Times New Roman" w:hAnsi="Times New Roman"/>
          <w:sz w:val="24"/>
          <w:szCs w:val="24"/>
        </w:rPr>
        <w:t>A contractual or duty based on office may arise when a</w:t>
      </w:r>
      <w:r>
        <w:rPr>
          <w:rFonts w:ascii="Times New Roman" w:cs="Times New Roman" w:hAnsi="Times New Roman"/>
          <w:sz w:val="24"/>
          <w:szCs w:val="24"/>
        </w:rPr>
        <w:t>n individual</w:t>
      </w:r>
      <w:r>
        <w:rPr>
          <w:rFonts w:ascii="Times New Roman" w:cs="Times New Roman" w:hAnsi="Times New Roman"/>
          <w:sz w:val="24"/>
          <w:szCs w:val="24"/>
        </w:rPr>
        <w:t xml:space="preserve"> has a contractual or professional duty to act</w:t>
      </w:r>
      <w:r>
        <w:rPr>
          <w:rFonts w:ascii="Times New Roman" w:cs="Times New Roman" w:hAnsi="Times New Roman"/>
          <w:sz w:val="24"/>
          <w:szCs w:val="24"/>
        </w:rPr>
        <w:t xml:space="preserve"> (Birchall and Ramus, 2007)</w:t>
      </w:r>
      <w:r>
        <w:rPr>
          <w:rFonts w:ascii="Times New Roman" w:cs="Times New Roman" w:hAnsi="Times New Roman"/>
          <w:sz w:val="24"/>
          <w:szCs w:val="24"/>
        </w:rPr>
        <w:t xml:space="preserve">. For example, a </w:t>
      </w:r>
      <w:r>
        <w:rPr>
          <w:rFonts w:ascii="Times New Roman" w:cs="Times New Roman" w:hAnsi="Times New Roman"/>
          <w:sz w:val="24"/>
          <w:szCs w:val="24"/>
        </w:rPr>
        <w:t>healthcare professional</w:t>
      </w:r>
      <w:r>
        <w:rPr>
          <w:rFonts w:ascii="Times New Roman" w:cs="Times New Roman" w:hAnsi="Times New Roman"/>
          <w:sz w:val="24"/>
          <w:szCs w:val="24"/>
        </w:rPr>
        <w:t xml:space="preserve"> has a duty to act to save a patient's life</w:t>
      </w:r>
      <w:r>
        <w:rPr>
          <w:rFonts w:ascii="Times New Roman" w:cs="Times New Roman" w:hAnsi="Times New Roman"/>
          <w:sz w:val="24"/>
          <w:szCs w:val="24"/>
        </w:rPr>
        <w:t>,</w:t>
      </w:r>
      <w:r>
        <w:rPr>
          <w:rFonts w:ascii="Times New Roman" w:cs="Times New Roman" w:hAnsi="Times New Roman"/>
          <w:sz w:val="24"/>
          <w:szCs w:val="24"/>
        </w:rPr>
        <w:t xml:space="preserve"> demanding care</w:t>
      </w:r>
      <w:r>
        <w:rPr>
          <w:rFonts w:ascii="Times New Roman" w:cs="Times New Roman" w:hAnsi="Times New Roman"/>
          <w:sz w:val="24"/>
          <w:szCs w:val="24"/>
        </w:rPr>
        <w:t>.</w:t>
      </w:r>
      <w:r>
        <w:rPr>
          <w:rFonts w:ascii="Times New Roman" w:cs="Times New Roman" w:hAnsi="Times New Roman"/>
          <w:sz w:val="24"/>
          <w:szCs w:val="24"/>
        </w:rPr>
        <w:t xml:space="preserve"> The case of </w:t>
      </w:r>
      <w:r>
        <w:rPr>
          <w:rFonts w:ascii="Times New Roman" w:cs="Times New Roman" w:hAnsi="Times New Roman"/>
          <w:sz w:val="24"/>
          <w:szCs w:val="24"/>
        </w:rPr>
        <w:t>Airedale NHS Trust v Bland [1993] AC 789</w:t>
      </w:r>
      <w:r>
        <w:rPr>
          <w:rFonts w:ascii="Times New Roman" w:cs="Times New Roman" w:hAnsi="Times New Roman"/>
          <w:sz w:val="24"/>
          <w:szCs w:val="24"/>
        </w:rPr>
        <w:t xml:space="preserve"> best describes the contractual </w:t>
      </w:r>
      <w:r>
        <w:rPr>
          <w:rFonts w:ascii="Times New Roman" w:cs="Times New Roman" w:hAnsi="Times New Roman"/>
          <w:sz w:val="24"/>
          <w:szCs w:val="24"/>
        </w:rPr>
        <w:t xml:space="preserve">duty. </w:t>
      </w:r>
      <w:r>
        <w:rPr>
          <w:rFonts w:ascii="Times New Roman" w:cs="Times New Roman" w:hAnsi="Times New Roman"/>
          <w:sz w:val="24"/>
          <w:szCs w:val="24"/>
        </w:rPr>
        <w:t>In this case, the defendant was a victim of the Hillsborough disaster, which resulted in severe brain damage</w:t>
      </w:r>
      <w:r>
        <w:rPr>
          <w:rFonts w:ascii="Times New Roman" w:cs="Times New Roman" w:hAnsi="Times New Roman"/>
          <w:sz w:val="24"/>
          <w:szCs w:val="24"/>
        </w:rPr>
        <w:t xml:space="preserve"> (Jones, 2017)</w:t>
      </w:r>
      <w:r>
        <w:rPr>
          <w:rFonts w:ascii="Times New Roman" w:cs="Times New Roman" w:hAnsi="Times New Roman"/>
          <w:sz w:val="24"/>
          <w:szCs w:val="24"/>
        </w:rPr>
        <w:t xml:space="preserve">. The doctors who were treating him believed that he was in a </w:t>
      </w:r>
      <w:r>
        <w:rPr>
          <w:rFonts w:ascii="Times New Roman" w:cs="Times New Roman" w:hAnsi="Times New Roman"/>
          <w:sz w:val="24"/>
          <w:szCs w:val="24"/>
        </w:rPr>
        <w:t>tenacious</w:t>
      </w:r>
      <w:r>
        <w:rPr>
          <w:rFonts w:ascii="Times New Roman" w:cs="Times New Roman" w:hAnsi="Times New Roman"/>
          <w:sz w:val="24"/>
          <w:szCs w:val="24"/>
        </w:rPr>
        <w:t xml:space="preserve"> vegetative s</w:t>
      </w:r>
      <w:r>
        <w:rPr>
          <w:rFonts w:ascii="Times New Roman" w:cs="Times New Roman" w:hAnsi="Times New Roman"/>
          <w:sz w:val="24"/>
          <w:szCs w:val="24"/>
        </w:rPr>
        <w:t>ituation</w:t>
      </w:r>
      <w:r>
        <w:rPr>
          <w:rFonts w:ascii="Times New Roman" w:cs="Times New Roman" w:hAnsi="Times New Roman"/>
          <w:sz w:val="24"/>
          <w:szCs w:val="24"/>
        </w:rPr>
        <w:t xml:space="preserve"> and that there was no</w:t>
      </w:r>
      <w:r>
        <w:rPr>
          <w:rFonts w:ascii="Times New Roman" w:cs="Times New Roman" w:hAnsi="Times New Roman"/>
          <w:sz w:val="24"/>
          <w:szCs w:val="24"/>
        </w:rPr>
        <w:t xml:space="preserve"> chance </w:t>
      </w:r>
      <w:r>
        <w:rPr>
          <w:rFonts w:ascii="Times New Roman" w:cs="Times New Roman" w:hAnsi="Times New Roman"/>
          <w:sz w:val="24"/>
          <w:szCs w:val="24"/>
        </w:rPr>
        <w:t>for</w:t>
      </w:r>
      <w:r>
        <w:rPr>
          <w:rFonts w:ascii="Times New Roman" w:cs="Times New Roman" w:hAnsi="Times New Roman"/>
          <w:sz w:val="24"/>
          <w:szCs w:val="24"/>
        </w:rPr>
        <w:t xml:space="preserve"> the </w:t>
      </w:r>
      <w:r>
        <w:rPr>
          <w:rFonts w:ascii="Times New Roman" w:cs="Times New Roman" w:hAnsi="Times New Roman"/>
          <w:sz w:val="24"/>
          <w:szCs w:val="24"/>
        </w:rPr>
        <w:t>patient to</w:t>
      </w:r>
      <w:r>
        <w:rPr>
          <w:rFonts w:ascii="Times New Roman" w:cs="Times New Roman" w:hAnsi="Times New Roman"/>
          <w:sz w:val="24"/>
          <w:szCs w:val="24"/>
        </w:rPr>
        <w:t xml:space="preserve"> recover</w:t>
      </w:r>
      <w:r>
        <w:rPr>
          <w:rFonts w:ascii="Times New Roman" w:cs="Times New Roman" w:hAnsi="Times New Roman"/>
          <w:sz w:val="24"/>
          <w:szCs w:val="24"/>
        </w:rPr>
        <w:t xml:space="preserve"> from </w:t>
      </w:r>
      <w:r>
        <w:rPr>
          <w:rFonts w:ascii="Times New Roman" w:cs="Times New Roman" w:hAnsi="Times New Roman"/>
          <w:sz w:val="24"/>
          <w:szCs w:val="24"/>
        </w:rPr>
        <w:t>thi</w:t>
      </w:r>
      <w:r>
        <w:rPr>
          <w:rFonts w:ascii="Times New Roman" w:cs="Times New Roman" w:hAnsi="Times New Roman"/>
          <w:sz w:val="24"/>
          <w:szCs w:val="24"/>
        </w:rPr>
        <w:t>s state</w:t>
      </w:r>
      <w:r>
        <w:rPr>
          <w:rFonts w:ascii="Times New Roman" w:cs="Times New Roman" w:hAnsi="Times New Roman"/>
          <w:sz w:val="24"/>
          <w:szCs w:val="24"/>
        </w:rPr>
        <w:t xml:space="preserve">. They sought a declaration </w:t>
      </w:r>
      <w:r>
        <w:rPr>
          <w:rFonts w:ascii="Times New Roman" w:cs="Times New Roman" w:hAnsi="Times New Roman"/>
          <w:sz w:val="24"/>
          <w:szCs w:val="24"/>
        </w:rPr>
        <w:t xml:space="preserve">and permission </w:t>
      </w:r>
      <w:r>
        <w:rPr>
          <w:rFonts w:ascii="Times New Roman" w:cs="Times New Roman" w:hAnsi="Times New Roman"/>
          <w:sz w:val="24"/>
          <w:szCs w:val="24"/>
        </w:rPr>
        <w:t xml:space="preserve">from the </w:t>
      </w:r>
      <w:r>
        <w:rPr>
          <w:rFonts w:ascii="Times New Roman" w:cs="Times New Roman" w:hAnsi="Times New Roman"/>
          <w:sz w:val="24"/>
          <w:szCs w:val="24"/>
        </w:rPr>
        <w:t>legal bodies</w:t>
      </w:r>
      <w:r>
        <w:rPr>
          <w:rFonts w:ascii="Times New Roman" w:cs="Times New Roman" w:hAnsi="Times New Roman"/>
          <w:sz w:val="24"/>
          <w:szCs w:val="24"/>
        </w:rPr>
        <w:t xml:space="preserve"> that they could lawfully discontinue treatment, which included artificial feeding and hydration. The court granted the declaration, and the defendant died shortly after</w:t>
      </w:r>
      <w:r>
        <w:rPr>
          <w:rFonts w:ascii="Times New Roman" w:cs="Times New Roman" w:hAnsi="Times New Roman"/>
          <w:sz w:val="24"/>
          <w:szCs w:val="24"/>
        </w:rPr>
        <w:t xml:space="preserve"> (Manning, 2019)</w:t>
      </w:r>
      <w:r>
        <w:rPr>
          <w:rFonts w:ascii="Times New Roman" w:cs="Times New Roman" w:hAnsi="Times New Roman"/>
          <w:sz w:val="24"/>
          <w:szCs w:val="24"/>
        </w:rPr>
        <w:t>.</w:t>
      </w:r>
      <w:r>
        <w:rPr>
          <w:rFonts w:ascii="Times New Roman" w:cs="Times New Roman" w:hAnsi="Times New Roman"/>
          <w:sz w:val="24"/>
          <w:szCs w:val="24"/>
        </w:rPr>
        <w:t xml:space="preserve"> </w:t>
      </w:r>
      <w:r>
        <w:rPr>
          <w:rFonts w:ascii="Times New Roman" w:cs="Times New Roman" w:hAnsi="Times New Roman"/>
          <w:sz w:val="24"/>
          <w:szCs w:val="24"/>
        </w:rPr>
        <w:t>The case established the principle that a doctor has a duty to act</w:t>
      </w:r>
      <w:r>
        <w:rPr>
          <w:rFonts w:ascii="Times New Roman" w:cs="Times New Roman" w:hAnsi="Times New Roman"/>
          <w:sz w:val="24"/>
          <w:szCs w:val="24"/>
        </w:rPr>
        <w:t xml:space="preserve"> and</w:t>
      </w:r>
      <w:r>
        <w:rPr>
          <w:rFonts w:ascii="Times New Roman" w:cs="Times New Roman" w:hAnsi="Times New Roman"/>
          <w:sz w:val="24"/>
          <w:szCs w:val="24"/>
        </w:rPr>
        <w:t xml:space="preserve"> save a patient's life</w:t>
      </w:r>
      <w:r>
        <w:rPr>
          <w:rFonts w:ascii="Times New Roman" w:cs="Times New Roman" w:hAnsi="Times New Roman"/>
          <w:sz w:val="24"/>
          <w:szCs w:val="24"/>
        </w:rPr>
        <w:t>. H</w:t>
      </w:r>
      <w:r>
        <w:rPr>
          <w:rFonts w:ascii="Times New Roman" w:cs="Times New Roman" w:hAnsi="Times New Roman"/>
          <w:sz w:val="24"/>
          <w:szCs w:val="24"/>
        </w:rPr>
        <w:t>owever,</w:t>
      </w:r>
      <w:r>
        <w:rPr>
          <w:rFonts w:ascii="Times New Roman" w:cs="Times New Roman" w:hAnsi="Times New Roman"/>
          <w:sz w:val="24"/>
          <w:szCs w:val="24"/>
        </w:rPr>
        <w:t xml:space="preserve"> this duty is subject to certain limitations.</w:t>
      </w:r>
      <w:r>
        <w:rPr>
          <w:rFonts w:ascii="Times New Roman" w:cs="Times New Roman" w:hAnsi="Times New Roman"/>
          <w:sz w:val="24"/>
          <w:szCs w:val="24"/>
        </w:rPr>
        <w:t xml:space="preserve"> </w:t>
      </w:r>
      <w:r>
        <w:rPr>
          <w:rFonts w:ascii="Times New Roman" w:cs="Times New Roman" w:hAnsi="Times New Roman"/>
          <w:sz w:val="24"/>
          <w:szCs w:val="24"/>
        </w:rPr>
        <w:t>The duty to act was based on the doctor's professional duty to act in the best interests of the patient</w:t>
      </w:r>
      <w:r>
        <w:rPr>
          <w:rFonts w:ascii="Times New Roman" w:cs="Times New Roman" w:hAnsi="Times New Roman"/>
          <w:sz w:val="24"/>
          <w:szCs w:val="24"/>
        </w:rPr>
        <w:t xml:space="preserve"> (Jones, 2017)</w:t>
      </w:r>
      <w:r>
        <w:rPr>
          <w:rFonts w:ascii="Times New Roman" w:cs="Times New Roman" w:hAnsi="Times New Roman"/>
          <w:sz w:val="24"/>
          <w:szCs w:val="24"/>
        </w:rPr>
        <w:t>. This case also established that the withdrawal of life-sustaining treatment m</w:t>
      </w:r>
      <w:r>
        <w:rPr>
          <w:rFonts w:ascii="Times New Roman" w:cs="Times New Roman" w:hAnsi="Times New Roman"/>
          <w:sz w:val="24"/>
          <w:szCs w:val="24"/>
        </w:rPr>
        <w:t>ight</w:t>
      </w:r>
      <w:r>
        <w:rPr>
          <w:rFonts w:ascii="Times New Roman" w:cs="Times New Roman" w:hAnsi="Times New Roman"/>
          <w:sz w:val="24"/>
          <w:szCs w:val="24"/>
        </w:rPr>
        <w:t xml:space="preserve"> be </w:t>
      </w:r>
      <w:r>
        <w:rPr>
          <w:rFonts w:ascii="Times New Roman" w:cs="Times New Roman" w:hAnsi="Times New Roman"/>
          <w:sz w:val="24"/>
          <w:szCs w:val="24"/>
        </w:rPr>
        <w:t>under the law and</w:t>
      </w:r>
      <w:r>
        <w:rPr>
          <w:rFonts w:ascii="Times New Roman" w:cs="Times New Roman" w:hAnsi="Times New Roman"/>
          <w:sz w:val="24"/>
          <w:szCs w:val="24"/>
        </w:rPr>
        <w:t xml:space="preserve"> in </w:t>
      </w:r>
      <w:r>
        <w:rPr>
          <w:rFonts w:ascii="Times New Roman" w:cs="Times New Roman" w:hAnsi="Times New Roman"/>
          <w:sz w:val="24"/>
          <w:szCs w:val="24"/>
        </w:rPr>
        <w:t xml:space="preserve">a </w:t>
      </w:r>
      <w:r>
        <w:rPr>
          <w:rFonts w:ascii="Times New Roman" w:cs="Times New Roman" w:hAnsi="Times New Roman"/>
          <w:sz w:val="24"/>
          <w:szCs w:val="24"/>
        </w:rPr>
        <w:t xml:space="preserve">certain </w:t>
      </w:r>
      <w:r>
        <w:rPr>
          <w:rFonts w:ascii="Times New Roman" w:cs="Times New Roman" w:hAnsi="Times New Roman"/>
          <w:sz w:val="24"/>
          <w:szCs w:val="24"/>
        </w:rPr>
        <w:t>situation</w:t>
      </w:r>
      <w:r>
        <w:rPr>
          <w:rFonts w:ascii="Times New Roman" w:cs="Times New Roman" w:hAnsi="Times New Roman"/>
          <w:sz w:val="24"/>
          <w:szCs w:val="24"/>
        </w:rPr>
        <w:t xml:space="preserve"> where it is </w:t>
      </w:r>
      <w:r>
        <w:rPr>
          <w:rFonts w:ascii="Times New Roman" w:cs="Times New Roman" w:hAnsi="Times New Roman"/>
          <w:sz w:val="24"/>
          <w:szCs w:val="24"/>
        </w:rPr>
        <w:t xml:space="preserve">termed to be </w:t>
      </w:r>
      <w:r>
        <w:rPr>
          <w:rFonts w:ascii="Times New Roman" w:cs="Times New Roman" w:hAnsi="Times New Roman"/>
          <w:sz w:val="24"/>
          <w:szCs w:val="24"/>
        </w:rPr>
        <w:t xml:space="preserve">in </w:t>
      </w:r>
      <w:r>
        <w:rPr>
          <w:rFonts w:ascii="Times New Roman" w:cs="Times New Roman" w:hAnsi="Times New Roman"/>
          <w:sz w:val="24"/>
          <w:szCs w:val="24"/>
        </w:rPr>
        <w:t>the best interests of the patient.</w:t>
      </w:r>
    </w:p>
    <w:p>
      <w:pPr>
        <w:pStyle w:val="style0"/>
        <w:spacing w:lineRule="auto" w:line="480"/>
        <w:jc w:val="both"/>
        <w:rPr>
          <w:rFonts w:ascii="Times New Roman" w:cs="Times New Roman" w:hAnsi="Times New Roman"/>
          <w:sz w:val="24"/>
          <w:szCs w:val="24"/>
        </w:rPr>
      </w:pPr>
      <w:r>
        <w:rPr>
          <w:rFonts w:ascii="Times New Roman" w:cs="Times New Roman" w:hAnsi="Times New Roman"/>
          <w:sz w:val="24"/>
          <w:szCs w:val="24"/>
        </w:rPr>
        <w:t xml:space="preserve">A common law duty to act arises </w:t>
      </w:r>
      <w:r>
        <w:rPr>
          <w:rFonts w:ascii="Times New Roman" w:cs="Times New Roman" w:hAnsi="Times New Roman"/>
          <w:sz w:val="24"/>
          <w:szCs w:val="24"/>
        </w:rPr>
        <w:t>w</w:t>
      </w:r>
      <w:r>
        <w:rPr>
          <w:rFonts w:ascii="Times New Roman" w:cs="Times New Roman" w:hAnsi="Times New Roman"/>
          <w:sz w:val="24"/>
          <w:szCs w:val="24"/>
        </w:rPr>
        <w:t>hen there exists a unique bond between individuals, such as that of a guardian and their offspring</w:t>
      </w:r>
      <w:bookmarkStart w:id="0" w:name="_GoBack"/>
      <w:bookmarkEnd w:id="0"/>
      <w:r>
        <w:rPr>
          <w:rFonts w:ascii="Times New Roman" w:cs="Times New Roman" w:hAnsi="Times New Roman"/>
          <w:sz w:val="24"/>
          <w:szCs w:val="24"/>
        </w:rPr>
        <w:t>. I</w:t>
      </w:r>
      <w:r>
        <w:rPr>
          <w:rFonts w:ascii="Times New Roman" w:cs="Times New Roman" w:hAnsi="Times New Roman"/>
          <w:sz w:val="24"/>
          <w:szCs w:val="24"/>
        </w:rPr>
        <w:t>t can be considered a distinct connection</w:t>
      </w:r>
      <w:r>
        <w:rPr>
          <w:rFonts w:ascii="Times New Roman" w:cs="Times New Roman" w:hAnsi="Times New Roman"/>
          <w:sz w:val="24"/>
          <w:szCs w:val="24"/>
        </w:rPr>
        <w:t xml:space="preserve"> or a relationship of care and control, such as a prison officer and a prisoner</w:t>
      </w:r>
      <w:r>
        <w:rPr>
          <w:rFonts w:ascii="Times New Roman" w:cs="Times New Roman" w:hAnsi="Times New Roman"/>
          <w:sz w:val="24"/>
          <w:szCs w:val="24"/>
        </w:rPr>
        <w:t xml:space="preserve"> (Elliott, 2012)</w:t>
      </w:r>
      <w:r>
        <w:rPr>
          <w:rFonts w:ascii="Times New Roman" w:cs="Times New Roman" w:hAnsi="Times New Roman"/>
          <w:sz w:val="24"/>
          <w:szCs w:val="24"/>
        </w:rPr>
        <w:t>.</w:t>
      </w:r>
      <w:r>
        <w:rPr>
          <w:rFonts w:ascii="Times New Roman" w:cs="Times New Roman" w:hAnsi="Times New Roman"/>
          <w:sz w:val="24"/>
          <w:szCs w:val="24"/>
        </w:rPr>
        <w:t xml:space="preserve"> </w:t>
      </w:r>
      <w:r>
        <w:rPr>
          <w:rFonts w:ascii="Times New Roman" w:cs="Times New Roman" w:hAnsi="Times New Roman"/>
          <w:sz w:val="24"/>
          <w:szCs w:val="24"/>
        </w:rPr>
        <w:t>One example of a case that illustrates the concept of a common law duty to act</w:t>
      </w:r>
      <w:r>
        <w:rPr>
          <w:rFonts w:ascii="Times New Roman" w:cs="Times New Roman" w:hAnsi="Times New Roman"/>
          <w:sz w:val="24"/>
          <w:szCs w:val="24"/>
        </w:rPr>
        <w:t xml:space="preserve"> </w:t>
      </w:r>
      <w:r>
        <w:rPr>
          <w:rFonts w:ascii="Times New Roman" w:cs="Times New Roman" w:hAnsi="Times New Roman"/>
          <w:sz w:val="24"/>
          <w:szCs w:val="24"/>
        </w:rPr>
        <w:t xml:space="preserve">is </w:t>
      </w:r>
      <w:r>
        <w:rPr>
          <w:rFonts w:ascii="Times New Roman" w:cs="Times New Roman" w:hAnsi="Times New Roman"/>
          <w:sz w:val="24"/>
          <w:szCs w:val="24"/>
        </w:rPr>
        <w:t>R v Gibbins and Proctor</w:t>
      </w:r>
      <w:r>
        <w:rPr>
          <w:rFonts w:ascii="Times New Roman" w:cs="Times New Roman" w:hAnsi="Times New Roman"/>
          <w:sz w:val="24"/>
          <w:szCs w:val="24"/>
        </w:rPr>
        <w:t xml:space="preserve"> </w:t>
      </w:r>
      <w:r>
        <w:rPr>
          <w:rFonts w:ascii="Times New Roman" w:cs="Times New Roman" w:hAnsi="Times New Roman"/>
          <w:sz w:val="24"/>
          <w:szCs w:val="24"/>
        </w:rPr>
        <w:t>[1918]</w:t>
      </w:r>
      <w:r>
        <w:rPr>
          <w:rFonts w:ascii="Times New Roman" w:cs="Times New Roman" w:hAnsi="Times New Roman"/>
          <w:sz w:val="24"/>
          <w:szCs w:val="24"/>
        </w:rPr>
        <w:t>. T</w:t>
      </w:r>
      <w:r>
        <w:rPr>
          <w:rFonts w:ascii="Times New Roman" w:cs="Times New Roman" w:hAnsi="Times New Roman"/>
          <w:sz w:val="24"/>
          <w:szCs w:val="24"/>
        </w:rPr>
        <w:t>he case involved a father, John Frederick Gibbins, and his common-law wife, Sarah Ann Proctor, who were accused of the murder of Gibbins' child from a previous marriage</w:t>
      </w:r>
      <w:r>
        <w:rPr>
          <w:rFonts w:ascii="Times New Roman" w:cs="Times New Roman" w:hAnsi="Times New Roman"/>
          <w:sz w:val="24"/>
          <w:szCs w:val="24"/>
        </w:rPr>
        <w:t xml:space="preserve"> (</w:t>
      </w:r>
      <w:r>
        <w:rPr>
          <w:rFonts w:ascii="Times New Roman" w:cs="Times New Roman" w:hAnsi="Times New Roman"/>
          <w:sz w:val="24"/>
          <w:szCs w:val="24"/>
        </w:rPr>
        <w:t>Hasitha</w:t>
      </w:r>
      <w:r>
        <w:rPr>
          <w:rFonts w:ascii="Times New Roman" w:cs="Times New Roman" w:hAnsi="Times New Roman"/>
          <w:sz w:val="24"/>
          <w:szCs w:val="24"/>
        </w:rPr>
        <w:t xml:space="preserve"> and Jain, 2019)</w:t>
      </w:r>
      <w:r>
        <w:rPr>
          <w:rFonts w:ascii="Times New Roman" w:cs="Times New Roman" w:hAnsi="Times New Roman"/>
          <w:sz w:val="24"/>
          <w:szCs w:val="24"/>
        </w:rPr>
        <w:t>. The child was starved to death, and the prosecution argued that the defendants had a duty to provide the child with food and failed to do so, resulting in the child's death. The court held that the defendants</w:t>
      </w:r>
      <w:r>
        <w:rPr>
          <w:rFonts w:ascii="Times New Roman" w:cs="Times New Roman" w:hAnsi="Times New Roman"/>
          <w:sz w:val="24"/>
          <w:szCs w:val="24"/>
        </w:rPr>
        <w:t>, in this case,</w:t>
      </w:r>
      <w:r>
        <w:rPr>
          <w:rFonts w:ascii="Times New Roman" w:cs="Times New Roman" w:hAnsi="Times New Roman"/>
          <w:sz w:val="24"/>
          <w:szCs w:val="24"/>
        </w:rPr>
        <w:t xml:space="preserve"> </w:t>
      </w:r>
      <w:r>
        <w:rPr>
          <w:rFonts w:ascii="Times New Roman" w:cs="Times New Roman" w:hAnsi="Times New Roman"/>
          <w:sz w:val="24"/>
          <w:szCs w:val="24"/>
        </w:rPr>
        <w:t>had a duty of care toward the child</w:t>
      </w:r>
      <w:r>
        <w:rPr>
          <w:rFonts w:ascii="Times New Roman" w:cs="Times New Roman" w:hAnsi="Times New Roman"/>
          <w:sz w:val="24"/>
          <w:szCs w:val="24"/>
        </w:rPr>
        <w:t>,</w:t>
      </w:r>
      <w:r>
        <w:rPr>
          <w:rFonts w:ascii="Times New Roman" w:cs="Times New Roman" w:hAnsi="Times New Roman"/>
          <w:sz w:val="24"/>
          <w:szCs w:val="24"/>
        </w:rPr>
        <w:t xml:space="preserve"> and their failure to </w:t>
      </w:r>
      <w:r>
        <w:rPr>
          <w:rFonts w:ascii="Times New Roman" w:cs="Times New Roman" w:hAnsi="Times New Roman"/>
          <w:sz w:val="24"/>
          <w:szCs w:val="24"/>
        </w:rPr>
        <w:t>fulfil</w:t>
      </w:r>
      <w:r>
        <w:rPr>
          <w:rFonts w:ascii="Times New Roman" w:cs="Times New Roman" w:hAnsi="Times New Roman"/>
          <w:sz w:val="24"/>
          <w:szCs w:val="24"/>
        </w:rPr>
        <w:t xml:space="preserve"> that duty </w:t>
      </w:r>
      <w:r>
        <w:rPr>
          <w:rFonts w:ascii="Times New Roman" w:cs="Times New Roman" w:hAnsi="Times New Roman"/>
          <w:sz w:val="24"/>
          <w:szCs w:val="24"/>
        </w:rPr>
        <w:t>amounted to murder</w:t>
      </w:r>
      <w:r>
        <w:rPr>
          <w:rFonts w:ascii="Times New Roman" w:cs="Times New Roman" w:hAnsi="Times New Roman"/>
          <w:sz w:val="24"/>
          <w:szCs w:val="24"/>
        </w:rPr>
        <w:t xml:space="preserve"> (</w:t>
      </w:r>
      <w:r>
        <w:rPr>
          <w:rFonts w:ascii="Times New Roman" w:cs="Times New Roman" w:hAnsi="Times New Roman"/>
          <w:sz w:val="24"/>
          <w:szCs w:val="24"/>
        </w:rPr>
        <w:t>Hersi</w:t>
      </w:r>
      <w:r>
        <w:rPr>
          <w:rFonts w:ascii="Times New Roman" w:cs="Times New Roman" w:hAnsi="Times New Roman"/>
          <w:sz w:val="24"/>
          <w:szCs w:val="24"/>
        </w:rPr>
        <w:t>, 2020)</w:t>
      </w:r>
      <w:r>
        <w:rPr>
          <w:rFonts w:ascii="Times New Roman" w:cs="Times New Roman" w:hAnsi="Times New Roman"/>
          <w:sz w:val="24"/>
          <w:szCs w:val="24"/>
        </w:rPr>
        <w:t>. This case established the principle of a common law duty to act in certain relationships, such as parent-child relationships.</w:t>
      </w:r>
    </w:p>
    <w:p>
      <w:pPr>
        <w:pStyle w:val="style0"/>
        <w:spacing w:lineRule="auto" w:line="480"/>
        <w:jc w:val="both"/>
        <w:rPr>
          <w:rFonts w:ascii="Times New Roman" w:cs="Times New Roman" w:hAnsi="Times New Roman"/>
          <w:sz w:val="24"/>
          <w:szCs w:val="24"/>
        </w:rPr>
      </w:pPr>
      <w:r>
        <w:rPr>
          <w:rFonts w:ascii="Times New Roman" w:cs="Times New Roman" w:hAnsi="Times New Roman"/>
          <w:sz w:val="24"/>
          <w:szCs w:val="24"/>
        </w:rPr>
        <w:t>A duty to act can stop when the legal obligation to act is fulfilled, when the situation no longer requires action, or when the duty is transferred to another person who is better equipped to act. For example, a doctor's duty to treat their patient ends when the patient is discharged from the hospital, or a lifeguard's duty to rescue a swimmer ends when another trained lifeguard takes over</w:t>
      </w:r>
      <w:r>
        <w:rPr>
          <w:rFonts w:ascii="Times New Roman" w:cs="Times New Roman" w:hAnsi="Times New Roman"/>
          <w:sz w:val="24"/>
          <w:szCs w:val="24"/>
        </w:rPr>
        <w:t xml:space="preserve"> (Birchall and Ramus, 2007)</w:t>
      </w:r>
      <w:r>
        <w:rPr>
          <w:rFonts w:ascii="Times New Roman" w:cs="Times New Roman" w:hAnsi="Times New Roman"/>
          <w:sz w:val="24"/>
          <w:szCs w:val="24"/>
        </w:rPr>
        <w:t>.</w:t>
      </w:r>
      <w:r>
        <w:rPr>
          <w:rFonts w:ascii="Times New Roman" w:cs="Times New Roman" w:hAnsi="Times New Roman"/>
          <w:sz w:val="24"/>
          <w:szCs w:val="24"/>
        </w:rPr>
        <w:t xml:space="preserve"> </w:t>
      </w:r>
      <w:r>
        <w:rPr>
          <w:rFonts w:ascii="Times New Roman" w:cs="Times New Roman" w:hAnsi="Times New Roman"/>
          <w:sz w:val="24"/>
          <w:szCs w:val="24"/>
        </w:rPr>
        <w:t xml:space="preserve">However, this does not </w:t>
      </w:r>
      <w:r>
        <w:rPr>
          <w:rFonts w:ascii="Times New Roman" w:cs="Times New Roman" w:hAnsi="Times New Roman"/>
          <w:sz w:val="24"/>
          <w:szCs w:val="24"/>
        </w:rPr>
        <w:t>stop</w:t>
      </w:r>
      <w:r>
        <w:rPr>
          <w:rFonts w:ascii="Times New Roman" w:cs="Times New Roman" w:hAnsi="Times New Roman"/>
          <w:sz w:val="24"/>
          <w:szCs w:val="24"/>
        </w:rPr>
        <w:t xml:space="preserve"> a person </w:t>
      </w:r>
      <w:r>
        <w:rPr>
          <w:rFonts w:ascii="Times New Roman" w:cs="Times New Roman" w:hAnsi="Times New Roman"/>
          <w:sz w:val="24"/>
          <w:szCs w:val="24"/>
        </w:rPr>
        <w:t>from acting</w:t>
      </w:r>
      <w:r>
        <w:rPr>
          <w:rFonts w:ascii="Times New Roman" w:cs="Times New Roman" w:hAnsi="Times New Roman"/>
          <w:sz w:val="24"/>
          <w:szCs w:val="24"/>
        </w:rPr>
        <w:t xml:space="preserve"> or ensure that they will not be held for criminal law due to </w:t>
      </w:r>
      <w:r>
        <w:rPr>
          <w:rFonts w:ascii="Times New Roman" w:cs="Times New Roman" w:hAnsi="Times New Roman"/>
          <w:sz w:val="24"/>
          <w:szCs w:val="24"/>
        </w:rPr>
        <w:t xml:space="preserve">the </w:t>
      </w:r>
      <w:r>
        <w:rPr>
          <w:rFonts w:ascii="Times New Roman" w:cs="Times New Roman" w:hAnsi="Times New Roman"/>
          <w:sz w:val="24"/>
          <w:szCs w:val="24"/>
        </w:rPr>
        <w:t xml:space="preserve">duty to act stop. </w:t>
      </w:r>
      <w:r>
        <w:rPr>
          <w:rFonts w:ascii="Times New Roman" w:cs="Times New Roman" w:hAnsi="Times New Roman"/>
          <w:sz w:val="24"/>
          <w:szCs w:val="24"/>
        </w:rPr>
        <w:t xml:space="preserve">The case </w:t>
      </w:r>
      <w:r>
        <w:rPr>
          <w:rFonts w:ascii="Times New Roman" w:cs="Times New Roman" w:hAnsi="Times New Roman"/>
          <w:sz w:val="24"/>
          <w:szCs w:val="24"/>
        </w:rPr>
        <w:t xml:space="preserve">R v </w:t>
      </w:r>
      <w:r>
        <w:rPr>
          <w:rFonts w:ascii="Times New Roman" w:cs="Times New Roman" w:hAnsi="Times New Roman"/>
          <w:sz w:val="24"/>
          <w:szCs w:val="24"/>
        </w:rPr>
        <w:t>Dytham</w:t>
      </w:r>
      <w:r>
        <w:rPr>
          <w:rFonts w:ascii="Times New Roman" w:cs="Times New Roman" w:hAnsi="Times New Roman"/>
          <w:sz w:val="24"/>
          <w:szCs w:val="24"/>
        </w:rPr>
        <w:t xml:space="preserve"> [1979] QB 722</w:t>
      </w:r>
      <w:r>
        <w:rPr>
          <w:rFonts w:ascii="Times New Roman" w:cs="Times New Roman" w:hAnsi="Times New Roman"/>
          <w:sz w:val="24"/>
          <w:szCs w:val="24"/>
        </w:rPr>
        <w:t xml:space="preserve"> best describes this concept. This case </w:t>
      </w:r>
      <w:r>
        <w:rPr>
          <w:rFonts w:ascii="Times New Roman" w:cs="Times New Roman" w:hAnsi="Times New Roman"/>
          <w:sz w:val="24"/>
          <w:szCs w:val="24"/>
        </w:rPr>
        <w:t xml:space="preserve">involved a police officer who failed to intervene and prevent an assault outside a nightclub. The officer was found guilty of </w:t>
      </w:r>
      <w:r>
        <w:rPr>
          <w:rFonts w:ascii="Times New Roman" w:cs="Times New Roman" w:hAnsi="Times New Roman"/>
          <w:sz w:val="24"/>
          <w:szCs w:val="24"/>
        </w:rPr>
        <w:t>wilful</w:t>
      </w:r>
      <w:r>
        <w:rPr>
          <w:rFonts w:ascii="Times New Roman" w:cs="Times New Roman" w:hAnsi="Times New Roman"/>
          <w:sz w:val="24"/>
          <w:szCs w:val="24"/>
        </w:rPr>
        <w:t xml:space="preserve"> neglect of duty and was dismissed from the force</w:t>
      </w:r>
      <w:r>
        <w:rPr>
          <w:rFonts w:ascii="Times New Roman" w:cs="Times New Roman" w:hAnsi="Times New Roman"/>
          <w:sz w:val="24"/>
          <w:szCs w:val="24"/>
        </w:rPr>
        <w:t xml:space="preserve"> (Williams, 2010)</w:t>
      </w:r>
      <w:r>
        <w:rPr>
          <w:rFonts w:ascii="Times New Roman" w:cs="Times New Roman" w:hAnsi="Times New Roman"/>
          <w:sz w:val="24"/>
          <w:szCs w:val="24"/>
        </w:rPr>
        <w:t>. The court held that the officer had a duty to act as a police officer and to prevent the assault from taking place. The duty to act did not end simply because the officer was off duty at the time of the incident. The court found that the officer's failure to act was a serious breach of his duty, and he was held criminally liable for his inaction.</w:t>
      </w:r>
    </w:p>
    <w:p>
      <w:pPr>
        <w:pStyle w:val="style0"/>
        <w:spacing w:lineRule="auto" w:line="480"/>
        <w:jc w:val="both"/>
        <w:rPr>
          <w:rFonts w:ascii="Times New Roman" w:cs="Times New Roman" w:hAnsi="Times New Roman"/>
          <w:sz w:val="24"/>
          <w:szCs w:val="24"/>
        </w:rPr>
      </w:pPr>
      <w:r>
        <w:rPr>
          <w:rFonts w:ascii="Times New Roman" w:cs="Times New Roman" w:hAnsi="Times New Roman"/>
          <w:sz w:val="24"/>
          <w:szCs w:val="24"/>
        </w:rPr>
        <w:t>The question of whether there should be a general duty to act raises complex ethical and practical considerations. On</w:t>
      </w:r>
      <w:r>
        <w:rPr>
          <w:rFonts w:ascii="Times New Roman" w:cs="Times New Roman" w:hAnsi="Times New Roman"/>
          <w:sz w:val="24"/>
          <w:szCs w:val="24"/>
        </w:rPr>
        <w:t xml:space="preserve"> the</w:t>
      </w:r>
      <w:r>
        <w:rPr>
          <w:rFonts w:ascii="Times New Roman" w:cs="Times New Roman" w:hAnsi="Times New Roman"/>
          <w:sz w:val="24"/>
          <w:szCs w:val="24"/>
        </w:rPr>
        <w:t xml:space="preserve"> one hand, a general duty to act can promote social responsibility and accountability. It can encourage individuals to take positive action to prevent harm or damage to others and help to create a more just and equitable society</w:t>
      </w:r>
      <w:r>
        <w:rPr>
          <w:rFonts w:ascii="Times New Roman" w:cs="Times New Roman" w:hAnsi="Times New Roman"/>
          <w:sz w:val="24"/>
          <w:szCs w:val="24"/>
        </w:rPr>
        <w:t xml:space="preserve"> (Tucker </w:t>
      </w:r>
      <w:r>
        <w:rPr>
          <w:rFonts w:ascii="Times New Roman" w:cs="Times New Roman" w:hAnsi="Times New Roman"/>
          <w:i/>
          <w:iCs/>
          <w:sz w:val="24"/>
          <w:szCs w:val="24"/>
        </w:rPr>
        <w:t>et al.</w:t>
      </w:r>
      <w:r>
        <w:rPr>
          <w:rFonts w:ascii="Times New Roman" w:cs="Times New Roman" w:hAnsi="Times New Roman"/>
          <w:sz w:val="24"/>
          <w:szCs w:val="24"/>
        </w:rPr>
        <w:t>, 2019)</w:t>
      </w:r>
      <w:r>
        <w:rPr>
          <w:rFonts w:ascii="Times New Roman" w:cs="Times New Roman" w:hAnsi="Times New Roman"/>
          <w:sz w:val="24"/>
          <w:szCs w:val="24"/>
        </w:rPr>
        <w:t>. For example, it may require individuals to report crimes or intervene in emergency situations.</w:t>
      </w:r>
      <w:r>
        <w:rPr>
          <w:rFonts w:ascii="Times New Roman" w:cs="Times New Roman" w:hAnsi="Times New Roman"/>
          <w:sz w:val="24"/>
          <w:szCs w:val="24"/>
        </w:rPr>
        <w:t xml:space="preserve"> </w:t>
      </w:r>
      <w:r>
        <w:rPr>
          <w:rFonts w:ascii="Times New Roman" w:cs="Times New Roman" w:hAnsi="Times New Roman"/>
          <w:sz w:val="24"/>
          <w:szCs w:val="24"/>
        </w:rPr>
        <w:t>However, there are also potential drawbacks to a general duty to act. Firstly, it may be difficult to define the scope of such a duty and to determine what actions would be considered sufficient to fulfil the duty. This could lead to confusion and uncertainty and potentially create a chilling effect where individuals are hesitant to take action for fear of legal consequences</w:t>
      </w:r>
      <w:r>
        <w:rPr>
          <w:rFonts w:ascii="Times New Roman" w:cs="Times New Roman" w:hAnsi="Times New Roman"/>
          <w:sz w:val="24"/>
          <w:szCs w:val="24"/>
        </w:rPr>
        <w:t xml:space="preserve"> (Sehgal, 2021)</w:t>
      </w:r>
      <w:r>
        <w:rPr>
          <w:rFonts w:ascii="Times New Roman" w:cs="Times New Roman" w:hAnsi="Times New Roman"/>
          <w:sz w:val="24"/>
          <w:szCs w:val="24"/>
        </w:rPr>
        <w:t>.</w:t>
      </w:r>
      <w:r>
        <w:rPr>
          <w:rFonts w:ascii="Times New Roman" w:cs="Times New Roman" w:hAnsi="Times New Roman"/>
          <w:sz w:val="24"/>
          <w:szCs w:val="24"/>
        </w:rPr>
        <w:t xml:space="preserve"> </w:t>
      </w:r>
      <w:r>
        <w:rPr>
          <w:rFonts w:ascii="Times New Roman" w:cs="Times New Roman" w:hAnsi="Times New Roman"/>
          <w:sz w:val="24"/>
          <w:szCs w:val="24"/>
        </w:rPr>
        <w:t xml:space="preserve">Secondly, a general duty </w:t>
      </w:r>
      <w:r>
        <w:rPr>
          <w:rFonts w:ascii="Times New Roman" w:cs="Times New Roman" w:hAnsi="Times New Roman"/>
          <w:sz w:val="24"/>
          <w:szCs w:val="24"/>
        </w:rPr>
        <w:t xml:space="preserve">to act may impose an undue burden on individuals who may not have the resources, skills, or knowledge to </w:t>
      </w:r>
      <w:r>
        <w:rPr>
          <w:rFonts w:ascii="Times New Roman" w:cs="Times New Roman" w:hAnsi="Times New Roman"/>
          <w:sz w:val="24"/>
          <w:szCs w:val="24"/>
        </w:rPr>
        <w:t>fulfi</w:t>
      </w:r>
      <w:r>
        <w:rPr>
          <w:rFonts w:ascii="Times New Roman" w:cs="Times New Roman" w:hAnsi="Times New Roman"/>
          <w:sz w:val="24"/>
          <w:szCs w:val="24"/>
        </w:rPr>
        <w:t>l</w:t>
      </w:r>
      <w:r>
        <w:rPr>
          <w:rFonts w:ascii="Times New Roman" w:cs="Times New Roman" w:hAnsi="Times New Roman"/>
          <w:sz w:val="24"/>
          <w:szCs w:val="24"/>
        </w:rPr>
        <w:t xml:space="preserve"> such a duty. For example, requiring individuals to report crimes may disproportionately affect marginalized and vulnerable populations who may not have access to legal resources or may fear retaliation from authorities.</w:t>
      </w:r>
      <w:r>
        <w:rPr>
          <w:rFonts w:ascii="Times New Roman" w:cs="Times New Roman" w:hAnsi="Times New Roman"/>
          <w:sz w:val="24"/>
          <w:szCs w:val="24"/>
        </w:rPr>
        <w:t xml:space="preserve"> </w:t>
      </w:r>
    </w:p>
    <w:p>
      <w:pPr>
        <w:pStyle w:val="style0"/>
        <w:spacing w:lineRule="auto" w:line="480"/>
        <w:jc w:val="both"/>
        <w:rPr>
          <w:rFonts w:ascii="Times New Roman" w:cs="Times New Roman" w:hAnsi="Times New Roman"/>
          <w:sz w:val="24"/>
          <w:szCs w:val="24"/>
        </w:rPr>
      </w:pPr>
      <w:r>
        <w:rPr>
          <w:rFonts w:ascii="Times New Roman" w:cs="Times New Roman" w:hAnsi="Times New Roman"/>
          <w:sz w:val="24"/>
          <w:szCs w:val="24"/>
        </w:rPr>
        <w:t>Ultimately, the decision to impose a general duty to act must balance the potential benefits of increased social responsibility and accountability with the potential risks of creating undue burden and uncertainty</w:t>
      </w:r>
      <w:r>
        <w:rPr>
          <w:rFonts w:ascii="Times New Roman" w:cs="Times New Roman" w:hAnsi="Times New Roman"/>
          <w:sz w:val="24"/>
          <w:szCs w:val="24"/>
        </w:rPr>
        <w:t xml:space="preserve"> (O’Malley, 2021)</w:t>
      </w:r>
      <w:r>
        <w:rPr>
          <w:rFonts w:ascii="Times New Roman" w:cs="Times New Roman" w:hAnsi="Times New Roman"/>
          <w:sz w:val="24"/>
          <w:szCs w:val="24"/>
        </w:rPr>
        <w:t>. It may be more effective to focus on specific duties to act in particular situations where there is a clear and compelling need for action rather than imposing a broad and ill-defined duty that could lead to unintended consequences.</w:t>
      </w:r>
    </w:p>
    <w:p>
      <w:pPr>
        <w:pStyle w:val="style0"/>
        <w:spacing w:lineRule="auto" w:line="480"/>
        <w:jc w:val="both"/>
        <w:rPr>
          <w:rFonts w:ascii="Times New Roman" w:cs="Times New Roman" w:hAnsi="Times New Roman"/>
          <w:sz w:val="24"/>
          <w:szCs w:val="24"/>
        </w:rPr>
      </w:pPr>
    </w:p>
    <w:p>
      <w:pPr>
        <w:pStyle w:val="style0"/>
        <w:rPr>
          <w:rFonts w:ascii="Times New Roman" w:cs="Times New Roman" w:hAnsi="Times New Roman"/>
          <w:b/>
          <w:bCs/>
          <w:sz w:val="24"/>
          <w:szCs w:val="24"/>
        </w:rPr>
      </w:pPr>
      <w:r>
        <w:rPr>
          <w:rFonts w:ascii="Times New Roman" w:cs="Times New Roman" w:hAnsi="Times New Roman"/>
          <w:b/>
          <w:bCs/>
          <w:sz w:val="24"/>
          <w:szCs w:val="24"/>
        </w:rPr>
        <w:br w:type="page"/>
      </w:r>
    </w:p>
    <w:p>
      <w:pPr>
        <w:pStyle w:val="style0"/>
        <w:spacing w:lineRule="auto" w:line="480"/>
        <w:jc w:val="both"/>
        <w:rPr>
          <w:rFonts w:ascii="Times New Roman" w:cs="Times New Roman" w:hAnsi="Times New Roman"/>
          <w:b/>
          <w:bCs/>
          <w:sz w:val="24"/>
          <w:szCs w:val="24"/>
        </w:rPr>
      </w:pPr>
      <w:r>
        <w:rPr>
          <w:rFonts w:ascii="Times New Roman" w:cs="Times New Roman" w:hAnsi="Times New Roman"/>
          <w:b/>
          <w:bCs/>
          <w:sz w:val="24"/>
          <w:szCs w:val="24"/>
        </w:rPr>
        <w:t xml:space="preserve">Reference List </w:t>
      </w:r>
    </w:p>
    <w:p>
      <w:pPr>
        <w:pStyle w:val="style0"/>
        <w:spacing w:lineRule="auto" w:line="480"/>
        <w:jc w:val="both"/>
        <w:rPr>
          <w:rFonts w:ascii="Times New Roman" w:cs="Times New Roman" w:hAnsi="Times New Roman"/>
          <w:color w:val="222222"/>
          <w:sz w:val="24"/>
          <w:szCs w:val="24"/>
          <w:shd w:val="clear" w:color="auto" w:fill="ffffff"/>
        </w:rPr>
      </w:pPr>
      <w:r>
        <w:rPr>
          <w:rFonts w:ascii="Times New Roman" w:cs="Times New Roman" w:hAnsi="Times New Roman"/>
          <w:color w:val="222222"/>
          <w:sz w:val="24"/>
          <w:szCs w:val="24"/>
          <w:shd w:val="clear" w:color="auto" w:fill="ffffff"/>
        </w:rPr>
        <w:t>Andr</w:t>
      </w:r>
      <w:r>
        <w:rPr>
          <w:rFonts w:ascii="Times New Roman" w:cs="Times New Roman" w:hAnsi="Times New Roman"/>
          <w:color w:val="222222"/>
          <w:sz w:val="24"/>
          <w:szCs w:val="24"/>
          <w:shd w:val="clear" w:color="auto" w:fill="ffffff"/>
        </w:rPr>
        <w:t>ews, D. A. and Bonta, J. (2010)</w:t>
      </w:r>
      <w:r>
        <w:rPr>
          <w:rFonts w:ascii="Times New Roman" w:cs="Times New Roman" w:hAnsi="Times New Roman"/>
          <w:color w:val="222222"/>
          <w:sz w:val="24"/>
          <w:szCs w:val="24"/>
          <w:shd w:val="clear" w:color="auto" w:fill="ffffff"/>
        </w:rPr>
        <w:t xml:space="preserve"> Rehabilitating criminal justice policy and practice. </w:t>
      </w:r>
      <w:r>
        <w:rPr>
          <w:rFonts w:ascii="Times New Roman" w:cs="Times New Roman" w:hAnsi="Times New Roman"/>
          <w:i/>
          <w:iCs/>
          <w:color w:val="222222"/>
          <w:sz w:val="24"/>
          <w:szCs w:val="24"/>
          <w:shd w:val="clear" w:color="auto" w:fill="ffffff"/>
        </w:rPr>
        <w:t>Psychology, Public Policy, and Law</w:t>
      </w:r>
      <w:r>
        <w:rPr>
          <w:rFonts w:ascii="Times New Roman" w:cs="Times New Roman" w:hAnsi="Times New Roman"/>
          <w:color w:val="222222"/>
          <w:sz w:val="24"/>
          <w:szCs w:val="24"/>
          <w:shd w:val="clear" w:color="auto" w:fill="ffffff"/>
        </w:rPr>
        <w:t>, </w:t>
      </w:r>
      <w:r>
        <w:rPr>
          <w:rFonts w:ascii="Times New Roman" w:cs="Times New Roman" w:hAnsi="Times New Roman"/>
          <w:b/>
          <w:bCs/>
          <w:color w:val="222222"/>
          <w:sz w:val="24"/>
          <w:szCs w:val="24"/>
          <w:shd w:val="clear" w:color="auto" w:fill="ffffff"/>
        </w:rPr>
        <w:t>16</w:t>
      </w:r>
      <w:r>
        <w:rPr>
          <w:rFonts w:ascii="Times New Roman" w:cs="Times New Roman" w:hAnsi="Times New Roman"/>
          <w:color w:val="222222"/>
          <w:sz w:val="24"/>
          <w:szCs w:val="24"/>
          <w:shd w:val="clear" w:color="auto" w:fill="ffffff"/>
        </w:rPr>
        <w:t>(1), 39.</w:t>
      </w:r>
    </w:p>
    <w:p>
      <w:pPr>
        <w:pStyle w:val="style0"/>
        <w:spacing w:lineRule="auto" w:line="480"/>
        <w:jc w:val="both"/>
        <w:rPr>
          <w:rFonts w:ascii="Times New Roman" w:cs="Times New Roman" w:hAnsi="Times New Roman"/>
          <w:color w:val="222222"/>
          <w:sz w:val="24"/>
          <w:szCs w:val="24"/>
          <w:shd w:val="clear" w:color="auto" w:fill="ffffff"/>
        </w:rPr>
      </w:pPr>
      <w:r>
        <w:rPr>
          <w:rFonts w:ascii="Times New Roman" w:cs="Times New Roman" w:hAnsi="Times New Roman"/>
          <w:color w:val="222222"/>
          <w:sz w:val="24"/>
          <w:szCs w:val="24"/>
          <w:shd w:val="clear" w:color="auto" w:fill="ffffff"/>
        </w:rPr>
        <w:t>Ash</w:t>
      </w:r>
      <w:r>
        <w:rPr>
          <w:rFonts w:ascii="Times New Roman" w:cs="Times New Roman" w:hAnsi="Times New Roman"/>
          <w:color w:val="222222"/>
          <w:sz w:val="24"/>
          <w:szCs w:val="24"/>
          <w:shd w:val="clear" w:color="auto" w:fill="ffffff"/>
        </w:rPr>
        <w:t xml:space="preserve">worth, A. and </w:t>
      </w:r>
      <w:r>
        <w:rPr>
          <w:rFonts w:ascii="Times New Roman" w:cs="Times New Roman" w:hAnsi="Times New Roman"/>
          <w:color w:val="222222"/>
          <w:sz w:val="24"/>
          <w:szCs w:val="24"/>
          <w:shd w:val="clear" w:color="auto" w:fill="ffffff"/>
        </w:rPr>
        <w:t>Horder</w:t>
      </w:r>
      <w:r>
        <w:rPr>
          <w:rFonts w:ascii="Times New Roman" w:cs="Times New Roman" w:hAnsi="Times New Roman"/>
          <w:color w:val="222222"/>
          <w:sz w:val="24"/>
          <w:szCs w:val="24"/>
          <w:shd w:val="clear" w:color="auto" w:fill="ffffff"/>
        </w:rPr>
        <w:t>, J. (2013)</w:t>
      </w:r>
      <w:r>
        <w:rPr>
          <w:rFonts w:ascii="Times New Roman" w:cs="Times New Roman" w:hAnsi="Times New Roman"/>
          <w:color w:val="222222"/>
          <w:sz w:val="24"/>
          <w:szCs w:val="24"/>
          <w:shd w:val="clear" w:color="auto" w:fill="ffffff"/>
        </w:rPr>
        <w:t> </w:t>
      </w:r>
      <w:r>
        <w:rPr>
          <w:rFonts w:ascii="Times New Roman" w:cs="Times New Roman" w:hAnsi="Times New Roman"/>
          <w:i/>
          <w:iCs/>
          <w:color w:val="222222"/>
          <w:sz w:val="24"/>
          <w:szCs w:val="24"/>
          <w:shd w:val="clear" w:color="auto" w:fill="ffffff"/>
        </w:rPr>
        <w:t>Principles of criminal law</w:t>
      </w:r>
      <w:r>
        <w:rPr>
          <w:rFonts w:ascii="Times New Roman" w:cs="Times New Roman" w:hAnsi="Times New Roman"/>
          <w:color w:val="222222"/>
          <w:sz w:val="24"/>
          <w:szCs w:val="24"/>
          <w:shd w:val="clear" w:color="auto" w:fill="ffffff"/>
        </w:rPr>
        <w:t>. Oxford university press.</w:t>
      </w:r>
    </w:p>
    <w:p>
      <w:pPr>
        <w:pStyle w:val="style0"/>
        <w:spacing w:lineRule="auto" w:line="480"/>
        <w:jc w:val="both"/>
        <w:rPr>
          <w:rFonts w:ascii="Times New Roman" w:cs="Times New Roman" w:hAnsi="Times New Roman"/>
          <w:color w:val="222222"/>
          <w:sz w:val="24"/>
          <w:szCs w:val="24"/>
          <w:shd w:val="clear" w:color="auto" w:fill="ffffff"/>
        </w:rPr>
      </w:pPr>
      <w:r>
        <w:rPr>
          <w:rFonts w:ascii="Times New Roman" w:cs="Times New Roman" w:hAnsi="Times New Roman"/>
          <w:color w:val="222222"/>
          <w:sz w:val="24"/>
          <w:szCs w:val="24"/>
          <w:shd w:val="clear" w:color="auto" w:fill="ffffff"/>
        </w:rPr>
        <w:t>Ash</w:t>
      </w:r>
      <w:r>
        <w:rPr>
          <w:rFonts w:ascii="Times New Roman" w:cs="Times New Roman" w:hAnsi="Times New Roman"/>
          <w:color w:val="222222"/>
          <w:sz w:val="24"/>
          <w:szCs w:val="24"/>
          <w:shd w:val="clear" w:color="auto" w:fill="ffffff"/>
        </w:rPr>
        <w:t xml:space="preserve">worth, A. and </w:t>
      </w:r>
      <w:r>
        <w:rPr>
          <w:rFonts w:ascii="Times New Roman" w:cs="Times New Roman" w:hAnsi="Times New Roman"/>
          <w:color w:val="222222"/>
          <w:sz w:val="24"/>
          <w:szCs w:val="24"/>
          <w:shd w:val="clear" w:color="auto" w:fill="ffffff"/>
        </w:rPr>
        <w:t>Zedner</w:t>
      </w:r>
      <w:r>
        <w:rPr>
          <w:rFonts w:ascii="Times New Roman" w:cs="Times New Roman" w:hAnsi="Times New Roman"/>
          <w:color w:val="222222"/>
          <w:sz w:val="24"/>
          <w:szCs w:val="24"/>
          <w:shd w:val="clear" w:color="auto" w:fill="ffffff"/>
        </w:rPr>
        <w:t>, L. (2008)</w:t>
      </w:r>
      <w:r>
        <w:rPr>
          <w:rFonts w:ascii="Times New Roman" w:cs="Times New Roman" w:hAnsi="Times New Roman"/>
          <w:color w:val="222222"/>
          <w:sz w:val="24"/>
          <w:szCs w:val="24"/>
          <w:shd w:val="clear" w:color="auto" w:fill="ffffff"/>
        </w:rPr>
        <w:t xml:space="preserve"> Defending the criminal law: Reflections on the changing character of crime, procedure, and sanctions. </w:t>
      </w:r>
      <w:r>
        <w:rPr>
          <w:rFonts w:ascii="Times New Roman" w:cs="Times New Roman" w:hAnsi="Times New Roman"/>
          <w:i/>
          <w:iCs/>
          <w:color w:val="222222"/>
          <w:sz w:val="24"/>
          <w:szCs w:val="24"/>
          <w:shd w:val="clear" w:color="auto" w:fill="ffffff"/>
        </w:rPr>
        <w:t>Criminal Law and Philosophy</w:t>
      </w:r>
      <w:r>
        <w:rPr>
          <w:rFonts w:ascii="Times New Roman" w:cs="Times New Roman" w:hAnsi="Times New Roman"/>
          <w:color w:val="222222"/>
          <w:sz w:val="24"/>
          <w:szCs w:val="24"/>
          <w:shd w:val="clear" w:color="auto" w:fill="ffffff"/>
        </w:rPr>
        <w:t>, </w:t>
      </w:r>
      <w:r>
        <w:rPr>
          <w:rFonts w:ascii="Times New Roman" w:cs="Times New Roman" w:hAnsi="Times New Roman"/>
          <w:b/>
          <w:bCs/>
          <w:color w:val="222222"/>
          <w:sz w:val="24"/>
          <w:szCs w:val="24"/>
          <w:shd w:val="clear" w:color="auto" w:fill="ffffff"/>
        </w:rPr>
        <w:t>2</w:t>
      </w:r>
      <w:r>
        <w:rPr>
          <w:rFonts w:ascii="Times New Roman" w:cs="Times New Roman" w:hAnsi="Times New Roman"/>
          <w:color w:val="222222"/>
          <w:sz w:val="24"/>
          <w:szCs w:val="24"/>
          <w:shd w:val="clear" w:color="auto" w:fill="ffffff"/>
        </w:rPr>
        <w:t>, 21-51.</w:t>
      </w:r>
    </w:p>
    <w:p>
      <w:pPr>
        <w:pStyle w:val="style0"/>
        <w:spacing w:lineRule="auto" w:line="480"/>
        <w:jc w:val="both"/>
        <w:rPr>
          <w:rFonts w:ascii="Times New Roman" w:cs="Times New Roman" w:hAnsi="Times New Roman"/>
          <w:color w:val="222222"/>
          <w:sz w:val="24"/>
          <w:szCs w:val="24"/>
          <w:shd w:val="clear" w:color="auto" w:fill="ffffff"/>
        </w:rPr>
      </w:pPr>
      <w:r>
        <w:rPr>
          <w:rFonts w:ascii="Times New Roman" w:cs="Times New Roman" w:hAnsi="Times New Roman"/>
          <w:color w:val="222222"/>
          <w:sz w:val="24"/>
          <w:szCs w:val="24"/>
          <w:shd w:val="clear" w:color="auto" w:fill="ffffff"/>
        </w:rPr>
        <w:t>Berster</w:t>
      </w:r>
      <w:r>
        <w:rPr>
          <w:rFonts w:ascii="Times New Roman" w:cs="Times New Roman" w:hAnsi="Times New Roman"/>
          <w:color w:val="222222"/>
          <w:sz w:val="24"/>
          <w:szCs w:val="24"/>
          <w:shd w:val="clear" w:color="auto" w:fill="ffffff"/>
        </w:rPr>
        <w:t>, L. C. (2010)</w:t>
      </w:r>
      <w:r>
        <w:rPr>
          <w:rFonts w:ascii="Times New Roman" w:cs="Times New Roman" w:hAnsi="Times New Roman"/>
          <w:color w:val="222222"/>
          <w:sz w:val="24"/>
          <w:szCs w:val="24"/>
          <w:shd w:val="clear" w:color="auto" w:fill="ffffff"/>
        </w:rPr>
        <w:t xml:space="preserve"> ‘Duty to </w:t>
      </w:r>
      <w:r>
        <w:rPr>
          <w:rFonts w:ascii="Times New Roman" w:cs="Times New Roman" w:hAnsi="Times New Roman"/>
          <w:color w:val="222222"/>
          <w:sz w:val="24"/>
          <w:szCs w:val="24"/>
          <w:shd w:val="clear" w:color="auto" w:fill="ffffff"/>
        </w:rPr>
        <w:t>Act’and</w:t>
      </w:r>
      <w:r>
        <w:rPr>
          <w:rFonts w:ascii="Times New Roman" w:cs="Times New Roman" w:hAnsi="Times New Roman"/>
          <w:color w:val="222222"/>
          <w:sz w:val="24"/>
          <w:szCs w:val="24"/>
          <w:shd w:val="clear" w:color="auto" w:fill="ffffff"/>
        </w:rPr>
        <w:t xml:space="preserve"> ‘Commission by </w:t>
      </w:r>
      <w:r>
        <w:rPr>
          <w:rFonts w:ascii="Times New Roman" w:cs="Times New Roman" w:hAnsi="Times New Roman"/>
          <w:color w:val="222222"/>
          <w:sz w:val="24"/>
          <w:szCs w:val="24"/>
          <w:shd w:val="clear" w:color="auto" w:fill="ffffff"/>
        </w:rPr>
        <w:t>Omission’in</w:t>
      </w:r>
      <w:r>
        <w:rPr>
          <w:rFonts w:ascii="Times New Roman" w:cs="Times New Roman" w:hAnsi="Times New Roman"/>
          <w:color w:val="222222"/>
          <w:sz w:val="24"/>
          <w:szCs w:val="24"/>
          <w:shd w:val="clear" w:color="auto" w:fill="ffffff"/>
        </w:rPr>
        <w:t xml:space="preserve"> International Criminal Law. </w:t>
      </w:r>
      <w:r>
        <w:rPr>
          <w:rFonts w:ascii="Times New Roman" w:cs="Times New Roman" w:hAnsi="Times New Roman"/>
          <w:i/>
          <w:iCs/>
          <w:color w:val="222222"/>
          <w:sz w:val="24"/>
          <w:szCs w:val="24"/>
          <w:shd w:val="clear" w:color="auto" w:fill="ffffff"/>
        </w:rPr>
        <w:t>International criminal law review</w:t>
      </w:r>
      <w:r>
        <w:rPr>
          <w:rFonts w:ascii="Times New Roman" w:cs="Times New Roman" w:hAnsi="Times New Roman"/>
          <w:color w:val="222222"/>
          <w:sz w:val="24"/>
          <w:szCs w:val="24"/>
          <w:shd w:val="clear" w:color="auto" w:fill="ffffff"/>
        </w:rPr>
        <w:t>, </w:t>
      </w:r>
      <w:r>
        <w:rPr>
          <w:rFonts w:ascii="Times New Roman" w:cs="Times New Roman" w:hAnsi="Times New Roman"/>
          <w:b/>
          <w:bCs/>
          <w:color w:val="222222"/>
          <w:sz w:val="24"/>
          <w:szCs w:val="24"/>
          <w:shd w:val="clear" w:color="auto" w:fill="ffffff"/>
        </w:rPr>
        <w:t>10</w:t>
      </w:r>
      <w:r>
        <w:rPr>
          <w:rFonts w:ascii="Times New Roman" w:cs="Times New Roman" w:hAnsi="Times New Roman"/>
          <w:color w:val="222222"/>
          <w:sz w:val="24"/>
          <w:szCs w:val="24"/>
          <w:shd w:val="clear" w:color="auto" w:fill="ffffff"/>
        </w:rPr>
        <w:t>(5), 619-646.</w:t>
      </w:r>
    </w:p>
    <w:p>
      <w:pPr>
        <w:pStyle w:val="style0"/>
        <w:spacing w:lineRule="auto" w:line="480"/>
        <w:jc w:val="both"/>
        <w:rPr>
          <w:rFonts w:ascii="Times New Roman" w:cs="Times New Roman" w:hAnsi="Times New Roman"/>
          <w:color w:val="222222"/>
          <w:sz w:val="24"/>
          <w:szCs w:val="24"/>
          <w:shd w:val="clear" w:color="auto" w:fill="ffffff"/>
        </w:rPr>
      </w:pPr>
      <w:r>
        <w:rPr>
          <w:rFonts w:ascii="Times New Roman" w:cs="Times New Roman" w:hAnsi="Times New Roman"/>
          <w:color w:val="222222"/>
          <w:sz w:val="24"/>
          <w:szCs w:val="24"/>
          <w:shd w:val="clear" w:color="auto" w:fill="ffffff"/>
        </w:rPr>
        <w:t>Birch</w:t>
      </w:r>
      <w:r>
        <w:rPr>
          <w:rFonts w:ascii="Times New Roman" w:cs="Times New Roman" w:hAnsi="Times New Roman"/>
          <w:color w:val="222222"/>
          <w:sz w:val="24"/>
          <w:szCs w:val="24"/>
          <w:shd w:val="clear" w:color="auto" w:fill="ffffff"/>
        </w:rPr>
        <w:t>all, S. and Ramus, J. W. (2007)</w:t>
      </w:r>
      <w:r>
        <w:rPr>
          <w:rFonts w:ascii="Times New Roman" w:cs="Times New Roman" w:hAnsi="Times New Roman"/>
          <w:color w:val="222222"/>
          <w:sz w:val="24"/>
          <w:szCs w:val="24"/>
          <w:shd w:val="clear" w:color="auto" w:fill="ffffff"/>
        </w:rPr>
        <w:t> </w:t>
      </w:r>
      <w:r>
        <w:rPr>
          <w:rFonts w:ascii="Times New Roman" w:cs="Times New Roman" w:hAnsi="Times New Roman"/>
          <w:i/>
          <w:iCs/>
          <w:color w:val="222222"/>
          <w:sz w:val="24"/>
          <w:szCs w:val="24"/>
          <w:shd w:val="clear" w:color="auto" w:fill="ffffff"/>
        </w:rPr>
        <w:t>Contract practice for surveyors</w:t>
      </w:r>
      <w:r>
        <w:rPr>
          <w:rFonts w:ascii="Times New Roman" w:cs="Times New Roman" w:hAnsi="Times New Roman"/>
          <w:color w:val="222222"/>
          <w:sz w:val="24"/>
          <w:szCs w:val="24"/>
          <w:shd w:val="clear" w:color="auto" w:fill="ffffff"/>
        </w:rPr>
        <w:t>. Routledge.</w:t>
      </w:r>
    </w:p>
    <w:p>
      <w:pPr>
        <w:pStyle w:val="style94"/>
        <w:shd w:val="clear" w:color="auto" w:fill="ffffff"/>
        <w:spacing w:before="0" w:beforeAutospacing="false" w:after="240" w:afterAutospacing="false" w:lineRule="auto" w:line="480"/>
        <w:jc w:val="both"/>
        <w:rPr>
          <w:color w:val="000000"/>
        </w:rPr>
      </w:pPr>
      <w:r>
        <w:rPr>
          <w:color w:val="000000"/>
        </w:rPr>
        <w:t>Chen, W. (2021)</w:t>
      </w:r>
      <w:r>
        <w:rPr>
          <w:color w:val="000000"/>
        </w:rPr>
        <w:t> </w:t>
      </w:r>
      <w:r>
        <w:rPr>
          <w:i/>
          <w:iCs/>
          <w:color w:val="000000"/>
        </w:rPr>
        <w:t>R v Miller [1983] 2 AC 161, [1983] Crim LR 466 - Case Summary</w:t>
      </w:r>
      <w:r>
        <w:rPr>
          <w:color w:val="000000"/>
        </w:rPr>
        <w:t>. [online] lawprof.co. Available at: https://lawprof.co/criminal-law/general-part-cases/r-v-miller-1983-2-ac-161-1983-crim-lr-466/.</w:t>
      </w:r>
    </w:p>
    <w:p>
      <w:pPr>
        <w:pStyle w:val="style0"/>
        <w:spacing w:lineRule="auto" w:line="480"/>
        <w:jc w:val="both"/>
        <w:rPr>
          <w:rFonts w:ascii="Times New Roman" w:cs="Times New Roman" w:hAnsi="Times New Roman"/>
          <w:color w:val="222222"/>
          <w:sz w:val="24"/>
          <w:szCs w:val="24"/>
          <w:shd w:val="clear" w:color="auto" w:fill="ffffff"/>
        </w:rPr>
      </w:pPr>
      <w:r>
        <w:rPr>
          <w:rFonts w:ascii="Times New Roman" w:cs="Times New Roman" w:hAnsi="Times New Roman"/>
          <w:color w:val="222222"/>
          <w:sz w:val="24"/>
          <w:szCs w:val="24"/>
          <w:shd w:val="clear" w:color="auto" w:fill="ffffff"/>
        </w:rPr>
        <w:t>Elliott, M. (2012)</w:t>
      </w:r>
      <w:r>
        <w:rPr>
          <w:rFonts w:ascii="Times New Roman" w:cs="Times New Roman" w:hAnsi="Times New Roman"/>
          <w:color w:val="222222"/>
          <w:sz w:val="24"/>
          <w:szCs w:val="24"/>
          <w:shd w:val="clear" w:color="auto" w:fill="ffffff"/>
        </w:rPr>
        <w:t xml:space="preserve"> Has the common law duty to give reasons come of age yet</w:t>
      </w:r>
      <w:r>
        <w:rPr>
          <w:rFonts w:ascii="Times New Roman" w:cs="Times New Roman" w:hAnsi="Times New Roman"/>
          <w:color w:val="222222"/>
          <w:sz w:val="24"/>
          <w:szCs w:val="24"/>
          <w:shd w:val="clear" w:color="auto" w:fill="ffffff"/>
        </w:rPr>
        <w:t>?.</w:t>
      </w:r>
      <w:r>
        <w:rPr>
          <w:rFonts w:ascii="Times New Roman" w:cs="Times New Roman" w:hAnsi="Times New Roman"/>
          <w:color w:val="222222"/>
          <w:sz w:val="24"/>
          <w:szCs w:val="24"/>
          <w:shd w:val="clear" w:color="auto" w:fill="ffffff"/>
        </w:rPr>
        <w:t> </w:t>
      </w:r>
      <w:r>
        <w:rPr>
          <w:rFonts w:ascii="Times New Roman" w:cs="Times New Roman" w:hAnsi="Times New Roman"/>
          <w:i/>
          <w:iCs/>
          <w:color w:val="222222"/>
          <w:sz w:val="24"/>
          <w:szCs w:val="24"/>
          <w:shd w:val="clear" w:color="auto" w:fill="ffffff"/>
        </w:rPr>
        <w:t>University of Cambridge Faculty of Law Research Paper</w:t>
      </w:r>
      <w:r>
        <w:rPr>
          <w:rFonts w:ascii="Times New Roman" w:cs="Times New Roman" w:hAnsi="Times New Roman"/>
          <w:color w:val="222222"/>
          <w:sz w:val="24"/>
          <w:szCs w:val="24"/>
          <w:shd w:val="clear" w:color="auto" w:fill="ffffff"/>
        </w:rPr>
        <w:t>, (7).</w:t>
      </w:r>
    </w:p>
    <w:p>
      <w:pPr>
        <w:pStyle w:val="style0"/>
        <w:spacing w:lineRule="auto" w:line="480"/>
        <w:jc w:val="both"/>
        <w:rPr>
          <w:rFonts w:ascii="Times New Roman" w:cs="Times New Roman" w:hAnsi="Times New Roman"/>
          <w:color w:val="222222"/>
          <w:sz w:val="24"/>
          <w:szCs w:val="24"/>
          <w:shd w:val="clear" w:color="auto" w:fill="ffffff"/>
        </w:rPr>
      </w:pPr>
      <w:r>
        <w:rPr>
          <w:rFonts w:ascii="Times New Roman" w:cs="Times New Roman" w:hAnsi="Times New Roman"/>
          <w:color w:val="222222"/>
          <w:sz w:val="24"/>
          <w:szCs w:val="24"/>
          <w:shd w:val="clear" w:color="auto" w:fill="ffffff"/>
        </w:rPr>
        <w:t>Hails, F. G. (1966)</w:t>
      </w:r>
      <w:r>
        <w:rPr>
          <w:rFonts w:ascii="Times New Roman" w:cs="Times New Roman" w:hAnsi="Times New Roman"/>
          <w:color w:val="222222"/>
          <w:sz w:val="24"/>
          <w:szCs w:val="24"/>
          <w:shd w:val="clear" w:color="auto" w:fill="ffffff"/>
        </w:rPr>
        <w:t xml:space="preserve"> Manslaughter. </w:t>
      </w:r>
      <w:r>
        <w:rPr>
          <w:rFonts w:ascii="Times New Roman" w:cs="Times New Roman" w:hAnsi="Times New Roman"/>
          <w:i/>
          <w:iCs/>
          <w:color w:val="222222"/>
          <w:sz w:val="24"/>
          <w:szCs w:val="24"/>
          <w:shd w:val="clear" w:color="auto" w:fill="ffffff"/>
        </w:rPr>
        <w:t>The Police Journal</w:t>
      </w:r>
      <w:r>
        <w:rPr>
          <w:rFonts w:ascii="Times New Roman" w:cs="Times New Roman" w:hAnsi="Times New Roman"/>
          <w:color w:val="222222"/>
          <w:sz w:val="24"/>
          <w:szCs w:val="24"/>
          <w:shd w:val="clear" w:color="auto" w:fill="ffffff"/>
        </w:rPr>
        <w:t>, </w:t>
      </w:r>
      <w:r>
        <w:rPr>
          <w:rFonts w:ascii="Times New Roman" w:cs="Times New Roman" w:hAnsi="Times New Roman"/>
          <w:i/>
          <w:iCs/>
          <w:color w:val="222222"/>
          <w:sz w:val="24"/>
          <w:szCs w:val="24"/>
          <w:shd w:val="clear" w:color="auto" w:fill="ffffff"/>
        </w:rPr>
        <w:t>39</w:t>
      </w:r>
      <w:r>
        <w:rPr>
          <w:rFonts w:ascii="Times New Roman" w:cs="Times New Roman" w:hAnsi="Times New Roman"/>
          <w:color w:val="222222"/>
          <w:sz w:val="24"/>
          <w:szCs w:val="24"/>
          <w:shd w:val="clear" w:color="auto" w:fill="ffffff"/>
        </w:rPr>
        <w:t>(6), 305-308.</w:t>
      </w:r>
    </w:p>
    <w:p>
      <w:pPr>
        <w:pStyle w:val="style0"/>
        <w:spacing w:lineRule="auto" w:line="480"/>
        <w:jc w:val="both"/>
        <w:rPr>
          <w:rFonts w:ascii="Times New Roman" w:cs="Times New Roman" w:hAnsi="Times New Roman"/>
          <w:color w:val="222222"/>
          <w:sz w:val="24"/>
          <w:szCs w:val="24"/>
          <w:shd w:val="clear" w:color="auto" w:fill="ffffff"/>
        </w:rPr>
      </w:pPr>
      <w:r>
        <w:rPr>
          <w:rFonts w:ascii="Times New Roman" w:cs="Times New Roman" w:hAnsi="Times New Roman"/>
          <w:color w:val="222222"/>
          <w:sz w:val="24"/>
          <w:szCs w:val="24"/>
          <w:shd w:val="clear" w:color="auto" w:fill="ffffff"/>
        </w:rPr>
        <w:t>Hasitha</w:t>
      </w:r>
      <w:r>
        <w:rPr>
          <w:rFonts w:ascii="Times New Roman" w:cs="Times New Roman" w:hAnsi="Times New Roman"/>
          <w:color w:val="222222"/>
          <w:sz w:val="24"/>
          <w:szCs w:val="24"/>
          <w:shd w:val="clear" w:color="auto" w:fill="ffffff"/>
        </w:rPr>
        <w:t>, S. and Jain, A. (2019)</w:t>
      </w:r>
      <w:r>
        <w:rPr>
          <w:rFonts w:ascii="Times New Roman" w:cs="Times New Roman" w:hAnsi="Times New Roman"/>
          <w:color w:val="222222"/>
          <w:sz w:val="24"/>
          <w:szCs w:val="24"/>
          <w:shd w:val="clear" w:color="auto" w:fill="ffffff"/>
        </w:rPr>
        <w:t xml:space="preserve"> </w:t>
      </w:r>
      <w:r>
        <w:rPr>
          <w:rFonts w:ascii="Times New Roman" w:cs="Times New Roman" w:hAnsi="Times New Roman"/>
          <w:color w:val="222222"/>
          <w:sz w:val="24"/>
          <w:szCs w:val="24"/>
          <w:shd w:val="clear" w:color="auto" w:fill="ffffff"/>
        </w:rPr>
        <w:t>Actus</w:t>
      </w:r>
      <w:r>
        <w:rPr>
          <w:rFonts w:ascii="Times New Roman" w:cs="Times New Roman" w:hAnsi="Times New Roman"/>
          <w:color w:val="222222"/>
          <w:sz w:val="24"/>
          <w:szCs w:val="24"/>
          <w:shd w:val="clear" w:color="auto" w:fill="ffffff"/>
        </w:rPr>
        <w:t xml:space="preserve"> </w:t>
      </w:r>
      <w:r>
        <w:rPr>
          <w:rFonts w:ascii="Times New Roman" w:cs="Times New Roman" w:hAnsi="Times New Roman"/>
          <w:color w:val="222222"/>
          <w:sz w:val="24"/>
          <w:szCs w:val="24"/>
          <w:shd w:val="clear" w:color="auto" w:fill="ffffff"/>
        </w:rPr>
        <w:t>reus</w:t>
      </w:r>
      <w:r>
        <w:rPr>
          <w:rFonts w:ascii="Times New Roman" w:cs="Times New Roman" w:hAnsi="Times New Roman"/>
          <w:color w:val="222222"/>
          <w:sz w:val="24"/>
          <w:szCs w:val="24"/>
          <w:shd w:val="clear" w:color="auto" w:fill="ffffff"/>
        </w:rPr>
        <w:t xml:space="preserve"> and </w:t>
      </w:r>
      <w:r>
        <w:rPr>
          <w:rFonts w:ascii="Times New Roman" w:cs="Times New Roman" w:hAnsi="Times New Roman"/>
          <w:color w:val="222222"/>
          <w:sz w:val="24"/>
          <w:szCs w:val="24"/>
          <w:shd w:val="clear" w:color="auto" w:fill="ffffff"/>
        </w:rPr>
        <w:t>mens</w:t>
      </w:r>
      <w:r>
        <w:rPr>
          <w:rFonts w:ascii="Times New Roman" w:cs="Times New Roman" w:hAnsi="Times New Roman"/>
          <w:color w:val="222222"/>
          <w:sz w:val="24"/>
          <w:szCs w:val="24"/>
          <w:shd w:val="clear" w:color="auto" w:fill="ffffff"/>
        </w:rPr>
        <w:t xml:space="preserve"> rea. </w:t>
      </w:r>
    </w:p>
    <w:p>
      <w:pPr>
        <w:pStyle w:val="style94"/>
        <w:shd w:val="clear" w:color="auto" w:fill="ffffff"/>
        <w:spacing w:before="0" w:beforeAutospacing="false" w:after="240" w:afterAutospacing="false" w:lineRule="auto" w:line="480"/>
        <w:jc w:val="both"/>
        <w:rPr>
          <w:color w:val="000000"/>
        </w:rPr>
      </w:pPr>
      <w:r>
        <w:rPr>
          <w:color w:val="000000"/>
        </w:rPr>
        <w:t>Hersi</w:t>
      </w:r>
      <w:r>
        <w:rPr>
          <w:color w:val="000000"/>
        </w:rPr>
        <w:t>, A. (2020)</w:t>
      </w:r>
      <w:r>
        <w:rPr>
          <w:color w:val="000000"/>
        </w:rPr>
        <w:t> </w:t>
      </w:r>
      <w:r>
        <w:rPr>
          <w:i/>
          <w:iCs/>
          <w:color w:val="000000"/>
        </w:rPr>
        <w:t>R v Gibbins and Proctor 1918 | Criminal law</w:t>
      </w:r>
      <w:r>
        <w:rPr>
          <w:color w:val="000000"/>
        </w:rPr>
        <w:t>. [online] Explore-law. Available at: https://www.explore-law.com/r-v-gibbins-and-proctor/.</w:t>
      </w:r>
    </w:p>
    <w:p>
      <w:pPr>
        <w:pStyle w:val="style0"/>
        <w:spacing w:lineRule="auto" w:line="480"/>
        <w:jc w:val="both"/>
        <w:rPr>
          <w:rFonts w:ascii="Times New Roman" w:cs="Times New Roman" w:hAnsi="Times New Roman"/>
          <w:color w:val="222222"/>
          <w:sz w:val="24"/>
          <w:szCs w:val="24"/>
          <w:shd w:val="clear" w:color="auto" w:fill="ffffff"/>
        </w:rPr>
      </w:pPr>
      <w:r>
        <w:rPr>
          <w:rFonts w:ascii="Times New Roman" w:cs="Times New Roman" w:hAnsi="Times New Roman"/>
          <w:color w:val="222222"/>
          <w:sz w:val="24"/>
          <w:szCs w:val="24"/>
          <w:shd w:val="clear" w:color="auto" w:fill="ffffff"/>
        </w:rPr>
        <w:t>Hil</w:t>
      </w:r>
      <w:r>
        <w:rPr>
          <w:rFonts w:ascii="Times New Roman" w:cs="Times New Roman" w:hAnsi="Times New Roman"/>
          <w:color w:val="222222"/>
          <w:sz w:val="24"/>
          <w:szCs w:val="24"/>
          <w:shd w:val="clear" w:color="auto" w:fill="ffffff"/>
        </w:rPr>
        <w:t xml:space="preserve">lyard, P. and Tombs, S. (2007) </w:t>
      </w:r>
      <w:r>
        <w:rPr>
          <w:rFonts w:ascii="Times New Roman" w:cs="Times New Roman" w:hAnsi="Times New Roman"/>
          <w:color w:val="222222"/>
          <w:sz w:val="24"/>
          <w:szCs w:val="24"/>
          <w:shd w:val="clear" w:color="auto" w:fill="ffffff"/>
        </w:rPr>
        <w:t>From ‘</w:t>
      </w:r>
      <w:r>
        <w:rPr>
          <w:rFonts w:ascii="Times New Roman" w:cs="Times New Roman" w:hAnsi="Times New Roman"/>
          <w:color w:val="222222"/>
          <w:sz w:val="24"/>
          <w:szCs w:val="24"/>
          <w:shd w:val="clear" w:color="auto" w:fill="ffffff"/>
        </w:rPr>
        <w:t>crime’to</w:t>
      </w:r>
      <w:r>
        <w:rPr>
          <w:rFonts w:ascii="Times New Roman" w:cs="Times New Roman" w:hAnsi="Times New Roman"/>
          <w:color w:val="222222"/>
          <w:sz w:val="24"/>
          <w:szCs w:val="24"/>
          <w:shd w:val="clear" w:color="auto" w:fill="ffffff"/>
        </w:rPr>
        <w:t xml:space="preserve"> social harm</w:t>
      </w:r>
      <w:r>
        <w:rPr>
          <w:rFonts w:ascii="Times New Roman" w:cs="Times New Roman" w:hAnsi="Times New Roman"/>
          <w:color w:val="222222"/>
          <w:sz w:val="24"/>
          <w:szCs w:val="24"/>
          <w:shd w:val="clear" w:color="auto" w:fill="ffffff"/>
        </w:rPr>
        <w:t>?.</w:t>
      </w:r>
      <w:r>
        <w:rPr>
          <w:rFonts w:ascii="Times New Roman" w:cs="Times New Roman" w:hAnsi="Times New Roman"/>
          <w:color w:val="222222"/>
          <w:sz w:val="24"/>
          <w:szCs w:val="24"/>
          <w:shd w:val="clear" w:color="auto" w:fill="ffffff"/>
        </w:rPr>
        <w:t> </w:t>
      </w:r>
      <w:r>
        <w:rPr>
          <w:rFonts w:ascii="Times New Roman" w:cs="Times New Roman" w:hAnsi="Times New Roman"/>
          <w:i/>
          <w:iCs/>
          <w:color w:val="222222"/>
          <w:sz w:val="24"/>
          <w:szCs w:val="24"/>
          <w:shd w:val="clear" w:color="auto" w:fill="ffffff"/>
        </w:rPr>
        <w:t>Crime, law and social change</w:t>
      </w:r>
      <w:r>
        <w:rPr>
          <w:rFonts w:ascii="Times New Roman" w:cs="Times New Roman" w:hAnsi="Times New Roman"/>
          <w:color w:val="222222"/>
          <w:sz w:val="24"/>
          <w:szCs w:val="24"/>
          <w:shd w:val="clear" w:color="auto" w:fill="ffffff"/>
        </w:rPr>
        <w:t>, </w:t>
      </w:r>
      <w:r>
        <w:rPr>
          <w:rFonts w:ascii="Times New Roman" w:cs="Times New Roman" w:hAnsi="Times New Roman"/>
          <w:b/>
          <w:bCs/>
          <w:color w:val="222222"/>
          <w:sz w:val="24"/>
          <w:szCs w:val="24"/>
          <w:shd w:val="clear" w:color="auto" w:fill="ffffff"/>
        </w:rPr>
        <w:t>48</w:t>
      </w:r>
      <w:r>
        <w:rPr>
          <w:rFonts w:ascii="Times New Roman" w:cs="Times New Roman" w:hAnsi="Times New Roman"/>
          <w:color w:val="222222"/>
          <w:sz w:val="24"/>
          <w:szCs w:val="24"/>
          <w:shd w:val="clear" w:color="auto" w:fill="ffffff"/>
        </w:rPr>
        <w:t>, 9-25.</w:t>
      </w:r>
    </w:p>
    <w:p>
      <w:pPr>
        <w:pStyle w:val="style0"/>
        <w:spacing w:lineRule="auto" w:line="480"/>
        <w:jc w:val="both"/>
        <w:rPr>
          <w:rFonts w:ascii="Times New Roman" w:cs="Times New Roman" w:hAnsi="Times New Roman"/>
          <w:color w:val="222222"/>
          <w:sz w:val="24"/>
          <w:szCs w:val="24"/>
          <w:shd w:val="clear" w:color="auto" w:fill="ffffff"/>
        </w:rPr>
      </w:pPr>
      <w:r>
        <w:rPr>
          <w:rFonts w:ascii="Times New Roman" w:cs="Times New Roman" w:hAnsi="Times New Roman"/>
          <w:color w:val="222222"/>
          <w:sz w:val="24"/>
          <w:szCs w:val="24"/>
          <w:shd w:val="clear" w:color="auto" w:fill="ffffff"/>
        </w:rPr>
        <w:t>Jones, D. A. (2017)</w:t>
      </w:r>
      <w:r>
        <w:rPr>
          <w:rFonts w:ascii="Times New Roman" w:cs="Times New Roman" w:hAnsi="Times New Roman"/>
          <w:color w:val="222222"/>
          <w:sz w:val="24"/>
          <w:szCs w:val="24"/>
          <w:shd w:val="clear" w:color="auto" w:fill="ffffff"/>
        </w:rPr>
        <w:t xml:space="preserve"> Judgment 2—Airedale NHS Trust v Bland [1993] AC 789.</w:t>
      </w:r>
    </w:p>
    <w:p>
      <w:pPr>
        <w:pStyle w:val="style94"/>
        <w:shd w:val="clear" w:color="auto" w:fill="ffffff"/>
        <w:spacing w:before="0" w:beforeAutospacing="false" w:after="240" w:afterAutospacing="false" w:lineRule="auto" w:line="480"/>
        <w:jc w:val="both"/>
        <w:rPr>
          <w:color w:val="000000"/>
        </w:rPr>
      </w:pPr>
      <w:r>
        <w:rPr>
          <w:color w:val="000000"/>
        </w:rPr>
        <w:t>Lawprof</w:t>
      </w:r>
      <w:r>
        <w:rPr>
          <w:color w:val="000000"/>
        </w:rPr>
        <w:t xml:space="preserve"> (2021)</w:t>
      </w:r>
      <w:r>
        <w:rPr>
          <w:color w:val="000000"/>
        </w:rPr>
        <w:t> </w:t>
      </w:r>
      <w:r>
        <w:rPr>
          <w:i/>
          <w:iCs/>
          <w:color w:val="000000"/>
        </w:rPr>
        <w:t xml:space="preserve">R v </w:t>
      </w:r>
      <w:r>
        <w:rPr>
          <w:i/>
          <w:iCs/>
          <w:color w:val="000000"/>
        </w:rPr>
        <w:t>Pittwood</w:t>
      </w:r>
      <w:r>
        <w:rPr>
          <w:i/>
          <w:iCs/>
          <w:color w:val="000000"/>
        </w:rPr>
        <w:t xml:space="preserve"> [1902] TLR 37 - Case Summary</w:t>
      </w:r>
      <w:r>
        <w:rPr>
          <w:color w:val="000000"/>
        </w:rPr>
        <w:t>. [online] lawprof.co. Available at: https://lawprof.co/criminal-law/homicide-cases/r-v-pittwood-1902-tlr-37/.</w:t>
      </w:r>
    </w:p>
    <w:p>
      <w:pPr>
        <w:pStyle w:val="style0"/>
        <w:spacing w:lineRule="auto" w:line="480"/>
        <w:jc w:val="both"/>
        <w:rPr>
          <w:rFonts w:ascii="Times New Roman" w:cs="Times New Roman" w:hAnsi="Times New Roman"/>
          <w:color w:val="222222"/>
          <w:sz w:val="24"/>
          <w:szCs w:val="24"/>
          <w:shd w:val="clear" w:color="auto" w:fill="ffffff"/>
        </w:rPr>
      </w:pPr>
      <w:r>
        <w:rPr>
          <w:rFonts w:ascii="Times New Roman" w:cs="Times New Roman" w:hAnsi="Times New Roman"/>
          <w:color w:val="222222"/>
          <w:sz w:val="24"/>
          <w:szCs w:val="24"/>
          <w:shd w:val="clear" w:color="auto" w:fill="ffffff"/>
        </w:rPr>
        <w:t>M</w:t>
      </w:r>
      <w:r>
        <w:rPr>
          <w:rFonts w:ascii="Times New Roman" w:cs="Times New Roman" w:hAnsi="Times New Roman"/>
          <w:color w:val="222222"/>
          <w:sz w:val="24"/>
          <w:szCs w:val="24"/>
          <w:shd w:val="clear" w:color="auto" w:fill="ffffff"/>
        </w:rPr>
        <w:t>anning, J. (2019)</w:t>
      </w:r>
      <w:r>
        <w:rPr>
          <w:rFonts w:ascii="Times New Roman" w:cs="Times New Roman" w:hAnsi="Times New Roman"/>
          <w:color w:val="222222"/>
          <w:sz w:val="24"/>
          <w:szCs w:val="24"/>
          <w:shd w:val="clear" w:color="auto" w:fill="ffffff"/>
        </w:rPr>
        <w:t xml:space="preserve"> " Hospitals and Clinicians Need Not Apply:" Withdrawing Clinically Assisted Nutrition and Hydration in Undisputed Cases. </w:t>
      </w:r>
      <w:r>
        <w:rPr>
          <w:rFonts w:ascii="Times New Roman" w:cs="Times New Roman" w:hAnsi="Times New Roman"/>
          <w:i/>
          <w:iCs/>
          <w:color w:val="222222"/>
          <w:sz w:val="24"/>
          <w:szCs w:val="24"/>
          <w:shd w:val="clear" w:color="auto" w:fill="ffffff"/>
        </w:rPr>
        <w:t>Journal of law and Medicine</w:t>
      </w:r>
      <w:r>
        <w:rPr>
          <w:rFonts w:ascii="Times New Roman" w:cs="Times New Roman" w:hAnsi="Times New Roman"/>
          <w:color w:val="222222"/>
          <w:sz w:val="24"/>
          <w:szCs w:val="24"/>
          <w:shd w:val="clear" w:color="auto" w:fill="ffffff"/>
        </w:rPr>
        <w:t>, </w:t>
      </w:r>
      <w:r>
        <w:rPr>
          <w:rFonts w:ascii="Times New Roman" w:cs="Times New Roman" w:hAnsi="Times New Roman"/>
          <w:b/>
          <w:bCs/>
          <w:color w:val="222222"/>
          <w:sz w:val="24"/>
          <w:szCs w:val="24"/>
          <w:shd w:val="clear" w:color="auto" w:fill="ffffff"/>
        </w:rPr>
        <w:t>26</w:t>
      </w:r>
      <w:r>
        <w:rPr>
          <w:rFonts w:ascii="Times New Roman" w:cs="Times New Roman" w:hAnsi="Times New Roman"/>
          <w:color w:val="222222"/>
          <w:sz w:val="24"/>
          <w:szCs w:val="24"/>
          <w:shd w:val="clear" w:color="auto" w:fill="ffffff"/>
        </w:rPr>
        <w:t>(3), 538-548.</w:t>
      </w:r>
    </w:p>
    <w:p>
      <w:pPr>
        <w:pStyle w:val="style0"/>
        <w:spacing w:lineRule="auto" w:line="480"/>
        <w:jc w:val="both"/>
        <w:rPr>
          <w:rFonts w:ascii="Times New Roman" w:cs="Times New Roman" w:hAnsi="Times New Roman"/>
          <w:color w:val="222222"/>
          <w:sz w:val="24"/>
          <w:szCs w:val="24"/>
          <w:shd w:val="clear" w:color="auto" w:fill="ffffff"/>
        </w:rPr>
      </w:pPr>
      <w:r>
        <w:rPr>
          <w:rFonts w:ascii="Times New Roman" w:cs="Times New Roman" w:hAnsi="Times New Roman"/>
          <w:color w:val="222222"/>
          <w:sz w:val="24"/>
          <w:szCs w:val="24"/>
          <w:shd w:val="clear" w:color="auto" w:fill="ffffff"/>
        </w:rPr>
        <w:t>Meloni</w:t>
      </w:r>
      <w:r>
        <w:rPr>
          <w:rFonts w:ascii="Times New Roman" w:cs="Times New Roman" w:hAnsi="Times New Roman"/>
          <w:color w:val="222222"/>
          <w:sz w:val="24"/>
          <w:szCs w:val="24"/>
          <w:shd w:val="clear" w:color="auto" w:fill="ffffff"/>
        </w:rPr>
        <w:t>, C. (2007)</w:t>
      </w:r>
      <w:r>
        <w:rPr>
          <w:rFonts w:ascii="Times New Roman" w:cs="Times New Roman" w:hAnsi="Times New Roman"/>
          <w:color w:val="222222"/>
          <w:sz w:val="24"/>
          <w:szCs w:val="24"/>
          <w:shd w:val="clear" w:color="auto" w:fill="ffffff"/>
        </w:rPr>
        <w:t xml:space="preserve"> Command responsibility: Mode of liability for the crimes of subordinates or separate offence of the superior</w:t>
      </w:r>
      <w:r>
        <w:rPr>
          <w:rFonts w:ascii="Times New Roman" w:cs="Times New Roman" w:hAnsi="Times New Roman"/>
          <w:color w:val="222222"/>
          <w:sz w:val="24"/>
          <w:szCs w:val="24"/>
          <w:shd w:val="clear" w:color="auto" w:fill="ffffff"/>
        </w:rPr>
        <w:t>?.</w:t>
      </w:r>
      <w:r>
        <w:rPr>
          <w:rFonts w:ascii="Times New Roman" w:cs="Times New Roman" w:hAnsi="Times New Roman"/>
          <w:color w:val="222222"/>
          <w:sz w:val="24"/>
          <w:szCs w:val="24"/>
          <w:shd w:val="clear" w:color="auto" w:fill="ffffff"/>
        </w:rPr>
        <w:t> </w:t>
      </w:r>
      <w:r>
        <w:rPr>
          <w:rFonts w:ascii="Times New Roman" w:cs="Times New Roman" w:hAnsi="Times New Roman"/>
          <w:i/>
          <w:iCs/>
          <w:color w:val="222222"/>
          <w:sz w:val="24"/>
          <w:szCs w:val="24"/>
          <w:shd w:val="clear" w:color="auto" w:fill="ffffff"/>
        </w:rPr>
        <w:t>Journal of International Criminal Justice</w:t>
      </w:r>
      <w:r>
        <w:rPr>
          <w:rFonts w:ascii="Times New Roman" w:cs="Times New Roman" w:hAnsi="Times New Roman"/>
          <w:color w:val="222222"/>
          <w:sz w:val="24"/>
          <w:szCs w:val="24"/>
          <w:shd w:val="clear" w:color="auto" w:fill="ffffff"/>
        </w:rPr>
        <w:t>, </w:t>
      </w:r>
      <w:r>
        <w:rPr>
          <w:rFonts w:ascii="Times New Roman" w:cs="Times New Roman" w:hAnsi="Times New Roman"/>
          <w:b/>
          <w:bCs/>
          <w:color w:val="222222"/>
          <w:sz w:val="24"/>
          <w:szCs w:val="24"/>
          <w:shd w:val="clear" w:color="auto" w:fill="ffffff"/>
        </w:rPr>
        <w:t>5</w:t>
      </w:r>
      <w:r>
        <w:rPr>
          <w:rFonts w:ascii="Times New Roman" w:cs="Times New Roman" w:hAnsi="Times New Roman"/>
          <w:color w:val="222222"/>
          <w:sz w:val="24"/>
          <w:szCs w:val="24"/>
          <w:shd w:val="clear" w:color="auto" w:fill="ffffff"/>
        </w:rPr>
        <w:t>(3), 619-637.</w:t>
      </w:r>
    </w:p>
    <w:p>
      <w:pPr>
        <w:pStyle w:val="style0"/>
        <w:spacing w:lineRule="auto" w:line="480"/>
        <w:jc w:val="both"/>
        <w:rPr>
          <w:rFonts w:ascii="Times New Roman" w:cs="Times New Roman" w:hAnsi="Times New Roman"/>
          <w:color w:val="222222"/>
          <w:sz w:val="24"/>
          <w:szCs w:val="24"/>
          <w:shd w:val="clear" w:color="auto" w:fill="ffffff"/>
        </w:rPr>
      </w:pPr>
      <w:r>
        <w:rPr>
          <w:rFonts w:ascii="Times New Roman" w:cs="Times New Roman" w:hAnsi="Times New Roman"/>
          <w:color w:val="222222"/>
          <w:sz w:val="24"/>
          <w:szCs w:val="24"/>
          <w:shd w:val="clear" w:color="auto" w:fill="ffffff"/>
        </w:rPr>
        <w:t>O’Malley, P. J. (2021)</w:t>
      </w:r>
      <w:r>
        <w:rPr>
          <w:rFonts w:ascii="Times New Roman" w:cs="Times New Roman" w:hAnsi="Times New Roman"/>
          <w:color w:val="222222"/>
          <w:sz w:val="24"/>
          <w:szCs w:val="24"/>
          <w:shd w:val="clear" w:color="auto" w:fill="ffffff"/>
        </w:rPr>
        <w:t> </w:t>
      </w:r>
      <w:r>
        <w:rPr>
          <w:rFonts w:ascii="Times New Roman" w:cs="Times New Roman" w:hAnsi="Times New Roman"/>
          <w:i/>
          <w:iCs/>
          <w:color w:val="222222"/>
          <w:sz w:val="24"/>
          <w:szCs w:val="24"/>
          <w:shd w:val="clear" w:color="auto" w:fill="ffffff"/>
        </w:rPr>
        <w:t xml:space="preserve">Directors' Duties and Corporate Anti-corruption Compliance: </w:t>
      </w:r>
      <w:r>
        <w:rPr>
          <w:rFonts w:ascii="Times New Roman" w:cs="Times New Roman" w:hAnsi="Times New Roman"/>
          <w:i/>
          <w:iCs/>
          <w:color w:val="222222"/>
          <w:sz w:val="24"/>
          <w:szCs w:val="24"/>
          <w:shd w:val="clear" w:color="auto" w:fill="ffffff"/>
        </w:rPr>
        <w:t>The'good</w:t>
      </w:r>
      <w:r>
        <w:rPr>
          <w:rFonts w:ascii="Times New Roman" w:cs="Times New Roman" w:hAnsi="Times New Roman"/>
          <w:i/>
          <w:iCs/>
          <w:color w:val="222222"/>
          <w:sz w:val="24"/>
          <w:szCs w:val="24"/>
          <w:shd w:val="clear" w:color="auto" w:fill="ffffff"/>
        </w:rPr>
        <w:t xml:space="preserve"> </w:t>
      </w:r>
      <w:r>
        <w:rPr>
          <w:rFonts w:ascii="Times New Roman" w:cs="Times New Roman" w:hAnsi="Times New Roman"/>
          <w:i/>
          <w:iCs/>
          <w:color w:val="222222"/>
          <w:sz w:val="24"/>
          <w:szCs w:val="24"/>
          <w:shd w:val="clear" w:color="auto" w:fill="ffffff"/>
        </w:rPr>
        <w:t>Steward'in</w:t>
      </w:r>
      <w:r>
        <w:rPr>
          <w:rFonts w:ascii="Times New Roman" w:cs="Times New Roman" w:hAnsi="Times New Roman"/>
          <w:i/>
          <w:iCs/>
          <w:color w:val="222222"/>
          <w:sz w:val="24"/>
          <w:szCs w:val="24"/>
          <w:shd w:val="clear" w:color="auto" w:fill="ffffff"/>
        </w:rPr>
        <w:t xml:space="preserve"> US and UK Law and Practice</w:t>
      </w:r>
      <w:r>
        <w:rPr>
          <w:rFonts w:ascii="Times New Roman" w:cs="Times New Roman" w:hAnsi="Times New Roman"/>
          <w:color w:val="222222"/>
          <w:sz w:val="24"/>
          <w:szCs w:val="24"/>
          <w:shd w:val="clear" w:color="auto" w:fill="ffffff"/>
        </w:rPr>
        <w:t>. Edward Elgar Publishing.</w:t>
      </w:r>
    </w:p>
    <w:p>
      <w:pPr>
        <w:pStyle w:val="style0"/>
        <w:spacing w:lineRule="auto" w:line="480"/>
        <w:jc w:val="both"/>
        <w:rPr>
          <w:rFonts w:ascii="Times New Roman" w:cs="Times New Roman" w:hAnsi="Times New Roman"/>
          <w:color w:val="222222"/>
          <w:sz w:val="24"/>
          <w:szCs w:val="24"/>
          <w:shd w:val="clear" w:color="auto" w:fill="ffffff"/>
        </w:rPr>
      </w:pPr>
      <w:r>
        <w:rPr>
          <w:rFonts w:ascii="Times New Roman" w:cs="Times New Roman" w:hAnsi="Times New Roman"/>
          <w:color w:val="222222"/>
          <w:sz w:val="24"/>
          <w:szCs w:val="24"/>
          <w:shd w:val="clear" w:color="auto" w:fill="ffffff"/>
        </w:rPr>
        <w:t>Robinson, P. H. (2017)</w:t>
      </w:r>
      <w:r>
        <w:rPr>
          <w:rFonts w:ascii="Times New Roman" w:cs="Times New Roman" w:hAnsi="Times New Roman"/>
          <w:color w:val="222222"/>
          <w:sz w:val="24"/>
          <w:szCs w:val="24"/>
          <w:shd w:val="clear" w:color="auto" w:fill="ffffff"/>
        </w:rPr>
        <w:t xml:space="preserve"> Should the Criminal Law Abandon the Actus Reus-Mens Rea Distinction</w:t>
      </w:r>
      <w:r>
        <w:rPr>
          <w:rFonts w:ascii="Times New Roman" w:cs="Times New Roman" w:hAnsi="Times New Roman"/>
          <w:color w:val="222222"/>
          <w:sz w:val="24"/>
          <w:szCs w:val="24"/>
          <w:shd w:val="clear" w:color="auto" w:fill="ffffff"/>
        </w:rPr>
        <w:t>?.</w:t>
      </w:r>
      <w:r>
        <w:rPr>
          <w:rFonts w:ascii="Times New Roman" w:cs="Times New Roman" w:hAnsi="Times New Roman"/>
          <w:color w:val="222222"/>
          <w:sz w:val="24"/>
          <w:szCs w:val="24"/>
          <w:shd w:val="clear" w:color="auto" w:fill="ffffff"/>
        </w:rPr>
        <w:t xml:space="preserve"> In </w:t>
      </w:r>
      <w:r>
        <w:rPr>
          <w:rFonts w:ascii="Times New Roman" w:cs="Times New Roman" w:hAnsi="Times New Roman"/>
          <w:i/>
          <w:iCs/>
          <w:color w:val="222222"/>
          <w:sz w:val="24"/>
          <w:szCs w:val="24"/>
          <w:shd w:val="clear" w:color="auto" w:fill="ffffff"/>
        </w:rPr>
        <w:t>The Structure and Limits of Criminal Law</w:t>
      </w:r>
      <w:r>
        <w:rPr>
          <w:rFonts w:ascii="Times New Roman" w:cs="Times New Roman" w:hAnsi="Times New Roman"/>
          <w:color w:val="222222"/>
          <w:sz w:val="24"/>
          <w:szCs w:val="24"/>
          <w:shd w:val="clear" w:color="auto" w:fill="ffffff"/>
        </w:rPr>
        <w:t> (pp. 3-28). Routledge.</w:t>
      </w:r>
    </w:p>
    <w:p>
      <w:pPr>
        <w:pStyle w:val="style94"/>
        <w:shd w:val="clear" w:color="auto" w:fill="ffffff"/>
        <w:spacing w:before="0" w:beforeAutospacing="false" w:after="240" w:afterAutospacing="false" w:lineRule="auto" w:line="480"/>
        <w:jc w:val="both"/>
        <w:rPr>
          <w:color w:val="000000"/>
        </w:rPr>
      </w:pPr>
      <w:r>
        <w:rPr>
          <w:color w:val="000000"/>
        </w:rPr>
        <w:t>Sehgal, D.R. (2021)</w:t>
      </w:r>
      <w:r>
        <w:rPr>
          <w:color w:val="000000"/>
        </w:rPr>
        <w:t> </w:t>
      </w:r>
      <w:r>
        <w:rPr>
          <w:i/>
          <w:iCs/>
          <w:color w:val="000000"/>
        </w:rPr>
        <w:t>Concept of omission: a critical analysis</w:t>
      </w:r>
      <w:r>
        <w:rPr>
          <w:color w:val="000000"/>
        </w:rPr>
        <w:t xml:space="preserve">. [online] </w:t>
      </w:r>
      <w:r>
        <w:rPr>
          <w:color w:val="000000"/>
        </w:rPr>
        <w:t>iPleaders</w:t>
      </w:r>
      <w:r>
        <w:rPr>
          <w:color w:val="000000"/>
        </w:rPr>
        <w:t>. Available at: https://blog.ipleaders.in/concept-omission-critical-analysis/.</w:t>
      </w:r>
    </w:p>
    <w:p>
      <w:pPr>
        <w:pStyle w:val="style0"/>
        <w:spacing w:lineRule="auto" w:line="480"/>
        <w:jc w:val="both"/>
        <w:rPr>
          <w:rFonts w:ascii="Times New Roman" w:cs="Times New Roman" w:hAnsi="Times New Roman"/>
          <w:color w:val="222222"/>
          <w:sz w:val="24"/>
          <w:szCs w:val="24"/>
          <w:shd w:val="clear" w:color="auto" w:fill="ffffff"/>
        </w:rPr>
      </w:pPr>
      <w:r>
        <w:rPr>
          <w:rFonts w:ascii="Times New Roman" w:cs="Times New Roman" w:hAnsi="Times New Roman"/>
          <w:color w:val="222222"/>
          <w:sz w:val="24"/>
          <w:szCs w:val="24"/>
          <w:shd w:val="clear" w:color="auto" w:fill="ffffff"/>
        </w:rPr>
        <w:t>Tucker, R. P., Tackett, M. J., Glickm</w:t>
      </w:r>
      <w:r>
        <w:rPr>
          <w:rFonts w:ascii="Times New Roman" w:cs="Times New Roman" w:hAnsi="Times New Roman"/>
          <w:color w:val="222222"/>
          <w:sz w:val="24"/>
          <w:szCs w:val="24"/>
          <w:shd w:val="clear" w:color="auto" w:fill="ffffff"/>
        </w:rPr>
        <w:t xml:space="preserve">an, D. and </w:t>
      </w:r>
      <w:r>
        <w:rPr>
          <w:rFonts w:ascii="Times New Roman" w:cs="Times New Roman" w:hAnsi="Times New Roman"/>
          <w:color w:val="222222"/>
          <w:sz w:val="24"/>
          <w:szCs w:val="24"/>
          <w:shd w:val="clear" w:color="auto" w:fill="ffffff"/>
        </w:rPr>
        <w:t>Reger</w:t>
      </w:r>
      <w:r>
        <w:rPr>
          <w:rFonts w:ascii="Times New Roman" w:cs="Times New Roman" w:hAnsi="Times New Roman"/>
          <w:color w:val="222222"/>
          <w:sz w:val="24"/>
          <w:szCs w:val="24"/>
          <w:shd w:val="clear" w:color="auto" w:fill="ffffff"/>
        </w:rPr>
        <w:t xml:space="preserve">, M. A. (2019) </w:t>
      </w:r>
      <w:r>
        <w:rPr>
          <w:rFonts w:ascii="Times New Roman" w:cs="Times New Roman" w:hAnsi="Times New Roman"/>
          <w:color w:val="222222"/>
          <w:sz w:val="24"/>
          <w:szCs w:val="24"/>
          <w:shd w:val="clear" w:color="auto" w:fill="ffffff"/>
        </w:rPr>
        <w:t>Ethical and practical considerations in the use of a predictive model to trigger suicide prevention interventions in healthcare settings. </w:t>
      </w:r>
      <w:r>
        <w:rPr>
          <w:rFonts w:ascii="Times New Roman" w:cs="Times New Roman" w:hAnsi="Times New Roman"/>
          <w:i/>
          <w:iCs/>
          <w:color w:val="222222"/>
          <w:sz w:val="24"/>
          <w:szCs w:val="24"/>
          <w:shd w:val="clear" w:color="auto" w:fill="ffffff"/>
        </w:rPr>
        <w:t>Suicide and Life‐Threatening Behavior</w:t>
      </w:r>
      <w:r>
        <w:rPr>
          <w:rFonts w:ascii="Times New Roman" w:cs="Times New Roman" w:hAnsi="Times New Roman"/>
          <w:color w:val="222222"/>
          <w:sz w:val="24"/>
          <w:szCs w:val="24"/>
          <w:shd w:val="clear" w:color="auto" w:fill="ffffff"/>
        </w:rPr>
        <w:t>, </w:t>
      </w:r>
      <w:r>
        <w:rPr>
          <w:rFonts w:ascii="Times New Roman" w:cs="Times New Roman" w:hAnsi="Times New Roman"/>
          <w:b/>
          <w:bCs/>
          <w:color w:val="222222"/>
          <w:sz w:val="24"/>
          <w:szCs w:val="24"/>
          <w:shd w:val="clear" w:color="auto" w:fill="ffffff"/>
        </w:rPr>
        <w:t>49</w:t>
      </w:r>
      <w:r>
        <w:rPr>
          <w:rFonts w:ascii="Times New Roman" w:cs="Times New Roman" w:hAnsi="Times New Roman"/>
          <w:color w:val="222222"/>
          <w:sz w:val="24"/>
          <w:szCs w:val="24"/>
          <w:shd w:val="clear" w:color="auto" w:fill="ffffff"/>
        </w:rPr>
        <w:t>(2), 382-392.</w:t>
      </w:r>
    </w:p>
    <w:p>
      <w:pPr>
        <w:pStyle w:val="style0"/>
        <w:spacing w:lineRule="auto" w:line="480"/>
        <w:jc w:val="both"/>
        <w:rPr>
          <w:rFonts w:ascii="Times New Roman" w:cs="Times New Roman" w:hAnsi="Times New Roman"/>
          <w:color w:val="222222"/>
          <w:sz w:val="24"/>
          <w:szCs w:val="24"/>
          <w:shd w:val="clear" w:color="auto" w:fill="ffffff"/>
        </w:rPr>
      </w:pPr>
      <w:r>
        <w:rPr>
          <w:rFonts w:ascii="Times New Roman" w:cs="Times New Roman" w:hAnsi="Times New Roman"/>
          <w:color w:val="222222"/>
          <w:sz w:val="24"/>
          <w:szCs w:val="24"/>
          <w:shd w:val="clear" w:color="auto" w:fill="ffffff"/>
        </w:rPr>
        <w:t>Williams, T. F. (2010)</w:t>
      </w:r>
      <w:r>
        <w:rPr>
          <w:rFonts w:ascii="Times New Roman" w:cs="Times New Roman" w:hAnsi="Times New Roman"/>
          <w:color w:val="222222"/>
          <w:sz w:val="24"/>
          <w:szCs w:val="24"/>
          <w:shd w:val="clear" w:color="auto" w:fill="ffffff"/>
        </w:rPr>
        <w:t xml:space="preserve"> Neglect of Duty and Breach of Trust: Ancient offences in the modern battle against impunity in the public service. </w:t>
      </w:r>
      <w:r>
        <w:rPr>
          <w:rFonts w:ascii="Times New Roman" w:cs="Times New Roman" w:hAnsi="Times New Roman"/>
          <w:i/>
          <w:iCs/>
          <w:color w:val="222222"/>
          <w:sz w:val="24"/>
          <w:szCs w:val="24"/>
          <w:shd w:val="clear" w:color="auto" w:fill="ffffff"/>
        </w:rPr>
        <w:t>Journal of Money Laundering Control</w:t>
      </w:r>
      <w:r>
        <w:rPr>
          <w:rFonts w:ascii="Times New Roman" w:cs="Times New Roman" w:hAnsi="Times New Roman"/>
          <w:color w:val="222222"/>
          <w:sz w:val="24"/>
          <w:szCs w:val="24"/>
          <w:shd w:val="clear" w:color="auto" w:fill="ffffff"/>
        </w:rPr>
        <w:t>, </w:t>
      </w:r>
      <w:r>
        <w:rPr>
          <w:rFonts w:ascii="Times New Roman" w:cs="Times New Roman" w:hAnsi="Times New Roman"/>
          <w:b/>
          <w:bCs/>
          <w:color w:val="222222"/>
          <w:sz w:val="24"/>
          <w:szCs w:val="24"/>
          <w:shd w:val="clear" w:color="auto" w:fill="ffffff"/>
        </w:rPr>
        <w:t>13</w:t>
      </w:r>
      <w:r>
        <w:rPr>
          <w:rFonts w:ascii="Times New Roman" w:cs="Times New Roman" w:hAnsi="Times New Roman"/>
          <w:color w:val="222222"/>
          <w:sz w:val="24"/>
          <w:szCs w:val="24"/>
          <w:shd w:val="clear" w:color="auto" w:fill="ffffff"/>
        </w:rPr>
        <w:t>(4), 336-350.</w:t>
      </w:r>
    </w:p>
    <w:p>
      <w:pPr>
        <w:pStyle w:val="style0"/>
        <w:spacing w:lineRule="auto" w:line="480"/>
        <w:jc w:val="both"/>
        <w:rPr>
          <w:rFonts w:ascii="Times New Roman" w:cs="Times New Roman" w:hAnsi="Times New Roman"/>
          <w:sz w:val="24"/>
          <w:szCs w:val="24"/>
        </w:rPr>
      </w:pPr>
    </w:p>
    <w:p>
      <w:pPr>
        <w:pStyle w:val="style0"/>
        <w:spacing w:lineRule="auto" w:line="480"/>
        <w:jc w:val="both"/>
        <w:rPr>
          <w:rFonts w:ascii="Times New Roman" w:cs="Times New Roman" w:hAnsi="Times New Roman"/>
          <w:sz w:val="24"/>
          <w:szCs w:val="24"/>
        </w:rPr>
      </w:pPr>
    </w:p>
    <w:sectPr>
      <w:footerReference w:type="default" r:id="rId3"/>
      <w:type w:val="continuous"/>
      <w:pgSz w:w="12240" w:h="15840" w:orient="portrait" w:code="1"/>
      <w:pgMar w:top="1440" w:right="1440" w:bottom="1440" w:left="1440" w:header="567" w:footer="567" w:gutter="0"/>
      <w:pgBorders w:zOrder="front" w:display="allPages" w:offsetFrom="page">
        <w:top w:val="single" w:sz="24" w:space="24" w:color="auto"/>
        <w:left w:val="single" w:sz="24" w:space="24" w:color="auto"/>
        <w:bottom w:val="single" w:sz="24" w:space="24" w:color="auto"/>
        <w:right w:val="single" w:sz="24" w:space="24" w:color="auto"/>
      </w:pgBorders>
      <w:cols w:space="708"/>
      <w:titlePg/>
      <w:docGrid w:linePitch="29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altName w:val="Calibri"/>
    <w:panose1 w:val="020f0502020002030204"/>
    <w:charset w:val="00"/>
    <w:family w:val="swiss"/>
    <w:pitch w:val="variable"/>
    <w:sig w:usb0="E4002EFF" w:usb1="C000247B" w:usb2="00000009" w:usb3="00000000" w:csb0="000001FF" w:csb1="00000000"/>
  </w:font>
  <w:font w:name="Times New Roman">
    <w:altName w:val="Times New Roman"/>
    <w:panose1 w:val="02020603050004020304"/>
    <w:charset w:val="00"/>
    <w:family w:val="roman"/>
    <w:pitch w:val="variable"/>
    <w:sig w:usb0="E0002EFF" w:usb1="C000785B" w:usb2="00000009" w:usb3="00000000" w:csb0="000001FF" w:csb1="00000000"/>
  </w:font>
  <w:font w:name="Calibri Light">
    <w:altName w:val="Calibri Light"/>
    <w:panose1 w:val="020f0302020002030204"/>
    <w:charset w:val="00"/>
    <w:family w:val="swiss"/>
    <w:pitch w:val="variable"/>
    <w:sig w:usb0="A0002AEF" w:usb1="4000207B" w:usb2="00000000" w:usb3="00000000" w:csb0="000001FF" w:csb1="00000000"/>
  </w:font>
</w:fonts>
</file>

<file path=word/footer1.xml><?xml version="1.0" encoding="utf-8"?>
<w:ft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p>
    <w:pPr>
      <w:pStyle w:val="style32"/>
      <w:jc w:val="center"/>
      <w:rPr/>
    </w:pPr>
    <w:r>
      <w:rPr/>
      <w:fldChar w:fldCharType="begin"/>
    </w:r>
    <w:r>
      <w:instrText xml:space="preserve"> PAGE   \* MERGEFORMAT </w:instrText>
    </w:r>
    <w:r>
      <w:rPr/>
      <w:fldChar w:fldCharType="separate"/>
    </w:r>
    <w:r>
      <w:rPr>
        <w:noProof/>
      </w:rPr>
      <w:t>2</w:t>
    </w:r>
    <w:r>
      <w:rPr>
        <w:noProof/>
      </w:rPr>
      <w:fldChar w:fldCharType="end"/>
    </w:r>
  </w:p>
  <w:p>
    <w:pPr>
      <w:pStyle w:val="style32"/>
      <w:rPr/>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package/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file>

<file path=word/settings.xml><?xml version="1.0" encoding="utf-8"?>
<w:settings xmlns:w="http://schemas.openxmlformats.org/wordprocessingml/2006/main" xmlns:r="http://schemas.openxmlformats.org/officeDocument/2006/relationships" xmlns:m="http://schemas.openxmlformats.org/officeDocument/2006/math">
  <w:zoom w:percent="100"/>
  <w:hideSpellingErrors/>
  <w:hideGrammaticalErrors/>
  <w:proofState w:spelling="clean" w:grammar="clean"/>
  <w:stylePaneFormatFilter w:val="5024" w:allStyles="0" w:customStyles="0" w:latentStyles="1" w:stylesInUse="0" w:headingStyles="1" w:numberingStyles="0" w:tableStyles="0" w:directFormattingOnRuns="0" w:directFormattingOnParagraphs="0" w:directFormattingOnNumbering="0" w:directFormattingOnTables="0" w:clearFormatting="1" w:top3HeadingStyles="0" w:visibleStyles="1" w:alternateStyleNames="0"/>
  <w:stylePaneSortMethod w:val="0001"/>
  <w:defaultTabStop w:val="720"/>
  <w:drawingGridHorizontalSpacing w:val="110"/>
  <w:drawingGridVerticalSpacing w:val="299"/>
  <w:displayHorizontalDrawingGridEvery w:val="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ecimalSymbol w:val="."/>
  <w:listSeparator w:val=","/>
</w:settings>
</file>

<file path=word/styles.xml><?xml version="1.0" encoding="utf-8"?>
<w:styles xmlns:mc="http://schemas.openxmlformats.org/markup-compatibility/2006" xmlns:w="http://schemas.openxmlformats.org/wordprocessingml/2006/main" xmlns:w14="http://schemas.microsoft.com/office/word/2010/wordml" mc:Ignorable="w14">
  <w:docDefaults>
    <w:rPrDefault>
      <w:rPr>
        <w:rFonts w:ascii="Calibri" w:cs="宋体" w:eastAsia="Calibri" w:hAnsi="Calibri"/>
        <w:kern w:val="2"/>
        <w:sz w:val="22"/>
        <w:szCs w:val="22"/>
        <w:lang w:val="en-IN" w:bidi="ar-SA" w:eastAsia="en-US"/>
        <w14:ligatures xmlns:w14="http://schemas.microsoft.com/office/word/2010/wordml" w14:val="standardContextual"/>
      </w:rPr>
    </w:rPrDefault>
    <w:pPrDefault>
      <w:pPr>
        <w:spacing w:after="160" w:lineRule="auto" w:line="259"/>
      </w:pPr>
    </w:pPrDefault>
  </w:docDefaults>
  <w:style w:type="paragraph" w:default="1" w:styleId="style0">
    <w:name w:val="Normal"/>
    <w:next w:val="style0"/>
    <w:qFormat/>
    <w:pPr/>
    <w:rPr>
      <w:lang w:val="en-GB"/>
    </w:rPr>
  </w:style>
  <w:style w:type="character" w:default="1" w:styleId="style65">
    <w:name w:val="Default Paragraph Font"/>
    <w:next w:val="style65"/>
    <w:uiPriority w:val="1"/>
  </w:style>
  <w:style w:type="table" w:default="1" w:styleId="style105">
    <w:name w:val="Normal Table"/>
    <w:next w:val="style105"/>
    <w:uiPriority w:val="99"/>
    <w:pPr/>
    <w:rPr/>
    <w:tblPr>
      <w:tblInd w:w="0" w:type="dxa"/>
      <w:tblCellMar>
        <w:top w:w="0" w:type="dxa"/>
        <w:left w:w="108" w:type="dxa"/>
        <w:bottom w:w="0" w:type="dxa"/>
        <w:right w:w="108" w:type="dxa"/>
      </w:tblCellMar>
    </w:tblPr>
    <w:tcPr>
      <w:tcBorders/>
    </w:tcPr>
  </w:style>
  <w:style w:type="numbering" w:default="1" w:styleId="style107">
    <w:name w:val="No List"/>
    <w:next w:val="style107"/>
    <w:uiPriority w:val="99"/>
    <w:pPr/>
  </w:style>
  <w:style w:type="paragraph" w:styleId="style94">
    <w:name w:val="Normal (Web)"/>
    <w:basedOn w:val="style0"/>
    <w:next w:val="style94"/>
    <w:uiPriority w:val="99"/>
    <w:pPr>
      <w:spacing w:before="100" w:beforeAutospacing="true" w:after="100" w:afterAutospacing="true" w:lineRule="auto" w:line="240"/>
    </w:pPr>
    <w:rPr>
      <w:rFonts w:ascii="Times New Roman" w:cs="Times New Roman" w:eastAsia="Times New Roman" w:hAnsi="Times New Roman"/>
      <w:kern w:val="0"/>
      <w:sz w:val="24"/>
      <w:szCs w:val="24"/>
      <w:lang w:val="en-IN" w:eastAsia="en-IN"/>
      <w14:ligatures xmlns:w14="http://schemas.microsoft.com/office/word/2010/wordml" w14:val="none"/>
    </w:rPr>
  </w:style>
  <w:style w:type="paragraph" w:styleId="style31">
    <w:name w:val="header"/>
    <w:basedOn w:val="style0"/>
    <w:next w:val="style31"/>
    <w:link w:val="style4097"/>
    <w:uiPriority w:val="99"/>
    <w:pPr>
      <w:tabs>
        <w:tab w:val="center" w:leader="none" w:pos="4513"/>
        <w:tab w:val="right" w:leader="none" w:pos="9026"/>
      </w:tabs>
      <w:spacing w:after="0" w:lineRule="auto" w:line="240"/>
    </w:pPr>
    <w:rPr/>
  </w:style>
  <w:style w:type="character" w:customStyle="1" w:styleId="style4097">
    <w:name w:val="Header Char_52a5fb7e-1c7a-4a74-83da-6b451190e806"/>
    <w:basedOn w:val="style65"/>
    <w:next w:val="style4097"/>
    <w:link w:val="style31"/>
    <w:uiPriority w:val="99"/>
    <w:rPr>
      <w:lang w:val="en-GB"/>
    </w:rPr>
  </w:style>
  <w:style w:type="paragraph" w:styleId="style32">
    <w:name w:val="footer"/>
    <w:basedOn w:val="style0"/>
    <w:next w:val="style32"/>
    <w:link w:val="style4098"/>
    <w:uiPriority w:val="99"/>
    <w:pPr>
      <w:tabs>
        <w:tab w:val="center" w:leader="none" w:pos="4513"/>
        <w:tab w:val="right" w:leader="none" w:pos="9026"/>
      </w:tabs>
      <w:spacing w:after="0" w:lineRule="auto" w:line="240"/>
    </w:pPr>
    <w:rPr/>
  </w:style>
  <w:style w:type="character" w:customStyle="1" w:styleId="style4098">
    <w:name w:val="Footer Char_65a9a383-b8d7-4571-9be0-4abf1daf89c7"/>
    <w:basedOn w:val="style65"/>
    <w:next w:val="style4098"/>
    <w:link w:val="style32"/>
    <w:uiPriority w:val="99"/>
    <w:rPr>
      <w:lang w:val="en-GB"/>
    </w:rPr>
  </w:style>
</w:styles>
</file>

<file path=word/_rels/document.xml.rels><?xml version="1.0" encoding="UTF-8"?>
<Relationships xmlns="http://schemas.openxmlformats.org/package/2006/relationships"><Relationship Id="rId1" Type="http://schemas.openxmlformats.org/officeDocument/2006/relationships/numbering" Target="numbering.xml"/><Relationship Id="rId2" Type="http://schemas.openxmlformats.org/officeDocument/2006/relationships/image" Target="media/image1.png"/><Relationship Id="rId3" Type="http://schemas.openxmlformats.org/officeDocument/2006/relationships/footer" Target="footer1.xml"/><Relationship Id="rId4" Type="http://schemas.openxmlformats.org/officeDocument/2006/relationships/styles" Target="styles.xml"/><Relationship Id="rId5" Type="http://schemas.openxmlformats.org/officeDocument/2006/relationships/fontTable" Target="fontTable.xml"/><Relationship Id="rId6" Type="http://schemas.openxmlformats.org/officeDocument/2006/relationships/settings" Target="settings.xml"/><Relationship Id="rId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Words>2068</Words>
  <Pages>8</Pages>
  <Characters>10587</Characters>
  <Application>WPS Office</Application>
  <DocSecurity>0</DocSecurity>
  <Paragraphs>54</Paragraphs>
  <ScaleCrop>false</ScaleCrop>
  <LinksUpToDate>false</LinksUpToDate>
  <CharactersWithSpaces>12623</CharactersWithSpaces>
  <SharedDoc>false</SharedDoc>
  <HyperlinksChanged>false</HyperlinksChanged>
  <AppVersion>16.000</AppVersion>
</Properties>
</file>

<file path=docProps/core.xml><?xml version="1.0" encoding="utf-8"?>
<coreProperties xmlns="http://schemas.openxmlformats.org/package/2006/metadata/core-properties" xmlns:cp="http://schemas.openxmlformats.org/package/2006/metadata/core-properties" xmlns:dc="http://purl.org/dc/elements/1.1/" xmlns:dcterms="http://purl.org/dc/terms/" xmlns:xsi="http://www.w3.org/2001/XMLSchema-instance">
  <dcterms:created xsi:type="dcterms:W3CDTF">2023-03-18T07:43:20Z</dcterms:created>
  <dc:creator>WPS Office</dc:creator>
  <lastModifiedBy>Redmi Note 8 Pro</lastModifiedBy>
  <dcterms:modified xsi:type="dcterms:W3CDTF">2023-03-18T07:43:20Z</dcterms:modified>
  <revision>121</revision>
</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953560c744b2463fb154ae0c3822298a</vt:lpwstr>
  </property>
</Properties>
</file>