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B5891" w14:textId="77777777" w:rsidR="00763238" w:rsidRDefault="00763238" w:rsidP="00DD07EB">
      <w:pPr>
        <w:spacing w:line="360" w:lineRule="auto"/>
        <w:rPr>
          <w:rFonts w:ascii="Arial" w:hAnsi="Arial" w:cs="Arial"/>
          <w:sz w:val="22"/>
          <w:szCs w:val="22"/>
        </w:rPr>
      </w:pPr>
    </w:p>
    <w:p w14:paraId="0F76D962" w14:textId="2DA8DEF7" w:rsidR="00763238" w:rsidRDefault="00763238" w:rsidP="00763238">
      <w:pPr>
        <w:spacing w:line="360" w:lineRule="auto"/>
        <w:jc w:val="center"/>
        <w:rPr>
          <w:rFonts w:ascii="Arial" w:hAnsi="Arial" w:cs="Arial"/>
          <w:sz w:val="22"/>
          <w:szCs w:val="22"/>
        </w:rPr>
      </w:pPr>
      <w:r>
        <w:rPr>
          <w:rFonts w:ascii="Arial" w:hAnsi="Arial" w:cs="Arial"/>
          <w:noProof/>
          <w:sz w:val="22"/>
          <w:szCs w:val="22"/>
        </w:rPr>
        <w:drawing>
          <wp:inline distT="0" distB="0" distL="0" distR="0" wp14:anchorId="427E74CF" wp14:editId="05D234AF">
            <wp:extent cx="2218414" cy="887929"/>
            <wp:effectExtent l="0" t="0" r="0" b="7620"/>
            <wp:docPr id="1702391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91681" name="Picture 170239168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508" cy="891569"/>
                    </a:xfrm>
                    <a:prstGeom prst="rect">
                      <a:avLst/>
                    </a:prstGeom>
                  </pic:spPr>
                </pic:pic>
              </a:graphicData>
            </a:graphic>
          </wp:inline>
        </w:drawing>
      </w:r>
    </w:p>
    <w:p w14:paraId="4F4B3CA7" w14:textId="77777777" w:rsidR="00763238" w:rsidRDefault="00763238" w:rsidP="00DD07EB">
      <w:pPr>
        <w:spacing w:line="360" w:lineRule="auto"/>
        <w:rPr>
          <w:rFonts w:ascii="Arial" w:hAnsi="Arial" w:cs="Arial"/>
          <w:sz w:val="22"/>
          <w:szCs w:val="22"/>
        </w:rPr>
      </w:pPr>
    </w:p>
    <w:p w14:paraId="2741B741" w14:textId="77777777" w:rsidR="00763238" w:rsidRDefault="00763238" w:rsidP="00DD07EB">
      <w:pPr>
        <w:spacing w:line="360" w:lineRule="auto"/>
        <w:rPr>
          <w:rFonts w:ascii="Arial" w:hAnsi="Arial" w:cs="Arial"/>
          <w:sz w:val="22"/>
          <w:szCs w:val="22"/>
        </w:rPr>
      </w:pPr>
    </w:p>
    <w:p w14:paraId="2BEF63A2" w14:textId="77777777" w:rsidR="00763238" w:rsidRDefault="00763238" w:rsidP="00DD07EB">
      <w:pPr>
        <w:spacing w:line="360" w:lineRule="auto"/>
        <w:rPr>
          <w:rFonts w:ascii="Arial" w:hAnsi="Arial" w:cs="Arial"/>
          <w:sz w:val="22"/>
          <w:szCs w:val="22"/>
        </w:rPr>
      </w:pPr>
    </w:p>
    <w:p w14:paraId="116A1EBF" w14:textId="77777777" w:rsidR="00763238" w:rsidRDefault="00763238" w:rsidP="00DD07EB">
      <w:pPr>
        <w:spacing w:line="360" w:lineRule="auto"/>
        <w:rPr>
          <w:rFonts w:ascii="Arial" w:hAnsi="Arial" w:cs="Arial"/>
          <w:sz w:val="22"/>
          <w:szCs w:val="22"/>
        </w:rPr>
      </w:pPr>
    </w:p>
    <w:p w14:paraId="7B13C139" w14:textId="78AF0539" w:rsidR="003818EF"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Module code: BMHP5019_BIRM</w:t>
      </w:r>
    </w:p>
    <w:p w14:paraId="3FE8A9DC" w14:textId="77777777" w:rsidR="003818EF"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Module: introduction to independent research skills</w:t>
      </w:r>
    </w:p>
    <w:p w14:paraId="5BC92407" w14:textId="77777777" w:rsidR="003818EF"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Assignment title: Component 2, Written Assignment (Research report)</w:t>
      </w:r>
    </w:p>
    <w:p w14:paraId="4E7808D8" w14:textId="5A52BF90" w:rsidR="003818EF"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 xml:space="preserve">Lecturer: </w:t>
      </w:r>
      <w:r w:rsidR="004E6543">
        <w:rPr>
          <w:rFonts w:ascii="Arial" w:hAnsi="Arial" w:cs="Arial"/>
          <w:b/>
          <w:bCs/>
          <w:sz w:val="28"/>
          <w:szCs w:val="28"/>
        </w:rPr>
        <w:t>Rizwan Nadim</w:t>
      </w:r>
    </w:p>
    <w:p w14:paraId="6DF81A50" w14:textId="77777777" w:rsidR="003818EF" w:rsidRPr="00763238" w:rsidRDefault="003818EF" w:rsidP="00DD07EB">
      <w:pPr>
        <w:spacing w:line="360" w:lineRule="auto"/>
        <w:rPr>
          <w:rFonts w:ascii="Arial" w:hAnsi="Arial" w:cs="Arial"/>
          <w:b/>
          <w:bCs/>
          <w:sz w:val="28"/>
          <w:szCs w:val="28"/>
        </w:rPr>
      </w:pPr>
    </w:p>
    <w:p w14:paraId="621652B7" w14:textId="77777777" w:rsidR="003818EF" w:rsidRPr="00763238" w:rsidRDefault="003818EF" w:rsidP="00DD07EB">
      <w:pPr>
        <w:spacing w:line="360" w:lineRule="auto"/>
        <w:rPr>
          <w:rFonts w:ascii="Arial" w:hAnsi="Arial" w:cs="Arial"/>
          <w:b/>
          <w:bCs/>
          <w:sz w:val="28"/>
          <w:szCs w:val="28"/>
        </w:rPr>
      </w:pPr>
    </w:p>
    <w:p w14:paraId="0D7026CD" w14:textId="77777777" w:rsidR="003818EF" w:rsidRPr="00763238" w:rsidRDefault="003818EF" w:rsidP="00DD07EB">
      <w:pPr>
        <w:spacing w:line="360" w:lineRule="auto"/>
        <w:rPr>
          <w:rFonts w:ascii="Arial" w:hAnsi="Arial" w:cs="Arial"/>
          <w:b/>
          <w:bCs/>
          <w:sz w:val="28"/>
          <w:szCs w:val="28"/>
        </w:rPr>
      </w:pPr>
    </w:p>
    <w:p w14:paraId="228D44AA" w14:textId="77777777" w:rsidR="003818EF" w:rsidRPr="00763238" w:rsidRDefault="003818EF" w:rsidP="00DD07EB">
      <w:pPr>
        <w:spacing w:line="360" w:lineRule="auto"/>
        <w:rPr>
          <w:rFonts w:ascii="Arial" w:hAnsi="Arial" w:cs="Arial"/>
          <w:b/>
          <w:bCs/>
          <w:sz w:val="28"/>
          <w:szCs w:val="28"/>
        </w:rPr>
      </w:pPr>
    </w:p>
    <w:p w14:paraId="208FFE75" w14:textId="77777777" w:rsidR="003818EF" w:rsidRPr="00763238" w:rsidRDefault="003818EF" w:rsidP="00DD07EB">
      <w:pPr>
        <w:spacing w:line="360" w:lineRule="auto"/>
        <w:rPr>
          <w:rFonts w:ascii="Arial" w:hAnsi="Arial" w:cs="Arial"/>
          <w:b/>
          <w:bCs/>
          <w:sz w:val="28"/>
          <w:szCs w:val="28"/>
        </w:rPr>
      </w:pPr>
    </w:p>
    <w:p w14:paraId="4F219A08" w14:textId="77777777" w:rsidR="003818EF" w:rsidRPr="00763238" w:rsidRDefault="003818EF" w:rsidP="00DD07EB">
      <w:pPr>
        <w:spacing w:line="360" w:lineRule="auto"/>
        <w:rPr>
          <w:rFonts w:ascii="Arial" w:hAnsi="Arial" w:cs="Arial"/>
          <w:b/>
          <w:bCs/>
          <w:sz w:val="28"/>
          <w:szCs w:val="28"/>
        </w:rPr>
      </w:pPr>
    </w:p>
    <w:p w14:paraId="571F0257" w14:textId="14CA4596" w:rsidR="003818EF"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Student:</w:t>
      </w:r>
      <w:r w:rsidR="004E6543">
        <w:rPr>
          <w:rFonts w:ascii="Arial" w:hAnsi="Arial" w:cs="Arial"/>
          <w:b/>
          <w:bCs/>
          <w:sz w:val="28"/>
          <w:szCs w:val="28"/>
        </w:rPr>
        <w:t xml:space="preserve"> Mina Hizni Khorshid</w:t>
      </w:r>
    </w:p>
    <w:p w14:paraId="4D8618DD" w14:textId="2C0AEE9B" w:rsidR="005E43C9" w:rsidRPr="00763238" w:rsidRDefault="003818EF" w:rsidP="00DD07EB">
      <w:pPr>
        <w:spacing w:line="360" w:lineRule="auto"/>
        <w:rPr>
          <w:rFonts w:ascii="Arial" w:hAnsi="Arial" w:cs="Arial"/>
          <w:b/>
          <w:bCs/>
          <w:sz w:val="28"/>
          <w:szCs w:val="28"/>
        </w:rPr>
      </w:pPr>
      <w:r w:rsidRPr="00763238">
        <w:rPr>
          <w:rFonts w:ascii="Arial" w:hAnsi="Arial" w:cs="Arial"/>
          <w:b/>
          <w:bCs/>
          <w:sz w:val="28"/>
          <w:szCs w:val="28"/>
        </w:rPr>
        <w:t>ID:</w:t>
      </w:r>
      <w:r w:rsidR="004E6543">
        <w:rPr>
          <w:rFonts w:ascii="Arial" w:hAnsi="Arial" w:cs="Arial"/>
          <w:b/>
          <w:bCs/>
          <w:sz w:val="28"/>
          <w:szCs w:val="28"/>
        </w:rPr>
        <w:t xml:space="preserve"> 2122088</w:t>
      </w:r>
    </w:p>
    <w:p w14:paraId="16A98359" w14:textId="77777777" w:rsidR="003818EF" w:rsidRPr="00DD07EB" w:rsidRDefault="003818EF" w:rsidP="00DD07EB">
      <w:pPr>
        <w:spacing w:line="360" w:lineRule="auto"/>
        <w:rPr>
          <w:rFonts w:ascii="Arial" w:hAnsi="Arial" w:cs="Arial"/>
          <w:sz w:val="22"/>
          <w:szCs w:val="22"/>
        </w:rPr>
      </w:pPr>
    </w:p>
    <w:p w14:paraId="7DF4204F" w14:textId="77777777" w:rsidR="003818EF" w:rsidRPr="00DD07EB" w:rsidRDefault="003818EF" w:rsidP="00DD07EB">
      <w:pPr>
        <w:spacing w:line="360" w:lineRule="auto"/>
        <w:rPr>
          <w:rFonts w:ascii="Arial" w:hAnsi="Arial" w:cs="Arial"/>
          <w:sz w:val="22"/>
          <w:szCs w:val="22"/>
        </w:rPr>
      </w:pPr>
    </w:p>
    <w:p w14:paraId="590BD5C7" w14:textId="77777777" w:rsidR="003818EF" w:rsidRPr="00DD07EB" w:rsidRDefault="003818EF" w:rsidP="00DD07EB">
      <w:pPr>
        <w:spacing w:line="360" w:lineRule="auto"/>
        <w:rPr>
          <w:rFonts w:ascii="Arial" w:hAnsi="Arial" w:cs="Arial"/>
          <w:sz w:val="22"/>
          <w:szCs w:val="22"/>
        </w:rPr>
      </w:pPr>
    </w:p>
    <w:sdt>
      <w:sdtPr>
        <w:rPr>
          <w:rFonts w:asciiTheme="minorHAnsi" w:eastAsiaTheme="minorEastAsia" w:hAnsiTheme="minorHAnsi" w:cstheme="minorBidi"/>
          <w:color w:val="auto"/>
          <w:kern w:val="2"/>
          <w:sz w:val="24"/>
          <w:szCs w:val="24"/>
          <w:lang w:val="en-GB" w:eastAsia="zh-CN"/>
          <w14:ligatures w14:val="standardContextual"/>
        </w:rPr>
        <w:id w:val="-1309313149"/>
        <w:docPartObj>
          <w:docPartGallery w:val="Table of Contents"/>
          <w:docPartUnique/>
        </w:docPartObj>
      </w:sdtPr>
      <w:sdtEndPr>
        <w:rPr>
          <w:b/>
          <w:bCs/>
          <w:noProof/>
        </w:rPr>
      </w:sdtEndPr>
      <w:sdtContent>
        <w:p w14:paraId="3BB4B7CF" w14:textId="2127185A" w:rsidR="00DD07EB" w:rsidRDefault="00DD07EB">
          <w:pPr>
            <w:pStyle w:val="TOCHeading"/>
          </w:pPr>
          <w:r>
            <w:t>Contents</w:t>
          </w:r>
        </w:p>
        <w:p w14:paraId="119E63ED" w14:textId="3E24D4FB" w:rsidR="00DD07EB" w:rsidRDefault="00DD07EB">
          <w:pPr>
            <w:pStyle w:val="TOC2"/>
            <w:tabs>
              <w:tab w:val="right" w:leader="dot" w:pos="9016"/>
            </w:tabs>
            <w:rPr>
              <w:noProof/>
            </w:rPr>
          </w:pPr>
          <w:r>
            <w:fldChar w:fldCharType="begin"/>
          </w:r>
          <w:r>
            <w:instrText xml:space="preserve"> TOC \o "1-3" \h \z \u </w:instrText>
          </w:r>
          <w:r>
            <w:fldChar w:fldCharType="separate"/>
          </w:r>
          <w:hyperlink w:anchor="_Toc223899504" w:history="1">
            <w:r w:rsidRPr="00C86D6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_Toc223899504 \h </w:instrText>
            </w:r>
            <w:r>
              <w:rPr>
                <w:noProof/>
                <w:webHidden/>
              </w:rPr>
            </w:r>
            <w:r>
              <w:rPr>
                <w:noProof/>
                <w:webHidden/>
              </w:rPr>
              <w:fldChar w:fldCharType="separate"/>
            </w:r>
            <w:r>
              <w:rPr>
                <w:noProof/>
                <w:webHidden/>
              </w:rPr>
              <w:t>2</w:t>
            </w:r>
            <w:r>
              <w:rPr>
                <w:noProof/>
                <w:webHidden/>
              </w:rPr>
              <w:fldChar w:fldCharType="end"/>
            </w:r>
          </w:hyperlink>
        </w:p>
        <w:p w14:paraId="046C38C5" w14:textId="1E0BCE6D" w:rsidR="00DD07EB" w:rsidRDefault="00DD07EB">
          <w:pPr>
            <w:pStyle w:val="TOC3"/>
            <w:tabs>
              <w:tab w:val="right" w:leader="dot" w:pos="9016"/>
            </w:tabs>
            <w:rPr>
              <w:noProof/>
            </w:rPr>
          </w:pPr>
          <w:hyperlink w:anchor="_Toc223899505" w:history="1">
            <w:r w:rsidRPr="00C86D69">
              <w:rPr>
                <w:rStyle w:val="Hyperlink"/>
                <w:rFonts w:ascii="Arial" w:hAnsi="Arial" w:cs="Arial"/>
                <w:i/>
                <w:iCs/>
                <w:noProof/>
              </w:rPr>
              <w:t>Definitions</w:t>
            </w:r>
            <w:r>
              <w:rPr>
                <w:noProof/>
                <w:webHidden/>
              </w:rPr>
              <w:tab/>
            </w:r>
            <w:r>
              <w:rPr>
                <w:noProof/>
                <w:webHidden/>
              </w:rPr>
              <w:fldChar w:fldCharType="begin"/>
            </w:r>
            <w:r>
              <w:rPr>
                <w:noProof/>
                <w:webHidden/>
              </w:rPr>
              <w:instrText xml:space="preserve"> PAGEREF _Toc223899505 \h </w:instrText>
            </w:r>
            <w:r>
              <w:rPr>
                <w:noProof/>
                <w:webHidden/>
              </w:rPr>
            </w:r>
            <w:r>
              <w:rPr>
                <w:noProof/>
                <w:webHidden/>
              </w:rPr>
              <w:fldChar w:fldCharType="separate"/>
            </w:r>
            <w:r>
              <w:rPr>
                <w:noProof/>
                <w:webHidden/>
              </w:rPr>
              <w:t>2</w:t>
            </w:r>
            <w:r>
              <w:rPr>
                <w:noProof/>
                <w:webHidden/>
              </w:rPr>
              <w:fldChar w:fldCharType="end"/>
            </w:r>
          </w:hyperlink>
        </w:p>
        <w:p w14:paraId="46CA7D7C" w14:textId="493D74AC" w:rsidR="00DD07EB" w:rsidRDefault="00DD07EB">
          <w:pPr>
            <w:pStyle w:val="TOC2"/>
            <w:tabs>
              <w:tab w:val="right" w:leader="dot" w:pos="9016"/>
            </w:tabs>
            <w:rPr>
              <w:noProof/>
            </w:rPr>
          </w:pPr>
          <w:hyperlink w:anchor="_Toc223899506" w:history="1">
            <w:r w:rsidRPr="00C86D69">
              <w:rPr>
                <w:rStyle w:val="Hyperlink"/>
                <w:rFonts w:ascii="Arial" w:hAnsi="Arial" w:cs="Arial"/>
                <w:noProof/>
              </w:rPr>
              <w:t>Rationale</w:t>
            </w:r>
            <w:r>
              <w:rPr>
                <w:noProof/>
                <w:webHidden/>
              </w:rPr>
              <w:tab/>
            </w:r>
            <w:r>
              <w:rPr>
                <w:noProof/>
                <w:webHidden/>
              </w:rPr>
              <w:fldChar w:fldCharType="begin"/>
            </w:r>
            <w:r>
              <w:rPr>
                <w:noProof/>
                <w:webHidden/>
              </w:rPr>
              <w:instrText xml:space="preserve"> PAGEREF _Toc223899506 \h </w:instrText>
            </w:r>
            <w:r>
              <w:rPr>
                <w:noProof/>
                <w:webHidden/>
              </w:rPr>
            </w:r>
            <w:r>
              <w:rPr>
                <w:noProof/>
                <w:webHidden/>
              </w:rPr>
              <w:fldChar w:fldCharType="separate"/>
            </w:r>
            <w:r>
              <w:rPr>
                <w:noProof/>
                <w:webHidden/>
              </w:rPr>
              <w:t>2</w:t>
            </w:r>
            <w:r>
              <w:rPr>
                <w:noProof/>
                <w:webHidden/>
              </w:rPr>
              <w:fldChar w:fldCharType="end"/>
            </w:r>
          </w:hyperlink>
        </w:p>
        <w:p w14:paraId="613CE66C" w14:textId="1E2D4831" w:rsidR="00DD07EB" w:rsidRDefault="00DD07EB">
          <w:pPr>
            <w:pStyle w:val="TOC2"/>
            <w:tabs>
              <w:tab w:val="right" w:leader="dot" w:pos="9016"/>
            </w:tabs>
            <w:rPr>
              <w:noProof/>
            </w:rPr>
          </w:pPr>
          <w:hyperlink w:anchor="_Toc223899507" w:history="1">
            <w:r w:rsidRPr="00C86D69">
              <w:rPr>
                <w:rStyle w:val="Hyperlink"/>
                <w:rFonts w:ascii="Arial" w:hAnsi="Arial" w:cs="Arial"/>
                <w:noProof/>
              </w:rPr>
              <w:t>Review Questions and Objectives</w:t>
            </w:r>
            <w:r>
              <w:rPr>
                <w:noProof/>
                <w:webHidden/>
              </w:rPr>
              <w:tab/>
            </w:r>
            <w:r>
              <w:rPr>
                <w:noProof/>
                <w:webHidden/>
              </w:rPr>
              <w:fldChar w:fldCharType="begin"/>
            </w:r>
            <w:r>
              <w:rPr>
                <w:noProof/>
                <w:webHidden/>
              </w:rPr>
              <w:instrText xml:space="preserve"> PAGEREF _Toc223899507 \h </w:instrText>
            </w:r>
            <w:r>
              <w:rPr>
                <w:noProof/>
                <w:webHidden/>
              </w:rPr>
            </w:r>
            <w:r>
              <w:rPr>
                <w:noProof/>
                <w:webHidden/>
              </w:rPr>
              <w:fldChar w:fldCharType="separate"/>
            </w:r>
            <w:r>
              <w:rPr>
                <w:noProof/>
                <w:webHidden/>
              </w:rPr>
              <w:t>3</w:t>
            </w:r>
            <w:r>
              <w:rPr>
                <w:noProof/>
                <w:webHidden/>
              </w:rPr>
              <w:fldChar w:fldCharType="end"/>
            </w:r>
          </w:hyperlink>
        </w:p>
        <w:p w14:paraId="7860980B" w14:textId="441B6C6E" w:rsidR="00DD07EB" w:rsidRDefault="00DD07EB">
          <w:pPr>
            <w:pStyle w:val="TOC2"/>
            <w:tabs>
              <w:tab w:val="right" w:leader="dot" w:pos="9016"/>
            </w:tabs>
            <w:rPr>
              <w:noProof/>
            </w:rPr>
          </w:pPr>
          <w:hyperlink w:anchor="_Toc223899508" w:history="1">
            <w:r w:rsidRPr="00C86D69">
              <w:rPr>
                <w:rStyle w:val="Hyperlink"/>
                <w:rFonts w:ascii="Arial" w:hAnsi="Arial" w:cs="Arial"/>
                <w:noProof/>
              </w:rPr>
              <w:t>Background</w:t>
            </w:r>
            <w:r>
              <w:rPr>
                <w:noProof/>
                <w:webHidden/>
              </w:rPr>
              <w:tab/>
            </w:r>
            <w:r>
              <w:rPr>
                <w:noProof/>
                <w:webHidden/>
              </w:rPr>
              <w:fldChar w:fldCharType="begin"/>
            </w:r>
            <w:r>
              <w:rPr>
                <w:noProof/>
                <w:webHidden/>
              </w:rPr>
              <w:instrText xml:space="preserve"> PAGEREF _Toc223899508 \h </w:instrText>
            </w:r>
            <w:r>
              <w:rPr>
                <w:noProof/>
                <w:webHidden/>
              </w:rPr>
            </w:r>
            <w:r>
              <w:rPr>
                <w:noProof/>
                <w:webHidden/>
              </w:rPr>
              <w:fldChar w:fldCharType="separate"/>
            </w:r>
            <w:r>
              <w:rPr>
                <w:noProof/>
                <w:webHidden/>
              </w:rPr>
              <w:t>3</w:t>
            </w:r>
            <w:r>
              <w:rPr>
                <w:noProof/>
                <w:webHidden/>
              </w:rPr>
              <w:fldChar w:fldCharType="end"/>
            </w:r>
          </w:hyperlink>
        </w:p>
        <w:p w14:paraId="2CB5E3E5" w14:textId="19CC8D22" w:rsidR="00DD07EB" w:rsidRDefault="00DD07EB">
          <w:pPr>
            <w:pStyle w:val="TOC2"/>
            <w:tabs>
              <w:tab w:val="right" w:leader="dot" w:pos="9016"/>
            </w:tabs>
            <w:rPr>
              <w:noProof/>
            </w:rPr>
          </w:pPr>
          <w:hyperlink w:anchor="_Toc223899509" w:history="1">
            <w:r w:rsidRPr="00C86D69">
              <w:rPr>
                <w:rStyle w:val="Hyperlink"/>
                <w:rFonts w:ascii="Arial" w:hAnsi="Arial" w:cs="Arial"/>
                <w:noProof/>
              </w:rPr>
              <w:t>Legislation Frameworks and Policies Supporting Breast Cancer Screening and Early Diagnosis</w:t>
            </w:r>
            <w:r>
              <w:rPr>
                <w:noProof/>
                <w:webHidden/>
              </w:rPr>
              <w:tab/>
            </w:r>
            <w:r>
              <w:rPr>
                <w:noProof/>
                <w:webHidden/>
              </w:rPr>
              <w:fldChar w:fldCharType="begin"/>
            </w:r>
            <w:r>
              <w:rPr>
                <w:noProof/>
                <w:webHidden/>
              </w:rPr>
              <w:instrText xml:space="preserve"> PAGEREF _Toc223899509 \h </w:instrText>
            </w:r>
            <w:r>
              <w:rPr>
                <w:noProof/>
                <w:webHidden/>
              </w:rPr>
            </w:r>
            <w:r>
              <w:rPr>
                <w:noProof/>
                <w:webHidden/>
              </w:rPr>
              <w:fldChar w:fldCharType="separate"/>
            </w:r>
            <w:r>
              <w:rPr>
                <w:noProof/>
                <w:webHidden/>
              </w:rPr>
              <w:t>4</w:t>
            </w:r>
            <w:r>
              <w:rPr>
                <w:noProof/>
                <w:webHidden/>
              </w:rPr>
              <w:fldChar w:fldCharType="end"/>
            </w:r>
          </w:hyperlink>
        </w:p>
        <w:p w14:paraId="58F49272" w14:textId="0EE8FA23" w:rsidR="00DD07EB" w:rsidRDefault="00DD07EB">
          <w:pPr>
            <w:pStyle w:val="TOC2"/>
            <w:tabs>
              <w:tab w:val="right" w:leader="dot" w:pos="9016"/>
            </w:tabs>
            <w:rPr>
              <w:noProof/>
            </w:rPr>
          </w:pPr>
          <w:hyperlink w:anchor="_Toc223899510" w:history="1">
            <w:r w:rsidRPr="00C86D69">
              <w:rPr>
                <w:rStyle w:val="Hyperlink"/>
                <w:rFonts w:ascii="Arial" w:hAnsi="Arial" w:cs="Arial"/>
                <w:noProof/>
              </w:rPr>
              <w:t>Guidance and Best Practices in the United Kingdom</w:t>
            </w:r>
            <w:r>
              <w:rPr>
                <w:noProof/>
                <w:webHidden/>
              </w:rPr>
              <w:tab/>
            </w:r>
            <w:r>
              <w:rPr>
                <w:noProof/>
                <w:webHidden/>
              </w:rPr>
              <w:fldChar w:fldCharType="begin"/>
            </w:r>
            <w:r>
              <w:rPr>
                <w:noProof/>
                <w:webHidden/>
              </w:rPr>
              <w:instrText xml:space="preserve"> PAGEREF _Toc223899510 \h </w:instrText>
            </w:r>
            <w:r>
              <w:rPr>
                <w:noProof/>
                <w:webHidden/>
              </w:rPr>
            </w:r>
            <w:r>
              <w:rPr>
                <w:noProof/>
                <w:webHidden/>
              </w:rPr>
              <w:fldChar w:fldCharType="separate"/>
            </w:r>
            <w:r>
              <w:rPr>
                <w:noProof/>
                <w:webHidden/>
              </w:rPr>
              <w:t>5</w:t>
            </w:r>
            <w:r>
              <w:rPr>
                <w:noProof/>
                <w:webHidden/>
              </w:rPr>
              <w:fldChar w:fldCharType="end"/>
            </w:r>
          </w:hyperlink>
        </w:p>
        <w:p w14:paraId="39A2F97B" w14:textId="57620DB2" w:rsidR="00DD07EB" w:rsidRDefault="00DD07EB">
          <w:pPr>
            <w:pStyle w:val="TOC2"/>
            <w:tabs>
              <w:tab w:val="right" w:leader="dot" w:pos="9016"/>
            </w:tabs>
            <w:rPr>
              <w:noProof/>
            </w:rPr>
          </w:pPr>
          <w:hyperlink w:anchor="_Toc223899511" w:history="1">
            <w:r w:rsidRPr="00C86D69">
              <w:rPr>
                <w:rStyle w:val="Hyperlink"/>
                <w:rFonts w:ascii="Arial" w:hAnsi="Arial" w:cs="Arial"/>
                <w:noProof/>
              </w:rPr>
              <w:t>Methods</w:t>
            </w:r>
            <w:r>
              <w:rPr>
                <w:noProof/>
                <w:webHidden/>
              </w:rPr>
              <w:tab/>
            </w:r>
            <w:r>
              <w:rPr>
                <w:noProof/>
                <w:webHidden/>
              </w:rPr>
              <w:fldChar w:fldCharType="begin"/>
            </w:r>
            <w:r>
              <w:rPr>
                <w:noProof/>
                <w:webHidden/>
              </w:rPr>
              <w:instrText xml:space="preserve"> PAGEREF _Toc223899511 \h </w:instrText>
            </w:r>
            <w:r>
              <w:rPr>
                <w:noProof/>
                <w:webHidden/>
              </w:rPr>
            </w:r>
            <w:r>
              <w:rPr>
                <w:noProof/>
                <w:webHidden/>
              </w:rPr>
              <w:fldChar w:fldCharType="separate"/>
            </w:r>
            <w:r>
              <w:rPr>
                <w:noProof/>
                <w:webHidden/>
              </w:rPr>
              <w:t>6</w:t>
            </w:r>
            <w:r>
              <w:rPr>
                <w:noProof/>
                <w:webHidden/>
              </w:rPr>
              <w:fldChar w:fldCharType="end"/>
            </w:r>
          </w:hyperlink>
        </w:p>
        <w:p w14:paraId="3C49A3E6" w14:textId="0848914C" w:rsidR="00DD07EB" w:rsidRDefault="00DD07EB">
          <w:pPr>
            <w:pStyle w:val="TOC3"/>
            <w:tabs>
              <w:tab w:val="right" w:leader="dot" w:pos="9016"/>
            </w:tabs>
            <w:rPr>
              <w:noProof/>
            </w:rPr>
          </w:pPr>
          <w:hyperlink w:anchor="_Toc223899512" w:history="1">
            <w:r w:rsidRPr="00C86D69">
              <w:rPr>
                <w:rStyle w:val="Hyperlink"/>
                <w:rFonts w:ascii="Arial" w:hAnsi="Arial" w:cs="Arial"/>
                <w:i/>
                <w:iCs/>
                <w:noProof/>
              </w:rPr>
              <w:t>Data Collection</w:t>
            </w:r>
            <w:r>
              <w:rPr>
                <w:noProof/>
                <w:webHidden/>
              </w:rPr>
              <w:tab/>
            </w:r>
            <w:r>
              <w:rPr>
                <w:noProof/>
                <w:webHidden/>
              </w:rPr>
              <w:fldChar w:fldCharType="begin"/>
            </w:r>
            <w:r>
              <w:rPr>
                <w:noProof/>
                <w:webHidden/>
              </w:rPr>
              <w:instrText xml:space="preserve"> PAGEREF _Toc223899512 \h </w:instrText>
            </w:r>
            <w:r>
              <w:rPr>
                <w:noProof/>
                <w:webHidden/>
              </w:rPr>
            </w:r>
            <w:r>
              <w:rPr>
                <w:noProof/>
                <w:webHidden/>
              </w:rPr>
              <w:fldChar w:fldCharType="separate"/>
            </w:r>
            <w:r>
              <w:rPr>
                <w:noProof/>
                <w:webHidden/>
              </w:rPr>
              <w:t>6</w:t>
            </w:r>
            <w:r>
              <w:rPr>
                <w:noProof/>
                <w:webHidden/>
              </w:rPr>
              <w:fldChar w:fldCharType="end"/>
            </w:r>
          </w:hyperlink>
        </w:p>
        <w:p w14:paraId="70217B94" w14:textId="4BBF74F4" w:rsidR="00DD07EB" w:rsidRDefault="00DD07EB">
          <w:pPr>
            <w:pStyle w:val="TOC2"/>
            <w:tabs>
              <w:tab w:val="right" w:leader="dot" w:pos="9016"/>
            </w:tabs>
            <w:rPr>
              <w:noProof/>
            </w:rPr>
          </w:pPr>
          <w:hyperlink w:anchor="_Toc223899513" w:history="1">
            <w:r w:rsidRPr="00C86D69">
              <w:rPr>
                <w:rStyle w:val="Hyperlink"/>
                <w:rFonts w:ascii="Arial" w:hAnsi="Arial" w:cs="Arial"/>
                <w:noProof/>
              </w:rPr>
              <w:t>Searching Strategy</w:t>
            </w:r>
            <w:r>
              <w:rPr>
                <w:noProof/>
                <w:webHidden/>
              </w:rPr>
              <w:tab/>
            </w:r>
            <w:r>
              <w:rPr>
                <w:noProof/>
                <w:webHidden/>
              </w:rPr>
              <w:fldChar w:fldCharType="begin"/>
            </w:r>
            <w:r>
              <w:rPr>
                <w:noProof/>
                <w:webHidden/>
              </w:rPr>
              <w:instrText xml:space="preserve"> PAGEREF _Toc223899513 \h </w:instrText>
            </w:r>
            <w:r>
              <w:rPr>
                <w:noProof/>
                <w:webHidden/>
              </w:rPr>
            </w:r>
            <w:r>
              <w:rPr>
                <w:noProof/>
                <w:webHidden/>
              </w:rPr>
              <w:fldChar w:fldCharType="separate"/>
            </w:r>
            <w:r>
              <w:rPr>
                <w:noProof/>
                <w:webHidden/>
              </w:rPr>
              <w:t>6</w:t>
            </w:r>
            <w:r>
              <w:rPr>
                <w:noProof/>
                <w:webHidden/>
              </w:rPr>
              <w:fldChar w:fldCharType="end"/>
            </w:r>
          </w:hyperlink>
        </w:p>
        <w:p w14:paraId="4F8ED27A" w14:textId="3093CD0C" w:rsidR="00DD07EB" w:rsidRDefault="00DD07EB">
          <w:pPr>
            <w:pStyle w:val="TOC2"/>
            <w:tabs>
              <w:tab w:val="right" w:leader="dot" w:pos="9016"/>
            </w:tabs>
            <w:rPr>
              <w:noProof/>
            </w:rPr>
          </w:pPr>
          <w:hyperlink w:anchor="_Toc223899514" w:history="1">
            <w:r w:rsidRPr="00C86D69">
              <w:rPr>
                <w:rStyle w:val="Hyperlink"/>
                <w:rFonts w:ascii="Arial" w:hAnsi="Arial" w:cs="Arial"/>
                <w:noProof/>
              </w:rPr>
              <w:t>Analysis: Analytical Examination of Themes</w:t>
            </w:r>
            <w:r>
              <w:rPr>
                <w:noProof/>
                <w:webHidden/>
              </w:rPr>
              <w:tab/>
            </w:r>
            <w:r>
              <w:rPr>
                <w:noProof/>
                <w:webHidden/>
              </w:rPr>
              <w:fldChar w:fldCharType="begin"/>
            </w:r>
            <w:r>
              <w:rPr>
                <w:noProof/>
                <w:webHidden/>
              </w:rPr>
              <w:instrText xml:space="preserve"> PAGEREF _Toc223899514 \h </w:instrText>
            </w:r>
            <w:r>
              <w:rPr>
                <w:noProof/>
                <w:webHidden/>
              </w:rPr>
            </w:r>
            <w:r>
              <w:rPr>
                <w:noProof/>
                <w:webHidden/>
              </w:rPr>
              <w:fldChar w:fldCharType="separate"/>
            </w:r>
            <w:r>
              <w:rPr>
                <w:noProof/>
                <w:webHidden/>
              </w:rPr>
              <w:t>6</w:t>
            </w:r>
            <w:r>
              <w:rPr>
                <w:noProof/>
                <w:webHidden/>
              </w:rPr>
              <w:fldChar w:fldCharType="end"/>
            </w:r>
          </w:hyperlink>
        </w:p>
        <w:p w14:paraId="352D79F2" w14:textId="4D25AA9A" w:rsidR="00DD07EB" w:rsidRDefault="00DD07EB">
          <w:pPr>
            <w:pStyle w:val="TOC2"/>
            <w:tabs>
              <w:tab w:val="right" w:leader="dot" w:pos="9016"/>
            </w:tabs>
            <w:rPr>
              <w:noProof/>
            </w:rPr>
          </w:pPr>
          <w:hyperlink w:anchor="_Toc223899515" w:history="1">
            <w:r w:rsidRPr="00C86D69">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_Toc223899515 \h </w:instrText>
            </w:r>
            <w:r>
              <w:rPr>
                <w:noProof/>
                <w:webHidden/>
              </w:rPr>
            </w:r>
            <w:r>
              <w:rPr>
                <w:noProof/>
                <w:webHidden/>
              </w:rPr>
              <w:fldChar w:fldCharType="separate"/>
            </w:r>
            <w:r>
              <w:rPr>
                <w:noProof/>
                <w:webHidden/>
              </w:rPr>
              <w:t>7</w:t>
            </w:r>
            <w:r>
              <w:rPr>
                <w:noProof/>
                <w:webHidden/>
              </w:rPr>
              <w:fldChar w:fldCharType="end"/>
            </w:r>
          </w:hyperlink>
        </w:p>
        <w:p w14:paraId="2CAC1AC6" w14:textId="039D0225" w:rsidR="00DD07EB" w:rsidRDefault="00DD07EB">
          <w:pPr>
            <w:pStyle w:val="TOC2"/>
            <w:tabs>
              <w:tab w:val="right" w:leader="dot" w:pos="9016"/>
            </w:tabs>
            <w:rPr>
              <w:noProof/>
            </w:rPr>
          </w:pPr>
          <w:hyperlink w:anchor="_Toc223899516" w:history="1">
            <w:r w:rsidRPr="00C86D69">
              <w:rPr>
                <w:rStyle w:val="Hyperlink"/>
                <w:rFonts w:ascii="Arial" w:hAnsi="Arial" w:cs="Arial"/>
                <w:noProof/>
              </w:rPr>
              <w:t>Standards for Inclusion and Exclusion</w:t>
            </w:r>
            <w:r>
              <w:rPr>
                <w:noProof/>
                <w:webHidden/>
              </w:rPr>
              <w:tab/>
            </w:r>
            <w:r>
              <w:rPr>
                <w:noProof/>
                <w:webHidden/>
              </w:rPr>
              <w:fldChar w:fldCharType="begin"/>
            </w:r>
            <w:r>
              <w:rPr>
                <w:noProof/>
                <w:webHidden/>
              </w:rPr>
              <w:instrText xml:space="preserve"> PAGEREF _Toc223899516 \h </w:instrText>
            </w:r>
            <w:r>
              <w:rPr>
                <w:noProof/>
                <w:webHidden/>
              </w:rPr>
            </w:r>
            <w:r>
              <w:rPr>
                <w:noProof/>
                <w:webHidden/>
              </w:rPr>
              <w:fldChar w:fldCharType="separate"/>
            </w:r>
            <w:r>
              <w:rPr>
                <w:noProof/>
                <w:webHidden/>
              </w:rPr>
              <w:t>7</w:t>
            </w:r>
            <w:r>
              <w:rPr>
                <w:noProof/>
                <w:webHidden/>
              </w:rPr>
              <w:fldChar w:fldCharType="end"/>
            </w:r>
          </w:hyperlink>
        </w:p>
        <w:p w14:paraId="618BD9F2" w14:textId="630A74F5" w:rsidR="00DD07EB" w:rsidRDefault="00DD07EB">
          <w:pPr>
            <w:pStyle w:val="TOC2"/>
            <w:tabs>
              <w:tab w:val="right" w:leader="dot" w:pos="9016"/>
            </w:tabs>
            <w:rPr>
              <w:noProof/>
            </w:rPr>
          </w:pPr>
          <w:hyperlink w:anchor="_Toc223899517" w:history="1">
            <w:r w:rsidRPr="00C86D69">
              <w:rPr>
                <w:rStyle w:val="Hyperlink"/>
                <w:rFonts w:ascii="Arial" w:hAnsi="Arial" w:cs="Arial"/>
                <w:noProof/>
              </w:rPr>
              <w:t>Results</w:t>
            </w:r>
            <w:r>
              <w:rPr>
                <w:noProof/>
                <w:webHidden/>
              </w:rPr>
              <w:tab/>
            </w:r>
            <w:r>
              <w:rPr>
                <w:noProof/>
                <w:webHidden/>
              </w:rPr>
              <w:fldChar w:fldCharType="begin"/>
            </w:r>
            <w:r>
              <w:rPr>
                <w:noProof/>
                <w:webHidden/>
              </w:rPr>
              <w:instrText xml:space="preserve"> PAGEREF _Toc223899517 \h </w:instrText>
            </w:r>
            <w:r>
              <w:rPr>
                <w:noProof/>
                <w:webHidden/>
              </w:rPr>
            </w:r>
            <w:r>
              <w:rPr>
                <w:noProof/>
                <w:webHidden/>
              </w:rPr>
              <w:fldChar w:fldCharType="separate"/>
            </w:r>
            <w:r>
              <w:rPr>
                <w:noProof/>
                <w:webHidden/>
              </w:rPr>
              <w:t>7</w:t>
            </w:r>
            <w:r>
              <w:rPr>
                <w:noProof/>
                <w:webHidden/>
              </w:rPr>
              <w:fldChar w:fldCharType="end"/>
            </w:r>
          </w:hyperlink>
        </w:p>
        <w:p w14:paraId="4D3505B6" w14:textId="617570F6" w:rsidR="00DD07EB" w:rsidRDefault="00DD07EB">
          <w:pPr>
            <w:pStyle w:val="TOC2"/>
            <w:tabs>
              <w:tab w:val="right" w:leader="dot" w:pos="9016"/>
            </w:tabs>
            <w:rPr>
              <w:noProof/>
            </w:rPr>
          </w:pPr>
          <w:hyperlink w:anchor="_Toc223899518" w:history="1">
            <w:r w:rsidRPr="00C86D69">
              <w:rPr>
                <w:rStyle w:val="Hyperlink"/>
                <w:rFonts w:ascii="Arial" w:hAnsi="Arial" w:cs="Arial"/>
                <w:noProof/>
              </w:rPr>
              <w:t>Template for summary table</w:t>
            </w:r>
            <w:r>
              <w:rPr>
                <w:noProof/>
                <w:webHidden/>
              </w:rPr>
              <w:tab/>
            </w:r>
            <w:r>
              <w:rPr>
                <w:noProof/>
                <w:webHidden/>
              </w:rPr>
              <w:fldChar w:fldCharType="begin"/>
            </w:r>
            <w:r>
              <w:rPr>
                <w:noProof/>
                <w:webHidden/>
              </w:rPr>
              <w:instrText xml:space="preserve"> PAGEREF _Toc223899518 \h </w:instrText>
            </w:r>
            <w:r>
              <w:rPr>
                <w:noProof/>
                <w:webHidden/>
              </w:rPr>
            </w:r>
            <w:r>
              <w:rPr>
                <w:noProof/>
                <w:webHidden/>
              </w:rPr>
              <w:fldChar w:fldCharType="separate"/>
            </w:r>
            <w:r>
              <w:rPr>
                <w:noProof/>
                <w:webHidden/>
              </w:rPr>
              <w:t>8</w:t>
            </w:r>
            <w:r>
              <w:rPr>
                <w:noProof/>
                <w:webHidden/>
              </w:rPr>
              <w:fldChar w:fldCharType="end"/>
            </w:r>
          </w:hyperlink>
        </w:p>
        <w:p w14:paraId="0628E712" w14:textId="2A9FBAF9" w:rsidR="00DD07EB" w:rsidRDefault="00DD07EB">
          <w:pPr>
            <w:pStyle w:val="TOC2"/>
            <w:tabs>
              <w:tab w:val="right" w:leader="dot" w:pos="9016"/>
            </w:tabs>
            <w:rPr>
              <w:noProof/>
            </w:rPr>
          </w:pPr>
          <w:hyperlink w:anchor="_Toc223899519" w:history="1">
            <w:r w:rsidRPr="00C86D69">
              <w:rPr>
                <w:rStyle w:val="Hyperlink"/>
                <w:rFonts w:ascii="Arial" w:hAnsi="Arial" w:cs="Arial"/>
                <w:noProof/>
              </w:rPr>
              <w:t>Thematic Analysis and Coding</w:t>
            </w:r>
            <w:r>
              <w:rPr>
                <w:noProof/>
                <w:webHidden/>
              </w:rPr>
              <w:tab/>
            </w:r>
            <w:r>
              <w:rPr>
                <w:noProof/>
                <w:webHidden/>
              </w:rPr>
              <w:fldChar w:fldCharType="begin"/>
            </w:r>
            <w:r>
              <w:rPr>
                <w:noProof/>
                <w:webHidden/>
              </w:rPr>
              <w:instrText xml:space="preserve"> PAGEREF _Toc223899519 \h </w:instrText>
            </w:r>
            <w:r>
              <w:rPr>
                <w:noProof/>
                <w:webHidden/>
              </w:rPr>
            </w:r>
            <w:r>
              <w:rPr>
                <w:noProof/>
                <w:webHidden/>
              </w:rPr>
              <w:fldChar w:fldCharType="separate"/>
            </w:r>
            <w:r>
              <w:rPr>
                <w:noProof/>
                <w:webHidden/>
              </w:rPr>
              <w:t>10</w:t>
            </w:r>
            <w:r>
              <w:rPr>
                <w:noProof/>
                <w:webHidden/>
              </w:rPr>
              <w:fldChar w:fldCharType="end"/>
            </w:r>
          </w:hyperlink>
        </w:p>
        <w:p w14:paraId="6A3549BF" w14:textId="165A1787" w:rsidR="00DD07EB" w:rsidRDefault="00DD07EB">
          <w:pPr>
            <w:pStyle w:val="TOC2"/>
            <w:tabs>
              <w:tab w:val="right" w:leader="dot" w:pos="9016"/>
            </w:tabs>
            <w:rPr>
              <w:noProof/>
            </w:rPr>
          </w:pPr>
          <w:hyperlink w:anchor="_Toc223899520" w:history="1">
            <w:r w:rsidRPr="00C86D69">
              <w:rPr>
                <w:rStyle w:val="Hyperlink"/>
                <w:rFonts w:ascii="Arial" w:hAnsi="Arial" w:cs="Arial"/>
                <w:noProof/>
              </w:rPr>
              <w:t>Overview of Principal Themes and Conclusions</w:t>
            </w:r>
            <w:r>
              <w:rPr>
                <w:noProof/>
                <w:webHidden/>
              </w:rPr>
              <w:tab/>
            </w:r>
            <w:r>
              <w:rPr>
                <w:noProof/>
                <w:webHidden/>
              </w:rPr>
              <w:fldChar w:fldCharType="begin"/>
            </w:r>
            <w:r>
              <w:rPr>
                <w:noProof/>
                <w:webHidden/>
              </w:rPr>
              <w:instrText xml:space="preserve"> PAGEREF _Toc223899520 \h </w:instrText>
            </w:r>
            <w:r>
              <w:rPr>
                <w:noProof/>
                <w:webHidden/>
              </w:rPr>
            </w:r>
            <w:r>
              <w:rPr>
                <w:noProof/>
                <w:webHidden/>
              </w:rPr>
              <w:fldChar w:fldCharType="separate"/>
            </w:r>
            <w:r>
              <w:rPr>
                <w:noProof/>
                <w:webHidden/>
              </w:rPr>
              <w:t>10</w:t>
            </w:r>
            <w:r>
              <w:rPr>
                <w:noProof/>
                <w:webHidden/>
              </w:rPr>
              <w:fldChar w:fldCharType="end"/>
            </w:r>
          </w:hyperlink>
        </w:p>
        <w:p w14:paraId="195B04AC" w14:textId="14CE6636" w:rsidR="00DD07EB" w:rsidRDefault="00DD07EB">
          <w:pPr>
            <w:pStyle w:val="TOC2"/>
            <w:tabs>
              <w:tab w:val="right" w:leader="dot" w:pos="9016"/>
            </w:tabs>
            <w:rPr>
              <w:noProof/>
            </w:rPr>
          </w:pPr>
          <w:hyperlink w:anchor="_Toc223899521" w:history="1">
            <w:r w:rsidRPr="00C86D69">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_Toc223899521 \h </w:instrText>
            </w:r>
            <w:r>
              <w:rPr>
                <w:noProof/>
                <w:webHidden/>
              </w:rPr>
            </w:r>
            <w:r>
              <w:rPr>
                <w:noProof/>
                <w:webHidden/>
              </w:rPr>
              <w:fldChar w:fldCharType="separate"/>
            </w:r>
            <w:r>
              <w:rPr>
                <w:noProof/>
                <w:webHidden/>
              </w:rPr>
              <w:t>11</w:t>
            </w:r>
            <w:r>
              <w:rPr>
                <w:noProof/>
                <w:webHidden/>
              </w:rPr>
              <w:fldChar w:fldCharType="end"/>
            </w:r>
          </w:hyperlink>
        </w:p>
        <w:p w14:paraId="53CEFD9F" w14:textId="5B892374" w:rsidR="00DD07EB" w:rsidRDefault="00DD07EB">
          <w:pPr>
            <w:pStyle w:val="TOC2"/>
            <w:tabs>
              <w:tab w:val="right" w:leader="dot" w:pos="9016"/>
            </w:tabs>
            <w:rPr>
              <w:noProof/>
            </w:rPr>
          </w:pPr>
          <w:hyperlink w:anchor="_Toc223899522" w:history="1">
            <w:r w:rsidRPr="00C86D69">
              <w:rPr>
                <w:rStyle w:val="Hyperlink"/>
                <w:rFonts w:ascii="Arial" w:hAnsi="Arial" w:cs="Arial"/>
                <w:noProof/>
              </w:rPr>
              <w:t>Analysis of Results</w:t>
            </w:r>
            <w:r>
              <w:rPr>
                <w:noProof/>
                <w:webHidden/>
              </w:rPr>
              <w:tab/>
            </w:r>
            <w:r>
              <w:rPr>
                <w:noProof/>
                <w:webHidden/>
              </w:rPr>
              <w:fldChar w:fldCharType="begin"/>
            </w:r>
            <w:r>
              <w:rPr>
                <w:noProof/>
                <w:webHidden/>
              </w:rPr>
              <w:instrText xml:space="preserve"> PAGEREF _Toc223899522 \h </w:instrText>
            </w:r>
            <w:r>
              <w:rPr>
                <w:noProof/>
                <w:webHidden/>
              </w:rPr>
            </w:r>
            <w:r>
              <w:rPr>
                <w:noProof/>
                <w:webHidden/>
              </w:rPr>
              <w:fldChar w:fldCharType="separate"/>
            </w:r>
            <w:r>
              <w:rPr>
                <w:noProof/>
                <w:webHidden/>
              </w:rPr>
              <w:t>12</w:t>
            </w:r>
            <w:r>
              <w:rPr>
                <w:noProof/>
                <w:webHidden/>
              </w:rPr>
              <w:fldChar w:fldCharType="end"/>
            </w:r>
          </w:hyperlink>
        </w:p>
        <w:p w14:paraId="46E48D03" w14:textId="30F6E4DE" w:rsidR="00DD07EB" w:rsidRDefault="00DD07EB">
          <w:pPr>
            <w:pStyle w:val="TOC2"/>
            <w:tabs>
              <w:tab w:val="right" w:leader="dot" w:pos="9016"/>
            </w:tabs>
            <w:rPr>
              <w:noProof/>
            </w:rPr>
          </w:pPr>
          <w:hyperlink w:anchor="_Toc223899523" w:history="1">
            <w:r w:rsidRPr="00C86D69">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_Toc223899523 \h </w:instrText>
            </w:r>
            <w:r>
              <w:rPr>
                <w:noProof/>
                <w:webHidden/>
              </w:rPr>
            </w:r>
            <w:r>
              <w:rPr>
                <w:noProof/>
                <w:webHidden/>
              </w:rPr>
              <w:fldChar w:fldCharType="separate"/>
            </w:r>
            <w:r>
              <w:rPr>
                <w:noProof/>
                <w:webHidden/>
              </w:rPr>
              <w:t>14</w:t>
            </w:r>
            <w:r>
              <w:rPr>
                <w:noProof/>
                <w:webHidden/>
              </w:rPr>
              <w:fldChar w:fldCharType="end"/>
            </w:r>
          </w:hyperlink>
        </w:p>
        <w:p w14:paraId="4902742C" w14:textId="26620404" w:rsidR="00DD07EB" w:rsidRDefault="00DD07EB">
          <w:pPr>
            <w:pStyle w:val="TOC3"/>
            <w:tabs>
              <w:tab w:val="right" w:leader="dot" w:pos="9016"/>
            </w:tabs>
            <w:rPr>
              <w:noProof/>
            </w:rPr>
          </w:pPr>
          <w:hyperlink w:anchor="_Toc223899524" w:history="1">
            <w:r w:rsidRPr="00C86D69">
              <w:rPr>
                <w:rStyle w:val="Hyperlink"/>
                <w:rFonts w:ascii="Arial" w:hAnsi="Arial" w:cs="Arial"/>
                <w:i/>
                <w:iCs/>
                <w:noProof/>
              </w:rPr>
              <w:t>Recommendations</w:t>
            </w:r>
            <w:r>
              <w:rPr>
                <w:noProof/>
                <w:webHidden/>
              </w:rPr>
              <w:tab/>
            </w:r>
            <w:r>
              <w:rPr>
                <w:noProof/>
                <w:webHidden/>
              </w:rPr>
              <w:fldChar w:fldCharType="begin"/>
            </w:r>
            <w:r>
              <w:rPr>
                <w:noProof/>
                <w:webHidden/>
              </w:rPr>
              <w:instrText xml:space="preserve"> PAGEREF _Toc223899524 \h </w:instrText>
            </w:r>
            <w:r>
              <w:rPr>
                <w:noProof/>
                <w:webHidden/>
              </w:rPr>
            </w:r>
            <w:r>
              <w:rPr>
                <w:noProof/>
                <w:webHidden/>
              </w:rPr>
              <w:fldChar w:fldCharType="separate"/>
            </w:r>
            <w:r>
              <w:rPr>
                <w:noProof/>
                <w:webHidden/>
              </w:rPr>
              <w:t>14</w:t>
            </w:r>
            <w:r>
              <w:rPr>
                <w:noProof/>
                <w:webHidden/>
              </w:rPr>
              <w:fldChar w:fldCharType="end"/>
            </w:r>
          </w:hyperlink>
        </w:p>
        <w:p w14:paraId="7E2F8BC8" w14:textId="68694BC3" w:rsidR="00DD07EB" w:rsidRDefault="00DD07EB">
          <w:pPr>
            <w:pStyle w:val="TOC3"/>
            <w:tabs>
              <w:tab w:val="right" w:leader="dot" w:pos="9016"/>
            </w:tabs>
            <w:rPr>
              <w:noProof/>
            </w:rPr>
          </w:pPr>
          <w:hyperlink w:anchor="_Toc223899525" w:history="1">
            <w:r w:rsidRPr="00C86D69">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_Toc223899525 \h </w:instrText>
            </w:r>
            <w:r>
              <w:rPr>
                <w:noProof/>
                <w:webHidden/>
              </w:rPr>
            </w:r>
            <w:r>
              <w:rPr>
                <w:noProof/>
                <w:webHidden/>
              </w:rPr>
              <w:fldChar w:fldCharType="separate"/>
            </w:r>
            <w:r>
              <w:rPr>
                <w:noProof/>
                <w:webHidden/>
              </w:rPr>
              <w:t>14</w:t>
            </w:r>
            <w:r>
              <w:rPr>
                <w:noProof/>
                <w:webHidden/>
              </w:rPr>
              <w:fldChar w:fldCharType="end"/>
            </w:r>
          </w:hyperlink>
        </w:p>
        <w:p w14:paraId="011262A8" w14:textId="68D21C15" w:rsidR="00DD07EB" w:rsidRDefault="00DD07EB">
          <w:pPr>
            <w:pStyle w:val="TOC2"/>
            <w:tabs>
              <w:tab w:val="right" w:leader="dot" w:pos="9016"/>
            </w:tabs>
            <w:rPr>
              <w:noProof/>
            </w:rPr>
          </w:pPr>
          <w:hyperlink w:anchor="_Toc223899526" w:history="1">
            <w:r w:rsidRPr="00C86D6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_Toc223899526 \h </w:instrText>
            </w:r>
            <w:r>
              <w:rPr>
                <w:noProof/>
                <w:webHidden/>
              </w:rPr>
            </w:r>
            <w:r>
              <w:rPr>
                <w:noProof/>
                <w:webHidden/>
              </w:rPr>
              <w:fldChar w:fldCharType="separate"/>
            </w:r>
            <w:r>
              <w:rPr>
                <w:noProof/>
                <w:webHidden/>
              </w:rPr>
              <w:t>15</w:t>
            </w:r>
            <w:r>
              <w:rPr>
                <w:noProof/>
                <w:webHidden/>
              </w:rPr>
              <w:fldChar w:fldCharType="end"/>
            </w:r>
          </w:hyperlink>
        </w:p>
        <w:p w14:paraId="1EFC63EE" w14:textId="5F8C3701" w:rsidR="00DD07EB" w:rsidRDefault="00DD07EB">
          <w:r>
            <w:rPr>
              <w:b/>
              <w:bCs/>
              <w:noProof/>
            </w:rPr>
            <w:fldChar w:fldCharType="end"/>
          </w:r>
        </w:p>
      </w:sdtContent>
    </w:sdt>
    <w:p w14:paraId="65236F4B" w14:textId="77777777" w:rsidR="003818EF" w:rsidRPr="00DD07EB" w:rsidRDefault="003818EF" w:rsidP="00DD07EB">
      <w:pPr>
        <w:spacing w:line="360" w:lineRule="auto"/>
        <w:rPr>
          <w:rFonts w:ascii="Arial" w:hAnsi="Arial" w:cs="Arial"/>
          <w:sz w:val="22"/>
          <w:szCs w:val="22"/>
        </w:rPr>
      </w:pPr>
    </w:p>
    <w:p w14:paraId="691C5E5E" w14:textId="77777777" w:rsidR="003818EF" w:rsidRPr="00DD07EB" w:rsidRDefault="003818EF" w:rsidP="00DD07EB">
      <w:pPr>
        <w:spacing w:line="360" w:lineRule="auto"/>
        <w:rPr>
          <w:rFonts w:ascii="Arial" w:hAnsi="Arial" w:cs="Arial"/>
          <w:sz w:val="22"/>
          <w:szCs w:val="22"/>
        </w:rPr>
      </w:pPr>
    </w:p>
    <w:p w14:paraId="02A9EDCF" w14:textId="77777777" w:rsidR="003818EF" w:rsidRPr="00DD07EB" w:rsidRDefault="003818EF" w:rsidP="00DD07EB">
      <w:pPr>
        <w:pStyle w:val="Heading2"/>
        <w:spacing w:line="360" w:lineRule="auto"/>
        <w:rPr>
          <w:rFonts w:ascii="Arial" w:hAnsi="Arial" w:cs="Arial"/>
          <w:b/>
          <w:bCs/>
          <w:sz w:val="28"/>
          <w:szCs w:val="28"/>
        </w:rPr>
      </w:pPr>
      <w:bookmarkStart w:id="0" w:name="_Toc223899504"/>
      <w:r w:rsidRPr="00DD07EB">
        <w:rPr>
          <w:rFonts w:ascii="Arial" w:hAnsi="Arial" w:cs="Arial"/>
          <w:b/>
          <w:bCs/>
          <w:sz w:val="28"/>
          <w:szCs w:val="28"/>
        </w:rPr>
        <w:lastRenderedPageBreak/>
        <w:t>Introduction</w:t>
      </w:r>
      <w:bookmarkEnd w:id="0"/>
      <w:r w:rsidRPr="00DD07EB">
        <w:rPr>
          <w:rFonts w:ascii="Arial" w:hAnsi="Arial" w:cs="Arial"/>
          <w:b/>
          <w:bCs/>
          <w:sz w:val="28"/>
          <w:szCs w:val="28"/>
        </w:rPr>
        <w:t xml:space="preserve"> </w:t>
      </w:r>
    </w:p>
    <w:p w14:paraId="1362A00F" w14:textId="4C14C024" w:rsidR="003818EF" w:rsidRPr="00DD07EB" w:rsidRDefault="003818EF" w:rsidP="00DD07EB">
      <w:pPr>
        <w:pStyle w:val="Heading3"/>
        <w:spacing w:line="360" w:lineRule="auto"/>
        <w:rPr>
          <w:rFonts w:ascii="Arial" w:hAnsi="Arial" w:cs="Arial"/>
          <w:i/>
          <w:iCs/>
        </w:rPr>
      </w:pPr>
      <w:bookmarkStart w:id="1" w:name="_Toc223899505"/>
      <w:r w:rsidRPr="00DD07EB">
        <w:rPr>
          <w:rFonts w:ascii="Arial" w:hAnsi="Arial" w:cs="Arial"/>
          <w:i/>
          <w:iCs/>
        </w:rPr>
        <w:t>Definitions</w:t>
      </w:r>
      <w:bookmarkEnd w:id="1"/>
    </w:p>
    <w:p w14:paraId="3C5DC728"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Early detection of breast cancer pertains to the prompt recognition of malignant illness prior to the emergence of advanced symptoms and before progression limits treatment alternatives. In practice, early detection encompasses systematic screening of asymptomatic individuals, risk-based monitoring of those at heightened risk, immediate evaluation of aberrant results, and fast referral for diagnosis and treatment (WHO, 2025).</w:t>
      </w:r>
    </w:p>
    <w:p w14:paraId="74AE120F"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Current preventive guidelines position screening as a means to detect disease at an earlier and more manageable stage (Nicholson et al., 2024).</w:t>
      </w:r>
    </w:p>
    <w:p w14:paraId="54F7C30F"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This study encompasses screening strategies such as mammography, digital breast tomosynthesis, ultrasound, magnetic resonance imaging (MRI), risk stratification, and novel artificial intelligence-assisted interpretation methods (Riggi et al., 2024).</w:t>
      </w:r>
    </w:p>
    <w:p w14:paraId="2A22D4B5" w14:textId="4002E8CC" w:rsidR="003818EF" w:rsidRPr="00DD07EB" w:rsidRDefault="00C51680" w:rsidP="00DD07EB">
      <w:pPr>
        <w:spacing w:line="360" w:lineRule="auto"/>
        <w:rPr>
          <w:rFonts w:ascii="Arial" w:hAnsi="Arial" w:cs="Arial"/>
          <w:sz w:val="22"/>
          <w:szCs w:val="22"/>
        </w:rPr>
      </w:pPr>
      <w:r w:rsidRPr="00DD07EB">
        <w:rPr>
          <w:rFonts w:ascii="Arial" w:hAnsi="Arial" w:cs="Arial"/>
          <w:sz w:val="22"/>
          <w:szCs w:val="22"/>
        </w:rPr>
        <w:t>The expanding literature on AI-assisted interpretation indicates that screening is now considered not merely an imaging test, but as an integral component of a broader diagnostic pathway (Branco et al., 2024).</w:t>
      </w:r>
    </w:p>
    <w:p w14:paraId="5C622595" w14:textId="77777777" w:rsidR="003818EF" w:rsidRPr="00DD07EB" w:rsidRDefault="003818EF" w:rsidP="00DD07EB">
      <w:pPr>
        <w:spacing w:line="360" w:lineRule="auto"/>
        <w:rPr>
          <w:rFonts w:ascii="Arial" w:hAnsi="Arial" w:cs="Arial"/>
          <w:sz w:val="22"/>
          <w:szCs w:val="22"/>
        </w:rPr>
      </w:pPr>
    </w:p>
    <w:p w14:paraId="693E7BE8" w14:textId="212ED79F" w:rsidR="00C51680" w:rsidRPr="00DD07EB" w:rsidRDefault="003818EF" w:rsidP="00DD07EB">
      <w:pPr>
        <w:pStyle w:val="Heading2"/>
        <w:spacing w:line="360" w:lineRule="auto"/>
        <w:rPr>
          <w:rFonts w:ascii="Arial" w:hAnsi="Arial" w:cs="Arial"/>
          <w:sz w:val="28"/>
          <w:szCs w:val="28"/>
        </w:rPr>
      </w:pPr>
      <w:bookmarkStart w:id="2" w:name="_Toc223899506"/>
      <w:r w:rsidRPr="00DD07EB">
        <w:rPr>
          <w:rFonts w:ascii="Arial" w:hAnsi="Arial" w:cs="Arial"/>
          <w:sz w:val="28"/>
          <w:szCs w:val="28"/>
        </w:rPr>
        <w:t>Rationale</w:t>
      </w:r>
      <w:bookmarkEnd w:id="2"/>
    </w:p>
    <w:p w14:paraId="0D05E2FA"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This research is driven by the persistent global prevalence of breast cancer and the pivotal role of screening in facilitating earlier, more manageable diagnoses. The World Health Organization recognises breast cancer as the most often diagnosed cancer globally and emphasises that mortality decreases when tumours are identified and treated promptly (WHO, 2025).</w:t>
      </w:r>
    </w:p>
    <w:p w14:paraId="35E13DC7"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The nationwide breast screening program in England identifies thousands of cancers annually, with a detection rate of 9.0 malignancies per 1,000 women screened in 2024-25 (NHS England Digital, 2026).</w:t>
      </w:r>
    </w:p>
    <w:p w14:paraId="1D0BD489"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The screening policy is still debated as the advantages must be weighed against false positives, overdiagnosis, supplementary imaging, and disparities in access (Henderson et al., 2024).</w:t>
      </w:r>
    </w:p>
    <w:p w14:paraId="69E54C0E"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Comparative guideline assessments indicate that these discussions influence the disparities in screening recommendations among nations (Katsika et al., 2024).</w:t>
      </w:r>
    </w:p>
    <w:p w14:paraId="1CA3AF72"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lastRenderedPageBreak/>
        <w:t>A scoping review is appropriate due to the diverse evidence base, which includes guidelines, randomised trials, cohort studies, diagnostic accuracy studies, systematic reviews, and health policy publications. The subject is extensive, encompasses several technologies and risk categories, and continues to develop, especially concerning dense breasts, personalised screening, and artificial intelligence (Ren et al., 2022).</w:t>
      </w:r>
    </w:p>
    <w:p w14:paraId="2DBF263B" w14:textId="74503685"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Guideline studies concerning mammographic density indicate that policy responses are evolving more rapidly than consensus is being established (Isautier et al., 2024). Cataloguing this information can assist physicians, public health agencies, and policymakers in discerning which strategies are established, which are contingent, and where research deficiencies exist.</w:t>
      </w:r>
    </w:p>
    <w:p w14:paraId="4CB0779B" w14:textId="77777777" w:rsidR="003818EF" w:rsidRPr="00DD07EB" w:rsidRDefault="003818EF" w:rsidP="00DD07EB">
      <w:pPr>
        <w:spacing w:line="360" w:lineRule="auto"/>
        <w:rPr>
          <w:rFonts w:ascii="Arial" w:hAnsi="Arial" w:cs="Arial"/>
          <w:sz w:val="22"/>
          <w:szCs w:val="22"/>
        </w:rPr>
      </w:pPr>
    </w:p>
    <w:p w14:paraId="4B0B3203" w14:textId="66B37489" w:rsidR="003818EF" w:rsidRPr="00DD07EB" w:rsidRDefault="003818EF" w:rsidP="00DD07EB">
      <w:pPr>
        <w:pStyle w:val="Heading2"/>
        <w:spacing w:line="360" w:lineRule="auto"/>
        <w:rPr>
          <w:rFonts w:ascii="Arial" w:hAnsi="Arial" w:cs="Arial"/>
          <w:b/>
          <w:bCs/>
          <w:sz w:val="28"/>
          <w:szCs w:val="28"/>
        </w:rPr>
      </w:pPr>
      <w:bookmarkStart w:id="3" w:name="_Toc223899507"/>
      <w:r w:rsidRPr="00DD07EB">
        <w:rPr>
          <w:rFonts w:ascii="Arial" w:hAnsi="Arial" w:cs="Arial"/>
          <w:b/>
          <w:bCs/>
          <w:sz w:val="28"/>
          <w:szCs w:val="28"/>
        </w:rPr>
        <w:t>Review Questions and Objectives</w:t>
      </w:r>
      <w:bookmarkEnd w:id="3"/>
    </w:p>
    <w:p w14:paraId="43E451ED"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This scoping review analyses the evidence for early detection and screening methodologies for breast cancer. The fundamental inquiry is: What screening and early detection methodologies are presently employed to discover breast cancer at an earlier stage, and what is their efficacy in average-risk and higher-risk populations?</w:t>
      </w:r>
    </w:p>
    <w:p w14:paraId="77F0A046" w14:textId="44488135" w:rsidR="003818EF" w:rsidRPr="00DD07EB" w:rsidRDefault="00C51680" w:rsidP="00DD07EB">
      <w:pPr>
        <w:spacing w:line="360" w:lineRule="auto"/>
        <w:rPr>
          <w:rFonts w:ascii="Arial" w:hAnsi="Arial" w:cs="Arial"/>
          <w:sz w:val="22"/>
          <w:szCs w:val="22"/>
        </w:rPr>
      </w:pPr>
      <w:r w:rsidRPr="00DD07EB">
        <w:rPr>
          <w:rFonts w:ascii="Arial" w:hAnsi="Arial" w:cs="Arial"/>
          <w:sz w:val="22"/>
          <w:szCs w:val="22"/>
        </w:rPr>
        <w:t>The evaluation aims to: 1. Analyse the primary breast cancer screening modalities and surveillance strategies; 2. Evaluate their documented efficacy, advantages, and disadvantages; 3. Identify policy and implementation challenges pertinent to the United Kingdom; and 4. Emphasise existing evidence deficiencies concerning dense breasts, risk-based screening, and artificial intelligence-assisted screening.</w:t>
      </w:r>
    </w:p>
    <w:p w14:paraId="0BD924B7" w14:textId="77777777" w:rsidR="00C51680" w:rsidRPr="00DD07EB" w:rsidRDefault="00C51680" w:rsidP="00DD07EB">
      <w:pPr>
        <w:spacing w:line="360" w:lineRule="auto"/>
        <w:rPr>
          <w:rFonts w:ascii="Arial" w:hAnsi="Arial" w:cs="Arial"/>
          <w:sz w:val="22"/>
          <w:szCs w:val="22"/>
        </w:rPr>
      </w:pPr>
    </w:p>
    <w:p w14:paraId="1FA5747B" w14:textId="10B39B63" w:rsidR="003818EF" w:rsidRPr="00DD07EB" w:rsidRDefault="003818EF" w:rsidP="00DD07EB">
      <w:pPr>
        <w:pStyle w:val="Heading2"/>
        <w:spacing w:line="360" w:lineRule="auto"/>
        <w:rPr>
          <w:rFonts w:ascii="Arial" w:hAnsi="Arial" w:cs="Arial"/>
          <w:b/>
          <w:bCs/>
          <w:sz w:val="28"/>
          <w:szCs w:val="28"/>
        </w:rPr>
      </w:pPr>
      <w:bookmarkStart w:id="4" w:name="_Toc223899508"/>
      <w:r w:rsidRPr="00DD07EB">
        <w:rPr>
          <w:rFonts w:ascii="Arial" w:hAnsi="Arial" w:cs="Arial"/>
          <w:b/>
          <w:bCs/>
          <w:sz w:val="28"/>
          <w:szCs w:val="28"/>
        </w:rPr>
        <w:t>Background</w:t>
      </w:r>
      <w:bookmarkEnd w:id="4"/>
    </w:p>
    <w:p w14:paraId="66D9ADDB" w14:textId="1706B137" w:rsidR="003818EF" w:rsidRPr="00DD07EB" w:rsidRDefault="00C51680" w:rsidP="00DD07EB">
      <w:pPr>
        <w:spacing w:line="360" w:lineRule="auto"/>
        <w:rPr>
          <w:rFonts w:ascii="Arial" w:hAnsi="Arial" w:cs="Arial"/>
          <w:sz w:val="22"/>
          <w:szCs w:val="22"/>
        </w:rPr>
      </w:pPr>
      <w:r w:rsidRPr="00DD07EB">
        <w:rPr>
          <w:rFonts w:ascii="Arial" w:hAnsi="Arial" w:cs="Arial"/>
          <w:sz w:val="22"/>
          <w:szCs w:val="22"/>
        </w:rPr>
        <w:t>Importance and Relevance of Early Detection and Screening for Breast Cancer</w:t>
      </w:r>
    </w:p>
    <w:p w14:paraId="59676EC2"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Breast cancer continues to be a significant public health concern due to its high prevalence, variable survival rates based on diagnostic stage, and persistent inequities both across and within nations. The WHO indicates significant global disparities, with suboptimal results in low-resource environments, even when certain populations exhibit lower incidence rates (WHO, 2025). Systematic screening seeks to identify malignancies before to their clinical manifestation, hence decreasing mortality and facilitating less invasive treatment.</w:t>
      </w:r>
    </w:p>
    <w:p w14:paraId="7010F87E"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Evidence reviews by the USPSTF indicate that mammography continues to be the primary population screening method (Henderson et al., 2024).</w:t>
      </w:r>
    </w:p>
    <w:p w14:paraId="5619E8D1"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lastRenderedPageBreak/>
        <w:t>The latest USPSTF guideline statement reaffirms ongoing uncertainty concerning the ideal cessation age and the function of supplemental imaging for dense breast tissue (Nicholson et al., 2024).</w:t>
      </w:r>
    </w:p>
    <w:p w14:paraId="3B057B42"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In the United Kingdom, breast screening is presently provided every three years to eligible women aged 50 until their 71st birthday, with self-referral permitted afterward (GOV.UK, 2025).</w:t>
      </w:r>
    </w:p>
    <w:p w14:paraId="5C566AF1"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The NHS public information page outlines the identical eligibility procedure for service consumers (NHS, 2025). National policy persists in prioritising early diagnosis, as delayed presentation and non-attendance diminish the efficacy of screening programs.</w:t>
      </w:r>
    </w:p>
    <w:p w14:paraId="681E5CD7" w14:textId="737504F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NHS England's 2025 awareness campaign was initiated in part due to the inadequate uptake of first-time invitations, indicating that implementation encompasses not just technical aspects but also behavioural and equitable challenges (NHS England, 2025).</w:t>
      </w:r>
    </w:p>
    <w:p w14:paraId="143B0D4B" w14:textId="77777777" w:rsidR="00C51680" w:rsidRPr="00DD07EB" w:rsidRDefault="00C51680" w:rsidP="00DD07EB">
      <w:pPr>
        <w:spacing w:line="360" w:lineRule="auto"/>
        <w:rPr>
          <w:rFonts w:ascii="Arial" w:hAnsi="Arial" w:cs="Arial"/>
          <w:sz w:val="22"/>
          <w:szCs w:val="22"/>
        </w:rPr>
      </w:pPr>
    </w:p>
    <w:p w14:paraId="30F14114" w14:textId="321F3D07" w:rsidR="00C51680" w:rsidRPr="00DD07EB" w:rsidRDefault="003818EF" w:rsidP="00DD07EB">
      <w:pPr>
        <w:pStyle w:val="Heading2"/>
        <w:spacing w:line="360" w:lineRule="auto"/>
        <w:rPr>
          <w:rFonts w:ascii="Arial" w:hAnsi="Arial" w:cs="Arial"/>
          <w:b/>
          <w:bCs/>
          <w:sz w:val="28"/>
          <w:szCs w:val="28"/>
        </w:rPr>
      </w:pPr>
      <w:bookmarkStart w:id="5" w:name="_Toc223899509"/>
      <w:r w:rsidRPr="00DD07EB">
        <w:rPr>
          <w:rFonts w:ascii="Arial" w:hAnsi="Arial" w:cs="Arial"/>
          <w:b/>
          <w:bCs/>
          <w:sz w:val="28"/>
          <w:szCs w:val="28"/>
        </w:rPr>
        <w:t>Legislation Frameworks and Policies</w:t>
      </w:r>
      <w:r w:rsidR="00C51680" w:rsidRPr="00DD07EB">
        <w:rPr>
          <w:rFonts w:ascii="Arial" w:hAnsi="Arial" w:cs="Arial"/>
          <w:b/>
          <w:bCs/>
          <w:sz w:val="28"/>
          <w:szCs w:val="28"/>
        </w:rPr>
        <w:t xml:space="preserve"> Supporting Breast Cancer Screening and Early Diagnosis</w:t>
      </w:r>
      <w:bookmarkEnd w:id="5"/>
    </w:p>
    <w:p w14:paraId="6F521EA1"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The breast screening process in the United Kingdom is influenced by national screening policies, clinical guidelines, and family risk recommendations. The overview of the breast screening programme delineates the target demographic and the objective of organised screening in England (GOV.UK, 2025).</w:t>
      </w:r>
    </w:p>
    <w:p w14:paraId="3C6DFA41"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The current clinical guidelines for screening assessment are designed to provide safe recall, timely triple evaluation, and conclusive diagnosis after adverse screening outcomes (GOV.UK, 2026).</w:t>
      </w:r>
    </w:p>
    <w:p w14:paraId="546EB019" w14:textId="62265B84"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NICE guideline CG164 recommends earlier and more intensive surveillance for individuals with a significant family history or identified pathogenic variants, including annual mammography and MRI for specific high-risk groups, as well as follow-up imaging for women with a personal history of breast cancer who continue to be at elevated risk (NICE, 2013). These arrangements demonstrate that early detection policy is already implemented in a stratified manner, despite the population program predominantly being age-based.</w:t>
      </w:r>
    </w:p>
    <w:p w14:paraId="229F45C3" w14:textId="77777777" w:rsidR="003818EF" w:rsidRPr="00DD07EB" w:rsidRDefault="003818EF" w:rsidP="00DD07EB">
      <w:pPr>
        <w:spacing w:line="360" w:lineRule="auto"/>
        <w:rPr>
          <w:rFonts w:ascii="Arial" w:hAnsi="Arial" w:cs="Arial"/>
          <w:sz w:val="22"/>
          <w:szCs w:val="22"/>
        </w:rPr>
      </w:pPr>
    </w:p>
    <w:p w14:paraId="2DC477A4" w14:textId="77777777" w:rsidR="00C51680" w:rsidRPr="00DD07EB" w:rsidRDefault="00C51680" w:rsidP="00DD07EB">
      <w:pPr>
        <w:spacing w:line="360" w:lineRule="auto"/>
        <w:rPr>
          <w:rFonts w:ascii="Arial" w:hAnsi="Arial" w:cs="Arial"/>
          <w:sz w:val="22"/>
          <w:szCs w:val="22"/>
        </w:rPr>
      </w:pPr>
    </w:p>
    <w:p w14:paraId="73FD8B37" w14:textId="4E867BAC" w:rsidR="003818EF" w:rsidRPr="00DD07EB" w:rsidRDefault="003818EF" w:rsidP="00DD07EB">
      <w:pPr>
        <w:pStyle w:val="Heading2"/>
        <w:spacing w:line="360" w:lineRule="auto"/>
        <w:rPr>
          <w:rFonts w:ascii="Arial" w:hAnsi="Arial" w:cs="Arial"/>
          <w:b/>
          <w:bCs/>
          <w:sz w:val="28"/>
          <w:szCs w:val="28"/>
        </w:rPr>
      </w:pPr>
      <w:bookmarkStart w:id="6" w:name="_Toc223899510"/>
      <w:r w:rsidRPr="00DD07EB">
        <w:rPr>
          <w:rFonts w:ascii="Arial" w:hAnsi="Arial" w:cs="Arial"/>
          <w:b/>
          <w:bCs/>
          <w:sz w:val="28"/>
          <w:szCs w:val="28"/>
        </w:rPr>
        <w:lastRenderedPageBreak/>
        <w:t>Guidance and Best Practices in the United Kingdom</w:t>
      </w:r>
      <w:bookmarkEnd w:id="6"/>
    </w:p>
    <w:p w14:paraId="09A65B34" w14:textId="77777777" w:rsidR="003818EF" w:rsidRPr="00DD07EB" w:rsidRDefault="003818EF" w:rsidP="00DD07EB">
      <w:pPr>
        <w:spacing w:line="360" w:lineRule="auto"/>
        <w:rPr>
          <w:rFonts w:ascii="Arial" w:hAnsi="Arial" w:cs="Arial"/>
          <w:sz w:val="22"/>
          <w:szCs w:val="22"/>
        </w:rPr>
      </w:pPr>
    </w:p>
    <w:p w14:paraId="24D7FDF6"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Optimal practice in the United Kingdom involves the integration of systematic population screening with focused surveillance for higher-risk individuals and timely diagnostic follow-up. Routine mammography continues to be the benchmark for screening individuals at average risk. Enhanced surveillance techniques for higher risk individuals include MRI and more rigorous regimens when warranted by familial or genetic predisposition (NICE, 2013).</w:t>
      </w:r>
    </w:p>
    <w:p w14:paraId="0D368C6E"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Revised European guidelines endorse enhanced surveillance for women at increased risk (Riggi et al., 2024).</w:t>
      </w:r>
    </w:p>
    <w:p w14:paraId="00B60512"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Contemporary best practice necessitates explicit communication of the advantages and constraints of screening. Screening decreases mortality but does not eliminate all breast cancers, and its efficacy may be reduced in women with thick breast tissue. This has heightened focus on supplemental screening, breast density notification, and potential future risk-stratified routes (Mann et al., 2022).</w:t>
      </w:r>
    </w:p>
    <w:p w14:paraId="61ED445A"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Guideline evaluations indicate that density notification and subsequent management are internationally inconsistent (Isautier et al., 2024).</w:t>
      </w:r>
    </w:p>
    <w:p w14:paraId="66640F1B" w14:textId="77777777" w:rsidR="00C51680" w:rsidRPr="00DD07EB" w:rsidRDefault="00C51680" w:rsidP="00DD07EB">
      <w:pPr>
        <w:spacing w:line="360" w:lineRule="auto"/>
        <w:rPr>
          <w:rFonts w:ascii="Arial" w:hAnsi="Arial" w:cs="Arial"/>
          <w:sz w:val="22"/>
          <w:szCs w:val="22"/>
        </w:rPr>
      </w:pPr>
      <w:r w:rsidRPr="00DD07EB">
        <w:rPr>
          <w:rFonts w:ascii="Arial" w:hAnsi="Arial" w:cs="Arial"/>
          <w:sz w:val="22"/>
          <w:szCs w:val="22"/>
        </w:rPr>
        <w:t>In England, recent initiatives to enhance participation and optimise assessment demonstrate that service design, invitation mechanisms, and public knowledge are equally crucial as the imaging technology itself (NHS England, 2025).</w:t>
      </w:r>
    </w:p>
    <w:p w14:paraId="451BABAF" w14:textId="27A45F05" w:rsidR="003818EF" w:rsidRPr="00DD07EB" w:rsidRDefault="00C51680" w:rsidP="00DD07EB">
      <w:pPr>
        <w:spacing w:line="360" w:lineRule="auto"/>
        <w:rPr>
          <w:rFonts w:ascii="Arial" w:hAnsi="Arial" w:cs="Arial"/>
          <w:sz w:val="22"/>
          <w:szCs w:val="22"/>
        </w:rPr>
      </w:pPr>
      <w:r w:rsidRPr="00DD07EB">
        <w:rPr>
          <w:rFonts w:ascii="Arial" w:hAnsi="Arial" w:cs="Arial"/>
          <w:sz w:val="22"/>
          <w:szCs w:val="22"/>
        </w:rPr>
        <w:t>Program statistics indicate that screening efficacy is contingent upon both participation rates and test sensitivity (NHS England Digital, 2026).</w:t>
      </w:r>
    </w:p>
    <w:p w14:paraId="0A2A1D68" w14:textId="77777777" w:rsidR="003818EF" w:rsidRPr="00DD07EB" w:rsidRDefault="003818EF" w:rsidP="00DD07EB">
      <w:pPr>
        <w:spacing w:line="360" w:lineRule="auto"/>
        <w:rPr>
          <w:rFonts w:ascii="Arial" w:hAnsi="Arial" w:cs="Arial"/>
          <w:sz w:val="22"/>
          <w:szCs w:val="22"/>
        </w:rPr>
      </w:pPr>
    </w:p>
    <w:p w14:paraId="5EA6E8E3" w14:textId="77777777" w:rsidR="003818EF" w:rsidRPr="00DD07EB" w:rsidRDefault="003818EF" w:rsidP="00DD07EB">
      <w:pPr>
        <w:spacing w:line="360" w:lineRule="auto"/>
        <w:rPr>
          <w:rFonts w:ascii="Arial" w:hAnsi="Arial" w:cs="Arial"/>
          <w:sz w:val="22"/>
          <w:szCs w:val="22"/>
        </w:rPr>
      </w:pPr>
    </w:p>
    <w:p w14:paraId="3CFCA1B8" w14:textId="77777777" w:rsidR="003818EF" w:rsidRPr="00DD07EB" w:rsidRDefault="003818EF" w:rsidP="00DD07EB">
      <w:pPr>
        <w:pStyle w:val="Heading2"/>
        <w:spacing w:line="360" w:lineRule="auto"/>
        <w:rPr>
          <w:rFonts w:ascii="Arial" w:hAnsi="Arial" w:cs="Arial"/>
          <w:b/>
          <w:bCs/>
          <w:sz w:val="28"/>
          <w:szCs w:val="28"/>
        </w:rPr>
      </w:pPr>
      <w:bookmarkStart w:id="7" w:name="_Toc223899511"/>
      <w:r w:rsidRPr="00DD07EB">
        <w:rPr>
          <w:rFonts w:ascii="Arial" w:hAnsi="Arial" w:cs="Arial"/>
          <w:b/>
          <w:bCs/>
          <w:sz w:val="28"/>
          <w:szCs w:val="28"/>
        </w:rPr>
        <w:t>Methods</w:t>
      </w:r>
      <w:bookmarkEnd w:id="7"/>
    </w:p>
    <w:p w14:paraId="7D7CDEDB" w14:textId="55A04301" w:rsidR="003818EF" w:rsidRPr="00B21E36" w:rsidRDefault="003818EF" w:rsidP="00B21E36">
      <w:pPr>
        <w:pStyle w:val="Heading3"/>
        <w:spacing w:line="360" w:lineRule="auto"/>
        <w:rPr>
          <w:rFonts w:ascii="Arial" w:hAnsi="Arial" w:cs="Arial"/>
          <w:i/>
          <w:iCs/>
        </w:rPr>
      </w:pPr>
      <w:bookmarkStart w:id="8" w:name="_Toc223899512"/>
      <w:r w:rsidRPr="00DD07EB">
        <w:rPr>
          <w:rFonts w:ascii="Arial" w:hAnsi="Arial" w:cs="Arial"/>
          <w:i/>
          <w:iCs/>
        </w:rPr>
        <w:t>Data Collection</w:t>
      </w:r>
      <w:bookmarkEnd w:id="8"/>
    </w:p>
    <w:p w14:paraId="22BA5AFB" w14:textId="5AF72055" w:rsidR="003818EF" w:rsidRPr="00DD07EB" w:rsidRDefault="00C51680" w:rsidP="00DD07EB">
      <w:pPr>
        <w:spacing w:line="360" w:lineRule="auto"/>
        <w:rPr>
          <w:rFonts w:ascii="Arial" w:hAnsi="Arial" w:cs="Arial"/>
          <w:sz w:val="22"/>
          <w:szCs w:val="22"/>
        </w:rPr>
      </w:pPr>
      <w:r w:rsidRPr="00C51680">
        <w:rPr>
          <w:rFonts w:ascii="Arial" w:hAnsi="Arial" w:cs="Arial"/>
          <w:sz w:val="22"/>
          <w:szCs w:val="22"/>
        </w:rPr>
        <w:t>This scoping investigation utilised secondary data from peer-reviewed journal articles, guideline documents, and government health service publications. Sources were chosen to get evidence regarding population screening, additional imaging, high-risk surveillance, and implementation challenges. The evidence base comprised randomised controlled trials, comparative studies, systematic reviews, meta-analyses, and policy and program papers from the United Kingdom.</w:t>
      </w:r>
    </w:p>
    <w:p w14:paraId="78038608" w14:textId="77777777" w:rsidR="003818EF" w:rsidRPr="00DD07EB" w:rsidRDefault="003818EF" w:rsidP="00DD07EB">
      <w:pPr>
        <w:spacing w:line="360" w:lineRule="auto"/>
        <w:rPr>
          <w:rFonts w:ascii="Arial" w:hAnsi="Arial" w:cs="Arial"/>
          <w:sz w:val="22"/>
          <w:szCs w:val="22"/>
        </w:rPr>
      </w:pPr>
    </w:p>
    <w:p w14:paraId="57477A78" w14:textId="1E438D2D" w:rsidR="003818EF" w:rsidRPr="00DD07EB" w:rsidRDefault="003818EF" w:rsidP="00DD07EB">
      <w:pPr>
        <w:pStyle w:val="Heading2"/>
        <w:spacing w:line="360" w:lineRule="auto"/>
        <w:rPr>
          <w:rFonts w:ascii="Arial" w:hAnsi="Arial" w:cs="Arial"/>
          <w:sz w:val="28"/>
          <w:szCs w:val="28"/>
        </w:rPr>
      </w:pPr>
      <w:bookmarkStart w:id="9" w:name="_Toc223899513"/>
      <w:r w:rsidRPr="00DD07EB">
        <w:rPr>
          <w:rFonts w:ascii="Arial" w:hAnsi="Arial" w:cs="Arial"/>
          <w:sz w:val="28"/>
          <w:szCs w:val="28"/>
        </w:rPr>
        <w:t>Searching Strategy</w:t>
      </w:r>
      <w:bookmarkEnd w:id="9"/>
    </w:p>
    <w:p w14:paraId="124FE2EB" w14:textId="77777777" w:rsidR="00C51680" w:rsidRPr="00C51680" w:rsidRDefault="00C51680" w:rsidP="00DD07EB">
      <w:pPr>
        <w:spacing w:line="360" w:lineRule="auto"/>
        <w:rPr>
          <w:rFonts w:ascii="Arial" w:hAnsi="Arial" w:cs="Arial"/>
          <w:sz w:val="22"/>
          <w:szCs w:val="22"/>
        </w:rPr>
      </w:pPr>
      <w:r w:rsidRPr="00C51680">
        <w:rPr>
          <w:rFonts w:ascii="Arial" w:hAnsi="Arial" w:cs="Arial"/>
          <w:sz w:val="22"/>
          <w:szCs w:val="22"/>
        </w:rPr>
        <w:t>Investigations concentrated on PubMed and official organisational websites such as WHO, NICE, NHS, NHS England, NHS England Digital, and GOV.UK. Search terms included: breast cancer screening, early detection of breast cancer, mammography, digital breast tomosynthesis, supplemental MRI, dense breasts, ultrasound screening, artificial intelligence in mammography, risk-based breast screening, and breast screening in the United Kingdom. Recent systematic reviews and guideline statements were prioritised, however significant previous research, such as the DENSE trial and the ACS screening guideline, were retained due to their continued influence.</w:t>
      </w:r>
    </w:p>
    <w:p w14:paraId="0354DE9B" w14:textId="77777777" w:rsidR="003818EF" w:rsidRPr="00DD07EB" w:rsidRDefault="003818EF" w:rsidP="00DD07EB">
      <w:pPr>
        <w:spacing w:line="360" w:lineRule="auto"/>
        <w:rPr>
          <w:rFonts w:ascii="Arial" w:hAnsi="Arial" w:cs="Arial"/>
          <w:sz w:val="22"/>
          <w:szCs w:val="22"/>
        </w:rPr>
      </w:pPr>
    </w:p>
    <w:p w14:paraId="1D61823F" w14:textId="2BABB0E1" w:rsidR="0001084E" w:rsidRPr="00B21E36" w:rsidRDefault="003818EF" w:rsidP="00B21E36">
      <w:pPr>
        <w:pStyle w:val="Heading2"/>
        <w:spacing w:line="360" w:lineRule="auto"/>
        <w:rPr>
          <w:rFonts w:ascii="Arial" w:hAnsi="Arial" w:cs="Arial"/>
          <w:i/>
          <w:iCs/>
          <w:sz w:val="28"/>
          <w:szCs w:val="28"/>
        </w:rPr>
      </w:pPr>
      <w:bookmarkStart w:id="10" w:name="_Toc223899514"/>
      <w:r w:rsidRPr="00B21E36">
        <w:rPr>
          <w:rFonts w:ascii="Arial" w:hAnsi="Arial" w:cs="Arial"/>
          <w:i/>
          <w:iCs/>
          <w:sz w:val="28"/>
          <w:szCs w:val="28"/>
        </w:rPr>
        <w:t>Analysis: Analytical Examination of Themes</w:t>
      </w:r>
      <w:bookmarkEnd w:id="10"/>
    </w:p>
    <w:p w14:paraId="721553F0" w14:textId="3DC83696"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 xml:space="preserve">A thematic analysis methodology was employed to identify reoccurring topics within the text. Data were categorised based </w:t>
      </w:r>
      <w:r w:rsidR="003E35E6" w:rsidRPr="0001084E">
        <w:rPr>
          <w:rFonts w:ascii="Arial" w:hAnsi="Arial" w:cs="Arial"/>
          <w:sz w:val="22"/>
          <w:szCs w:val="22"/>
        </w:rPr>
        <w:t>on</w:t>
      </w:r>
      <w:r w:rsidRPr="0001084E">
        <w:rPr>
          <w:rFonts w:ascii="Arial" w:hAnsi="Arial" w:cs="Arial"/>
          <w:sz w:val="22"/>
          <w:szCs w:val="22"/>
        </w:rPr>
        <w:t xml:space="preserve"> population risk category; kind of screening modality; diagnostic yield and interval cancer outcomes; implementation advantages and disadvantages; and service delivery characteristics including participation, capability, and policy alignment. This methodology enabled the review to integrate extensive evidence instead of computing a combined effect across markedly different trials.</w:t>
      </w:r>
    </w:p>
    <w:p w14:paraId="450E9AD3" w14:textId="77777777" w:rsidR="003818EF" w:rsidRPr="00DD07EB" w:rsidRDefault="003818EF" w:rsidP="00DD07EB">
      <w:pPr>
        <w:spacing w:line="360" w:lineRule="auto"/>
        <w:rPr>
          <w:rFonts w:ascii="Arial" w:hAnsi="Arial" w:cs="Arial"/>
          <w:sz w:val="22"/>
          <w:szCs w:val="22"/>
        </w:rPr>
      </w:pPr>
    </w:p>
    <w:p w14:paraId="153544F2" w14:textId="2402E9F0" w:rsidR="0001084E" w:rsidRPr="00B21E36" w:rsidRDefault="003818EF" w:rsidP="00B21E36">
      <w:pPr>
        <w:pStyle w:val="Heading2"/>
        <w:spacing w:line="360" w:lineRule="auto"/>
        <w:rPr>
          <w:rFonts w:ascii="Arial" w:hAnsi="Arial" w:cs="Arial"/>
          <w:i/>
          <w:iCs/>
          <w:sz w:val="28"/>
          <w:szCs w:val="28"/>
        </w:rPr>
      </w:pPr>
      <w:bookmarkStart w:id="11" w:name="_Toc223899515"/>
      <w:r w:rsidRPr="00B21E36">
        <w:rPr>
          <w:rFonts w:ascii="Arial" w:hAnsi="Arial" w:cs="Arial"/>
          <w:i/>
          <w:iCs/>
          <w:sz w:val="28"/>
          <w:szCs w:val="28"/>
        </w:rPr>
        <w:t>Ethical Considerations</w:t>
      </w:r>
      <w:bookmarkEnd w:id="11"/>
    </w:p>
    <w:p w14:paraId="63FCEF61" w14:textId="77777777"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This study depended exclusively on published and publicly accessible secondary materials; hence, formal ethical approval was unnecessary. Ethical research practices were upheld by utilising trusted sources, accurately describing findings, and recognising doubt where evidence was inconsistent. All sources were cited inside the text and enumerated in the reference section according to Harvard-style formatting.</w:t>
      </w:r>
    </w:p>
    <w:p w14:paraId="1BB46C50" w14:textId="77777777" w:rsidR="003818EF" w:rsidRPr="00DD07EB" w:rsidRDefault="003818EF" w:rsidP="00DD07EB">
      <w:pPr>
        <w:spacing w:line="360" w:lineRule="auto"/>
        <w:rPr>
          <w:rFonts w:ascii="Arial" w:hAnsi="Arial" w:cs="Arial"/>
          <w:sz w:val="22"/>
          <w:szCs w:val="22"/>
        </w:rPr>
      </w:pPr>
    </w:p>
    <w:p w14:paraId="56BB603B" w14:textId="6900AC4B" w:rsidR="0001084E" w:rsidRPr="00B21E36" w:rsidRDefault="003818EF" w:rsidP="00B21E36">
      <w:pPr>
        <w:pStyle w:val="Heading2"/>
        <w:spacing w:line="360" w:lineRule="auto"/>
        <w:rPr>
          <w:rFonts w:ascii="Arial" w:hAnsi="Arial" w:cs="Arial"/>
          <w:i/>
          <w:iCs/>
          <w:sz w:val="28"/>
          <w:szCs w:val="28"/>
        </w:rPr>
      </w:pPr>
      <w:bookmarkStart w:id="12" w:name="_Toc223899516"/>
      <w:r w:rsidRPr="00B21E36">
        <w:rPr>
          <w:rFonts w:ascii="Arial" w:hAnsi="Arial" w:cs="Arial"/>
          <w:i/>
          <w:iCs/>
          <w:sz w:val="28"/>
          <w:szCs w:val="28"/>
        </w:rPr>
        <w:t>Standards for Inclusion and Exclusion</w:t>
      </w:r>
      <w:bookmarkEnd w:id="12"/>
    </w:p>
    <w:p w14:paraId="52A8A132" w14:textId="77777777"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 xml:space="preserve">Eligibility criteria encompassed: peer-reviewed research and authoritative recommendations concerning early detection or screening of breast cancer; studies predominantly published in the last ten years unless classified as landmark; and evidence pertinent to screening efficacy, supplemental imaging, surveillance, or implementation. </w:t>
      </w:r>
      <w:r w:rsidRPr="0001084E">
        <w:rPr>
          <w:rFonts w:ascii="Arial" w:hAnsi="Arial" w:cs="Arial"/>
          <w:sz w:val="22"/>
          <w:szCs w:val="22"/>
        </w:rPr>
        <w:br/>
        <w:t xml:space="preserve">Exclusion criteria encompassed: research exclusively addressing treatment post-confirmed </w:t>
      </w:r>
      <w:r w:rsidRPr="0001084E">
        <w:rPr>
          <w:rFonts w:ascii="Arial" w:hAnsi="Arial" w:cs="Arial"/>
          <w:sz w:val="22"/>
          <w:szCs w:val="22"/>
        </w:rPr>
        <w:lastRenderedPageBreak/>
        <w:t>diagnosis; papers lacking evident relevance to screening or early diagnosis; and low-quality opinion pieces devoid of a discernible evidence base. Preoperative imaging studies following diagnosis were deprioritized as the study concentrated on detection and screening instead of staging or surgical planning.</w:t>
      </w:r>
    </w:p>
    <w:p w14:paraId="2600F7FE" w14:textId="77777777" w:rsidR="003818EF" w:rsidRPr="00DD07EB" w:rsidRDefault="003818EF" w:rsidP="00DD07EB">
      <w:pPr>
        <w:spacing w:line="360" w:lineRule="auto"/>
        <w:rPr>
          <w:rFonts w:ascii="Arial" w:hAnsi="Arial" w:cs="Arial"/>
          <w:sz w:val="22"/>
          <w:szCs w:val="22"/>
        </w:rPr>
      </w:pPr>
    </w:p>
    <w:p w14:paraId="5F38946D" w14:textId="77777777" w:rsidR="003818EF" w:rsidRPr="00DD07EB" w:rsidRDefault="003818EF" w:rsidP="00DD07EB">
      <w:pPr>
        <w:spacing w:line="360" w:lineRule="auto"/>
        <w:rPr>
          <w:rFonts w:ascii="Arial" w:hAnsi="Arial" w:cs="Arial"/>
          <w:sz w:val="22"/>
          <w:szCs w:val="22"/>
        </w:rPr>
      </w:pPr>
    </w:p>
    <w:p w14:paraId="6469E5C7" w14:textId="40FC435B" w:rsidR="0001084E" w:rsidRPr="00B21E36" w:rsidRDefault="003818EF" w:rsidP="00B21E36">
      <w:pPr>
        <w:pStyle w:val="Heading2"/>
        <w:spacing w:line="360" w:lineRule="auto"/>
        <w:rPr>
          <w:rFonts w:ascii="Arial" w:hAnsi="Arial" w:cs="Arial"/>
          <w:b/>
          <w:bCs/>
          <w:sz w:val="28"/>
          <w:szCs w:val="28"/>
        </w:rPr>
      </w:pPr>
      <w:bookmarkStart w:id="13" w:name="_Toc223899517"/>
      <w:r w:rsidRPr="00B21E36">
        <w:rPr>
          <w:rFonts w:ascii="Arial" w:hAnsi="Arial" w:cs="Arial"/>
          <w:b/>
          <w:bCs/>
          <w:sz w:val="28"/>
          <w:szCs w:val="28"/>
        </w:rPr>
        <w:t>Results</w:t>
      </w:r>
      <w:bookmarkEnd w:id="13"/>
    </w:p>
    <w:p w14:paraId="1F4E6909" w14:textId="4F07B49D"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 xml:space="preserve">The scoping review revealed </w:t>
      </w:r>
      <w:r w:rsidR="003E35E6" w:rsidRPr="0001084E">
        <w:rPr>
          <w:rFonts w:ascii="Arial" w:hAnsi="Arial" w:cs="Arial"/>
          <w:sz w:val="22"/>
          <w:szCs w:val="22"/>
        </w:rPr>
        <w:t>comprehensive evidence</w:t>
      </w:r>
      <w:r w:rsidRPr="0001084E">
        <w:rPr>
          <w:rFonts w:ascii="Arial" w:hAnsi="Arial" w:cs="Arial"/>
          <w:sz w:val="22"/>
          <w:szCs w:val="22"/>
        </w:rPr>
        <w:t xml:space="preserve"> base structured around five predominant themes: organised mammography as the cornerstone of screening; supplemental imaging for dense breasts and high-risk populations; risk-stratified and personalised screening; the evolving roles of artificial intelligence; and implementation barriers impacting uptake and equity. Mammography consistently emerged as the primary screening method for average-risk individuals across several guidelines (Oeffinger et al., 2015). </w:t>
      </w:r>
      <w:r w:rsidRPr="0001084E">
        <w:rPr>
          <w:rFonts w:ascii="Arial" w:hAnsi="Arial" w:cs="Arial"/>
          <w:sz w:val="22"/>
          <w:szCs w:val="22"/>
        </w:rPr>
        <w:br/>
        <w:t xml:space="preserve">Recent recommendations consistently recommended MRI for high-risk individuals (Monticciolo et al., 2023). </w:t>
      </w:r>
      <w:r w:rsidRPr="0001084E">
        <w:rPr>
          <w:rFonts w:ascii="Arial" w:hAnsi="Arial" w:cs="Arial"/>
          <w:sz w:val="22"/>
          <w:szCs w:val="22"/>
        </w:rPr>
        <w:br/>
        <w:t>European guidelines are progressively incorporating MRI for women with highly thick breasts (Riggi et al., 2024).</w:t>
      </w:r>
    </w:p>
    <w:p w14:paraId="4CFD7E79" w14:textId="77777777" w:rsidR="00B21E36" w:rsidRPr="00DD07EB" w:rsidRDefault="00B21E36" w:rsidP="00DD07EB">
      <w:pPr>
        <w:spacing w:line="360" w:lineRule="auto"/>
        <w:rPr>
          <w:rFonts w:ascii="Arial" w:hAnsi="Arial" w:cs="Arial"/>
          <w:sz w:val="22"/>
          <w:szCs w:val="22"/>
        </w:rPr>
      </w:pPr>
    </w:p>
    <w:p w14:paraId="4A774B8C" w14:textId="77777777" w:rsidR="0001084E" w:rsidRPr="00DD07EB" w:rsidRDefault="0001084E" w:rsidP="00DD07EB">
      <w:pPr>
        <w:spacing w:line="360" w:lineRule="auto"/>
        <w:rPr>
          <w:rFonts w:ascii="Arial" w:hAnsi="Arial" w:cs="Arial"/>
          <w:sz w:val="22"/>
          <w:szCs w:val="22"/>
        </w:rPr>
      </w:pPr>
    </w:p>
    <w:p w14:paraId="30F11BD6" w14:textId="799F4966" w:rsidR="003818EF" w:rsidRPr="00B21E36" w:rsidRDefault="003818EF" w:rsidP="00B21E36">
      <w:pPr>
        <w:pStyle w:val="Heading2"/>
        <w:spacing w:line="360" w:lineRule="auto"/>
        <w:rPr>
          <w:rFonts w:ascii="Arial" w:hAnsi="Arial" w:cs="Arial"/>
          <w:b/>
          <w:bCs/>
          <w:sz w:val="28"/>
          <w:szCs w:val="28"/>
        </w:rPr>
      </w:pPr>
      <w:bookmarkStart w:id="14" w:name="_Toc223899518"/>
      <w:r w:rsidRPr="00B21E36">
        <w:rPr>
          <w:rFonts w:ascii="Arial" w:hAnsi="Arial" w:cs="Arial"/>
          <w:b/>
          <w:bCs/>
          <w:sz w:val="28"/>
          <w:szCs w:val="28"/>
        </w:rPr>
        <w:t>Template for summary table</w:t>
      </w:r>
      <w:bookmarkEnd w:id="14"/>
    </w:p>
    <w:tbl>
      <w:tblPr>
        <w:tblStyle w:val="TableGrid"/>
        <w:tblW w:w="10342" w:type="dxa"/>
        <w:jc w:val="center"/>
        <w:tblLook w:val="04A0" w:firstRow="1" w:lastRow="0" w:firstColumn="1" w:lastColumn="0" w:noHBand="0" w:noVBand="1"/>
      </w:tblPr>
      <w:tblGrid>
        <w:gridCol w:w="1271"/>
        <w:gridCol w:w="1855"/>
        <w:gridCol w:w="1972"/>
        <w:gridCol w:w="1701"/>
        <w:gridCol w:w="1859"/>
        <w:gridCol w:w="1684"/>
      </w:tblGrid>
      <w:tr w:rsidR="00B21E36" w:rsidRPr="0001084E" w14:paraId="7B38DEE5"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038A8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Author(s), Year</w:t>
            </w:r>
          </w:p>
        </w:tc>
        <w:tc>
          <w:tcPr>
            <w:tcW w:w="1855" w:type="dxa"/>
            <w:tcBorders>
              <w:top w:val="single" w:sz="4" w:space="0" w:color="auto"/>
              <w:left w:val="single" w:sz="4" w:space="0" w:color="auto"/>
              <w:bottom w:val="single" w:sz="4" w:space="0" w:color="auto"/>
              <w:right w:val="single" w:sz="4" w:space="0" w:color="auto"/>
            </w:tcBorders>
            <w:vAlign w:val="center"/>
            <w:hideMark/>
          </w:tcPr>
          <w:p w14:paraId="42E54EC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Research objectives</w:t>
            </w:r>
          </w:p>
        </w:tc>
        <w:tc>
          <w:tcPr>
            <w:tcW w:w="1972" w:type="dxa"/>
            <w:tcBorders>
              <w:top w:val="single" w:sz="4" w:space="0" w:color="auto"/>
              <w:left w:val="single" w:sz="4" w:space="0" w:color="auto"/>
              <w:bottom w:val="single" w:sz="4" w:space="0" w:color="auto"/>
              <w:right w:val="single" w:sz="4" w:space="0" w:color="auto"/>
            </w:tcBorders>
            <w:vAlign w:val="center"/>
            <w:hideMark/>
          </w:tcPr>
          <w:p w14:paraId="720B29EC"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Methods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544928"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Key findings</w:t>
            </w:r>
          </w:p>
        </w:tc>
        <w:tc>
          <w:tcPr>
            <w:tcW w:w="1859" w:type="dxa"/>
            <w:tcBorders>
              <w:top w:val="single" w:sz="4" w:space="0" w:color="auto"/>
              <w:left w:val="single" w:sz="4" w:space="0" w:color="auto"/>
              <w:bottom w:val="single" w:sz="4" w:space="0" w:color="auto"/>
              <w:right w:val="single" w:sz="4" w:space="0" w:color="auto"/>
            </w:tcBorders>
            <w:vAlign w:val="center"/>
            <w:hideMark/>
          </w:tcPr>
          <w:p w14:paraId="09875847"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Limitations</w:t>
            </w:r>
          </w:p>
        </w:tc>
        <w:tc>
          <w:tcPr>
            <w:tcW w:w="1684" w:type="dxa"/>
            <w:tcBorders>
              <w:top w:val="single" w:sz="4" w:space="0" w:color="auto"/>
              <w:left w:val="single" w:sz="4" w:space="0" w:color="auto"/>
              <w:bottom w:val="single" w:sz="4" w:space="0" w:color="auto"/>
              <w:right w:val="single" w:sz="4" w:space="0" w:color="auto"/>
            </w:tcBorders>
            <w:vAlign w:val="center"/>
            <w:hideMark/>
          </w:tcPr>
          <w:p w14:paraId="28525FFB" w14:textId="7BE5CA18"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 xml:space="preserve">Relevance to </w:t>
            </w:r>
            <w:r w:rsidR="003E35E6" w:rsidRPr="0001084E">
              <w:rPr>
                <w:rFonts w:ascii="Arial" w:hAnsi="Arial" w:cs="Arial"/>
                <w:b/>
                <w:sz w:val="22"/>
                <w:szCs w:val="22"/>
                <w:lang w:val="en-US"/>
              </w:rPr>
              <w:t>reviewing</w:t>
            </w:r>
            <w:r w:rsidRPr="0001084E">
              <w:rPr>
                <w:rFonts w:ascii="Arial" w:hAnsi="Arial" w:cs="Arial"/>
                <w:b/>
                <w:sz w:val="22"/>
                <w:szCs w:val="22"/>
                <w:lang w:val="en-US"/>
              </w:rPr>
              <w:t xml:space="preserve"> question</w:t>
            </w:r>
          </w:p>
        </w:tc>
      </w:tr>
      <w:tr w:rsidR="00B21E36" w:rsidRPr="0001084E" w14:paraId="4DE06DA0" w14:textId="77777777" w:rsidTr="00B21E36">
        <w:trPr>
          <w:trHeight w:val="2794"/>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FCBF8AB"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Nicholson et al. (2024)</w:t>
            </w:r>
          </w:p>
        </w:tc>
        <w:tc>
          <w:tcPr>
            <w:tcW w:w="1855" w:type="dxa"/>
            <w:tcBorders>
              <w:top w:val="single" w:sz="4" w:space="0" w:color="auto"/>
              <w:left w:val="single" w:sz="4" w:space="0" w:color="auto"/>
              <w:bottom w:val="single" w:sz="4" w:space="0" w:color="auto"/>
              <w:right w:val="single" w:sz="4" w:space="0" w:color="auto"/>
            </w:tcBorders>
            <w:vAlign w:val="center"/>
            <w:hideMark/>
          </w:tcPr>
          <w:p w14:paraId="5F0F8D2A"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Update population screening recommendation</w:t>
            </w:r>
          </w:p>
        </w:tc>
        <w:tc>
          <w:tcPr>
            <w:tcW w:w="1972" w:type="dxa"/>
            <w:tcBorders>
              <w:top w:val="single" w:sz="4" w:space="0" w:color="auto"/>
              <w:left w:val="single" w:sz="4" w:space="0" w:color="auto"/>
              <w:bottom w:val="single" w:sz="4" w:space="0" w:color="auto"/>
              <w:right w:val="single" w:sz="4" w:space="0" w:color="auto"/>
            </w:tcBorders>
            <w:vAlign w:val="center"/>
            <w:hideMark/>
          </w:tcPr>
          <w:p w14:paraId="72A76450"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USPSTF recommendation statement based on systematic review</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C04C0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Biennial mammography recommended for women aged 40-74 years</w:t>
            </w:r>
          </w:p>
        </w:tc>
        <w:tc>
          <w:tcPr>
            <w:tcW w:w="1859" w:type="dxa"/>
            <w:tcBorders>
              <w:top w:val="single" w:sz="4" w:space="0" w:color="auto"/>
              <w:left w:val="single" w:sz="4" w:space="0" w:color="auto"/>
              <w:bottom w:val="single" w:sz="4" w:space="0" w:color="auto"/>
              <w:right w:val="single" w:sz="4" w:space="0" w:color="auto"/>
            </w:tcBorders>
            <w:vAlign w:val="center"/>
            <w:hideMark/>
          </w:tcPr>
          <w:p w14:paraId="5E313880"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Insufficient evidence for women 75+ and supplemental screening regardless of density</w:t>
            </w:r>
          </w:p>
        </w:tc>
        <w:tc>
          <w:tcPr>
            <w:tcW w:w="1684" w:type="dxa"/>
            <w:tcBorders>
              <w:top w:val="single" w:sz="4" w:space="0" w:color="auto"/>
              <w:left w:val="single" w:sz="4" w:space="0" w:color="auto"/>
              <w:bottom w:val="single" w:sz="4" w:space="0" w:color="auto"/>
              <w:right w:val="single" w:sz="4" w:space="0" w:color="auto"/>
            </w:tcBorders>
            <w:vAlign w:val="center"/>
            <w:hideMark/>
          </w:tcPr>
          <w:p w14:paraId="21517ACA"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Defines current benchmark for average-risk screening</w:t>
            </w:r>
          </w:p>
        </w:tc>
      </w:tr>
      <w:tr w:rsidR="00B21E36" w:rsidRPr="0001084E" w14:paraId="2AD9A1C6"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5DA6F9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lastRenderedPageBreak/>
              <w:t>Alabousi et al. (2021)</w:t>
            </w:r>
          </w:p>
        </w:tc>
        <w:tc>
          <w:tcPr>
            <w:tcW w:w="1855" w:type="dxa"/>
            <w:tcBorders>
              <w:top w:val="single" w:sz="4" w:space="0" w:color="auto"/>
              <w:left w:val="single" w:sz="4" w:space="0" w:color="auto"/>
              <w:bottom w:val="single" w:sz="4" w:space="0" w:color="auto"/>
              <w:right w:val="single" w:sz="4" w:space="0" w:color="auto"/>
            </w:tcBorders>
            <w:vAlign w:val="center"/>
            <w:hideMark/>
          </w:tcPr>
          <w:p w14:paraId="17F7ACE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Compare DBT, synthetic mammography and digital mammography</w:t>
            </w:r>
          </w:p>
        </w:tc>
        <w:tc>
          <w:tcPr>
            <w:tcW w:w="1972" w:type="dxa"/>
            <w:tcBorders>
              <w:top w:val="single" w:sz="4" w:space="0" w:color="auto"/>
              <w:left w:val="single" w:sz="4" w:space="0" w:color="auto"/>
              <w:bottom w:val="single" w:sz="4" w:space="0" w:color="auto"/>
              <w:right w:val="single" w:sz="4" w:space="0" w:color="auto"/>
            </w:tcBorders>
            <w:vAlign w:val="center"/>
            <w:hideMark/>
          </w:tcPr>
          <w:p w14:paraId="13AFEFFC"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Systematic review and meta-analysis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964B85"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DBT-based approaches improved detection and PPV compared with digital mammography alone</w:t>
            </w:r>
          </w:p>
        </w:tc>
        <w:tc>
          <w:tcPr>
            <w:tcW w:w="1859" w:type="dxa"/>
            <w:tcBorders>
              <w:top w:val="single" w:sz="4" w:space="0" w:color="auto"/>
              <w:left w:val="single" w:sz="4" w:space="0" w:color="auto"/>
              <w:bottom w:val="single" w:sz="4" w:space="0" w:color="auto"/>
              <w:right w:val="single" w:sz="4" w:space="0" w:color="auto"/>
            </w:tcBorders>
            <w:vAlign w:val="center"/>
            <w:hideMark/>
          </w:tcPr>
          <w:p w14:paraId="23DC1744"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Heterogeneity across screening studies</w:t>
            </w:r>
          </w:p>
        </w:tc>
        <w:tc>
          <w:tcPr>
            <w:tcW w:w="1684" w:type="dxa"/>
            <w:tcBorders>
              <w:top w:val="single" w:sz="4" w:space="0" w:color="auto"/>
              <w:left w:val="single" w:sz="4" w:space="0" w:color="auto"/>
              <w:bottom w:val="single" w:sz="4" w:space="0" w:color="auto"/>
              <w:right w:val="single" w:sz="4" w:space="0" w:color="auto"/>
            </w:tcBorders>
            <w:vAlign w:val="center"/>
            <w:hideMark/>
          </w:tcPr>
          <w:p w14:paraId="4D755F6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Shows the value of tomosynthesis in programme screening</w:t>
            </w:r>
          </w:p>
        </w:tc>
      </w:tr>
      <w:tr w:rsidR="00B21E36" w:rsidRPr="0001084E" w14:paraId="70ECCFF0"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A1FFAF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Bakker et al. (2019)</w:t>
            </w:r>
          </w:p>
        </w:tc>
        <w:tc>
          <w:tcPr>
            <w:tcW w:w="1855" w:type="dxa"/>
            <w:tcBorders>
              <w:top w:val="single" w:sz="4" w:space="0" w:color="auto"/>
              <w:left w:val="single" w:sz="4" w:space="0" w:color="auto"/>
              <w:bottom w:val="single" w:sz="4" w:space="0" w:color="auto"/>
              <w:right w:val="single" w:sz="4" w:space="0" w:color="auto"/>
            </w:tcBorders>
            <w:vAlign w:val="center"/>
            <w:hideMark/>
          </w:tcPr>
          <w:p w14:paraId="37EC1EB0"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Assess supplemental MRI in extremely dense breasts</w:t>
            </w:r>
          </w:p>
        </w:tc>
        <w:tc>
          <w:tcPr>
            <w:tcW w:w="1972" w:type="dxa"/>
            <w:tcBorders>
              <w:top w:val="single" w:sz="4" w:space="0" w:color="auto"/>
              <w:left w:val="single" w:sz="4" w:space="0" w:color="auto"/>
              <w:bottom w:val="single" w:sz="4" w:space="0" w:color="auto"/>
              <w:right w:val="single" w:sz="4" w:space="0" w:color="auto"/>
            </w:tcBorders>
            <w:vAlign w:val="center"/>
            <w:hideMark/>
          </w:tcPr>
          <w:p w14:paraId="7862261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Randomised controlled trial (DENSE)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85B5C1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Supplemental MRI reduced interval cancers versus mammography alone</w:t>
            </w:r>
          </w:p>
        </w:tc>
        <w:tc>
          <w:tcPr>
            <w:tcW w:w="1859" w:type="dxa"/>
            <w:tcBorders>
              <w:top w:val="single" w:sz="4" w:space="0" w:color="auto"/>
              <w:left w:val="single" w:sz="4" w:space="0" w:color="auto"/>
              <w:bottom w:val="single" w:sz="4" w:space="0" w:color="auto"/>
              <w:right w:val="single" w:sz="4" w:space="0" w:color="auto"/>
            </w:tcBorders>
            <w:vAlign w:val="center"/>
            <w:hideMark/>
          </w:tcPr>
          <w:p w14:paraId="13E92A17"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Resource intensive and limited to selected population</w:t>
            </w:r>
          </w:p>
        </w:tc>
        <w:tc>
          <w:tcPr>
            <w:tcW w:w="1684" w:type="dxa"/>
            <w:tcBorders>
              <w:top w:val="single" w:sz="4" w:space="0" w:color="auto"/>
              <w:left w:val="single" w:sz="4" w:space="0" w:color="auto"/>
              <w:bottom w:val="single" w:sz="4" w:space="0" w:color="auto"/>
              <w:right w:val="single" w:sz="4" w:space="0" w:color="auto"/>
            </w:tcBorders>
            <w:vAlign w:val="center"/>
            <w:hideMark/>
          </w:tcPr>
          <w:p w14:paraId="7300634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Supports MRI for dense-breast subgroups</w:t>
            </w:r>
          </w:p>
        </w:tc>
      </w:tr>
      <w:tr w:rsidR="00B21E36" w:rsidRPr="0001084E" w14:paraId="7252CA83"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47F218DB"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Comstock et al. (2020)</w:t>
            </w:r>
          </w:p>
        </w:tc>
        <w:tc>
          <w:tcPr>
            <w:tcW w:w="1855" w:type="dxa"/>
            <w:tcBorders>
              <w:top w:val="single" w:sz="4" w:space="0" w:color="auto"/>
              <w:left w:val="single" w:sz="4" w:space="0" w:color="auto"/>
              <w:bottom w:val="single" w:sz="4" w:space="0" w:color="auto"/>
              <w:right w:val="single" w:sz="4" w:space="0" w:color="auto"/>
            </w:tcBorders>
            <w:vAlign w:val="center"/>
            <w:hideMark/>
          </w:tcPr>
          <w:p w14:paraId="2DB06E57"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Compare abbreviated MRI and DBT in dense breasts</w:t>
            </w:r>
          </w:p>
        </w:tc>
        <w:tc>
          <w:tcPr>
            <w:tcW w:w="1972" w:type="dxa"/>
            <w:tcBorders>
              <w:top w:val="single" w:sz="4" w:space="0" w:color="auto"/>
              <w:left w:val="single" w:sz="4" w:space="0" w:color="auto"/>
              <w:bottom w:val="single" w:sz="4" w:space="0" w:color="auto"/>
              <w:right w:val="single" w:sz="4" w:space="0" w:color="auto"/>
            </w:tcBorders>
            <w:vAlign w:val="center"/>
            <w:hideMark/>
          </w:tcPr>
          <w:p w14:paraId="6485BED8"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Comparative trial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F749FE"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Abbreviated MRI detected more invasive cancers than DBT</w:t>
            </w:r>
          </w:p>
        </w:tc>
        <w:tc>
          <w:tcPr>
            <w:tcW w:w="1859" w:type="dxa"/>
            <w:tcBorders>
              <w:top w:val="single" w:sz="4" w:space="0" w:color="auto"/>
              <w:left w:val="single" w:sz="4" w:space="0" w:color="auto"/>
              <w:bottom w:val="single" w:sz="4" w:space="0" w:color="auto"/>
              <w:right w:val="single" w:sz="4" w:space="0" w:color="auto"/>
            </w:tcBorders>
            <w:vAlign w:val="center"/>
            <w:hideMark/>
          </w:tcPr>
          <w:p w14:paraId="1EDE9A33"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Outcome data beyond detection remained limited</w:t>
            </w:r>
          </w:p>
        </w:tc>
        <w:tc>
          <w:tcPr>
            <w:tcW w:w="1684" w:type="dxa"/>
            <w:tcBorders>
              <w:top w:val="single" w:sz="4" w:space="0" w:color="auto"/>
              <w:left w:val="single" w:sz="4" w:space="0" w:color="auto"/>
              <w:bottom w:val="single" w:sz="4" w:space="0" w:color="auto"/>
              <w:right w:val="single" w:sz="4" w:space="0" w:color="auto"/>
            </w:tcBorders>
            <w:vAlign w:val="center"/>
            <w:hideMark/>
          </w:tcPr>
          <w:p w14:paraId="5CCE52FE"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Highlights evolving alternatives to standard mammography pathways</w:t>
            </w:r>
          </w:p>
        </w:tc>
      </w:tr>
      <w:tr w:rsidR="00B21E36" w:rsidRPr="0001084E" w14:paraId="6E23F911"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D30078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Hussein et al. (2023)</w:t>
            </w:r>
          </w:p>
        </w:tc>
        <w:tc>
          <w:tcPr>
            <w:tcW w:w="1855" w:type="dxa"/>
            <w:tcBorders>
              <w:top w:val="single" w:sz="4" w:space="0" w:color="auto"/>
              <w:left w:val="single" w:sz="4" w:space="0" w:color="auto"/>
              <w:bottom w:val="single" w:sz="4" w:space="0" w:color="auto"/>
              <w:right w:val="single" w:sz="4" w:space="0" w:color="auto"/>
            </w:tcBorders>
            <w:vAlign w:val="center"/>
            <w:hideMark/>
          </w:tcPr>
          <w:p w14:paraId="669E0E0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Compare supplemental imaging modalities after negative mammography</w:t>
            </w:r>
          </w:p>
        </w:tc>
        <w:tc>
          <w:tcPr>
            <w:tcW w:w="1972" w:type="dxa"/>
            <w:tcBorders>
              <w:top w:val="single" w:sz="4" w:space="0" w:color="auto"/>
              <w:left w:val="single" w:sz="4" w:space="0" w:color="auto"/>
              <w:bottom w:val="single" w:sz="4" w:space="0" w:color="auto"/>
              <w:right w:val="single" w:sz="4" w:space="0" w:color="auto"/>
            </w:tcBorders>
            <w:vAlign w:val="center"/>
            <w:hideMark/>
          </w:tcPr>
          <w:p w14:paraId="588CF4BD"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Systematic review and meta-analysis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95DA77"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MRI had the strongest performance among supplemental tests in dense breasts</w:t>
            </w:r>
          </w:p>
        </w:tc>
        <w:tc>
          <w:tcPr>
            <w:tcW w:w="1859" w:type="dxa"/>
            <w:tcBorders>
              <w:top w:val="single" w:sz="4" w:space="0" w:color="auto"/>
              <w:left w:val="single" w:sz="4" w:space="0" w:color="auto"/>
              <w:bottom w:val="single" w:sz="4" w:space="0" w:color="auto"/>
              <w:right w:val="single" w:sz="4" w:space="0" w:color="auto"/>
            </w:tcBorders>
            <w:vAlign w:val="center"/>
            <w:hideMark/>
          </w:tcPr>
          <w:p w14:paraId="39EADEF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Variation in populations and protocols</w:t>
            </w:r>
          </w:p>
        </w:tc>
        <w:tc>
          <w:tcPr>
            <w:tcW w:w="1684" w:type="dxa"/>
            <w:tcBorders>
              <w:top w:val="single" w:sz="4" w:space="0" w:color="auto"/>
              <w:left w:val="single" w:sz="4" w:space="0" w:color="auto"/>
              <w:bottom w:val="single" w:sz="4" w:space="0" w:color="auto"/>
              <w:right w:val="single" w:sz="4" w:space="0" w:color="auto"/>
            </w:tcBorders>
            <w:vAlign w:val="center"/>
            <w:hideMark/>
          </w:tcPr>
          <w:p w14:paraId="0278C4D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Clarifies the hierarchy of supplemental modalities</w:t>
            </w:r>
          </w:p>
        </w:tc>
      </w:tr>
      <w:tr w:rsidR="00B21E36" w:rsidRPr="0001084E" w14:paraId="1C55E3B5" w14:textId="77777777" w:rsidTr="00B21E36">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16EB4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Branco et al. (2024)</w:t>
            </w:r>
          </w:p>
        </w:tc>
        <w:tc>
          <w:tcPr>
            <w:tcW w:w="1855" w:type="dxa"/>
            <w:tcBorders>
              <w:top w:val="single" w:sz="4" w:space="0" w:color="auto"/>
              <w:left w:val="single" w:sz="4" w:space="0" w:color="auto"/>
              <w:bottom w:val="single" w:sz="4" w:space="0" w:color="auto"/>
              <w:right w:val="single" w:sz="4" w:space="0" w:color="auto"/>
            </w:tcBorders>
            <w:vAlign w:val="center"/>
            <w:hideMark/>
          </w:tcPr>
          <w:p w14:paraId="0B4CD525"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Assess external validation of AI in mammography</w:t>
            </w:r>
          </w:p>
        </w:tc>
        <w:tc>
          <w:tcPr>
            <w:tcW w:w="1972" w:type="dxa"/>
            <w:tcBorders>
              <w:top w:val="single" w:sz="4" w:space="0" w:color="auto"/>
              <w:left w:val="single" w:sz="4" w:space="0" w:color="auto"/>
              <w:bottom w:val="single" w:sz="4" w:space="0" w:color="auto"/>
              <w:right w:val="single" w:sz="4" w:space="0" w:color="auto"/>
            </w:tcBorders>
            <w:vAlign w:val="center"/>
            <w:hideMark/>
          </w:tcPr>
          <w:p w14:paraId="1D99918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Systematic review</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70E4E0"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AI may improve or complement radiologist performance</w:t>
            </w:r>
          </w:p>
        </w:tc>
        <w:tc>
          <w:tcPr>
            <w:tcW w:w="1859" w:type="dxa"/>
            <w:tcBorders>
              <w:top w:val="single" w:sz="4" w:space="0" w:color="auto"/>
              <w:left w:val="single" w:sz="4" w:space="0" w:color="auto"/>
              <w:bottom w:val="single" w:sz="4" w:space="0" w:color="auto"/>
              <w:right w:val="single" w:sz="4" w:space="0" w:color="auto"/>
            </w:tcBorders>
            <w:vAlign w:val="center"/>
            <w:hideMark/>
          </w:tcPr>
          <w:p w14:paraId="3109306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External validation and implementation remain uneven</w:t>
            </w:r>
          </w:p>
        </w:tc>
        <w:tc>
          <w:tcPr>
            <w:tcW w:w="1684" w:type="dxa"/>
            <w:tcBorders>
              <w:top w:val="single" w:sz="4" w:space="0" w:color="auto"/>
              <w:left w:val="single" w:sz="4" w:space="0" w:color="auto"/>
              <w:bottom w:val="single" w:sz="4" w:space="0" w:color="auto"/>
              <w:right w:val="single" w:sz="4" w:space="0" w:color="auto"/>
            </w:tcBorders>
            <w:vAlign w:val="center"/>
            <w:hideMark/>
          </w:tcPr>
          <w:p w14:paraId="4891CC4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Supports cautious interest in AI-enabled early detection</w:t>
            </w:r>
          </w:p>
        </w:tc>
      </w:tr>
    </w:tbl>
    <w:p w14:paraId="623F0FC5" w14:textId="77777777" w:rsidR="003818EF" w:rsidRPr="00DD07EB" w:rsidRDefault="003818EF" w:rsidP="00DD07EB">
      <w:pPr>
        <w:spacing w:line="360" w:lineRule="auto"/>
        <w:rPr>
          <w:rFonts w:ascii="Arial" w:hAnsi="Arial" w:cs="Arial"/>
          <w:sz w:val="22"/>
          <w:szCs w:val="22"/>
        </w:rPr>
      </w:pPr>
    </w:p>
    <w:p w14:paraId="2AF93A5D" w14:textId="4AA273FA" w:rsidR="003818EF" w:rsidRPr="00B21E36" w:rsidRDefault="003818EF" w:rsidP="00DD07EB">
      <w:pPr>
        <w:pStyle w:val="Heading2"/>
        <w:spacing w:line="360" w:lineRule="auto"/>
        <w:rPr>
          <w:rFonts w:ascii="Arial" w:hAnsi="Arial" w:cs="Arial"/>
          <w:b/>
          <w:bCs/>
          <w:sz w:val="28"/>
          <w:szCs w:val="28"/>
        </w:rPr>
      </w:pPr>
      <w:bookmarkStart w:id="15" w:name="_Toc223899519"/>
      <w:r w:rsidRPr="00B21E36">
        <w:rPr>
          <w:rFonts w:ascii="Arial" w:hAnsi="Arial" w:cs="Arial"/>
          <w:b/>
          <w:bCs/>
          <w:sz w:val="28"/>
          <w:szCs w:val="28"/>
        </w:rPr>
        <w:lastRenderedPageBreak/>
        <w:t>Thematic Analysis and Coding</w:t>
      </w:r>
      <w:bookmarkEnd w:id="15"/>
    </w:p>
    <w:tbl>
      <w:tblPr>
        <w:tblStyle w:val="TableGrid"/>
        <w:tblW w:w="10343" w:type="dxa"/>
        <w:jc w:val="center"/>
        <w:tblLook w:val="04A0" w:firstRow="1" w:lastRow="0" w:firstColumn="1" w:lastColumn="0" w:noHBand="0" w:noVBand="1"/>
      </w:tblPr>
      <w:tblGrid>
        <w:gridCol w:w="2793"/>
        <w:gridCol w:w="3498"/>
        <w:gridCol w:w="4052"/>
      </w:tblGrid>
      <w:tr w:rsidR="0001084E" w:rsidRPr="0001084E" w14:paraId="6EA4D20A"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4915EB73"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Theme</w:t>
            </w:r>
          </w:p>
        </w:tc>
        <w:tc>
          <w:tcPr>
            <w:tcW w:w="3498" w:type="dxa"/>
            <w:tcBorders>
              <w:top w:val="single" w:sz="4" w:space="0" w:color="auto"/>
              <w:left w:val="single" w:sz="4" w:space="0" w:color="auto"/>
              <w:bottom w:val="single" w:sz="4" w:space="0" w:color="auto"/>
              <w:right w:val="single" w:sz="4" w:space="0" w:color="auto"/>
            </w:tcBorders>
            <w:vAlign w:val="center"/>
            <w:hideMark/>
          </w:tcPr>
          <w:p w14:paraId="68F6795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Description</w:t>
            </w:r>
          </w:p>
        </w:tc>
        <w:tc>
          <w:tcPr>
            <w:tcW w:w="4052" w:type="dxa"/>
            <w:tcBorders>
              <w:top w:val="single" w:sz="4" w:space="0" w:color="auto"/>
              <w:left w:val="single" w:sz="4" w:space="0" w:color="auto"/>
              <w:bottom w:val="single" w:sz="4" w:space="0" w:color="auto"/>
              <w:right w:val="single" w:sz="4" w:space="0" w:color="auto"/>
            </w:tcBorders>
            <w:vAlign w:val="center"/>
            <w:hideMark/>
          </w:tcPr>
          <w:p w14:paraId="5299BAEC"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b/>
                <w:sz w:val="22"/>
                <w:szCs w:val="22"/>
                <w:lang w:val="en-US"/>
              </w:rPr>
              <w:t>Illustrative sources</w:t>
            </w:r>
          </w:p>
        </w:tc>
      </w:tr>
      <w:tr w:rsidR="0001084E" w:rsidRPr="0001084E" w14:paraId="611C7F4C"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441AAF76"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Population mammography</w:t>
            </w:r>
          </w:p>
        </w:tc>
        <w:tc>
          <w:tcPr>
            <w:tcW w:w="3498" w:type="dxa"/>
            <w:tcBorders>
              <w:top w:val="single" w:sz="4" w:space="0" w:color="auto"/>
              <w:left w:val="single" w:sz="4" w:space="0" w:color="auto"/>
              <w:bottom w:val="single" w:sz="4" w:space="0" w:color="auto"/>
              <w:right w:val="single" w:sz="4" w:space="0" w:color="auto"/>
            </w:tcBorders>
            <w:vAlign w:val="center"/>
            <w:hideMark/>
          </w:tcPr>
          <w:p w14:paraId="4ECA1603"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Routine mammography remains the core strategy for average-risk women in most guidelines.</w:t>
            </w:r>
          </w:p>
        </w:tc>
        <w:tc>
          <w:tcPr>
            <w:tcW w:w="4052" w:type="dxa"/>
            <w:tcBorders>
              <w:top w:val="single" w:sz="4" w:space="0" w:color="auto"/>
              <w:left w:val="single" w:sz="4" w:space="0" w:color="auto"/>
              <w:bottom w:val="single" w:sz="4" w:space="0" w:color="auto"/>
              <w:right w:val="single" w:sz="4" w:space="0" w:color="auto"/>
            </w:tcBorders>
            <w:vAlign w:val="center"/>
            <w:hideMark/>
          </w:tcPr>
          <w:p w14:paraId="39BB4A4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Nicholson et al. (2024); Oeffinger et al. (2015); Ren et al. (2022)</w:t>
            </w:r>
          </w:p>
        </w:tc>
      </w:tr>
      <w:tr w:rsidR="0001084E" w:rsidRPr="0001084E" w14:paraId="2AF2C12F"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1D4C5EBA"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Supplemental imaging</w:t>
            </w:r>
          </w:p>
        </w:tc>
        <w:tc>
          <w:tcPr>
            <w:tcW w:w="3498" w:type="dxa"/>
            <w:tcBorders>
              <w:top w:val="single" w:sz="4" w:space="0" w:color="auto"/>
              <w:left w:val="single" w:sz="4" w:space="0" w:color="auto"/>
              <w:bottom w:val="single" w:sz="4" w:space="0" w:color="auto"/>
              <w:right w:val="single" w:sz="4" w:space="0" w:color="auto"/>
            </w:tcBorders>
            <w:vAlign w:val="center"/>
            <w:hideMark/>
          </w:tcPr>
          <w:p w14:paraId="15DAD06D"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MRI, ultrasound, and tomosynthesis are used to address lower sensitivity in dense breasts or higher-risk groups.</w:t>
            </w:r>
          </w:p>
        </w:tc>
        <w:tc>
          <w:tcPr>
            <w:tcW w:w="4052" w:type="dxa"/>
            <w:tcBorders>
              <w:top w:val="single" w:sz="4" w:space="0" w:color="auto"/>
              <w:left w:val="single" w:sz="4" w:space="0" w:color="auto"/>
              <w:bottom w:val="single" w:sz="4" w:space="0" w:color="auto"/>
              <w:right w:val="single" w:sz="4" w:space="0" w:color="auto"/>
            </w:tcBorders>
            <w:vAlign w:val="center"/>
            <w:hideMark/>
          </w:tcPr>
          <w:p w14:paraId="067AAAAF"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Bakker et al. (2019); Hussein et al. (2023); Glechner et al. (2023)</w:t>
            </w:r>
          </w:p>
        </w:tc>
      </w:tr>
      <w:tr w:rsidR="0001084E" w:rsidRPr="0001084E" w14:paraId="390F0A9C"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3DE9F819"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Risk-stratified surveillance</w:t>
            </w:r>
          </w:p>
        </w:tc>
        <w:tc>
          <w:tcPr>
            <w:tcW w:w="3498" w:type="dxa"/>
            <w:tcBorders>
              <w:top w:val="single" w:sz="4" w:space="0" w:color="auto"/>
              <w:left w:val="single" w:sz="4" w:space="0" w:color="auto"/>
              <w:bottom w:val="single" w:sz="4" w:space="0" w:color="auto"/>
              <w:right w:val="single" w:sz="4" w:space="0" w:color="auto"/>
            </w:tcBorders>
            <w:vAlign w:val="center"/>
            <w:hideMark/>
          </w:tcPr>
          <w:p w14:paraId="53DFB09F"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Earlier or more intensive screening is recommended for familial, genetic, or otherwise elevated risk.</w:t>
            </w:r>
          </w:p>
        </w:tc>
        <w:tc>
          <w:tcPr>
            <w:tcW w:w="4052" w:type="dxa"/>
            <w:tcBorders>
              <w:top w:val="single" w:sz="4" w:space="0" w:color="auto"/>
              <w:left w:val="single" w:sz="4" w:space="0" w:color="auto"/>
              <w:bottom w:val="single" w:sz="4" w:space="0" w:color="auto"/>
              <w:right w:val="single" w:sz="4" w:space="0" w:color="auto"/>
            </w:tcBorders>
            <w:vAlign w:val="center"/>
            <w:hideMark/>
          </w:tcPr>
          <w:p w14:paraId="47879FEC"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NICE (2013); Monticciolo et al. (2023); Riggi et al. (2024)</w:t>
            </w:r>
          </w:p>
        </w:tc>
      </w:tr>
      <w:tr w:rsidR="0001084E" w:rsidRPr="0001084E" w14:paraId="2AB40EAD"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1116CF67"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Artificial intelligence</w:t>
            </w:r>
          </w:p>
        </w:tc>
        <w:tc>
          <w:tcPr>
            <w:tcW w:w="3498" w:type="dxa"/>
            <w:tcBorders>
              <w:top w:val="single" w:sz="4" w:space="0" w:color="auto"/>
              <w:left w:val="single" w:sz="4" w:space="0" w:color="auto"/>
              <w:bottom w:val="single" w:sz="4" w:space="0" w:color="auto"/>
              <w:right w:val="single" w:sz="4" w:space="0" w:color="auto"/>
            </w:tcBorders>
            <w:vAlign w:val="center"/>
            <w:hideMark/>
          </w:tcPr>
          <w:p w14:paraId="331F55E5"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AI may support reading efficiency and accuracy but requires validation and safe integration.</w:t>
            </w:r>
          </w:p>
        </w:tc>
        <w:tc>
          <w:tcPr>
            <w:tcW w:w="4052" w:type="dxa"/>
            <w:tcBorders>
              <w:top w:val="single" w:sz="4" w:space="0" w:color="auto"/>
              <w:left w:val="single" w:sz="4" w:space="0" w:color="auto"/>
              <w:bottom w:val="single" w:sz="4" w:space="0" w:color="auto"/>
              <w:right w:val="single" w:sz="4" w:space="0" w:color="auto"/>
            </w:tcBorders>
            <w:vAlign w:val="center"/>
            <w:hideMark/>
          </w:tcPr>
          <w:p w14:paraId="542F03DD"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Branco et al. (2024); Xavier et al. (2024)</w:t>
            </w:r>
          </w:p>
        </w:tc>
      </w:tr>
      <w:tr w:rsidR="0001084E" w:rsidRPr="0001084E" w14:paraId="3BA57B9C"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58A3D11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Programme uptake and equity</w:t>
            </w:r>
          </w:p>
        </w:tc>
        <w:tc>
          <w:tcPr>
            <w:tcW w:w="3498" w:type="dxa"/>
            <w:tcBorders>
              <w:top w:val="single" w:sz="4" w:space="0" w:color="auto"/>
              <w:left w:val="single" w:sz="4" w:space="0" w:color="auto"/>
              <w:bottom w:val="single" w:sz="4" w:space="0" w:color="auto"/>
              <w:right w:val="single" w:sz="4" w:space="0" w:color="auto"/>
            </w:tcBorders>
            <w:vAlign w:val="center"/>
            <w:hideMark/>
          </w:tcPr>
          <w:p w14:paraId="1F9891A8"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Attendance, communication, and access shape real-world effectiveness.</w:t>
            </w:r>
          </w:p>
        </w:tc>
        <w:tc>
          <w:tcPr>
            <w:tcW w:w="4052" w:type="dxa"/>
            <w:tcBorders>
              <w:top w:val="single" w:sz="4" w:space="0" w:color="auto"/>
              <w:left w:val="single" w:sz="4" w:space="0" w:color="auto"/>
              <w:bottom w:val="single" w:sz="4" w:space="0" w:color="auto"/>
              <w:right w:val="single" w:sz="4" w:space="0" w:color="auto"/>
            </w:tcBorders>
            <w:vAlign w:val="center"/>
            <w:hideMark/>
          </w:tcPr>
          <w:p w14:paraId="3B18A60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NHS England (2025); WHO (2025)</w:t>
            </w:r>
          </w:p>
        </w:tc>
      </w:tr>
      <w:tr w:rsidR="0001084E" w:rsidRPr="0001084E" w14:paraId="45FDE4C3" w14:textId="77777777" w:rsidTr="00B21E36">
        <w:trPr>
          <w:jc w:val="center"/>
        </w:trPr>
        <w:tc>
          <w:tcPr>
            <w:tcW w:w="2793" w:type="dxa"/>
            <w:tcBorders>
              <w:top w:val="single" w:sz="4" w:space="0" w:color="auto"/>
              <w:left w:val="single" w:sz="4" w:space="0" w:color="auto"/>
              <w:bottom w:val="single" w:sz="4" w:space="0" w:color="auto"/>
              <w:right w:val="single" w:sz="4" w:space="0" w:color="auto"/>
            </w:tcBorders>
            <w:vAlign w:val="center"/>
            <w:hideMark/>
          </w:tcPr>
          <w:p w14:paraId="5683E431"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Assessment after screening</w:t>
            </w:r>
          </w:p>
        </w:tc>
        <w:tc>
          <w:tcPr>
            <w:tcW w:w="3498" w:type="dxa"/>
            <w:tcBorders>
              <w:top w:val="single" w:sz="4" w:space="0" w:color="auto"/>
              <w:left w:val="single" w:sz="4" w:space="0" w:color="auto"/>
              <w:bottom w:val="single" w:sz="4" w:space="0" w:color="auto"/>
              <w:right w:val="single" w:sz="4" w:space="0" w:color="auto"/>
            </w:tcBorders>
            <w:vAlign w:val="center"/>
            <w:hideMark/>
          </w:tcPr>
          <w:p w14:paraId="1CD60172"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Timely triple assessment is essential once abnormalities are found.</w:t>
            </w:r>
          </w:p>
        </w:tc>
        <w:tc>
          <w:tcPr>
            <w:tcW w:w="4052" w:type="dxa"/>
            <w:tcBorders>
              <w:top w:val="single" w:sz="4" w:space="0" w:color="auto"/>
              <w:left w:val="single" w:sz="4" w:space="0" w:color="auto"/>
              <w:bottom w:val="single" w:sz="4" w:space="0" w:color="auto"/>
              <w:right w:val="single" w:sz="4" w:space="0" w:color="auto"/>
            </w:tcBorders>
            <w:vAlign w:val="center"/>
            <w:hideMark/>
          </w:tcPr>
          <w:p w14:paraId="59023D7E" w14:textId="77777777" w:rsidR="0001084E" w:rsidRPr="0001084E" w:rsidRDefault="0001084E" w:rsidP="00DD07EB">
            <w:pPr>
              <w:spacing w:after="160" w:line="360" w:lineRule="auto"/>
              <w:rPr>
                <w:rFonts w:ascii="Arial" w:hAnsi="Arial" w:cs="Arial"/>
                <w:sz w:val="22"/>
                <w:szCs w:val="22"/>
                <w:lang w:val="en-US"/>
              </w:rPr>
            </w:pPr>
            <w:r w:rsidRPr="0001084E">
              <w:rPr>
                <w:rFonts w:ascii="Arial" w:hAnsi="Arial" w:cs="Arial"/>
                <w:sz w:val="22"/>
                <w:szCs w:val="22"/>
                <w:lang w:val="en-US"/>
              </w:rPr>
              <w:t>GOV.UK (2026)</w:t>
            </w:r>
          </w:p>
        </w:tc>
      </w:tr>
    </w:tbl>
    <w:p w14:paraId="6368C955" w14:textId="77777777" w:rsidR="003818EF" w:rsidRPr="00DD07EB" w:rsidRDefault="003818EF" w:rsidP="00DD07EB">
      <w:pPr>
        <w:spacing w:line="360" w:lineRule="auto"/>
        <w:rPr>
          <w:rFonts w:ascii="Arial" w:hAnsi="Arial" w:cs="Arial"/>
          <w:sz w:val="22"/>
          <w:szCs w:val="22"/>
        </w:rPr>
      </w:pPr>
    </w:p>
    <w:p w14:paraId="231D3417" w14:textId="77777777" w:rsidR="003818EF" w:rsidRPr="00DD07EB" w:rsidRDefault="003818EF" w:rsidP="00DD07EB">
      <w:pPr>
        <w:spacing w:line="360" w:lineRule="auto"/>
        <w:rPr>
          <w:rFonts w:ascii="Arial" w:hAnsi="Arial" w:cs="Arial"/>
          <w:sz w:val="22"/>
          <w:szCs w:val="22"/>
        </w:rPr>
      </w:pPr>
    </w:p>
    <w:p w14:paraId="6BE3FE79" w14:textId="2D96AE4A" w:rsidR="003818EF" w:rsidRPr="00B21E36" w:rsidRDefault="003818EF" w:rsidP="00B21E36">
      <w:pPr>
        <w:pStyle w:val="Heading2"/>
        <w:spacing w:line="360" w:lineRule="auto"/>
        <w:rPr>
          <w:rFonts w:ascii="Arial" w:hAnsi="Arial" w:cs="Arial"/>
          <w:b/>
          <w:bCs/>
          <w:sz w:val="28"/>
          <w:szCs w:val="28"/>
        </w:rPr>
      </w:pPr>
      <w:bookmarkStart w:id="16" w:name="_Toc223899520"/>
      <w:r w:rsidRPr="00B21E36">
        <w:rPr>
          <w:rFonts w:ascii="Arial" w:hAnsi="Arial" w:cs="Arial"/>
          <w:b/>
          <w:bCs/>
          <w:sz w:val="28"/>
          <w:szCs w:val="28"/>
        </w:rPr>
        <w:t>Overview of Principal Themes and Conclusions</w:t>
      </w:r>
      <w:bookmarkEnd w:id="16"/>
    </w:p>
    <w:p w14:paraId="581E6B19" w14:textId="77777777"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 xml:space="preserve">Mammography as the primary screening method: Global recommendations persist in considering mammography the benchmark for screening individuals at average risk. While organisations vary in their preferences for annual vs biennial intervals and the optimal age to commence, there is widespread consensus that mammography constitutes the cornerstone of structured programs (Oeffinger et al., 2015). </w:t>
      </w:r>
      <w:r w:rsidRPr="0001084E">
        <w:rPr>
          <w:rFonts w:ascii="Arial" w:hAnsi="Arial" w:cs="Arial"/>
          <w:sz w:val="22"/>
          <w:szCs w:val="22"/>
        </w:rPr>
        <w:br/>
        <w:t xml:space="preserve">The current USPSTF recommendation designates mammography as the primary screening instrument for the population (Nicholson et al., 2024). </w:t>
      </w:r>
      <w:r w:rsidRPr="0001084E">
        <w:rPr>
          <w:rFonts w:ascii="Arial" w:hAnsi="Arial" w:cs="Arial"/>
          <w:sz w:val="22"/>
          <w:szCs w:val="22"/>
        </w:rPr>
        <w:br/>
      </w:r>
      <w:r w:rsidRPr="0001084E">
        <w:rPr>
          <w:rFonts w:ascii="Arial" w:hAnsi="Arial" w:cs="Arial"/>
          <w:sz w:val="22"/>
          <w:szCs w:val="22"/>
        </w:rPr>
        <w:lastRenderedPageBreak/>
        <w:t xml:space="preserve">Comparative guideline reviews indicate that variations in intervals and age exist around a common base rather than in lieu of it (Katsika et al., 2024). </w:t>
      </w:r>
      <w:r w:rsidRPr="0001084E">
        <w:rPr>
          <w:rFonts w:ascii="Arial" w:hAnsi="Arial" w:cs="Arial"/>
          <w:sz w:val="22"/>
          <w:szCs w:val="22"/>
        </w:rPr>
        <w:br/>
        <w:t xml:space="preserve">Additional imaging for dense breast tissue and populations at elevated risk: Research consistently indicates that thick breast tissue diminishes mammographic sensitivity, leading to increased interest in tomosynthesis, ultrasound, and MRI. MRI offers the most robust supplementary performance, especially in cases with highly thick breasts or among higher-risk populations (Bakker et al., 2019). </w:t>
      </w:r>
      <w:r w:rsidRPr="0001084E">
        <w:rPr>
          <w:rFonts w:ascii="Arial" w:hAnsi="Arial" w:cs="Arial"/>
          <w:sz w:val="22"/>
          <w:szCs w:val="22"/>
        </w:rPr>
        <w:br/>
        <w:t xml:space="preserve">Meta-analytic findings indicate that following negative mammography, MRI is the most effective additional test for women with thick breasts (Hussein et al., 2023). </w:t>
      </w:r>
      <w:r w:rsidRPr="0001084E">
        <w:rPr>
          <w:rFonts w:ascii="Arial" w:hAnsi="Arial" w:cs="Arial"/>
          <w:sz w:val="22"/>
          <w:szCs w:val="22"/>
        </w:rPr>
        <w:br/>
        <w:t xml:space="preserve">European guidelines similarly underscore the utilisation of MRI in specific dense-breast protocols (Mann et al., 2022). </w:t>
      </w:r>
      <w:r w:rsidRPr="0001084E">
        <w:rPr>
          <w:rFonts w:ascii="Arial" w:hAnsi="Arial" w:cs="Arial"/>
          <w:sz w:val="22"/>
          <w:szCs w:val="22"/>
        </w:rPr>
        <w:br/>
        <w:t xml:space="preserve">Personalised and risk-based screening: Risk status increasingly impacts screening recommendations. Women with pathogenic mutations, a significant family history, or a prior diagnosis of breast cancer may necessitate earlier or more rigorous screening, frequently incorporating MRI (NICE, 2013). </w:t>
      </w:r>
      <w:r w:rsidRPr="0001084E">
        <w:rPr>
          <w:rFonts w:ascii="Arial" w:hAnsi="Arial" w:cs="Arial"/>
          <w:sz w:val="22"/>
          <w:szCs w:val="22"/>
        </w:rPr>
        <w:br/>
        <w:t xml:space="preserve">The revised ACR recommendations advocate for earlier and more rigorous screening for women at elevated risk (Monticciolo et al., 2023). </w:t>
      </w:r>
      <w:r w:rsidRPr="0001084E">
        <w:rPr>
          <w:rFonts w:ascii="Arial" w:hAnsi="Arial" w:cs="Arial"/>
          <w:sz w:val="22"/>
          <w:szCs w:val="22"/>
        </w:rPr>
        <w:br/>
        <w:t xml:space="preserve">Emerging technologies and implementation challenges: Artificial intelligence and AI-assisted triage may alleviate burden and enhance interpretation; nonetheless, the research suggests a cautious adoption rather than an abrupt substitution of current reading protocols (Branco et al., 2024). </w:t>
      </w:r>
      <w:r w:rsidRPr="0001084E">
        <w:rPr>
          <w:rFonts w:ascii="Arial" w:hAnsi="Arial" w:cs="Arial"/>
          <w:sz w:val="22"/>
          <w:szCs w:val="22"/>
        </w:rPr>
        <w:br/>
        <w:t xml:space="preserve">Evaluations of triage systems indicate that significant workload reduction is achievable in some contexts, contingent upon robust validation and governance (Xavier et al., 2024). </w:t>
      </w:r>
      <w:r w:rsidRPr="0001084E">
        <w:rPr>
          <w:rFonts w:ascii="Arial" w:hAnsi="Arial" w:cs="Arial"/>
          <w:sz w:val="22"/>
          <w:szCs w:val="22"/>
        </w:rPr>
        <w:br/>
        <w:t>Participation constitutes a critical problem, since even efficacious technologies yield minimal impact when adoption is inadequate (NHS England, 2025).</w:t>
      </w:r>
    </w:p>
    <w:p w14:paraId="0F66FD22" w14:textId="77777777" w:rsidR="003818EF" w:rsidRPr="00DD07EB" w:rsidRDefault="003818EF" w:rsidP="00DD07EB">
      <w:pPr>
        <w:spacing w:line="360" w:lineRule="auto"/>
        <w:rPr>
          <w:rFonts w:ascii="Arial" w:hAnsi="Arial" w:cs="Arial"/>
          <w:sz w:val="22"/>
          <w:szCs w:val="22"/>
        </w:rPr>
      </w:pPr>
    </w:p>
    <w:p w14:paraId="7814BE90" w14:textId="77777777" w:rsidR="003818EF" w:rsidRPr="00DD07EB" w:rsidRDefault="003818EF" w:rsidP="00DD07EB">
      <w:pPr>
        <w:spacing w:line="360" w:lineRule="auto"/>
        <w:rPr>
          <w:rFonts w:ascii="Arial" w:hAnsi="Arial" w:cs="Arial"/>
          <w:sz w:val="22"/>
          <w:szCs w:val="22"/>
        </w:rPr>
      </w:pPr>
    </w:p>
    <w:p w14:paraId="746DFDBB" w14:textId="3431DD98" w:rsidR="003818EF" w:rsidRPr="00B21E36" w:rsidRDefault="003818EF" w:rsidP="00DD07EB">
      <w:pPr>
        <w:pStyle w:val="Heading2"/>
        <w:spacing w:line="360" w:lineRule="auto"/>
        <w:rPr>
          <w:rFonts w:ascii="Arial" w:hAnsi="Arial" w:cs="Arial"/>
          <w:b/>
          <w:bCs/>
          <w:sz w:val="28"/>
          <w:szCs w:val="28"/>
        </w:rPr>
      </w:pPr>
      <w:bookmarkStart w:id="17" w:name="_Toc223899521"/>
      <w:r w:rsidRPr="00B21E36">
        <w:rPr>
          <w:rFonts w:ascii="Arial" w:hAnsi="Arial" w:cs="Arial"/>
          <w:b/>
          <w:bCs/>
          <w:sz w:val="28"/>
          <w:szCs w:val="28"/>
        </w:rPr>
        <w:t>Discussion</w:t>
      </w:r>
      <w:bookmarkEnd w:id="17"/>
    </w:p>
    <w:p w14:paraId="2146FA16" w14:textId="77777777"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To what extent do early detection and screening programs effectively identify breast cancer at earlier stages in average-risk and higher-risk populations?</w:t>
      </w:r>
    </w:p>
    <w:p w14:paraId="7CCD8C14" w14:textId="77777777" w:rsidR="0001084E" w:rsidRPr="00DD07EB" w:rsidRDefault="0001084E" w:rsidP="00DD07EB">
      <w:pPr>
        <w:spacing w:line="360" w:lineRule="auto"/>
        <w:rPr>
          <w:rFonts w:ascii="Arial" w:hAnsi="Arial" w:cs="Arial"/>
          <w:sz w:val="22"/>
          <w:szCs w:val="22"/>
        </w:rPr>
      </w:pPr>
    </w:p>
    <w:p w14:paraId="1F051DEC" w14:textId="77777777" w:rsidR="003818EF" w:rsidRPr="00DD07EB" w:rsidRDefault="003818EF" w:rsidP="00DD07EB">
      <w:pPr>
        <w:spacing w:line="360" w:lineRule="auto"/>
        <w:rPr>
          <w:rFonts w:ascii="Arial" w:hAnsi="Arial" w:cs="Arial"/>
          <w:sz w:val="22"/>
          <w:szCs w:val="22"/>
        </w:rPr>
      </w:pPr>
    </w:p>
    <w:p w14:paraId="6515DD6A" w14:textId="1A127A47" w:rsidR="003818EF" w:rsidRPr="00B21E36" w:rsidRDefault="003818EF" w:rsidP="00DD07EB">
      <w:pPr>
        <w:pStyle w:val="Heading2"/>
        <w:spacing w:line="360" w:lineRule="auto"/>
        <w:rPr>
          <w:rFonts w:ascii="Arial" w:hAnsi="Arial" w:cs="Arial"/>
          <w:b/>
          <w:bCs/>
          <w:sz w:val="28"/>
          <w:szCs w:val="28"/>
        </w:rPr>
      </w:pPr>
      <w:bookmarkStart w:id="18" w:name="_Toc223899522"/>
      <w:r w:rsidRPr="00B21E36">
        <w:rPr>
          <w:rFonts w:ascii="Arial" w:hAnsi="Arial" w:cs="Arial"/>
          <w:b/>
          <w:bCs/>
          <w:sz w:val="28"/>
          <w:szCs w:val="28"/>
        </w:rPr>
        <w:lastRenderedPageBreak/>
        <w:t>Analysis of Results</w:t>
      </w:r>
      <w:bookmarkEnd w:id="18"/>
    </w:p>
    <w:p w14:paraId="3F9BC165" w14:textId="77777777" w:rsidR="003818EF" w:rsidRPr="00DD07EB" w:rsidRDefault="003818EF" w:rsidP="00DD07EB">
      <w:pPr>
        <w:spacing w:line="360" w:lineRule="auto"/>
        <w:rPr>
          <w:rFonts w:ascii="Arial" w:hAnsi="Arial" w:cs="Arial"/>
          <w:sz w:val="22"/>
          <w:szCs w:val="22"/>
        </w:rPr>
      </w:pPr>
    </w:p>
    <w:p w14:paraId="5EFB6CBE" w14:textId="06BA4B13" w:rsidR="0001084E" w:rsidRPr="0001084E" w:rsidRDefault="0001084E" w:rsidP="00DD07EB">
      <w:pPr>
        <w:spacing w:line="360" w:lineRule="auto"/>
        <w:rPr>
          <w:rFonts w:ascii="Arial" w:hAnsi="Arial" w:cs="Arial"/>
          <w:sz w:val="22"/>
          <w:szCs w:val="22"/>
        </w:rPr>
      </w:pPr>
      <w:r w:rsidRPr="0001084E">
        <w:rPr>
          <w:rFonts w:ascii="Arial" w:hAnsi="Arial" w:cs="Arial"/>
          <w:sz w:val="22"/>
          <w:szCs w:val="22"/>
        </w:rPr>
        <w:t xml:space="preserve">The review indicates that early breast cancer detection depends on a multifaceted approach rather than a singular universal test. Mammography continues to be the norm for average-risk groups due to its robust evidence foundation, excellent scalability, and established incorporation into organised programs (Nicholson et al., 2024). </w:t>
      </w:r>
      <w:r w:rsidRPr="0001084E">
        <w:rPr>
          <w:rFonts w:ascii="Arial" w:hAnsi="Arial" w:cs="Arial"/>
          <w:sz w:val="22"/>
          <w:szCs w:val="22"/>
        </w:rPr>
        <w:br/>
        <w:t xml:space="preserve">The evidence reports for the USPSTF arrive at a comparable conclusion regarding mammography as the foundation of population screening (Henderson et al., 2024). </w:t>
      </w:r>
      <w:r w:rsidRPr="0001084E">
        <w:rPr>
          <w:rFonts w:ascii="Arial" w:hAnsi="Arial" w:cs="Arial"/>
          <w:sz w:val="22"/>
          <w:szCs w:val="22"/>
        </w:rPr>
        <w:br/>
        <w:t xml:space="preserve">Despite variations among organisations regarding annual vs biennial intervals, there is widespread agreement that screening from midlife to older age decreases mortality compared to the absence of structured screening (Oeffinger et al., 2015). </w:t>
      </w:r>
      <w:r w:rsidRPr="0001084E">
        <w:rPr>
          <w:rFonts w:ascii="Arial" w:hAnsi="Arial" w:cs="Arial"/>
          <w:sz w:val="22"/>
          <w:szCs w:val="22"/>
        </w:rPr>
        <w:br/>
        <w:t xml:space="preserve">The ACR policy statement for average-risk women maintains that mammography is central to the screening strategy (Monticciolo et al., 2021). </w:t>
      </w:r>
      <w:r w:rsidRPr="0001084E">
        <w:rPr>
          <w:rFonts w:ascii="Arial" w:hAnsi="Arial" w:cs="Arial"/>
          <w:sz w:val="22"/>
          <w:szCs w:val="22"/>
        </w:rPr>
        <w:br/>
        <w:t xml:space="preserve">The literature indicates that a universal approach is becoming increasingly insufficient. Dense breast tissue diminishes mammography sensitivity, clarifying the increasing interest in supplementary imaging. Tomosynthesis seems to enhance cancer diagnosis and positive predictive value compared to digital mammography alone (Alabousi et al., 2021). </w:t>
      </w:r>
      <w:r w:rsidRPr="0001084E">
        <w:rPr>
          <w:rFonts w:ascii="Arial" w:hAnsi="Arial" w:cs="Arial"/>
          <w:sz w:val="22"/>
          <w:szCs w:val="22"/>
        </w:rPr>
        <w:br/>
        <w:t xml:space="preserve">Synthetic 2D mammography combined with tomosynthesis demonstrates comparable diagnostic accuracy to regular 2D mammography in review studies (Abdullah et al., 2021). Nonetheless, the most significant improvements in dense-breast contexts are linked to MRI. </w:t>
      </w:r>
      <w:r w:rsidRPr="0001084E">
        <w:rPr>
          <w:rFonts w:ascii="Arial" w:hAnsi="Arial" w:cs="Arial"/>
          <w:sz w:val="22"/>
          <w:szCs w:val="22"/>
        </w:rPr>
        <w:br/>
        <w:t xml:space="preserve">The DENSE trial identified a reduction in interval tumours with the use of supplemental MRI (Bakker et al., 2019). </w:t>
      </w:r>
      <w:r w:rsidRPr="0001084E">
        <w:rPr>
          <w:rFonts w:ascii="Arial" w:hAnsi="Arial" w:cs="Arial"/>
          <w:sz w:val="22"/>
          <w:szCs w:val="22"/>
        </w:rPr>
        <w:br/>
        <w:t xml:space="preserve">Subsequent meta-analyses identified MRI as the most effective supplementary modality following negative mammography in women with thick breasts (Hussein et al., 2023). </w:t>
      </w:r>
      <w:r w:rsidRPr="0001084E">
        <w:rPr>
          <w:rFonts w:ascii="Arial" w:hAnsi="Arial" w:cs="Arial"/>
          <w:sz w:val="22"/>
          <w:szCs w:val="22"/>
        </w:rPr>
        <w:br/>
        <w:t xml:space="preserve">The ECOG-ACRIN EA1141 experiment shown that shortened breast MRI identified a greater number of invasive tumours compared to digital breast tomosynthesis in patients with dense breast tissue (Comstock et al., 2020). </w:t>
      </w:r>
      <w:r w:rsidRPr="0001084E">
        <w:rPr>
          <w:rFonts w:ascii="Arial" w:hAnsi="Arial" w:cs="Arial"/>
          <w:sz w:val="22"/>
          <w:szCs w:val="22"/>
        </w:rPr>
        <w:br/>
        <w:t xml:space="preserve">Ultrasound occupies a more ambiguous position. Research indicates that incorporating ultrasonography with mammography can identify new malignancies, especially in dense breast tissue; nevertheless, this approach is associated with an increased incidence of false-positive results and subsequent evaluations (Glechner et al., 2023). Ultrasound is advantageous in specific contexts, particularly when MRI is inaccessible or inappropriate, but it is less effective as a universal supplementary measure. </w:t>
      </w:r>
      <w:r w:rsidRPr="0001084E">
        <w:rPr>
          <w:rFonts w:ascii="Arial" w:hAnsi="Arial" w:cs="Arial"/>
          <w:sz w:val="22"/>
          <w:szCs w:val="22"/>
        </w:rPr>
        <w:br/>
        <w:t xml:space="preserve">The trade-off between increased detection and potential effects is crucial to the ongoing discourse on dense-breast screening protocols (Isautier et al., 2024). </w:t>
      </w:r>
      <w:r w:rsidRPr="0001084E">
        <w:rPr>
          <w:rFonts w:ascii="Arial" w:hAnsi="Arial" w:cs="Arial"/>
          <w:sz w:val="22"/>
          <w:szCs w:val="22"/>
        </w:rPr>
        <w:br/>
        <w:t xml:space="preserve">High-risk screening strategies are more established. According to NICE, ACR, and European </w:t>
      </w:r>
      <w:r w:rsidRPr="0001084E">
        <w:rPr>
          <w:rFonts w:ascii="Arial" w:hAnsi="Arial" w:cs="Arial"/>
          <w:sz w:val="22"/>
          <w:szCs w:val="22"/>
        </w:rPr>
        <w:lastRenderedPageBreak/>
        <w:t xml:space="preserve">guidelines, women with significant familial or genetic risk are typically advised to commence earlier and undergo more rigorous surveillance, often incorporating MRI (NICE, 2013). </w:t>
      </w:r>
      <w:r w:rsidRPr="0001084E">
        <w:rPr>
          <w:rFonts w:ascii="Arial" w:hAnsi="Arial" w:cs="Arial"/>
          <w:sz w:val="22"/>
          <w:szCs w:val="22"/>
        </w:rPr>
        <w:br/>
        <w:t xml:space="preserve">The revised ACR high-risk recommendations bolster this strategy (Monticciolo et al., 2023). </w:t>
      </w:r>
      <w:r w:rsidRPr="0001084E">
        <w:rPr>
          <w:rFonts w:ascii="Arial" w:hAnsi="Arial" w:cs="Arial"/>
          <w:sz w:val="22"/>
          <w:szCs w:val="22"/>
        </w:rPr>
        <w:br/>
        <w:t xml:space="preserve">The European quality assurance update indicates a consistent trend for higher-risk paths (Riggi et al., 2024). The review's findings indicate that risk status significantly alters the suitable screening pathway. The policy difficulty lies not in the significance of risk, but in the consistent assessment of it and its translation into equal care. </w:t>
      </w:r>
      <w:r w:rsidRPr="0001084E">
        <w:rPr>
          <w:rFonts w:ascii="Arial" w:hAnsi="Arial" w:cs="Arial"/>
          <w:sz w:val="22"/>
          <w:szCs w:val="22"/>
        </w:rPr>
        <w:br/>
        <w:t xml:space="preserve">The research about customised screening is encouraging but not sufficiently developed to entirely supplant age-based programs. Comparative evaluations of guidelines indicate an increasing interest in risk-stratified models (Ren et al., 2022). </w:t>
      </w:r>
      <w:r w:rsidRPr="0001084E">
        <w:rPr>
          <w:rFonts w:ascii="Arial" w:hAnsi="Arial" w:cs="Arial"/>
          <w:sz w:val="22"/>
          <w:szCs w:val="22"/>
        </w:rPr>
        <w:br/>
        <w:t xml:space="preserve">Recent suggestion studies exhibit significant variance in the definition and operationalisation of risk (Katsika et al., 2024). This mismatch is significant because customised screening has the potential to enhance efficiency </w:t>
      </w:r>
      <w:r w:rsidR="003E35E6" w:rsidRPr="0001084E">
        <w:rPr>
          <w:rFonts w:ascii="Arial" w:hAnsi="Arial" w:cs="Arial"/>
          <w:sz w:val="22"/>
          <w:szCs w:val="22"/>
        </w:rPr>
        <w:t>theoretically yet</w:t>
      </w:r>
      <w:r w:rsidRPr="0001084E">
        <w:rPr>
          <w:rFonts w:ascii="Arial" w:hAnsi="Arial" w:cs="Arial"/>
          <w:sz w:val="22"/>
          <w:szCs w:val="22"/>
        </w:rPr>
        <w:t xml:space="preserve"> may result in misunderstanding or inequality in practice if communication and access are inadequate. </w:t>
      </w:r>
      <w:r w:rsidRPr="0001084E">
        <w:rPr>
          <w:rFonts w:ascii="Arial" w:hAnsi="Arial" w:cs="Arial"/>
          <w:sz w:val="22"/>
          <w:szCs w:val="22"/>
        </w:rPr>
        <w:br/>
        <w:t xml:space="preserve">Artificial intelligence constitutes an additional evolving layer. Systematic reviews indicate that AI can augment radiologists' capabilities and potentially enhance interpretation or alleviate workload, particularly in mammography analysis (Branco et al., 2024). Xavier et al. (2024) indicated that AI triage might significantly alleviate the workload of radiologists while preserving good sensitivity in specific trials. Nonetheless, the literature continues to underscore heterogeneity, restricted external validation, and the necessity for meticulous governance. Currently, AI appears to function more as an auxiliary method rather than a standalone replacement. </w:t>
      </w:r>
      <w:r w:rsidRPr="0001084E">
        <w:rPr>
          <w:rFonts w:ascii="Arial" w:hAnsi="Arial" w:cs="Arial"/>
          <w:sz w:val="22"/>
          <w:szCs w:val="22"/>
        </w:rPr>
        <w:br/>
        <w:t xml:space="preserve">In the United Kingdom, implementation poses a significant challenge in conjunction with the selection of technology. Official statistics indicate ongoing cancer detection via the NHS program; nonetheless, participation remains suboptimal, especially among first-time invitees and some marginalised groups (NHS England Digital, 2026). </w:t>
      </w:r>
      <w:r w:rsidRPr="0001084E">
        <w:rPr>
          <w:rFonts w:ascii="Arial" w:hAnsi="Arial" w:cs="Arial"/>
          <w:sz w:val="22"/>
          <w:szCs w:val="22"/>
        </w:rPr>
        <w:br/>
        <w:t xml:space="preserve">NHS England's marketing materials indicate that public awareness and attendance continue to be key service priorities (NHS England, 2025). The efficacy of screening is influenced by invitation systems, communication, ease, and trust, equally as by image quality. The screening policy must encompass both diagnostic efficacy and service availability. </w:t>
      </w:r>
      <w:r w:rsidRPr="0001084E">
        <w:rPr>
          <w:rFonts w:ascii="Arial" w:hAnsi="Arial" w:cs="Arial"/>
          <w:sz w:val="22"/>
          <w:szCs w:val="22"/>
        </w:rPr>
        <w:br/>
        <w:t xml:space="preserve">Numerous evidential gaps persist. There remains ambiguity over the optimal approach to screen women over 75 and how to tailor the cessation of screening (Nicholson et al., 2024). The dense-breast strategy remains unresolved, as MRI is the most effective option; nevertheless, implementing it on a nationwide scale would entail significant resource consequences. </w:t>
      </w:r>
      <w:r w:rsidRPr="0001084E">
        <w:rPr>
          <w:rFonts w:ascii="Arial" w:hAnsi="Arial" w:cs="Arial"/>
          <w:sz w:val="22"/>
          <w:szCs w:val="22"/>
        </w:rPr>
        <w:br/>
        <w:t xml:space="preserve">Third, the guidance on density management remains inconsistent across nations, complicating the transfer of policies between systems (Isautier et al., 2024). </w:t>
      </w:r>
      <w:r w:rsidRPr="0001084E">
        <w:rPr>
          <w:rFonts w:ascii="Arial" w:hAnsi="Arial" w:cs="Arial"/>
          <w:sz w:val="22"/>
          <w:szCs w:val="22"/>
        </w:rPr>
        <w:br/>
      </w:r>
      <w:r w:rsidRPr="0001084E">
        <w:rPr>
          <w:rFonts w:ascii="Arial" w:hAnsi="Arial" w:cs="Arial"/>
          <w:sz w:val="22"/>
          <w:szCs w:val="22"/>
        </w:rPr>
        <w:lastRenderedPageBreak/>
        <w:t>Ultimately, AI necessitates more robust real-world validation prior to the justification of its extensive independent application (Branco et al., 2024).</w:t>
      </w:r>
    </w:p>
    <w:p w14:paraId="0A5B7DFF" w14:textId="77777777" w:rsidR="003818EF" w:rsidRPr="00DD07EB" w:rsidRDefault="003818EF" w:rsidP="00DD07EB">
      <w:pPr>
        <w:spacing w:line="360" w:lineRule="auto"/>
        <w:rPr>
          <w:rFonts w:ascii="Arial" w:hAnsi="Arial" w:cs="Arial"/>
          <w:sz w:val="22"/>
          <w:szCs w:val="22"/>
        </w:rPr>
      </w:pPr>
    </w:p>
    <w:p w14:paraId="792B6B12" w14:textId="77777777" w:rsidR="003818EF" w:rsidRPr="00DD07EB" w:rsidRDefault="003818EF" w:rsidP="00DD07EB">
      <w:pPr>
        <w:spacing w:line="360" w:lineRule="auto"/>
        <w:rPr>
          <w:rFonts w:ascii="Arial" w:hAnsi="Arial" w:cs="Arial"/>
          <w:sz w:val="22"/>
          <w:szCs w:val="22"/>
        </w:rPr>
      </w:pPr>
    </w:p>
    <w:p w14:paraId="4BBDD403" w14:textId="77777777" w:rsidR="003818EF" w:rsidRPr="00B21E36" w:rsidRDefault="003818EF" w:rsidP="00DD07EB">
      <w:pPr>
        <w:pStyle w:val="Heading2"/>
        <w:spacing w:line="360" w:lineRule="auto"/>
        <w:rPr>
          <w:rFonts w:ascii="Arial" w:hAnsi="Arial" w:cs="Arial"/>
          <w:b/>
          <w:bCs/>
          <w:sz w:val="28"/>
          <w:szCs w:val="28"/>
        </w:rPr>
      </w:pPr>
      <w:bookmarkStart w:id="19" w:name="_Toc223899523"/>
      <w:r w:rsidRPr="00B21E36">
        <w:rPr>
          <w:rFonts w:ascii="Arial" w:hAnsi="Arial" w:cs="Arial"/>
          <w:b/>
          <w:bCs/>
          <w:sz w:val="28"/>
          <w:szCs w:val="28"/>
        </w:rPr>
        <w:t>Conclusion and Recommendations</w:t>
      </w:r>
      <w:bookmarkEnd w:id="19"/>
    </w:p>
    <w:p w14:paraId="349D0B27" w14:textId="12E6BCFA" w:rsidR="00DD07EB" w:rsidRPr="00B21E36" w:rsidRDefault="00DD07EB" w:rsidP="00DD07EB">
      <w:pPr>
        <w:pStyle w:val="Heading3"/>
        <w:spacing w:line="360" w:lineRule="auto"/>
        <w:rPr>
          <w:rFonts w:ascii="Arial" w:hAnsi="Arial" w:cs="Arial"/>
          <w:i/>
          <w:iCs/>
        </w:rPr>
      </w:pPr>
      <w:bookmarkStart w:id="20" w:name="_Toc223899524"/>
      <w:r w:rsidRPr="00B21E36">
        <w:rPr>
          <w:rFonts w:ascii="Arial" w:hAnsi="Arial" w:cs="Arial"/>
          <w:i/>
          <w:iCs/>
        </w:rPr>
        <w:t>Recommendations</w:t>
      </w:r>
      <w:bookmarkEnd w:id="20"/>
    </w:p>
    <w:p w14:paraId="393FDEB2" w14:textId="77777777" w:rsidR="00DD07EB" w:rsidRPr="00DD07EB" w:rsidRDefault="00DD07EB" w:rsidP="00DD07EB">
      <w:pPr>
        <w:spacing w:line="360" w:lineRule="auto"/>
        <w:rPr>
          <w:rFonts w:ascii="Arial" w:hAnsi="Arial" w:cs="Arial"/>
          <w:sz w:val="22"/>
          <w:szCs w:val="22"/>
        </w:rPr>
      </w:pPr>
    </w:p>
    <w:p w14:paraId="3FF5B256" w14:textId="595AA754" w:rsidR="00DD07EB" w:rsidRPr="00DD07EB" w:rsidRDefault="00DD07EB" w:rsidP="00DD07EB">
      <w:pPr>
        <w:spacing w:line="360" w:lineRule="auto"/>
        <w:rPr>
          <w:rFonts w:ascii="Arial" w:hAnsi="Arial" w:cs="Arial"/>
          <w:sz w:val="22"/>
          <w:szCs w:val="22"/>
        </w:rPr>
      </w:pPr>
      <w:r w:rsidRPr="00DD07EB">
        <w:rPr>
          <w:rFonts w:ascii="Arial" w:hAnsi="Arial" w:cs="Arial"/>
          <w:sz w:val="22"/>
          <w:szCs w:val="22"/>
        </w:rPr>
        <w:t xml:space="preserve">The principal recommendations for practice and policy </w:t>
      </w:r>
      <w:r w:rsidR="003E35E6" w:rsidRPr="00DD07EB">
        <w:rPr>
          <w:rFonts w:ascii="Arial" w:hAnsi="Arial" w:cs="Arial"/>
          <w:sz w:val="22"/>
          <w:szCs w:val="22"/>
        </w:rPr>
        <w:t>are</w:t>
      </w:r>
      <w:r w:rsidRPr="00DD07EB">
        <w:rPr>
          <w:rFonts w:ascii="Arial" w:hAnsi="Arial" w:cs="Arial"/>
          <w:sz w:val="22"/>
          <w:szCs w:val="22"/>
        </w:rPr>
        <w:t xml:space="preserve"> </w:t>
      </w:r>
      <w:r w:rsidR="003E35E6" w:rsidRPr="00DD07EB">
        <w:rPr>
          <w:rFonts w:ascii="Arial" w:hAnsi="Arial" w:cs="Arial"/>
          <w:sz w:val="22"/>
          <w:szCs w:val="22"/>
        </w:rPr>
        <w:t>sustaining</w:t>
      </w:r>
      <w:r w:rsidRPr="00DD07EB">
        <w:rPr>
          <w:rFonts w:ascii="Arial" w:hAnsi="Arial" w:cs="Arial"/>
          <w:sz w:val="22"/>
          <w:szCs w:val="22"/>
        </w:rPr>
        <w:t xml:space="preserve"> robust population mammography services; enhance participation through targeted communication and improved accessibility; broaden consistent risk assessment for familial and genetic predispositions; employ supplemental MRI selectively based on robust evidence; and implement AI exclusively within validated, quality-assured frameworks. In England, enhancing attendance is a pressing objective to optimise the advantages of early detection (NHS England, 2025). </w:t>
      </w:r>
      <w:r w:rsidRPr="00DD07EB">
        <w:rPr>
          <w:rFonts w:ascii="Arial" w:hAnsi="Arial" w:cs="Arial"/>
          <w:sz w:val="22"/>
          <w:szCs w:val="22"/>
        </w:rPr>
        <w:br/>
        <w:t xml:space="preserve">Timely triple assessment following aberrant screening is essential for maintaining programme quality (GOV.UK, 2026). </w:t>
      </w:r>
      <w:r w:rsidRPr="00DD07EB">
        <w:rPr>
          <w:rFonts w:ascii="Arial" w:hAnsi="Arial" w:cs="Arial"/>
          <w:sz w:val="22"/>
          <w:szCs w:val="22"/>
        </w:rPr>
        <w:br/>
        <w:t>Future investigations should concentrate on the long-term effects of supplementary MRI and tomosynthesis, the efficacy of dense-breast policies, practical risk-stratified screening models, and comprehensive external validation of artificial intelligence instruments. These are the mundane yet crucial factors that determine whether remarkable technology genuinely enhances public health rather than merely generating costly hope.</w:t>
      </w:r>
    </w:p>
    <w:p w14:paraId="135B2DA4" w14:textId="77777777" w:rsidR="00DD07EB" w:rsidRPr="00DD07EB" w:rsidRDefault="00DD07EB" w:rsidP="00DD07EB">
      <w:pPr>
        <w:spacing w:line="360" w:lineRule="auto"/>
        <w:rPr>
          <w:rFonts w:ascii="Arial" w:hAnsi="Arial" w:cs="Arial"/>
          <w:sz w:val="22"/>
          <w:szCs w:val="22"/>
        </w:rPr>
      </w:pPr>
    </w:p>
    <w:p w14:paraId="475C9A6E" w14:textId="4C7B4936" w:rsidR="003818EF" w:rsidRPr="00B21E36" w:rsidRDefault="003818EF" w:rsidP="00DD07EB">
      <w:pPr>
        <w:pStyle w:val="Heading3"/>
        <w:spacing w:line="360" w:lineRule="auto"/>
        <w:rPr>
          <w:rFonts w:ascii="Arial" w:hAnsi="Arial" w:cs="Arial"/>
          <w:i/>
          <w:iCs/>
        </w:rPr>
      </w:pPr>
      <w:bookmarkStart w:id="21" w:name="_Toc223899525"/>
      <w:r w:rsidRPr="00B21E36">
        <w:rPr>
          <w:rFonts w:ascii="Arial" w:hAnsi="Arial" w:cs="Arial"/>
          <w:i/>
          <w:iCs/>
        </w:rPr>
        <w:t>Conclusion</w:t>
      </w:r>
      <w:bookmarkEnd w:id="21"/>
    </w:p>
    <w:p w14:paraId="16A43301" w14:textId="77777777" w:rsidR="003818EF" w:rsidRPr="00DD07EB" w:rsidRDefault="003818EF" w:rsidP="00DD07EB">
      <w:pPr>
        <w:spacing w:line="360" w:lineRule="auto"/>
        <w:rPr>
          <w:rFonts w:ascii="Arial" w:hAnsi="Arial" w:cs="Arial"/>
          <w:sz w:val="22"/>
          <w:szCs w:val="22"/>
        </w:rPr>
      </w:pPr>
    </w:p>
    <w:p w14:paraId="4077A194" w14:textId="7D075B42" w:rsidR="00DD07EB" w:rsidRPr="00DD07EB" w:rsidRDefault="00DD07EB" w:rsidP="00DD07EB">
      <w:pPr>
        <w:spacing w:line="360" w:lineRule="auto"/>
        <w:rPr>
          <w:rFonts w:ascii="Arial" w:hAnsi="Arial" w:cs="Arial"/>
          <w:sz w:val="22"/>
          <w:szCs w:val="22"/>
        </w:rPr>
      </w:pPr>
      <w:r w:rsidRPr="00DD07EB">
        <w:rPr>
          <w:rFonts w:ascii="Arial" w:hAnsi="Arial" w:cs="Arial"/>
          <w:sz w:val="22"/>
          <w:szCs w:val="22"/>
        </w:rPr>
        <w:t xml:space="preserve">This scoping study demonstrates that early diagnosis of breast cancer relies on a structured mammography framework, augmented by enhanced or alternative approaches for women whose risk factors or breast density render conventional methods less successful. Mammography is the primary screening method for populations, however tomosynthesis enhances detection in mammographic processes (Alabousi et al., 2021). </w:t>
      </w:r>
      <w:r w:rsidRPr="00DD07EB">
        <w:rPr>
          <w:rFonts w:ascii="Arial" w:hAnsi="Arial" w:cs="Arial"/>
          <w:sz w:val="22"/>
          <w:szCs w:val="22"/>
        </w:rPr>
        <w:br/>
        <w:t xml:space="preserve">MRI provides the most significant supplementary advantage for specific dense-breast and high-risk populations (Bakker et al., 2019). </w:t>
      </w:r>
      <w:r w:rsidRPr="00DD07EB">
        <w:rPr>
          <w:rFonts w:ascii="Arial" w:hAnsi="Arial" w:cs="Arial"/>
          <w:sz w:val="22"/>
          <w:szCs w:val="22"/>
        </w:rPr>
        <w:br/>
        <w:t xml:space="preserve">Meta-analytic research following negative mammography corroborates the same conclusion </w:t>
      </w:r>
      <w:r w:rsidRPr="00DD07EB">
        <w:rPr>
          <w:rFonts w:ascii="Arial" w:hAnsi="Arial" w:cs="Arial"/>
          <w:sz w:val="22"/>
          <w:szCs w:val="22"/>
        </w:rPr>
        <w:lastRenderedPageBreak/>
        <w:t xml:space="preserve">(Hussein et al., 2023). </w:t>
      </w:r>
      <w:r w:rsidRPr="00DD07EB">
        <w:rPr>
          <w:rFonts w:ascii="Arial" w:hAnsi="Arial" w:cs="Arial"/>
          <w:sz w:val="22"/>
          <w:szCs w:val="22"/>
        </w:rPr>
        <w:br/>
        <w:t xml:space="preserve">Ultrasound possesses use in specific scenarios; </w:t>
      </w:r>
      <w:r w:rsidR="003E35E6" w:rsidRPr="00DD07EB">
        <w:rPr>
          <w:rFonts w:ascii="Arial" w:hAnsi="Arial" w:cs="Arial"/>
          <w:sz w:val="22"/>
          <w:szCs w:val="22"/>
        </w:rPr>
        <w:t>yet</w:t>
      </w:r>
      <w:r w:rsidRPr="00DD07EB">
        <w:rPr>
          <w:rFonts w:ascii="Arial" w:hAnsi="Arial" w:cs="Arial"/>
          <w:sz w:val="22"/>
          <w:szCs w:val="22"/>
        </w:rPr>
        <w:t xml:space="preserve"> it generates a higher incidence of false positives, rendering it less appealing as a universal strategy (Glechner et al., 2023). </w:t>
      </w:r>
      <w:r w:rsidRPr="00DD07EB">
        <w:rPr>
          <w:rFonts w:ascii="Arial" w:hAnsi="Arial" w:cs="Arial"/>
          <w:sz w:val="22"/>
          <w:szCs w:val="22"/>
        </w:rPr>
        <w:br/>
        <w:t xml:space="preserve">The analysis indicates that contemporary screening policies are progressing towards customisation. Women at elevated risk currently receive distinct surveillance recommendations in prominent guidelines, and risk-based screening is expected to broaden further (Ren et al., 2022). </w:t>
      </w:r>
      <w:r w:rsidRPr="00DD07EB">
        <w:rPr>
          <w:rFonts w:ascii="Arial" w:hAnsi="Arial" w:cs="Arial"/>
          <w:sz w:val="22"/>
          <w:szCs w:val="22"/>
        </w:rPr>
        <w:br/>
        <w:t xml:space="preserve">Nonetheless, this change must be prudent, evidence-based, and supported by transparent public communication, as discrepancies between rules might erode comprehension and </w:t>
      </w:r>
    </w:p>
    <w:p w14:paraId="689A7BFE" w14:textId="77777777" w:rsidR="003818EF" w:rsidRPr="00DD07EB" w:rsidRDefault="003818EF" w:rsidP="00DD07EB">
      <w:pPr>
        <w:spacing w:line="360" w:lineRule="auto"/>
        <w:rPr>
          <w:rFonts w:ascii="Arial" w:hAnsi="Arial" w:cs="Arial"/>
          <w:sz w:val="22"/>
          <w:szCs w:val="22"/>
        </w:rPr>
      </w:pPr>
    </w:p>
    <w:p w14:paraId="03EBFF95" w14:textId="77777777" w:rsidR="003818EF" w:rsidRPr="00DD07EB" w:rsidRDefault="003818EF" w:rsidP="00DD07EB">
      <w:pPr>
        <w:spacing w:line="360" w:lineRule="auto"/>
        <w:rPr>
          <w:rFonts w:ascii="Arial" w:hAnsi="Arial" w:cs="Arial"/>
          <w:sz w:val="22"/>
          <w:szCs w:val="22"/>
        </w:rPr>
      </w:pPr>
    </w:p>
    <w:p w14:paraId="4BEA9788" w14:textId="77777777" w:rsidR="00DD07EB" w:rsidRDefault="00DD07EB" w:rsidP="00DD07EB">
      <w:pPr>
        <w:spacing w:line="360" w:lineRule="auto"/>
        <w:rPr>
          <w:rFonts w:ascii="Arial" w:hAnsi="Arial" w:cs="Arial"/>
          <w:sz w:val="22"/>
          <w:szCs w:val="22"/>
        </w:rPr>
      </w:pPr>
    </w:p>
    <w:p w14:paraId="5238672A" w14:textId="77777777" w:rsidR="00B21E36" w:rsidRDefault="00B21E36" w:rsidP="00DD07EB">
      <w:pPr>
        <w:spacing w:line="360" w:lineRule="auto"/>
        <w:rPr>
          <w:rFonts w:ascii="Arial" w:hAnsi="Arial" w:cs="Arial"/>
          <w:sz w:val="22"/>
          <w:szCs w:val="22"/>
        </w:rPr>
      </w:pPr>
    </w:p>
    <w:p w14:paraId="56CDBE9C" w14:textId="77777777" w:rsidR="00B21E36" w:rsidRDefault="00B21E36" w:rsidP="00DD07EB">
      <w:pPr>
        <w:spacing w:line="360" w:lineRule="auto"/>
        <w:rPr>
          <w:rFonts w:ascii="Arial" w:hAnsi="Arial" w:cs="Arial"/>
          <w:sz w:val="22"/>
          <w:szCs w:val="22"/>
        </w:rPr>
      </w:pPr>
    </w:p>
    <w:p w14:paraId="2A53499F" w14:textId="77777777" w:rsidR="00B21E36" w:rsidRDefault="00B21E36" w:rsidP="00DD07EB">
      <w:pPr>
        <w:spacing w:line="360" w:lineRule="auto"/>
        <w:rPr>
          <w:rFonts w:ascii="Arial" w:hAnsi="Arial" w:cs="Arial"/>
          <w:sz w:val="22"/>
          <w:szCs w:val="22"/>
        </w:rPr>
      </w:pPr>
    </w:p>
    <w:p w14:paraId="14F8B774" w14:textId="77777777" w:rsidR="00B21E36" w:rsidRDefault="00B21E36" w:rsidP="00DD07EB">
      <w:pPr>
        <w:spacing w:line="360" w:lineRule="auto"/>
        <w:rPr>
          <w:rFonts w:ascii="Arial" w:hAnsi="Arial" w:cs="Arial"/>
          <w:sz w:val="22"/>
          <w:szCs w:val="22"/>
        </w:rPr>
      </w:pPr>
    </w:p>
    <w:p w14:paraId="0C000A29" w14:textId="77777777" w:rsidR="00B21E36" w:rsidRDefault="00B21E36" w:rsidP="00DD07EB">
      <w:pPr>
        <w:spacing w:line="360" w:lineRule="auto"/>
        <w:rPr>
          <w:rFonts w:ascii="Arial" w:hAnsi="Arial" w:cs="Arial"/>
          <w:sz w:val="22"/>
          <w:szCs w:val="22"/>
        </w:rPr>
      </w:pPr>
    </w:p>
    <w:p w14:paraId="25E36665" w14:textId="77777777" w:rsidR="00B21E36" w:rsidRDefault="00B21E36" w:rsidP="00DD07EB">
      <w:pPr>
        <w:spacing w:line="360" w:lineRule="auto"/>
        <w:rPr>
          <w:rFonts w:ascii="Arial" w:hAnsi="Arial" w:cs="Arial"/>
          <w:sz w:val="22"/>
          <w:szCs w:val="22"/>
        </w:rPr>
      </w:pPr>
    </w:p>
    <w:p w14:paraId="52A78D77" w14:textId="77777777" w:rsidR="00B21E36" w:rsidRDefault="00B21E36" w:rsidP="00DD07EB">
      <w:pPr>
        <w:spacing w:line="360" w:lineRule="auto"/>
        <w:rPr>
          <w:rFonts w:ascii="Arial" w:hAnsi="Arial" w:cs="Arial"/>
          <w:sz w:val="22"/>
          <w:szCs w:val="22"/>
        </w:rPr>
      </w:pPr>
    </w:p>
    <w:p w14:paraId="4DD317DA" w14:textId="77777777" w:rsidR="00B21E36" w:rsidRDefault="00B21E36" w:rsidP="00DD07EB">
      <w:pPr>
        <w:spacing w:line="360" w:lineRule="auto"/>
        <w:rPr>
          <w:rFonts w:ascii="Arial" w:hAnsi="Arial" w:cs="Arial"/>
          <w:sz w:val="22"/>
          <w:szCs w:val="22"/>
        </w:rPr>
      </w:pPr>
    </w:p>
    <w:p w14:paraId="5613AD2A" w14:textId="77777777" w:rsidR="00B21E36" w:rsidRDefault="00B21E36" w:rsidP="00DD07EB">
      <w:pPr>
        <w:spacing w:line="360" w:lineRule="auto"/>
        <w:rPr>
          <w:rFonts w:ascii="Arial" w:hAnsi="Arial" w:cs="Arial"/>
          <w:sz w:val="22"/>
          <w:szCs w:val="22"/>
        </w:rPr>
      </w:pPr>
    </w:p>
    <w:p w14:paraId="7B9FC95B" w14:textId="77777777" w:rsidR="00B21E36" w:rsidRDefault="00B21E36" w:rsidP="00DD07EB">
      <w:pPr>
        <w:spacing w:line="360" w:lineRule="auto"/>
        <w:rPr>
          <w:rFonts w:ascii="Arial" w:hAnsi="Arial" w:cs="Arial"/>
          <w:sz w:val="22"/>
          <w:szCs w:val="22"/>
        </w:rPr>
      </w:pPr>
    </w:p>
    <w:p w14:paraId="6870B142" w14:textId="77777777" w:rsidR="00B21E36" w:rsidRDefault="00B21E36" w:rsidP="00DD07EB">
      <w:pPr>
        <w:spacing w:line="360" w:lineRule="auto"/>
        <w:rPr>
          <w:rFonts w:ascii="Arial" w:hAnsi="Arial" w:cs="Arial"/>
          <w:sz w:val="22"/>
          <w:szCs w:val="22"/>
        </w:rPr>
      </w:pPr>
    </w:p>
    <w:p w14:paraId="17034A50" w14:textId="77777777" w:rsidR="00B21E36" w:rsidRPr="00DD07EB" w:rsidRDefault="00B21E36" w:rsidP="00DD07EB">
      <w:pPr>
        <w:spacing w:line="360" w:lineRule="auto"/>
        <w:rPr>
          <w:rFonts w:ascii="Arial" w:hAnsi="Arial" w:cs="Arial"/>
          <w:sz w:val="22"/>
          <w:szCs w:val="22"/>
        </w:rPr>
      </w:pPr>
    </w:p>
    <w:p w14:paraId="5BCCB297" w14:textId="77777777" w:rsidR="00DD07EB" w:rsidRPr="00DD07EB" w:rsidRDefault="00DD07EB" w:rsidP="00DD07EB">
      <w:pPr>
        <w:spacing w:line="360" w:lineRule="auto"/>
        <w:rPr>
          <w:rFonts w:ascii="Arial" w:hAnsi="Arial" w:cs="Arial"/>
          <w:sz w:val="22"/>
          <w:szCs w:val="22"/>
        </w:rPr>
      </w:pPr>
    </w:p>
    <w:p w14:paraId="3E81CFBC" w14:textId="77777777" w:rsidR="00DD07EB" w:rsidRPr="00DD07EB" w:rsidRDefault="00DD07EB" w:rsidP="00DD07EB">
      <w:pPr>
        <w:spacing w:line="360" w:lineRule="auto"/>
        <w:rPr>
          <w:rFonts w:ascii="Arial" w:hAnsi="Arial" w:cs="Arial"/>
          <w:sz w:val="22"/>
          <w:szCs w:val="22"/>
        </w:rPr>
      </w:pPr>
    </w:p>
    <w:p w14:paraId="67A207A8" w14:textId="77777777" w:rsidR="00DD07EB" w:rsidRPr="00DD07EB" w:rsidRDefault="00DD07EB" w:rsidP="00DD07EB">
      <w:pPr>
        <w:spacing w:line="360" w:lineRule="auto"/>
        <w:rPr>
          <w:rFonts w:ascii="Arial" w:hAnsi="Arial" w:cs="Arial"/>
          <w:sz w:val="22"/>
          <w:szCs w:val="22"/>
        </w:rPr>
      </w:pPr>
    </w:p>
    <w:p w14:paraId="3B3F04EE" w14:textId="1F8CB621" w:rsidR="003818EF" w:rsidRPr="00B21E36" w:rsidRDefault="003818EF" w:rsidP="00DD07EB">
      <w:pPr>
        <w:pStyle w:val="Heading2"/>
        <w:spacing w:line="360" w:lineRule="auto"/>
        <w:rPr>
          <w:rFonts w:ascii="Arial" w:hAnsi="Arial" w:cs="Arial"/>
          <w:b/>
          <w:bCs/>
          <w:sz w:val="28"/>
          <w:szCs w:val="28"/>
        </w:rPr>
      </w:pPr>
      <w:bookmarkStart w:id="22" w:name="_Toc223899526"/>
      <w:r w:rsidRPr="00B21E36">
        <w:rPr>
          <w:rFonts w:ascii="Arial" w:hAnsi="Arial" w:cs="Arial"/>
          <w:b/>
          <w:bCs/>
          <w:sz w:val="28"/>
          <w:szCs w:val="28"/>
        </w:rPr>
        <w:lastRenderedPageBreak/>
        <w:t>References</w:t>
      </w:r>
      <w:bookmarkEnd w:id="22"/>
    </w:p>
    <w:p w14:paraId="03FD99F4" w14:textId="146FAB0F" w:rsidR="003818EF" w:rsidRDefault="00B21E36" w:rsidP="00DD07EB">
      <w:pPr>
        <w:spacing w:line="360" w:lineRule="auto"/>
        <w:rPr>
          <w:rFonts w:ascii="Arial" w:hAnsi="Arial" w:cs="Arial"/>
          <w:sz w:val="22"/>
          <w:szCs w:val="22"/>
        </w:rPr>
      </w:pPr>
      <w:r w:rsidRPr="00B21E36">
        <w:rPr>
          <w:rFonts w:ascii="Arial" w:hAnsi="Arial" w:cs="Arial"/>
          <w:sz w:val="22"/>
          <w:szCs w:val="22"/>
        </w:rPr>
        <w:t>Abdullah, P., Alabousi, M., Ramadan, S., Zawawi, I., Zawawi, M., Bhogadi, Y., Freitas, V., Patlas, M.N. and Alabousi, A., 2021. Synthetic 2D mammography versus standard 2D digital mammography: a diagnostic test accuracy systematic review and meta-analysis. American Journal of Roentgenology, 217(2), pp.314-325.</w:t>
      </w:r>
    </w:p>
    <w:p w14:paraId="382911C6" w14:textId="77777777" w:rsidR="00B21E36" w:rsidRDefault="00B21E36" w:rsidP="00DD07EB">
      <w:pPr>
        <w:spacing w:line="360" w:lineRule="auto"/>
        <w:rPr>
          <w:rFonts w:ascii="Arial" w:hAnsi="Arial" w:cs="Arial"/>
          <w:sz w:val="22"/>
          <w:szCs w:val="22"/>
        </w:rPr>
      </w:pPr>
    </w:p>
    <w:p w14:paraId="5EFB65B5" w14:textId="3CE1E49D" w:rsidR="00B21E36" w:rsidRDefault="00B21E36" w:rsidP="00DD07EB">
      <w:pPr>
        <w:spacing w:line="360" w:lineRule="auto"/>
        <w:rPr>
          <w:rFonts w:ascii="Arial" w:hAnsi="Arial" w:cs="Arial"/>
          <w:sz w:val="22"/>
          <w:szCs w:val="22"/>
        </w:rPr>
      </w:pPr>
      <w:r w:rsidRPr="00B21E36">
        <w:rPr>
          <w:rFonts w:ascii="Arial" w:hAnsi="Arial" w:cs="Arial"/>
          <w:sz w:val="22"/>
          <w:szCs w:val="22"/>
        </w:rPr>
        <w:t>Alabousi, M., Wadera, A., Kashif Al-Ghita, M., Kashef Al-Ghetaa, R., Salameh, J.P., Pozdnyakov, A., Zha, N., Samoilov, L., Dehmoobad Sharifabadi, A., Sadeghirad, B. and Freitas, V., 2021. Performance of digital breast tomosynthesis, synthetic mammography, and digital mammography in breast cancer screening: a systematic review and meta-analysis. JNCI: Journal of the National Cancer Institute, 113(6), pp.680-690.</w:t>
      </w:r>
    </w:p>
    <w:p w14:paraId="0D71DA3F" w14:textId="77777777" w:rsidR="00B21E36" w:rsidRDefault="00B21E36" w:rsidP="00DD07EB">
      <w:pPr>
        <w:spacing w:line="360" w:lineRule="auto"/>
        <w:rPr>
          <w:rFonts w:ascii="Arial" w:hAnsi="Arial" w:cs="Arial"/>
          <w:sz w:val="22"/>
          <w:szCs w:val="22"/>
        </w:rPr>
      </w:pPr>
    </w:p>
    <w:p w14:paraId="7FDC480C" w14:textId="3F111B54" w:rsidR="00B21E36" w:rsidRDefault="00B21E36" w:rsidP="00DD07EB">
      <w:pPr>
        <w:spacing w:line="360" w:lineRule="auto"/>
        <w:rPr>
          <w:rFonts w:ascii="Arial" w:hAnsi="Arial" w:cs="Arial"/>
          <w:sz w:val="22"/>
          <w:szCs w:val="22"/>
        </w:rPr>
      </w:pPr>
      <w:r w:rsidRPr="00B21E36">
        <w:rPr>
          <w:rFonts w:ascii="Arial" w:hAnsi="Arial" w:cs="Arial"/>
          <w:sz w:val="22"/>
          <w:szCs w:val="22"/>
        </w:rPr>
        <w:t>Bakker, M.F., de Lange, S.V., Pijnappel, R.M., Mann, R.M., Peeters, P.H., Monninkhof, E.M., Emaus, M.J., Loo, C.E., Bisschops, R.H., Lobbes, M.B. and de Jong, M.D., 2019. Supplemental MRI screening for women with extremely dense breast tissue. New England Journal of Medicine, 381(22), pp.2091-2102.</w:t>
      </w:r>
    </w:p>
    <w:p w14:paraId="05804A49" w14:textId="40DA135B" w:rsidR="00B21E36" w:rsidRDefault="00B21E36" w:rsidP="00DD07EB">
      <w:pPr>
        <w:spacing w:line="360" w:lineRule="auto"/>
        <w:rPr>
          <w:rFonts w:ascii="Arial" w:hAnsi="Arial" w:cs="Arial"/>
          <w:sz w:val="22"/>
          <w:szCs w:val="22"/>
        </w:rPr>
      </w:pPr>
      <w:r w:rsidRPr="00B21E36">
        <w:rPr>
          <w:rFonts w:ascii="Arial" w:hAnsi="Arial" w:cs="Arial"/>
          <w:sz w:val="22"/>
          <w:szCs w:val="22"/>
        </w:rPr>
        <w:t>Branco, P.E.S.C., Franco, A.H.S., Oliveira, A.P.D., Carneiro, I.M.C., Carvalho, L.M.C.D., Souza, J.I.N.D., Leandro, D.R. and Cândido, E.B., 2024. Artificial intelligence in mammography: a systematic review of the external validation. Revista Brasileira de Ginecologia e Obstetrícia, 46, pp.e-rbgo71.</w:t>
      </w:r>
    </w:p>
    <w:p w14:paraId="7A20041A" w14:textId="77777777" w:rsidR="00B21E36" w:rsidRDefault="00B21E36" w:rsidP="00DD07EB">
      <w:pPr>
        <w:spacing w:line="360" w:lineRule="auto"/>
        <w:rPr>
          <w:rFonts w:ascii="Arial" w:hAnsi="Arial" w:cs="Arial"/>
          <w:sz w:val="22"/>
          <w:szCs w:val="22"/>
        </w:rPr>
      </w:pPr>
    </w:p>
    <w:p w14:paraId="75947915" w14:textId="15DFFDDC" w:rsidR="00B21E36" w:rsidRDefault="00B21E36" w:rsidP="00DD07EB">
      <w:pPr>
        <w:spacing w:line="360" w:lineRule="auto"/>
        <w:rPr>
          <w:rFonts w:ascii="Arial" w:hAnsi="Arial" w:cs="Arial"/>
          <w:sz w:val="22"/>
          <w:szCs w:val="22"/>
        </w:rPr>
      </w:pPr>
      <w:r w:rsidRPr="00B21E36">
        <w:rPr>
          <w:rFonts w:ascii="Arial" w:hAnsi="Arial" w:cs="Arial"/>
          <w:sz w:val="22"/>
          <w:szCs w:val="22"/>
        </w:rPr>
        <w:t>Comstock, C.E., Gatsonis, C., Newstead, G.M., Snyder, B.S., Gareen, I.F., Bergin, J.T., Rahbar, H., Sung, J.S., Jacobs, C., Harvey, J.A. and Nicholson, M.H., 2020. Comparison of abbreviated breast MRI vs digital breast tomosynthesis for breast cancer detection among women with dense breasts undergoing screening. Jama, 323(8), pp.746-756.</w:t>
      </w:r>
    </w:p>
    <w:p w14:paraId="12178392" w14:textId="77777777" w:rsidR="00B21E36" w:rsidRDefault="00B21E36" w:rsidP="00DD07EB">
      <w:pPr>
        <w:spacing w:line="360" w:lineRule="auto"/>
        <w:rPr>
          <w:rFonts w:ascii="Arial" w:hAnsi="Arial" w:cs="Arial"/>
          <w:sz w:val="22"/>
          <w:szCs w:val="22"/>
        </w:rPr>
      </w:pPr>
    </w:p>
    <w:p w14:paraId="32492577" w14:textId="67B3FCF4" w:rsidR="00B21E36" w:rsidRDefault="00B21E36" w:rsidP="00DD07EB">
      <w:pPr>
        <w:spacing w:line="360" w:lineRule="auto"/>
        <w:rPr>
          <w:rFonts w:ascii="Arial" w:hAnsi="Arial" w:cs="Arial"/>
          <w:sz w:val="22"/>
          <w:szCs w:val="22"/>
        </w:rPr>
      </w:pPr>
      <w:r w:rsidRPr="00B21E36">
        <w:rPr>
          <w:rFonts w:ascii="Arial" w:hAnsi="Arial" w:cs="Arial" w:hint="eastAsia"/>
          <w:sz w:val="22"/>
          <w:szCs w:val="22"/>
        </w:rPr>
        <w:t>Gartlehner, G., Thaler, K., Chapman, A., Kaminski</w:t>
      </w:r>
      <w:r w:rsidRPr="00B21E36">
        <w:rPr>
          <w:rFonts w:ascii="Arial" w:hAnsi="Arial" w:cs="Arial" w:hint="eastAsia"/>
          <w:sz w:val="22"/>
          <w:szCs w:val="22"/>
        </w:rPr>
        <w:t>‐</w:t>
      </w:r>
      <w:r w:rsidRPr="00B21E36">
        <w:rPr>
          <w:rFonts w:ascii="Arial" w:hAnsi="Arial" w:cs="Arial" w:hint="eastAsia"/>
          <w:sz w:val="22"/>
          <w:szCs w:val="22"/>
        </w:rPr>
        <w:t>Hartenthaler, A., Berzaczy, D., Van Noord, M.G. and Helbich, T.H., 2013. Mammography in combination with breast ultrasonography versus mammography for breast cancer screening in women at average risk. Cochr</w:t>
      </w:r>
      <w:r w:rsidRPr="00B21E36">
        <w:rPr>
          <w:rFonts w:ascii="Arial" w:hAnsi="Arial" w:cs="Arial"/>
          <w:sz w:val="22"/>
          <w:szCs w:val="22"/>
        </w:rPr>
        <w:t>ane Database of Systematic Reviews, (4).</w:t>
      </w:r>
    </w:p>
    <w:p w14:paraId="2FC7F2DC" w14:textId="77777777" w:rsidR="00436C06" w:rsidRDefault="00436C06" w:rsidP="00DD07EB">
      <w:pPr>
        <w:spacing w:line="360" w:lineRule="auto"/>
        <w:rPr>
          <w:rFonts w:ascii="Arial" w:hAnsi="Arial" w:cs="Arial"/>
          <w:sz w:val="22"/>
          <w:szCs w:val="22"/>
        </w:rPr>
      </w:pPr>
    </w:p>
    <w:p w14:paraId="263F3AEC" w14:textId="6635DDAF" w:rsidR="00B21E36" w:rsidRDefault="00436C06" w:rsidP="00DD07EB">
      <w:pPr>
        <w:spacing w:line="360" w:lineRule="auto"/>
        <w:rPr>
          <w:rFonts w:ascii="Arial" w:hAnsi="Arial" w:cs="Arial"/>
          <w:sz w:val="22"/>
          <w:szCs w:val="22"/>
        </w:rPr>
      </w:pPr>
      <w:r w:rsidRPr="00436C06">
        <w:rPr>
          <w:rFonts w:ascii="Arial" w:hAnsi="Arial" w:cs="Arial"/>
          <w:sz w:val="22"/>
          <w:szCs w:val="22"/>
        </w:rPr>
        <w:lastRenderedPageBreak/>
        <w:t xml:space="preserve">GOV.UK, </w:t>
      </w:r>
      <w:r>
        <w:rPr>
          <w:rFonts w:ascii="Arial" w:hAnsi="Arial" w:cs="Arial"/>
          <w:sz w:val="22"/>
          <w:szCs w:val="22"/>
        </w:rPr>
        <w:t>(</w:t>
      </w:r>
      <w:r w:rsidRPr="00436C06">
        <w:rPr>
          <w:rFonts w:ascii="Arial" w:hAnsi="Arial" w:cs="Arial"/>
          <w:sz w:val="22"/>
          <w:szCs w:val="22"/>
        </w:rPr>
        <w:t>2025</w:t>
      </w:r>
      <w:r>
        <w:rPr>
          <w:rFonts w:ascii="Arial" w:hAnsi="Arial" w:cs="Arial"/>
          <w:sz w:val="22"/>
          <w:szCs w:val="22"/>
        </w:rPr>
        <w:t>),</w:t>
      </w:r>
      <w:r w:rsidRPr="00436C06">
        <w:rPr>
          <w:rFonts w:ascii="Arial" w:hAnsi="Arial" w:cs="Arial"/>
          <w:sz w:val="22"/>
          <w:szCs w:val="22"/>
        </w:rPr>
        <w:t xml:space="preserve"> </w:t>
      </w:r>
      <w:r w:rsidRPr="00436C06">
        <w:rPr>
          <w:rFonts w:ascii="Arial" w:hAnsi="Arial" w:cs="Arial"/>
          <w:i/>
          <w:iCs/>
          <w:sz w:val="22"/>
          <w:szCs w:val="22"/>
        </w:rPr>
        <w:t>Breast screening: programme overview</w:t>
      </w:r>
      <w:r>
        <w:rPr>
          <w:rFonts w:ascii="Arial" w:hAnsi="Arial" w:cs="Arial"/>
          <w:sz w:val="22"/>
          <w:szCs w:val="22"/>
        </w:rPr>
        <w:t xml:space="preserve">, </w:t>
      </w:r>
      <w:r w:rsidRPr="00436C06">
        <w:rPr>
          <w:rFonts w:ascii="Arial" w:hAnsi="Arial" w:cs="Arial"/>
          <w:sz w:val="22"/>
          <w:szCs w:val="22"/>
        </w:rPr>
        <w:t>Available at:</w:t>
      </w:r>
      <w:r>
        <w:rPr>
          <w:rFonts w:ascii="Arial" w:hAnsi="Arial" w:cs="Arial"/>
          <w:sz w:val="22"/>
          <w:szCs w:val="22"/>
        </w:rPr>
        <w:t xml:space="preserve"> </w:t>
      </w:r>
      <w:hyperlink r:id="rId8" w:history="1">
        <w:r w:rsidRPr="00421938">
          <w:rPr>
            <w:rStyle w:val="Hyperlink"/>
            <w:rFonts w:ascii="Arial" w:hAnsi="Arial" w:cs="Arial"/>
            <w:sz w:val="22"/>
            <w:szCs w:val="22"/>
          </w:rPr>
          <w:t>https://www.gov.uk/guidance/breast-screening-programme-overview</w:t>
        </w:r>
      </w:hyperlink>
      <w:r>
        <w:rPr>
          <w:rFonts w:ascii="Arial" w:hAnsi="Arial" w:cs="Arial"/>
          <w:sz w:val="22"/>
          <w:szCs w:val="22"/>
        </w:rPr>
        <w:t xml:space="preserve"> (Accessed on 08 March 2026).</w:t>
      </w:r>
    </w:p>
    <w:p w14:paraId="1D4B31B7" w14:textId="00C1C2F7" w:rsidR="00436C06" w:rsidRDefault="00436C06" w:rsidP="00DD07EB">
      <w:pPr>
        <w:spacing w:line="360" w:lineRule="auto"/>
        <w:rPr>
          <w:rFonts w:ascii="Arial" w:hAnsi="Arial" w:cs="Arial"/>
          <w:sz w:val="22"/>
          <w:szCs w:val="22"/>
        </w:rPr>
      </w:pPr>
      <w:r w:rsidRPr="00436C06">
        <w:rPr>
          <w:rFonts w:ascii="Arial" w:hAnsi="Arial" w:cs="Arial"/>
          <w:sz w:val="22"/>
          <w:szCs w:val="22"/>
        </w:rPr>
        <w:t xml:space="preserve">GOV.UK, </w:t>
      </w:r>
      <w:r>
        <w:rPr>
          <w:rFonts w:ascii="Arial" w:hAnsi="Arial" w:cs="Arial"/>
          <w:sz w:val="22"/>
          <w:szCs w:val="22"/>
        </w:rPr>
        <w:t>(</w:t>
      </w:r>
      <w:r w:rsidRPr="00436C06">
        <w:rPr>
          <w:rFonts w:ascii="Arial" w:hAnsi="Arial" w:cs="Arial"/>
          <w:sz w:val="22"/>
          <w:szCs w:val="22"/>
        </w:rPr>
        <w:t>2026</w:t>
      </w:r>
      <w:r>
        <w:rPr>
          <w:rFonts w:ascii="Arial" w:hAnsi="Arial" w:cs="Arial"/>
          <w:sz w:val="22"/>
          <w:szCs w:val="22"/>
        </w:rPr>
        <w:t xml:space="preserve">), </w:t>
      </w:r>
      <w:r w:rsidRPr="00436C06">
        <w:rPr>
          <w:rFonts w:ascii="Arial" w:hAnsi="Arial" w:cs="Arial"/>
          <w:sz w:val="22"/>
          <w:szCs w:val="22"/>
        </w:rPr>
        <w:t>Clinical guidance for breast cancer screening assessment</w:t>
      </w:r>
      <w:r>
        <w:rPr>
          <w:rFonts w:ascii="Arial" w:hAnsi="Arial" w:cs="Arial"/>
          <w:sz w:val="22"/>
          <w:szCs w:val="22"/>
        </w:rPr>
        <w:t>,</w:t>
      </w:r>
      <w:r w:rsidRPr="00436C06">
        <w:t xml:space="preserve"> </w:t>
      </w:r>
      <w:r w:rsidRPr="00436C06">
        <w:rPr>
          <w:rFonts w:ascii="Arial" w:hAnsi="Arial" w:cs="Arial"/>
          <w:sz w:val="22"/>
          <w:szCs w:val="22"/>
        </w:rPr>
        <w:t xml:space="preserve">Available at: </w:t>
      </w:r>
      <w:r>
        <w:rPr>
          <w:rFonts w:ascii="Arial" w:hAnsi="Arial" w:cs="Arial"/>
          <w:sz w:val="22"/>
          <w:szCs w:val="22"/>
        </w:rPr>
        <w:t xml:space="preserve"> </w:t>
      </w:r>
    </w:p>
    <w:p w14:paraId="3293D1F3" w14:textId="70637D34" w:rsidR="00436C06" w:rsidRDefault="00436C06" w:rsidP="00DD07EB">
      <w:pPr>
        <w:spacing w:line="360" w:lineRule="auto"/>
        <w:rPr>
          <w:rFonts w:ascii="Arial" w:hAnsi="Arial" w:cs="Arial"/>
          <w:sz w:val="22"/>
          <w:szCs w:val="22"/>
        </w:rPr>
      </w:pPr>
      <w:hyperlink r:id="rId9" w:history="1">
        <w:r w:rsidRPr="00421938">
          <w:rPr>
            <w:rStyle w:val="Hyperlink"/>
            <w:rFonts w:ascii="Arial" w:hAnsi="Arial" w:cs="Arial"/>
            <w:sz w:val="22"/>
            <w:szCs w:val="22"/>
          </w:rPr>
          <w:t>https://www.gov.uk/government/publications/breast-screening-clinical-guidelines-for-screening-management/clinical-guidance-for-breast-cancer-screening-assessment</w:t>
        </w:r>
      </w:hyperlink>
      <w:r>
        <w:rPr>
          <w:rFonts w:ascii="Arial" w:hAnsi="Arial" w:cs="Arial"/>
          <w:sz w:val="22"/>
          <w:szCs w:val="22"/>
        </w:rPr>
        <w:t xml:space="preserve"> </w:t>
      </w:r>
      <w:r w:rsidRPr="00436C06">
        <w:rPr>
          <w:rFonts w:ascii="Arial" w:hAnsi="Arial" w:cs="Arial"/>
          <w:sz w:val="22"/>
          <w:szCs w:val="22"/>
        </w:rPr>
        <w:t>(Accessed on 08 March 2026).</w:t>
      </w:r>
    </w:p>
    <w:p w14:paraId="245D8F1D" w14:textId="77777777" w:rsidR="00436C06" w:rsidRDefault="00436C06" w:rsidP="00DD07EB">
      <w:pPr>
        <w:spacing w:line="360" w:lineRule="auto"/>
        <w:rPr>
          <w:rFonts w:ascii="Arial" w:hAnsi="Arial" w:cs="Arial"/>
          <w:sz w:val="22"/>
          <w:szCs w:val="22"/>
        </w:rPr>
      </w:pPr>
    </w:p>
    <w:p w14:paraId="1CB7FB90" w14:textId="4222B72D" w:rsidR="00B21E36" w:rsidRDefault="00CC5AF1" w:rsidP="00DD07EB">
      <w:pPr>
        <w:spacing w:line="360" w:lineRule="auto"/>
        <w:rPr>
          <w:rFonts w:ascii="Arial" w:hAnsi="Arial" w:cs="Arial"/>
          <w:sz w:val="22"/>
          <w:szCs w:val="22"/>
        </w:rPr>
      </w:pPr>
      <w:r w:rsidRPr="00CC5AF1">
        <w:rPr>
          <w:rFonts w:ascii="Arial" w:hAnsi="Arial" w:cs="Arial"/>
          <w:sz w:val="22"/>
          <w:szCs w:val="22"/>
        </w:rPr>
        <w:t>Henderson, J.T., Webber, E.M., Weyrich, M.S., Miller, M. and Melnikow, J., 2024. Screening for breast cancer: evidence report and systematic review for the US Preventive Services Task Force. Jama, 331(22), pp.1931-1946.</w:t>
      </w:r>
    </w:p>
    <w:p w14:paraId="61764FDC" w14:textId="77777777" w:rsidR="00CC5AF1" w:rsidRDefault="00CC5AF1" w:rsidP="00DD07EB">
      <w:pPr>
        <w:spacing w:line="360" w:lineRule="auto"/>
        <w:rPr>
          <w:rFonts w:ascii="Arial" w:hAnsi="Arial" w:cs="Arial"/>
          <w:sz w:val="22"/>
          <w:szCs w:val="22"/>
        </w:rPr>
      </w:pPr>
    </w:p>
    <w:p w14:paraId="1B504D5F" w14:textId="28D71042" w:rsidR="00CC5AF1" w:rsidRDefault="00CC5AF1" w:rsidP="00DD07EB">
      <w:pPr>
        <w:spacing w:line="360" w:lineRule="auto"/>
        <w:rPr>
          <w:rFonts w:ascii="Arial" w:hAnsi="Arial" w:cs="Arial"/>
          <w:sz w:val="22"/>
          <w:szCs w:val="22"/>
        </w:rPr>
      </w:pPr>
      <w:r w:rsidRPr="00CC5AF1">
        <w:rPr>
          <w:rFonts w:ascii="Arial" w:hAnsi="Arial" w:cs="Arial"/>
          <w:sz w:val="22"/>
          <w:szCs w:val="22"/>
        </w:rPr>
        <w:t>Hussein, H., Abbas, E., Keshavarzi, S., Fazelzad, R., Bukhanov, K., Kulkarni, S., Au, F., Ghai, S., Alabousi, A. and Freitas, V., 2023. Supplemental breast cancer screening in women with dense breasts and negative mammography: a systematic review and meta-analysis. Radiology, 306(3), p.e221785.</w:t>
      </w:r>
    </w:p>
    <w:p w14:paraId="17345E9D" w14:textId="77777777" w:rsidR="00CC5AF1" w:rsidRDefault="00CC5AF1" w:rsidP="00DD07EB">
      <w:pPr>
        <w:spacing w:line="360" w:lineRule="auto"/>
        <w:rPr>
          <w:rFonts w:ascii="Arial" w:hAnsi="Arial" w:cs="Arial"/>
          <w:sz w:val="22"/>
          <w:szCs w:val="22"/>
        </w:rPr>
      </w:pPr>
    </w:p>
    <w:p w14:paraId="5CCAE35A" w14:textId="3F01F69E" w:rsidR="00CC5AF1" w:rsidRDefault="00CC5AF1" w:rsidP="00DD07EB">
      <w:pPr>
        <w:spacing w:line="360" w:lineRule="auto"/>
        <w:rPr>
          <w:rFonts w:ascii="Arial" w:hAnsi="Arial" w:cs="Arial"/>
          <w:sz w:val="22"/>
          <w:szCs w:val="22"/>
        </w:rPr>
      </w:pPr>
      <w:r w:rsidRPr="00CC5AF1">
        <w:rPr>
          <w:rFonts w:ascii="Arial" w:hAnsi="Arial" w:cs="Arial"/>
          <w:sz w:val="22"/>
          <w:szCs w:val="22"/>
        </w:rPr>
        <w:t>Isautier, J.M.J., Houssami, N., Hadlow, C., Marinovich, M.L., Hope, S., Zackrisson, S., Brennan, M.E. and Nickel, B., 2024. Clinical guidelines for the management of mammographic density: a systematic review of breast screening guidelines worldwide. JNCI Cancer Spectrum, 8(6), p.pkae103.</w:t>
      </w:r>
    </w:p>
    <w:p w14:paraId="7EB8C18C" w14:textId="77777777" w:rsidR="00436C06" w:rsidRDefault="00436C06" w:rsidP="00DD07EB">
      <w:pPr>
        <w:spacing w:line="360" w:lineRule="auto"/>
        <w:rPr>
          <w:rFonts w:ascii="Arial" w:hAnsi="Arial" w:cs="Arial"/>
          <w:sz w:val="22"/>
          <w:szCs w:val="22"/>
        </w:rPr>
      </w:pPr>
    </w:p>
    <w:p w14:paraId="59537DE8" w14:textId="230BFA39" w:rsidR="00CC5AF1" w:rsidRDefault="00436C06" w:rsidP="00DD07EB">
      <w:pPr>
        <w:spacing w:line="360" w:lineRule="auto"/>
        <w:rPr>
          <w:rFonts w:ascii="Arial" w:hAnsi="Arial" w:cs="Arial"/>
          <w:sz w:val="22"/>
          <w:szCs w:val="22"/>
        </w:rPr>
      </w:pPr>
      <w:r w:rsidRPr="00436C06">
        <w:rPr>
          <w:rFonts w:ascii="Arial" w:hAnsi="Arial" w:cs="Arial"/>
          <w:sz w:val="22"/>
          <w:szCs w:val="22"/>
        </w:rPr>
        <w:t>Katsika, L., Boureka, E., Kalogiannidis, I., Tsakiridis, I., Tirodimos, I., Lallas, K., Tsimtsiou, Z. and Dagklis, T., 2024. Screening for breast cancer: a comparative review of guidelines. Life, 14(6), p.777.</w:t>
      </w:r>
    </w:p>
    <w:p w14:paraId="66D6E851" w14:textId="77777777" w:rsidR="00436C06" w:rsidRDefault="00436C06" w:rsidP="00DD07EB">
      <w:pPr>
        <w:spacing w:line="360" w:lineRule="auto"/>
        <w:rPr>
          <w:rFonts w:ascii="Arial" w:hAnsi="Arial" w:cs="Arial"/>
          <w:sz w:val="22"/>
          <w:szCs w:val="22"/>
        </w:rPr>
      </w:pPr>
    </w:p>
    <w:p w14:paraId="18F7FBC9" w14:textId="6F631172" w:rsidR="00CC5AF1" w:rsidRDefault="00CC5AF1" w:rsidP="00DD07EB">
      <w:pPr>
        <w:spacing w:line="360" w:lineRule="auto"/>
        <w:rPr>
          <w:rFonts w:ascii="Arial" w:hAnsi="Arial" w:cs="Arial"/>
          <w:sz w:val="22"/>
          <w:szCs w:val="22"/>
        </w:rPr>
      </w:pPr>
      <w:r w:rsidRPr="00CC5AF1">
        <w:rPr>
          <w:rFonts w:ascii="Arial" w:hAnsi="Arial" w:cs="Arial"/>
          <w:sz w:val="22"/>
          <w:szCs w:val="22"/>
        </w:rPr>
        <w:t>Mann, R.M., Athanasiou, A., Baltzer, P.A., Camps-Herrero, J., Clauser, P., Fallenberg, E.M., Forrai, G., Fuchsjäger, M.H., Helbich, T.H., Killburn-Toppin, F. and Lesaru, M., 2022. Breast cancer screening in women with extremely dense breasts recommendations of the European Society of Breast Imaging (EUSOBI). European radiology, 32(6), pp.4036-4045.</w:t>
      </w:r>
    </w:p>
    <w:p w14:paraId="2EBA104B" w14:textId="77777777" w:rsidR="00CC5AF1" w:rsidRDefault="00CC5AF1" w:rsidP="00DD07EB">
      <w:pPr>
        <w:spacing w:line="360" w:lineRule="auto"/>
        <w:rPr>
          <w:rFonts w:ascii="Arial" w:hAnsi="Arial" w:cs="Arial"/>
          <w:sz w:val="22"/>
          <w:szCs w:val="22"/>
        </w:rPr>
      </w:pPr>
    </w:p>
    <w:p w14:paraId="034F321C" w14:textId="6E2A0A8C" w:rsidR="00CC5AF1" w:rsidRDefault="00CC5AF1" w:rsidP="00DD07EB">
      <w:pPr>
        <w:spacing w:line="360" w:lineRule="auto"/>
        <w:rPr>
          <w:rFonts w:ascii="Arial" w:hAnsi="Arial" w:cs="Arial"/>
          <w:sz w:val="22"/>
          <w:szCs w:val="22"/>
        </w:rPr>
      </w:pPr>
      <w:r w:rsidRPr="00CC5AF1">
        <w:rPr>
          <w:rFonts w:ascii="Arial" w:hAnsi="Arial" w:cs="Arial"/>
          <w:sz w:val="22"/>
          <w:szCs w:val="22"/>
        </w:rPr>
        <w:lastRenderedPageBreak/>
        <w:t>Monticciolo, D.L., Malak, S.F., Friedewald, S.M., Eby, P.R., Newell, M.S., Moy, L., Destounis, S., Leung, J.W., Hendrick, R.E. and Smetherman, D., 2021. Breast cancer screening recommendations inclusive of all women at average risk: update from the ACR and Society of Breast Imaging. Journal of the American College of Radiology, 18(9), pp.1280-1288.</w:t>
      </w:r>
    </w:p>
    <w:p w14:paraId="7B3EF7E8" w14:textId="77777777" w:rsidR="00CC5AF1" w:rsidRDefault="00CC5AF1" w:rsidP="00DD07EB">
      <w:pPr>
        <w:spacing w:line="360" w:lineRule="auto"/>
        <w:rPr>
          <w:rFonts w:ascii="Arial" w:hAnsi="Arial" w:cs="Arial"/>
          <w:sz w:val="22"/>
          <w:szCs w:val="22"/>
        </w:rPr>
      </w:pPr>
    </w:p>
    <w:p w14:paraId="1D34202C" w14:textId="53790463" w:rsidR="00CC5AF1" w:rsidRDefault="00CC5AF1" w:rsidP="00DD07EB">
      <w:pPr>
        <w:spacing w:line="360" w:lineRule="auto"/>
        <w:rPr>
          <w:rFonts w:ascii="Arial" w:hAnsi="Arial" w:cs="Arial"/>
          <w:sz w:val="22"/>
          <w:szCs w:val="22"/>
        </w:rPr>
      </w:pPr>
      <w:r w:rsidRPr="00CC5AF1">
        <w:rPr>
          <w:rFonts w:ascii="Arial" w:hAnsi="Arial" w:cs="Arial"/>
          <w:sz w:val="22"/>
          <w:szCs w:val="22"/>
        </w:rPr>
        <w:t>Monticciolo, D.L., Newell, M.S., Moy, L., Lee, C.S. and Destounis, S.V., 2023. Breast cancer screening for women at higher-than-average risk: updated recommendations from the ACR. Journal of the American College of Radiology, 20(9), pp.902-914.</w:t>
      </w:r>
    </w:p>
    <w:p w14:paraId="19AB8BC3" w14:textId="2EE8A4D0" w:rsidR="00E117AA" w:rsidRDefault="00E117AA" w:rsidP="00DD07EB">
      <w:pPr>
        <w:spacing w:line="360" w:lineRule="auto"/>
        <w:rPr>
          <w:rFonts w:ascii="Arial" w:hAnsi="Arial" w:cs="Arial"/>
          <w:sz w:val="22"/>
          <w:szCs w:val="22"/>
        </w:rPr>
      </w:pPr>
      <w:r w:rsidRPr="00E117AA">
        <w:rPr>
          <w:rFonts w:ascii="Arial" w:hAnsi="Arial" w:cs="Arial"/>
          <w:sz w:val="22"/>
          <w:szCs w:val="22"/>
        </w:rPr>
        <w:t xml:space="preserve">NHS, </w:t>
      </w:r>
      <w:r>
        <w:rPr>
          <w:rFonts w:ascii="Arial" w:hAnsi="Arial" w:cs="Arial"/>
          <w:sz w:val="22"/>
          <w:szCs w:val="22"/>
        </w:rPr>
        <w:t>(</w:t>
      </w:r>
      <w:r w:rsidRPr="00E117AA">
        <w:rPr>
          <w:rFonts w:ascii="Arial" w:hAnsi="Arial" w:cs="Arial"/>
          <w:sz w:val="22"/>
          <w:szCs w:val="22"/>
        </w:rPr>
        <w:t>2025</w:t>
      </w:r>
      <w:r>
        <w:rPr>
          <w:rFonts w:ascii="Arial" w:hAnsi="Arial" w:cs="Arial"/>
          <w:sz w:val="22"/>
          <w:szCs w:val="22"/>
        </w:rPr>
        <w:t>),</w:t>
      </w:r>
      <w:r w:rsidRPr="00E117AA">
        <w:rPr>
          <w:rFonts w:ascii="Arial" w:hAnsi="Arial" w:cs="Arial"/>
          <w:sz w:val="22"/>
          <w:szCs w:val="22"/>
        </w:rPr>
        <w:t xml:space="preserve"> </w:t>
      </w:r>
      <w:r w:rsidRPr="00E117AA">
        <w:rPr>
          <w:rFonts w:ascii="Arial" w:hAnsi="Arial" w:cs="Arial"/>
          <w:i/>
          <w:iCs/>
          <w:sz w:val="22"/>
          <w:szCs w:val="22"/>
        </w:rPr>
        <w:t>Who breast screening is for</w:t>
      </w:r>
      <w:r>
        <w:rPr>
          <w:rFonts w:ascii="Arial" w:hAnsi="Arial" w:cs="Arial"/>
          <w:sz w:val="22"/>
          <w:szCs w:val="22"/>
        </w:rPr>
        <w:t>,</w:t>
      </w:r>
      <w:r w:rsidRPr="00E117AA">
        <w:rPr>
          <w:rFonts w:ascii="Arial" w:hAnsi="Arial" w:cs="Arial"/>
          <w:sz w:val="22"/>
          <w:szCs w:val="22"/>
        </w:rPr>
        <w:t xml:space="preserve"> Available at: </w:t>
      </w:r>
    </w:p>
    <w:p w14:paraId="70CFE91D" w14:textId="01D12BDF" w:rsidR="00CC5AF1" w:rsidRDefault="00E117AA" w:rsidP="00DD07EB">
      <w:pPr>
        <w:spacing w:line="360" w:lineRule="auto"/>
        <w:rPr>
          <w:rFonts w:ascii="Arial" w:hAnsi="Arial" w:cs="Arial"/>
          <w:sz w:val="22"/>
          <w:szCs w:val="22"/>
        </w:rPr>
      </w:pPr>
      <w:hyperlink r:id="rId10" w:history="1">
        <w:r w:rsidRPr="00421938">
          <w:rPr>
            <w:rStyle w:val="Hyperlink"/>
            <w:rFonts w:ascii="Arial" w:hAnsi="Arial" w:cs="Arial"/>
            <w:sz w:val="22"/>
            <w:szCs w:val="22"/>
          </w:rPr>
          <w:t>https://www.nhs.uk/tests-and-treatments/breast-screening-mammogram/who-breast-screening-is-for/</w:t>
        </w:r>
      </w:hyperlink>
      <w:r>
        <w:rPr>
          <w:rFonts w:ascii="Arial" w:hAnsi="Arial" w:cs="Arial"/>
          <w:sz w:val="22"/>
          <w:szCs w:val="22"/>
        </w:rPr>
        <w:t xml:space="preserve"> </w:t>
      </w:r>
      <w:r w:rsidRPr="00E117AA">
        <w:rPr>
          <w:rFonts w:ascii="Arial" w:hAnsi="Arial" w:cs="Arial"/>
          <w:sz w:val="22"/>
          <w:szCs w:val="22"/>
        </w:rPr>
        <w:t>(Accessed 8 March 2026).</w:t>
      </w:r>
    </w:p>
    <w:p w14:paraId="38064D6E" w14:textId="45C215F5" w:rsidR="00E117AA" w:rsidRDefault="00E117AA" w:rsidP="00DD07EB">
      <w:pPr>
        <w:spacing w:line="360" w:lineRule="auto"/>
        <w:rPr>
          <w:rFonts w:ascii="Arial" w:hAnsi="Arial" w:cs="Arial"/>
          <w:sz w:val="22"/>
          <w:szCs w:val="22"/>
        </w:rPr>
      </w:pPr>
      <w:r w:rsidRPr="00E117AA">
        <w:rPr>
          <w:rFonts w:ascii="Arial" w:hAnsi="Arial" w:cs="Arial"/>
          <w:sz w:val="22"/>
          <w:szCs w:val="22"/>
        </w:rPr>
        <w:t xml:space="preserve">NHS England, </w:t>
      </w:r>
      <w:r>
        <w:rPr>
          <w:rFonts w:ascii="Arial" w:hAnsi="Arial" w:cs="Arial"/>
          <w:sz w:val="22"/>
          <w:szCs w:val="22"/>
        </w:rPr>
        <w:t>(</w:t>
      </w:r>
      <w:r w:rsidRPr="00E117AA">
        <w:rPr>
          <w:rFonts w:ascii="Arial" w:hAnsi="Arial" w:cs="Arial"/>
          <w:sz w:val="22"/>
          <w:szCs w:val="22"/>
        </w:rPr>
        <w:t>2025</w:t>
      </w:r>
      <w:r>
        <w:rPr>
          <w:rFonts w:ascii="Arial" w:hAnsi="Arial" w:cs="Arial"/>
          <w:sz w:val="22"/>
          <w:szCs w:val="22"/>
        </w:rPr>
        <w:t>),</w:t>
      </w:r>
      <w:r w:rsidRPr="00E117AA">
        <w:rPr>
          <w:rFonts w:ascii="Arial" w:hAnsi="Arial" w:cs="Arial"/>
          <w:sz w:val="22"/>
          <w:szCs w:val="22"/>
        </w:rPr>
        <w:t xml:space="preserve"> </w:t>
      </w:r>
      <w:r w:rsidRPr="00E117AA">
        <w:rPr>
          <w:rFonts w:ascii="Arial" w:hAnsi="Arial" w:cs="Arial"/>
          <w:i/>
          <w:iCs/>
          <w:sz w:val="22"/>
          <w:szCs w:val="22"/>
        </w:rPr>
        <w:t>NHS launches first-ever breast screening campaign to help detect thousands of cancers earlier</w:t>
      </w:r>
      <w:r>
        <w:rPr>
          <w:rFonts w:ascii="Arial" w:hAnsi="Arial" w:cs="Arial"/>
          <w:sz w:val="22"/>
          <w:szCs w:val="22"/>
        </w:rPr>
        <w:t xml:space="preserve">, Available At: </w:t>
      </w:r>
      <w:hyperlink r:id="rId11" w:history="1">
        <w:r w:rsidRPr="00421938">
          <w:rPr>
            <w:rStyle w:val="Hyperlink"/>
            <w:rFonts w:ascii="Arial" w:hAnsi="Arial" w:cs="Arial"/>
            <w:sz w:val="22"/>
            <w:szCs w:val="22"/>
          </w:rPr>
          <w:t>https://www.england.nhs.uk/2025/02/nhs-launches-first-ever-breast-screening-campaign-to-help-detect-thousands-of-cancers-earlier/</w:t>
        </w:r>
      </w:hyperlink>
      <w:r>
        <w:rPr>
          <w:rFonts w:ascii="Arial" w:hAnsi="Arial" w:cs="Arial"/>
          <w:sz w:val="22"/>
          <w:szCs w:val="22"/>
        </w:rPr>
        <w:t xml:space="preserve"> </w:t>
      </w:r>
      <w:r w:rsidRPr="00E117AA">
        <w:rPr>
          <w:rFonts w:ascii="Arial" w:hAnsi="Arial" w:cs="Arial"/>
          <w:sz w:val="22"/>
          <w:szCs w:val="22"/>
        </w:rPr>
        <w:t>(Accessed 8 March 2026).</w:t>
      </w:r>
    </w:p>
    <w:p w14:paraId="389371CC" w14:textId="6B88FE02" w:rsidR="00E117AA" w:rsidRDefault="00E117AA" w:rsidP="00DD07EB">
      <w:pPr>
        <w:spacing w:line="360" w:lineRule="auto"/>
        <w:rPr>
          <w:rFonts w:ascii="Arial" w:hAnsi="Arial" w:cs="Arial"/>
          <w:sz w:val="22"/>
          <w:szCs w:val="22"/>
        </w:rPr>
      </w:pPr>
      <w:r w:rsidRPr="00E117AA">
        <w:rPr>
          <w:rFonts w:ascii="Arial" w:hAnsi="Arial" w:cs="Arial"/>
          <w:sz w:val="22"/>
          <w:szCs w:val="22"/>
        </w:rPr>
        <w:t xml:space="preserve">NHS England Digital, </w:t>
      </w:r>
      <w:r>
        <w:rPr>
          <w:rFonts w:ascii="Arial" w:hAnsi="Arial" w:cs="Arial"/>
          <w:sz w:val="22"/>
          <w:szCs w:val="22"/>
        </w:rPr>
        <w:t>(</w:t>
      </w:r>
      <w:r w:rsidRPr="00E117AA">
        <w:rPr>
          <w:rFonts w:ascii="Arial" w:hAnsi="Arial" w:cs="Arial"/>
          <w:sz w:val="22"/>
          <w:szCs w:val="22"/>
        </w:rPr>
        <w:t>2026</w:t>
      </w:r>
      <w:r>
        <w:rPr>
          <w:rFonts w:ascii="Arial" w:hAnsi="Arial" w:cs="Arial"/>
          <w:sz w:val="22"/>
          <w:szCs w:val="22"/>
        </w:rPr>
        <w:t>),</w:t>
      </w:r>
      <w:r w:rsidRPr="00E117AA">
        <w:rPr>
          <w:rFonts w:ascii="Arial" w:hAnsi="Arial" w:cs="Arial"/>
          <w:sz w:val="22"/>
          <w:szCs w:val="22"/>
        </w:rPr>
        <w:t xml:space="preserve"> </w:t>
      </w:r>
      <w:r w:rsidRPr="00E117AA">
        <w:rPr>
          <w:rFonts w:ascii="Arial" w:hAnsi="Arial" w:cs="Arial"/>
          <w:i/>
          <w:iCs/>
          <w:sz w:val="22"/>
          <w:szCs w:val="22"/>
        </w:rPr>
        <w:t>Breast Screening Programme, England, 2024-25,</w:t>
      </w:r>
      <w:r>
        <w:rPr>
          <w:rFonts w:ascii="Arial" w:hAnsi="Arial" w:cs="Arial"/>
          <w:sz w:val="22"/>
          <w:szCs w:val="22"/>
        </w:rPr>
        <w:t xml:space="preserve"> </w:t>
      </w:r>
      <w:r w:rsidRPr="00E117AA">
        <w:rPr>
          <w:rFonts w:ascii="Arial" w:hAnsi="Arial" w:cs="Arial"/>
          <w:sz w:val="22"/>
          <w:szCs w:val="22"/>
        </w:rPr>
        <w:t>Available At:</w:t>
      </w:r>
      <w:r>
        <w:rPr>
          <w:rFonts w:ascii="Arial" w:hAnsi="Arial" w:cs="Arial"/>
          <w:sz w:val="22"/>
          <w:szCs w:val="22"/>
        </w:rPr>
        <w:t xml:space="preserve"> </w:t>
      </w:r>
      <w:hyperlink r:id="rId12" w:history="1">
        <w:r w:rsidRPr="00421938">
          <w:rPr>
            <w:rStyle w:val="Hyperlink"/>
            <w:rFonts w:ascii="Arial" w:hAnsi="Arial" w:cs="Arial"/>
            <w:sz w:val="22"/>
            <w:szCs w:val="22"/>
          </w:rPr>
          <w:t>https://digital.nhs.uk/data-and-information/publications/statistical/breast-screening-programme/england-2024-2025</w:t>
        </w:r>
      </w:hyperlink>
      <w:r>
        <w:rPr>
          <w:rFonts w:ascii="Arial" w:hAnsi="Arial" w:cs="Arial"/>
          <w:sz w:val="22"/>
          <w:szCs w:val="22"/>
        </w:rPr>
        <w:t xml:space="preserve"> </w:t>
      </w:r>
      <w:r w:rsidRPr="00E117AA">
        <w:rPr>
          <w:rFonts w:ascii="Arial" w:hAnsi="Arial" w:cs="Arial"/>
          <w:sz w:val="22"/>
          <w:szCs w:val="22"/>
        </w:rPr>
        <w:t>(Accessed 8 March 2026).</w:t>
      </w:r>
    </w:p>
    <w:p w14:paraId="79716817" w14:textId="77777777" w:rsidR="00E117AA" w:rsidRDefault="00E117AA" w:rsidP="00DD07EB">
      <w:pPr>
        <w:spacing w:line="360" w:lineRule="auto"/>
        <w:rPr>
          <w:rFonts w:ascii="Arial" w:hAnsi="Arial" w:cs="Arial"/>
          <w:sz w:val="22"/>
          <w:szCs w:val="22"/>
        </w:rPr>
      </w:pPr>
    </w:p>
    <w:p w14:paraId="7C2F8A39" w14:textId="33CFF42B" w:rsidR="00E117AA" w:rsidRDefault="00E117AA" w:rsidP="00DD07EB">
      <w:pPr>
        <w:spacing w:line="360" w:lineRule="auto"/>
        <w:rPr>
          <w:rFonts w:ascii="Arial" w:hAnsi="Arial" w:cs="Arial"/>
          <w:sz w:val="22"/>
          <w:szCs w:val="22"/>
        </w:rPr>
      </w:pPr>
      <w:r>
        <w:rPr>
          <w:rFonts w:ascii="Arial" w:hAnsi="Arial" w:cs="Arial"/>
          <w:sz w:val="22"/>
          <w:szCs w:val="22"/>
        </w:rPr>
        <w:t xml:space="preserve">NICE, (2013), </w:t>
      </w:r>
      <w:r w:rsidRPr="00E117AA">
        <w:rPr>
          <w:rFonts w:ascii="Arial" w:hAnsi="Arial" w:cs="Arial"/>
          <w:i/>
          <w:iCs/>
          <w:sz w:val="22"/>
          <w:szCs w:val="22"/>
        </w:rPr>
        <w:t>Familial breast cancer: classification, care and managing breast cancer and related risks in people with a family history of breast cancer</w:t>
      </w:r>
      <w:r>
        <w:rPr>
          <w:rFonts w:ascii="Arial" w:hAnsi="Arial" w:cs="Arial"/>
          <w:sz w:val="22"/>
          <w:szCs w:val="22"/>
        </w:rPr>
        <w:t xml:space="preserve">, </w:t>
      </w:r>
      <w:r w:rsidRPr="00E117AA">
        <w:rPr>
          <w:rFonts w:ascii="Arial" w:hAnsi="Arial" w:cs="Arial"/>
          <w:sz w:val="22"/>
          <w:szCs w:val="22"/>
        </w:rPr>
        <w:t>Available At:</w:t>
      </w:r>
      <w:r>
        <w:rPr>
          <w:rFonts w:ascii="Arial" w:hAnsi="Arial" w:cs="Arial"/>
          <w:sz w:val="22"/>
          <w:szCs w:val="22"/>
        </w:rPr>
        <w:t xml:space="preserve"> </w:t>
      </w:r>
      <w:hyperlink r:id="rId13" w:history="1">
        <w:r w:rsidRPr="00421938">
          <w:rPr>
            <w:rStyle w:val="Hyperlink"/>
            <w:rFonts w:ascii="Arial" w:hAnsi="Arial" w:cs="Arial"/>
            <w:sz w:val="22"/>
            <w:szCs w:val="22"/>
          </w:rPr>
          <w:t>https://www.nice.org.uk/guidance/cg164</w:t>
        </w:r>
      </w:hyperlink>
      <w:r>
        <w:rPr>
          <w:rFonts w:ascii="Arial" w:hAnsi="Arial" w:cs="Arial"/>
          <w:sz w:val="22"/>
          <w:szCs w:val="22"/>
        </w:rPr>
        <w:t xml:space="preserve"> </w:t>
      </w:r>
      <w:r w:rsidRPr="00E117AA">
        <w:rPr>
          <w:rFonts w:ascii="Arial" w:hAnsi="Arial" w:cs="Arial"/>
          <w:sz w:val="22"/>
          <w:szCs w:val="22"/>
        </w:rPr>
        <w:t>(Accessed 8 March 2026).</w:t>
      </w:r>
    </w:p>
    <w:p w14:paraId="08E96A8F" w14:textId="77777777" w:rsidR="00E117AA" w:rsidRDefault="00E117AA" w:rsidP="00DD07EB">
      <w:pPr>
        <w:spacing w:line="360" w:lineRule="auto"/>
        <w:rPr>
          <w:rFonts w:ascii="Arial" w:hAnsi="Arial" w:cs="Arial"/>
          <w:sz w:val="22"/>
          <w:szCs w:val="22"/>
        </w:rPr>
      </w:pPr>
    </w:p>
    <w:p w14:paraId="733F982F" w14:textId="27463B14" w:rsidR="00436C06" w:rsidRDefault="00436C06" w:rsidP="00DD07EB">
      <w:pPr>
        <w:spacing w:line="360" w:lineRule="auto"/>
        <w:rPr>
          <w:rFonts w:ascii="Arial" w:hAnsi="Arial" w:cs="Arial"/>
          <w:sz w:val="22"/>
          <w:szCs w:val="22"/>
        </w:rPr>
      </w:pPr>
      <w:r w:rsidRPr="00436C06">
        <w:rPr>
          <w:rFonts w:ascii="Arial" w:hAnsi="Arial" w:cs="Arial"/>
          <w:sz w:val="22"/>
          <w:szCs w:val="22"/>
        </w:rPr>
        <w:t>US Preventive Services Task Force, Nicholson, W.K., Silverstein, M., Wong, J.B., Barry, M.J., Chelmow, D., Coker, T.R., Davis, E.M., Jaén, C.R., Krousel-Wood, M. and Lee, S., 2024. Screening for breast cancer: US Preventive Services Task Force recommendation statement. Jama, 331(22), pp.1918-1930.</w:t>
      </w:r>
    </w:p>
    <w:p w14:paraId="6B507E45" w14:textId="54D533AB" w:rsidR="00CC5AF1" w:rsidRDefault="00CC5AF1" w:rsidP="00DD07EB">
      <w:pPr>
        <w:spacing w:line="360" w:lineRule="auto"/>
        <w:rPr>
          <w:rFonts w:ascii="Arial" w:hAnsi="Arial" w:cs="Arial"/>
          <w:sz w:val="22"/>
          <w:szCs w:val="22"/>
        </w:rPr>
      </w:pPr>
      <w:r w:rsidRPr="00CC5AF1">
        <w:rPr>
          <w:rFonts w:ascii="Arial" w:hAnsi="Arial" w:cs="Arial"/>
          <w:sz w:val="22"/>
          <w:szCs w:val="22"/>
        </w:rPr>
        <w:t>Oeffinger, K.C., Fontham, E.T., Etzioni, R., Herzig, A., Michaelson, J.S., Shih, Y.C.T., Walter, L.C., Church, T.R., Flowers, C.R., LaMonte, S.J. and Wolf, A.M., 2015. Breast cancer screening for women at average risk: 2015 guideline update from the American Cancer Society. Jama, 314(15), pp.1599-1614.</w:t>
      </w:r>
    </w:p>
    <w:p w14:paraId="2F263541" w14:textId="218BA221" w:rsidR="00CC5AF1" w:rsidRDefault="00CC5AF1" w:rsidP="00DD07EB">
      <w:pPr>
        <w:spacing w:line="360" w:lineRule="auto"/>
        <w:rPr>
          <w:rFonts w:ascii="Arial" w:hAnsi="Arial" w:cs="Arial"/>
          <w:sz w:val="22"/>
          <w:szCs w:val="22"/>
        </w:rPr>
      </w:pPr>
      <w:r w:rsidRPr="00CC5AF1">
        <w:rPr>
          <w:rFonts w:ascii="Arial" w:hAnsi="Arial" w:cs="Arial"/>
          <w:sz w:val="22"/>
          <w:szCs w:val="22"/>
        </w:rPr>
        <w:lastRenderedPageBreak/>
        <w:t>Ren, W., Chen, M., Qiao, Y. and Zhao, F., 2022. Global guidelines for breast cancer screening: a systematic review. The Breast, 64, pp.85-99.</w:t>
      </w:r>
    </w:p>
    <w:p w14:paraId="79E0CDB1" w14:textId="77777777" w:rsidR="00CC5AF1" w:rsidRDefault="00CC5AF1" w:rsidP="00DD07EB">
      <w:pPr>
        <w:spacing w:line="360" w:lineRule="auto"/>
        <w:rPr>
          <w:rFonts w:ascii="Arial" w:hAnsi="Arial" w:cs="Arial"/>
          <w:sz w:val="22"/>
          <w:szCs w:val="22"/>
        </w:rPr>
      </w:pPr>
    </w:p>
    <w:p w14:paraId="5F43D039" w14:textId="66888BFB" w:rsidR="00CC5AF1" w:rsidRDefault="00CC5AF1" w:rsidP="00DD07EB">
      <w:pPr>
        <w:spacing w:line="360" w:lineRule="auto"/>
        <w:rPr>
          <w:rFonts w:ascii="Arial" w:hAnsi="Arial" w:cs="Arial"/>
          <w:sz w:val="22"/>
          <w:szCs w:val="22"/>
        </w:rPr>
      </w:pPr>
      <w:r w:rsidRPr="00CC5AF1">
        <w:rPr>
          <w:rFonts w:ascii="Arial" w:hAnsi="Arial" w:cs="Arial"/>
          <w:sz w:val="22"/>
          <w:szCs w:val="22"/>
        </w:rPr>
        <w:t>Riggi, E., Morgano, G.P., Parmelli, E., Baldacchino, S., Escribano, M.G., O’Grady, T., Stănică, L. and Janusch-Roi, A., 2024. 2023–2024 Update of the European breast cancer guidelines on screening and diagnosis. European Journal of Cancer, 200.</w:t>
      </w:r>
    </w:p>
    <w:p w14:paraId="0DC70049" w14:textId="77777777" w:rsidR="00CC5AF1" w:rsidRDefault="00CC5AF1" w:rsidP="00DD07EB">
      <w:pPr>
        <w:spacing w:line="360" w:lineRule="auto"/>
        <w:rPr>
          <w:rFonts w:ascii="Arial" w:hAnsi="Arial" w:cs="Arial"/>
          <w:sz w:val="22"/>
          <w:szCs w:val="22"/>
        </w:rPr>
      </w:pPr>
    </w:p>
    <w:p w14:paraId="2CA61628" w14:textId="37163FD9" w:rsidR="00917946" w:rsidRDefault="00917946" w:rsidP="00DD07EB">
      <w:pPr>
        <w:spacing w:line="360" w:lineRule="auto"/>
        <w:rPr>
          <w:rFonts w:ascii="Arial" w:hAnsi="Arial" w:cs="Arial"/>
          <w:sz w:val="22"/>
          <w:szCs w:val="22"/>
        </w:rPr>
      </w:pPr>
      <w:r w:rsidRPr="00917946">
        <w:rPr>
          <w:rFonts w:ascii="Arial" w:hAnsi="Arial" w:cs="Arial"/>
          <w:sz w:val="22"/>
          <w:szCs w:val="22"/>
        </w:rPr>
        <w:t xml:space="preserve">WHO, </w:t>
      </w:r>
      <w:r>
        <w:rPr>
          <w:rFonts w:ascii="Arial" w:hAnsi="Arial" w:cs="Arial"/>
          <w:sz w:val="22"/>
          <w:szCs w:val="22"/>
        </w:rPr>
        <w:t>(</w:t>
      </w:r>
      <w:r w:rsidRPr="00917946">
        <w:rPr>
          <w:rFonts w:ascii="Arial" w:hAnsi="Arial" w:cs="Arial"/>
          <w:sz w:val="22"/>
          <w:szCs w:val="22"/>
        </w:rPr>
        <w:t>2025</w:t>
      </w:r>
      <w:r>
        <w:rPr>
          <w:rFonts w:ascii="Arial" w:hAnsi="Arial" w:cs="Arial"/>
          <w:sz w:val="22"/>
          <w:szCs w:val="22"/>
        </w:rPr>
        <w:t>),</w:t>
      </w:r>
      <w:r w:rsidRPr="00917946">
        <w:rPr>
          <w:rFonts w:ascii="Arial" w:hAnsi="Arial" w:cs="Arial"/>
          <w:sz w:val="22"/>
          <w:szCs w:val="22"/>
        </w:rPr>
        <w:t xml:space="preserve"> </w:t>
      </w:r>
      <w:r w:rsidRPr="00917946">
        <w:rPr>
          <w:rFonts w:ascii="Arial" w:hAnsi="Arial" w:cs="Arial"/>
          <w:i/>
          <w:iCs/>
          <w:sz w:val="22"/>
          <w:szCs w:val="22"/>
        </w:rPr>
        <w:t>Breast cancer</w:t>
      </w:r>
      <w:r>
        <w:rPr>
          <w:rFonts w:ascii="Arial" w:hAnsi="Arial" w:cs="Arial"/>
          <w:sz w:val="22"/>
          <w:szCs w:val="22"/>
        </w:rPr>
        <w:t>,</w:t>
      </w:r>
      <w:r w:rsidRPr="00917946">
        <w:rPr>
          <w:rFonts w:ascii="Arial" w:hAnsi="Arial" w:cs="Arial"/>
          <w:sz w:val="22"/>
          <w:szCs w:val="22"/>
        </w:rPr>
        <w:t xml:space="preserve"> Available at: </w:t>
      </w:r>
      <w:hyperlink r:id="rId14" w:history="1">
        <w:r w:rsidRPr="00421938">
          <w:rPr>
            <w:rStyle w:val="Hyperlink"/>
            <w:rFonts w:ascii="Arial" w:hAnsi="Arial" w:cs="Arial"/>
            <w:sz w:val="22"/>
            <w:szCs w:val="22"/>
          </w:rPr>
          <w:t>https://www.who.int/news-room/fact-sheets/detail/breast-cancer</w:t>
        </w:r>
      </w:hyperlink>
      <w:r>
        <w:rPr>
          <w:rFonts w:ascii="Arial" w:hAnsi="Arial" w:cs="Arial"/>
          <w:sz w:val="22"/>
          <w:szCs w:val="22"/>
        </w:rPr>
        <w:t xml:space="preserve"> ( Accessed on 08 Mar 2026).</w:t>
      </w:r>
    </w:p>
    <w:p w14:paraId="65F1C53F" w14:textId="77777777" w:rsidR="00917946" w:rsidRDefault="00917946" w:rsidP="00DD07EB">
      <w:pPr>
        <w:spacing w:line="360" w:lineRule="auto"/>
        <w:rPr>
          <w:rFonts w:ascii="Arial" w:hAnsi="Arial" w:cs="Arial"/>
          <w:sz w:val="22"/>
          <w:szCs w:val="22"/>
        </w:rPr>
      </w:pPr>
    </w:p>
    <w:p w14:paraId="3309217E" w14:textId="18DF6047" w:rsidR="00CC5AF1" w:rsidRPr="00DD07EB" w:rsidRDefault="00CC5AF1" w:rsidP="00DD07EB">
      <w:pPr>
        <w:spacing w:line="360" w:lineRule="auto"/>
        <w:rPr>
          <w:rFonts w:ascii="Arial" w:hAnsi="Arial" w:cs="Arial"/>
          <w:sz w:val="22"/>
          <w:szCs w:val="22"/>
        </w:rPr>
      </w:pPr>
      <w:r w:rsidRPr="00CC5AF1">
        <w:rPr>
          <w:rFonts w:ascii="Arial" w:hAnsi="Arial" w:cs="Arial"/>
          <w:sz w:val="22"/>
          <w:szCs w:val="22"/>
        </w:rPr>
        <w:t>Xavier, D., Miyawaki, I., Campello Jorge, C.A., Freitas Silva, G.B., Lloyd, M., Moraes, F., Patel, B. and Batalini, F., 2024. Artificial intelligence for triaging of breast cancer screening mammograms and workload reduction: A meta-analysis of a deep learning software. Journal of medical screening, 31(3), pp.157-165.</w:t>
      </w:r>
    </w:p>
    <w:sectPr w:rsidR="00CC5AF1" w:rsidRPr="00DD07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3174B" w14:textId="77777777" w:rsidR="00916F27" w:rsidRDefault="00916F27" w:rsidP="003E35E6">
      <w:pPr>
        <w:spacing w:after="0" w:line="240" w:lineRule="auto"/>
      </w:pPr>
      <w:r>
        <w:separator/>
      </w:r>
    </w:p>
  </w:endnote>
  <w:endnote w:type="continuationSeparator" w:id="0">
    <w:p w14:paraId="3928D897" w14:textId="77777777" w:rsidR="00916F27" w:rsidRDefault="00916F27" w:rsidP="003E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A8BA8" w14:textId="77777777" w:rsidR="00916F27" w:rsidRDefault="00916F27" w:rsidP="003E35E6">
      <w:pPr>
        <w:spacing w:after="0" w:line="240" w:lineRule="auto"/>
      </w:pPr>
      <w:r>
        <w:separator/>
      </w:r>
    </w:p>
  </w:footnote>
  <w:footnote w:type="continuationSeparator" w:id="0">
    <w:p w14:paraId="55BBDB47" w14:textId="77777777" w:rsidR="00916F27" w:rsidRDefault="00916F27" w:rsidP="003E35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8EF"/>
    <w:rsid w:val="0001084E"/>
    <w:rsid w:val="00340FEC"/>
    <w:rsid w:val="003818EF"/>
    <w:rsid w:val="003E35E6"/>
    <w:rsid w:val="00436C06"/>
    <w:rsid w:val="004E6543"/>
    <w:rsid w:val="005E43C9"/>
    <w:rsid w:val="00763238"/>
    <w:rsid w:val="00916F27"/>
    <w:rsid w:val="00917946"/>
    <w:rsid w:val="00B21E36"/>
    <w:rsid w:val="00C0501D"/>
    <w:rsid w:val="00C51680"/>
    <w:rsid w:val="00CC5AF1"/>
    <w:rsid w:val="00DD07EB"/>
    <w:rsid w:val="00E117AA"/>
    <w:rsid w:val="00E202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F164F"/>
  <w15:chartTrackingRefBased/>
  <w15:docId w15:val="{7A0B1F31-3936-4FD1-9388-E04F5240B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1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1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1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1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1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1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1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1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1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1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1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1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1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1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1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18EF"/>
    <w:rPr>
      <w:rFonts w:eastAsiaTheme="majorEastAsia" w:cstheme="majorBidi"/>
      <w:color w:val="272727" w:themeColor="text1" w:themeTint="D8"/>
    </w:rPr>
  </w:style>
  <w:style w:type="paragraph" w:styleId="Title">
    <w:name w:val="Title"/>
    <w:basedOn w:val="Normal"/>
    <w:next w:val="Normal"/>
    <w:link w:val="TitleChar"/>
    <w:uiPriority w:val="10"/>
    <w:qFormat/>
    <w:rsid w:val="00381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1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18EF"/>
    <w:pPr>
      <w:spacing w:before="160"/>
      <w:jc w:val="center"/>
    </w:pPr>
    <w:rPr>
      <w:i/>
      <w:iCs/>
      <w:color w:val="404040" w:themeColor="text1" w:themeTint="BF"/>
    </w:rPr>
  </w:style>
  <w:style w:type="character" w:customStyle="1" w:styleId="QuoteChar">
    <w:name w:val="Quote Char"/>
    <w:basedOn w:val="DefaultParagraphFont"/>
    <w:link w:val="Quote"/>
    <w:uiPriority w:val="29"/>
    <w:rsid w:val="003818EF"/>
    <w:rPr>
      <w:i/>
      <w:iCs/>
      <w:color w:val="404040" w:themeColor="text1" w:themeTint="BF"/>
    </w:rPr>
  </w:style>
  <w:style w:type="paragraph" w:styleId="ListParagraph">
    <w:name w:val="List Paragraph"/>
    <w:basedOn w:val="Normal"/>
    <w:uiPriority w:val="34"/>
    <w:qFormat/>
    <w:rsid w:val="003818EF"/>
    <w:pPr>
      <w:ind w:left="720"/>
      <w:contextualSpacing/>
    </w:pPr>
  </w:style>
  <w:style w:type="character" w:styleId="IntenseEmphasis">
    <w:name w:val="Intense Emphasis"/>
    <w:basedOn w:val="DefaultParagraphFont"/>
    <w:uiPriority w:val="21"/>
    <w:qFormat/>
    <w:rsid w:val="003818EF"/>
    <w:rPr>
      <w:i/>
      <w:iCs/>
      <w:color w:val="0F4761" w:themeColor="accent1" w:themeShade="BF"/>
    </w:rPr>
  </w:style>
  <w:style w:type="paragraph" w:styleId="IntenseQuote">
    <w:name w:val="Intense Quote"/>
    <w:basedOn w:val="Normal"/>
    <w:next w:val="Normal"/>
    <w:link w:val="IntenseQuoteChar"/>
    <w:uiPriority w:val="30"/>
    <w:qFormat/>
    <w:rsid w:val="00381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8EF"/>
    <w:rPr>
      <w:i/>
      <w:iCs/>
      <w:color w:val="0F4761" w:themeColor="accent1" w:themeShade="BF"/>
    </w:rPr>
  </w:style>
  <w:style w:type="character" w:styleId="IntenseReference">
    <w:name w:val="Intense Reference"/>
    <w:basedOn w:val="DefaultParagraphFont"/>
    <w:uiPriority w:val="32"/>
    <w:qFormat/>
    <w:rsid w:val="003818EF"/>
    <w:rPr>
      <w:b/>
      <w:bCs/>
      <w:smallCaps/>
      <w:color w:val="0F4761" w:themeColor="accent1" w:themeShade="BF"/>
      <w:spacing w:val="5"/>
    </w:rPr>
  </w:style>
  <w:style w:type="table" w:styleId="TableGrid">
    <w:name w:val="Table Grid"/>
    <w:basedOn w:val="TableNormal"/>
    <w:uiPriority w:val="39"/>
    <w:rsid w:val="00010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D07EB"/>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DD07EB"/>
    <w:pPr>
      <w:spacing w:after="100"/>
      <w:ind w:left="240"/>
    </w:pPr>
  </w:style>
  <w:style w:type="paragraph" w:styleId="TOC3">
    <w:name w:val="toc 3"/>
    <w:basedOn w:val="Normal"/>
    <w:next w:val="Normal"/>
    <w:autoRedefine/>
    <w:uiPriority w:val="39"/>
    <w:unhideWhenUsed/>
    <w:rsid w:val="00DD07EB"/>
    <w:pPr>
      <w:spacing w:after="100"/>
      <w:ind w:left="480"/>
    </w:pPr>
  </w:style>
  <w:style w:type="character" w:styleId="Hyperlink">
    <w:name w:val="Hyperlink"/>
    <w:basedOn w:val="DefaultParagraphFont"/>
    <w:uiPriority w:val="99"/>
    <w:unhideWhenUsed/>
    <w:rsid w:val="00DD07EB"/>
    <w:rPr>
      <w:color w:val="467886" w:themeColor="hyperlink"/>
      <w:u w:val="single"/>
    </w:rPr>
  </w:style>
  <w:style w:type="character" w:styleId="UnresolvedMention">
    <w:name w:val="Unresolved Mention"/>
    <w:basedOn w:val="DefaultParagraphFont"/>
    <w:uiPriority w:val="99"/>
    <w:semiHidden/>
    <w:unhideWhenUsed/>
    <w:rsid w:val="00436C06"/>
    <w:rPr>
      <w:color w:val="605E5C"/>
      <w:shd w:val="clear" w:color="auto" w:fill="E1DFDD"/>
    </w:rPr>
  </w:style>
  <w:style w:type="paragraph" w:styleId="Header">
    <w:name w:val="header"/>
    <w:basedOn w:val="Normal"/>
    <w:link w:val="HeaderChar"/>
    <w:uiPriority w:val="99"/>
    <w:unhideWhenUsed/>
    <w:rsid w:val="003E3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5E6"/>
  </w:style>
  <w:style w:type="paragraph" w:styleId="Footer">
    <w:name w:val="footer"/>
    <w:basedOn w:val="Normal"/>
    <w:link w:val="FooterChar"/>
    <w:uiPriority w:val="99"/>
    <w:unhideWhenUsed/>
    <w:rsid w:val="003E3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breast-screening-programme-overview" TargetMode="External"/><Relationship Id="rId13" Type="http://schemas.openxmlformats.org/officeDocument/2006/relationships/hyperlink" Target="https://www.nice.org.uk/guidance/cg16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igital.nhs.uk/data-and-information/publications/statistical/breast-screening-programme/england-2024-202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2025/02/nhs-launches-first-ever-breast-screening-campaign-to-help-detect-thousands-of-cancers-earli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tests-and-treatments/breast-screening-mammogram/who-breast-screening-is-for/" TargetMode="External"/><Relationship Id="rId4" Type="http://schemas.openxmlformats.org/officeDocument/2006/relationships/webSettings" Target="webSettings.xml"/><Relationship Id="rId9" Type="http://schemas.openxmlformats.org/officeDocument/2006/relationships/hyperlink" Target="https://www.gov.uk/government/publications/breast-screening-clinical-guidelines-for-screening-management/clinical-guidance-for-breast-cancer-screening-assessment" TargetMode="External"/><Relationship Id="rId14" Type="http://schemas.openxmlformats.org/officeDocument/2006/relationships/hyperlink" Target="https://www.who.int/news-room/fact-sheets/detail/breast-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04D2A-DE09-4E4B-AD58-7E8AF323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19</Pages>
  <Words>4613</Words>
  <Characters>30724</Characters>
  <Application>Microsoft Office Word</Application>
  <DocSecurity>0</DocSecurity>
  <Lines>768</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Nazdar Sami (2122282)</dc:creator>
  <cp:keywords/>
  <dc:description/>
  <cp:lastModifiedBy>Nazdar Sami (2122282)</cp:lastModifiedBy>
  <cp:revision>4</cp:revision>
  <dcterms:created xsi:type="dcterms:W3CDTF">2026-03-08T21:13:00Z</dcterms:created>
  <dcterms:modified xsi:type="dcterms:W3CDTF">2026-03-10T15:34:00Z</dcterms:modified>
</cp:coreProperties>
</file>