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062F59" w:rsidRDefault="00062F59">
      <w:pPr>
        <w:spacing w:after="160" w:line="360" w:lineRule="auto"/>
        <w:jc w:val="right"/>
        <w:rPr>
          <w:rFonts w:ascii="Times New Roman" w:eastAsia="Times New Roman" w:hAnsi="Times New Roman" w:cs="Times New Roman"/>
          <w:b/>
          <w:sz w:val="56"/>
          <w:szCs w:val="56"/>
        </w:rPr>
      </w:pPr>
    </w:p>
    <w:p w:rsidR="00062F59" w:rsidRDefault="00062F59">
      <w:pPr>
        <w:spacing w:after="160" w:line="360" w:lineRule="auto"/>
        <w:jc w:val="right"/>
        <w:rPr>
          <w:rFonts w:ascii="Times New Roman" w:eastAsia="Times New Roman" w:hAnsi="Times New Roman" w:cs="Times New Roman"/>
          <w:b/>
          <w:sz w:val="56"/>
          <w:szCs w:val="56"/>
        </w:rPr>
      </w:pPr>
    </w:p>
    <w:p w:rsidR="00062F59" w:rsidRDefault="00062F59">
      <w:pPr>
        <w:spacing w:after="160" w:line="360" w:lineRule="auto"/>
        <w:jc w:val="center"/>
        <w:rPr>
          <w:rFonts w:ascii="Times New Roman" w:eastAsia="Times New Roman" w:hAnsi="Times New Roman" w:cs="Times New Roman"/>
          <w:b/>
          <w:sz w:val="56"/>
          <w:szCs w:val="56"/>
        </w:rPr>
      </w:pPr>
    </w:p>
    <w:p w:rsidR="00062F59" w:rsidRDefault="002E1D68">
      <w:pPr>
        <w:spacing w:after="160" w:line="360" w:lineRule="auto"/>
        <w:jc w:val="center"/>
        <w:rPr>
          <w:rFonts w:ascii="Times New Roman" w:eastAsia="Times New Roman" w:hAnsi="Times New Roman" w:cs="Times New Roman"/>
          <w:b/>
          <w:sz w:val="60"/>
          <w:szCs w:val="60"/>
        </w:rPr>
      </w:pPr>
      <w:r>
        <w:rPr>
          <w:rFonts w:ascii="Times New Roman" w:eastAsia="Times New Roman" w:hAnsi="Times New Roman" w:cs="Times New Roman"/>
          <w:b/>
          <w:sz w:val="60"/>
          <w:szCs w:val="60"/>
        </w:rPr>
        <w:t xml:space="preserve">Financial Management </w:t>
      </w:r>
    </w:p>
    <w:p w:rsidR="00062F59" w:rsidRDefault="00062F59">
      <w:pPr>
        <w:spacing w:after="160" w:line="360" w:lineRule="auto"/>
        <w:jc w:val="center"/>
        <w:rPr>
          <w:rFonts w:ascii="Times New Roman" w:eastAsia="Times New Roman" w:hAnsi="Times New Roman" w:cs="Times New Roman"/>
          <w:sz w:val="56"/>
          <w:szCs w:val="56"/>
        </w:rPr>
      </w:pPr>
    </w:p>
    <w:p w:rsidR="00062F59" w:rsidRDefault="002E1D68">
      <w:pPr>
        <w:spacing w:after="160" w:line="360" w:lineRule="auto"/>
        <w:jc w:val="center"/>
        <w:rPr>
          <w:rFonts w:ascii="Times New Roman" w:eastAsia="Times New Roman" w:hAnsi="Times New Roman" w:cs="Times New Roman"/>
          <w:sz w:val="56"/>
          <w:szCs w:val="56"/>
        </w:rPr>
      </w:pPr>
      <w:r>
        <w:rPr>
          <w:rFonts w:ascii="Times New Roman" w:eastAsia="Times New Roman" w:hAnsi="Times New Roman" w:cs="Times New Roman"/>
          <w:sz w:val="56"/>
          <w:szCs w:val="56"/>
        </w:rPr>
        <w:t xml:space="preserve">Ford Motor Company </w:t>
      </w:r>
    </w:p>
    <w:p w:rsidR="00062F59" w:rsidRDefault="00062F59">
      <w:pPr>
        <w:spacing w:after="160" w:line="360" w:lineRule="auto"/>
        <w:jc w:val="center"/>
        <w:rPr>
          <w:rFonts w:ascii="Times New Roman" w:eastAsia="Times New Roman" w:hAnsi="Times New Roman" w:cs="Times New Roman"/>
          <w:b/>
          <w:sz w:val="28"/>
          <w:szCs w:val="28"/>
        </w:rPr>
      </w:pPr>
    </w:p>
    <w:p w:rsidR="00062F59" w:rsidRDefault="00062F59">
      <w:pPr>
        <w:spacing w:after="160" w:line="360" w:lineRule="auto"/>
        <w:jc w:val="center"/>
        <w:rPr>
          <w:rFonts w:ascii="Times New Roman" w:eastAsia="Times New Roman" w:hAnsi="Times New Roman" w:cs="Times New Roman"/>
          <w:b/>
          <w:sz w:val="28"/>
          <w:szCs w:val="28"/>
        </w:rPr>
      </w:pPr>
    </w:p>
    <w:p w:rsidR="00062F59" w:rsidRDefault="00062F59">
      <w:pPr>
        <w:spacing w:after="160" w:line="360" w:lineRule="auto"/>
        <w:jc w:val="center"/>
        <w:rPr>
          <w:rFonts w:ascii="Times New Roman" w:eastAsia="Times New Roman" w:hAnsi="Times New Roman" w:cs="Times New Roman"/>
          <w:b/>
          <w:sz w:val="28"/>
          <w:szCs w:val="28"/>
        </w:rPr>
      </w:pPr>
    </w:p>
    <w:p w:rsidR="00062F59" w:rsidRDefault="00062F59">
      <w:pPr>
        <w:spacing w:after="160" w:line="360" w:lineRule="auto"/>
        <w:jc w:val="center"/>
        <w:rPr>
          <w:rFonts w:ascii="Times New Roman" w:eastAsia="Times New Roman" w:hAnsi="Times New Roman" w:cs="Times New Roman"/>
          <w:b/>
          <w:sz w:val="28"/>
          <w:szCs w:val="28"/>
        </w:rPr>
      </w:pPr>
    </w:p>
    <w:p w:rsidR="00062F59" w:rsidRDefault="002E1D68">
      <w:pPr>
        <w:spacing w:after="16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Code: LCMB7002</w:t>
      </w:r>
    </w:p>
    <w:p w:rsidR="00062F59" w:rsidRDefault="002E1D68">
      <w:pPr>
        <w:spacing w:after="16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ID: </w:t>
      </w:r>
      <w:r>
        <w:rPr>
          <w:rFonts w:ascii="Mangal" w:eastAsia="Times New Roman" w:hAnsi="Mangal" w:cs="Mangal" w:hint="cs"/>
          <w:b/>
          <w:sz w:val="28"/>
          <w:szCs w:val="28"/>
        </w:rPr>
        <w:t>2310745</w:t>
      </w:r>
    </w:p>
    <w:p w:rsidR="00062F59" w:rsidRDefault="002E1D68">
      <w:pPr>
        <w:spacing w:before="240" w:after="40" w:line="360" w:lineRule="auto"/>
        <w:rPr>
          <w:rFonts w:ascii="Times New Roman" w:eastAsia="Times New Roman" w:hAnsi="Times New Roman" w:cs="Times New Roman"/>
          <w:sz w:val="24"/>
          <w:szCs w:val="24"/>
        </w:rPr>
      </w:pPr>
      <w:r>
        <w:br w:type="page"/>
      </w:r>
    </w:p>
    <w:p w:rsidR="00062F59" w:rsidRDefault="002E1D68">
      <w:pPr>
        <w:spacing w:before="240" w:after="40" w:line="360" w:lineRule="auto"/>
        <w:rPr>
          <w:rFonts w:ascii="Times New Roman" w:eastAsia="Times New Roman" w:hAnsi="Times New Roman" w:cs="Times New Roman"/>
        </w:rPr>
      </w:pPr>
      <w:r>
        <w:rPr>
          <w:rFonts w:ascii="Times New Roman" w:eastAsia="Times New Roman" w:hAnsi="Times New Roman" w:cs="Times New Roman"/>
          <w:sz w:val="24"/>
          <w:szCs w:val="24"/>
        </w:rPr>
        <w:lastRenderedPageBreak/>
        <w:t>Table of Content</w:t>
      </w:r>
    </w:p>
    <w:sdt>
      <w:sdtPr>
        <w:id w:val="601845738"/>
        <w:docPartObj>
          <w:docPartGallery w:val="Table of Contents"/>
          <w:docPartUnique/>
        </w:docPartObj>
      </w:sdtPr>
      <w:sdtEndPr/>
      <w:sdtContent>
        <w:p w:rsidR="00062F59" w:rsidRDefault="002E1D68">
          <w:pPr>
            <w:widowControl w:val="0"/>
            <w:tabs>
              <w:tab w:val="right" w:pos="9360"/>
            </w:tabs>
            <w:spacing w:before="60" w:line="360" w:lineRule="auto"/>
            <w:rPr>
              <w:rFonts w:ascii="Times New Roman" w:eastAsia="Times New Roman" w:hAnsi="Times New Roman" w:cs="Times New Roman"/>
              <w:b/>
              <w:color w:val="000000"/>
            </w:rPr>
          </w:pPr>
          <w:r>
            <w:fldChar w:fldCharType="begin"/>
          </w:r>
          <w:r>
            <w:instrText xml:space="preserve"> TOC \h \u \z \t "Heading 1,1,Heading 2,2,Heading 3,3,Heading 4,4,Heading 5,5,Heading 6,6,"</w:instrText>
          </w:r>
          <w:r>
            <w:fldChar w:fldCharType="separate"/>
          </w:r>
          <w:hyperlink w:anchor="_gjdgxs">
            <w:r>
              <w:rPr>
                <w:rFonts w:ascii="Times New Roman" w:eastAsia="Times New Roman" w:hAnsi="Times New Roman" w:cs="Times New Roman"/>
                <w:b/>
                <w:color w:val="000000"/>
              </w:rPr>
              <w:t>Part A) Introduction</w:t>
            </w:r>
            <w:r>
              <w:rPr>
                <w:rFonts w:ascii="Times New Roman" w:eastAsia="Times New Roman" w:hAnsi="Times New Roman" w:cs="Times New Roman"/>
                <w:b/>
                <w:color w:val="000000"/>
              </w:rPr>
              <w:tab/>
            </w:r>
          </w:hyperlink>
          <w:r>
            <w:fldChar w:fldCharType="begin"/>
          </w:r>
          <w:r>
            <w:instrText xml:space="preserve"> PAGEREF _gjdgxs \h </w:instrText>
          </w:r>
          <w:r>
            <w:fldChar w:fldCharType="separate"/>
          </w:r>
          <w:r>
            <w:rPr>
              <w:rFonts w:ascii="Times New Roman" w:eastAsia="Times New Roman" w:hAnsi="Times New Roman" w:cs="Times New Roman"/>
              <w:b/>
            </w:rPr>
            <w:t>3</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30j0zll">
            <w:r>
              <w:rPr>
                <w:rFonts w:ascii="Times New Roman" w:eastAsia="Times New Roman" w:hAnsi="Times New Roman" w:cs="Times New Roman"/>
                <w:color w:val="000000"/>
              </w:rPr>
              <w:t>Business Model</w:t>
            </w:r>
            <w:r>
              <w:rPr>
                <w:rFonts w:ascii="Times New Roman" w:eastAsia="Times New Roman" w:hAnsi="Times New Roman" w:cs="Times New Roman"/>
                <w:color w:val="000000"/>
              </w:rPr>
              <w:tab/>
            </w:r>
          </w:hyperlink>
          <w:r>
            <w:fldChar w:fldCharType="begin"/>
          </w:r>
          <w:r>
            <w:instrText xml:space="preserve"> PAGEREF _30j0zll \h </w:instrText>
          </w:r>
          <w:r>
            <w:fldChar w:fldCharType="separate"/>
          </w:r>
          <w:r>
            <w:rPr>
              <w:rFonts w:ascii="Times New Roman" w:eastAsia="Times New Roman" w:hAnsi="Times New Roman" w:cs="Times New Roman"/>
            </w:rPr>
            <w:t>3</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1fob9te">
            <w:r>
              <w:rPr>
                <w:rFonts w:ascii="Times New Roman" w:eastAsia="Times New Roman" w:hAnsi="Times New Roman" w:cs="Times New Roman"/>
                <w:color w:val="000000"/>
              </w:rPr>
              <w:t>Marketplace</w:t>
            </w:r>
            <w:r>
              <w:rPr>
                <w:rFonts w:ascii="Times New Roman" w:eastAsia="Times New Roman" w:hAnsi="Times New Roman" w:cs="Times New Roman"/>
                <w:color w:val="000000"/>
              </w:rPr>
              <w:tab/>
            </w:r>
          </w:hyperlink>
          <w:r>
            <w:fldChar w:fldCharType="begin"/>
          </w:r>
          <w:r>
            <w:instrText xml:space="preserve"> PAGEREF _1fob9te \h </w:instrText>
          </w:r>
          <w:r>
            <w:fldChar w:fldCharType="separate"/>
          </w:r>
          <w:r>
            <w:rPr>
              <w:rFonts w:ascii="Times New Roman" w:eastAsia="Times New Roman" w:hAnsi="Times New Roman" w:cs="Times New Roman"/>
            </w:rPr>
            <w:t>3</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3znysh7">
            <w:r>
              <w:rPr>
                <w:rFonts w:ascii="Times New Roman" w:eastAsia="Times New Roman" w:hAnsi="Times New Roman" w:cs="Times New Roman"/>
                <w:color w:val="000000"/>
              </w:rPr>
              <w:t>Major Competitors</w:t>
            </w:r>
            <w:r>
              <w:rPr>
                <w:rFonts w:ascii="Times New Roman" w:eastAsia="Times New Roman" w:hAnsi="Times New Roman" w:cs="Times New Roman"/>
                <w:color w:val="000000"/>
              </w:rPr>
              <w:tab/>
            </w:r>
          </w:hyperlink>
          <w:r>
            <w:fldChar w:fldCharType="begin"/>
          </w:r>
          <w:r>
            <w:instrText xml:space="preserve"> PAGEREF _3znysh7 \h </w:instrText>
          </w:r>
          <w:r>
            <w:fldChar w:fldCharType="separate"/>
          </w:r>
          <w:r>
            <w:rPr>
              <w:rFonts w:ascii="Times New Roman" w:eastAsia="Times New Roman" w:hAnsi="Times New Roman" w:cs="Times New Roman"/>
            </w:rPr>
            <w:t>3</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2et92p0">
            <w:r>
              <w:rPr>
                <w:rFonts w:ascii="Times New Roman" w:eastAsia="Times New Roman" w:hAnsi="Times New Roman" w:cs="Times New Roman"/>
                <w:color w:val="000000"/>
              </w:rPr>
              <w:t>Major Event</w:t>
            </w:r>
            <w:r>
              <w:rPr>
                <w:rFonts w:ascii="Times New Roman" w:eastAsia="Times New Roman" w:hAnsi="Times New Roman" w:cs="Times New Roman"/>
                <w:color w:val="000000"/>
              </w:rPr>
              <w:tab/>
            </w:r>
          </w:hyperlink>
          <w:r>
            <w:fldChar w:fldCharType="begin"/>
          </w:r>
          <w:r>
            <w:instrText xml:space="preserve"> PAGEREF _2et92p0 \h </w:instrText>
          </w:r>
          <w:r>
            <w:fldChar w:fldCharType="separate"/>
          </w:r>
          <w:r>
            <w:rPr>
              <w:rFonts w:ascii="Times New Roman" w:eastAsia="Times New Roman" w:hAnsi="Times New Roman" w:cs="Times New Roman"/>
            </w:rPr>
            <w:t>4</w:t>
          </w:r>
          <w:r>
            <w:fldChar w:fldCharType="end"/>
          </w:r>
        </w:p>
        <w:p w:rsidR="00062F59" w:rsidRDefault="002E1D68">
          <w:pPr>
            <w:widowControl w:val="0"/>
            <w:tabs>
              <w:tab w:val="right" w:pos="9360"/>
            </w:tabs>
            <w:spacing w:before="60" w:line="360" w:lineRule="auto"/>
            <w:rPr>
              <w:rFonts w:ascii="Times New Roman" w:eastAsia="Times New Roman" w:hAnsi="Times New Roman" w:cs="Times New Roman"/>
              <w:b/>
              <w:color w:val="000000"/>
            </w:rPr>
          </w:pPr>
          <w:hyperlink w:anchor="_tyjcwt">
            <w:r>
              <w:rPr>
                <w:rFonts w:ascii="Times New Roman" w:eastAsia="Times New Roman" w:hAnsi="Times New Roman" w:cs="Times New Roman"/>
                <w:b/>
                <w:color w:val="000000"/>
              </w:rPr>
              <w:t>Part B) Financial Performance Review</w:t>
            </w:r>
            <w:r>
              <w:rPr>
                <w:rFonts w:ascii="Times New Roman" w:eastAsia="Times New Roman" w:hAnsi="Times New Roman" w:cs="Times New Roman"/>
                <w:b/>
                <w:color w:val="000000"/>
              </w:rPr>
              <w:tab/>
            </w:r>
          </w:hyperlink>
          <w:r>
            <w:fldChar w:fldCharType="begin"/>
          </w:r>
          <w:r>
            <w:instrText xml:space="preserve"> PAGEREF _tyjcwt \h </w:instrText>
          </w:r>
          <w:r>
            <w:fldChar w:fldCharType="separate"/>
          </w:r>
          <w:r>
            <w:rPr>
              <w:rFonts w:ascii="Times New Roman" w:eastAsia="Times New Roman" w:hAnsi="Times New Roman" w:cs="Times New Roman"/>
              <w:b/>
            </w:rPr>
            <w:t>6</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3dy6vkm">
            <w:r>
              <w:rPr>
                <w:rFonts w:ascii="Times New Roman" w:eastAsia="Times New Roman" w:hAnsi="Times New Roman" w:cs="Times New Roman"/>
                <w:color w:val="000000"/>
              </w:rPr>
              <w:t>Profitability Ratios</w:t>
            </w:r>
            <w:r>
              <w:rPr>
                <w:rFonts w:ascii="Times New Roman" w:eastAsia="Times New Roman" w:hAnsi="Times New Roman" w:cs="Times New Roman"/>
                <w:color w:val="000000"/>
              </w:rPr>
              <w:tab/>
            </w:r>
          </w:hyperlink>
          <w:r>
            <w:fldChar w:fldCharType="begin"/>
          </w:r>
          <w:r>
            <w:instrText xml:space="preserve"> PAGEREF _3dy6vkm \h </w:instrText>
          </w:r>
          <w:r>
            <w:fldChar w:fldCharType="separate"/>
          </w:r>
          <w:r>
            <w:rPr>
              <w:rFonts w:ascii="Times New Roman" w:eastAsia="Times New Roman" w:hAnsi="Times New Roman" w:cs="Times New Roman"/>
            </w:rPr>
            <w:t>6</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1t3h5sf">
            <w:r>
              <w:rPr>
                <w:rFonts w:ascii="Times New Roman" w:eastAsia="Times New Roman" w:hAnsi="Times New Roman" w:cs="Times New Roman"/>
                <w:color w:val="000000"/>
              </w:rPr>
              <w:t>1. Gross Profit Margin:</w:t>
            </w:r>
            <w:r>
              <w:rPr>
                <w:rFonts w:ascii="Times New Roman" w:eastAsia="Times New Roman" w:hAnsi="Times New Roman" w:cs="Times New Roman"/>
                <w:color w:val="000000"/>
              </w:rPr>
              <w:tab/>
            </w:r>
          </w:hyperlink>
          <w:r>
            <w:fldChar w:fldCharType="begin"/>
          </w:r>
          <w:r>
            <w:instrText xml:space="preserve"> PAGEREF _1t3h5sf \h </w:instrText>
          </w:r>
          <w:r>
            <w:fldChar w:fldCharType="separate"/>
          </w:r>
          <w:r>
            <w:rPr>
              <w:rFonts w:ascii="Times New Roman" w:eastAsia="Times New Roman" w:hAnsi="Times New Roman" w:cs="Times New Roman"/>
            </w:rPr>
            <w:t>6</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4d34og8">
            <w:r>
              <w:rPr>
                <w:rFonts w:ascii="Times New Roman" w:eastAsia="Times New Roman" w:hAnsi="Times New Roman" w:cs="Times New Roman"/>
                <w:color w:val="000000"/>
              </w:rPr>
              <w:t>2. Net Profit Margin:</w:t>
            </w:r>
            <w:r>
              <w:rPr>
                <w:rFonts w:ascii="Times New Roman" w:eastAsia="Times New Roman" w:hAnsi="Times New Roman" w:cs="Times New Roman"/>
                <w:color w:val="000000"/>
              </w:rPr>
              <w:tab/>
            </w:r>
          </w:hyperlink>
          <w:r>
            <w:fldChar w:fldCharType="begin"/>
          </w:r>
          <w:r>
            <w:instrText xml:space="preserve"> PAGEREF _4d34og8 \h </w:instrText>
          </w:r>
          <w:r>
            <w:fldChar w:fldCharType="separate"/>
          </w:r>
          <w:r>
            <w:rPr>
              <w:rFonts w:ascii="Times New Roman" w:eastAsia="Times New Roman" w:hAnsi="Times New Roman" w:cs="Times New Roman"/>
            </w:rPr>
            <w:t>6</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2s8eyo1">
            <w:r>
              <w:rPr>
                <w:rFonts w:ascii="Times New Roman" w:eastAsia="Times New Roman" w:hAnsi="Times New Roman" w:cs="Times New Roman"/>
                <w:color w:val="000000"/>
              </w:rPr>
              <w:t>3. Return on Assets (ROA):</w:t>
            </w:r>
            <w:r>
              <w:rPr>
                <w:rFonts w:ascii="Times New Roman" w:eastAsia="Times New Roman" w:hAnsi="Times New Roman" w:cs="Times New Roman"/>
                <w:color w:val="000000"/>
              </w:rPr>
              <w:tab/>
            </w:r>
          </w:hyperlink>
          <w:r>
            <w:fldChar w:fldCharType="begin"/>
          </w:r>
          <w:r>
            <w:instrText xml:space="preserve"> PAGEREF _2s8eyo1 \h </w:instrText>
          </w:r>
          <w:r>
            <w:fldChar w:fldCharType="separate"/>
          </w:r>
          <w:r>
            <w:rPr>
              <w:rFonts w:ascii="Times New Roman" w:eastAsia="Times New Roman" w:hAnsi="Times New Roman" w:cs="Times New Roman"/>
            </w:rPr>
            <w:t>7</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17dp8vu">
            <w:r>
              <w:rPr>
                <w:rFonts w:ascii="Times New Roman" w:eastAsia="Times New Roman" w:hAnsi="Times New Roman" w:cs="Times New Roman"/>
                <w:color w:val="000000"/>
              </w:rPr>
              <w:t>4. Return on Equity (ROE):</w:t>
            </w:r>
            <w:r>
              <w:rPr>
                <w:rFonts w:ascii="Times New Roman" w:eastAsia="Times New Roman" w:hAnsi="Times New Roman" w:cs="Times New Roman"/>
                <w:color w:val="000000"/>
              </w:rPr>
              <w:tab/>
            </w:r>
          </w:hyperlink>
          <w:r>
            <w:fldChar w:fldCharType="begin"/>
          </w:r>
          <w:r>
            <w:instrText xml:space="preserve"> PAGEREF _17dp8vu \h </w:instrText>
          </w:r>
          <w:r>
            <w:fldChar w:fldCharType="separate"/>
          </w:r>
          <w:r>
            <w:rPr>
              <w:rFonts w:ascii="Times New Roman" w:eastAsia="Times New Roman" w:hAnsi="Times New Roman" w:cs="Times New Roman"/>
            </w:rPr>
            <w:t>7</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3rdcrjn">
            <w:r>
              <w:rPr>
                <w:rFonts w:ascii="Times New Roman" w:eastAsia="Times New Roman" w:hAnsi="Times New Roman" w:cs="Times New Roman"/>
                <w:color w:val="000000"/>
              </w:rPr>
              <w:t>Liquidity Ratios</w:t>
            </w:r>
            <w:r>
              <w:rPr>
                <w:rFonts w:ascii="Times New Roman" w:eastAsia="Times New Roman" w:hAnsi="Times New Roman" w:cs="Times New Roman"/>
                <w:color w:val="000000"/>
              </w:rPr>
              <w:tab/>
            </w:r>
          </w:hyperlink>
          <w:r>
            <w:fldChar w:fldCharType="begin"/>
          </w:r>
          <w:r>
            <w:instrText xml:space="preserve"> PAGEREF _3rdcrjn \h </w:instrText>
          </w:r>
          <w:r>
            <w:fldChar w:fldCharType="separate"/>
          </w:r>
          <w:r>
            <w:rPr>
              <w:rFonts w:ascii="Times New Roman" w:eastAsia="Times New Roman" w:hAnsi="Times New Roman" w:cs="Times New Roman"/>
            </w:rPr>
            <w:t>8</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26in1rg">
            <w:r>
              <w:rPr>
                <w:rFonts w:ascii="Times New Roman" w:eastAsia="Times New Roman" w:hAnsi="Times New Roman" w:cs="Times New Roman"/>
                <w:color w:val="000000"/>
              </w:rPr>
              <w:t>5. Current Ratio:</w:t>
            </w:r>
            <w:r>
              <w:rPr>
                <w:rFonts w:ascii="Times New Roman" w:eastAsia="Times New Roman" w:hAnsi="Times New Roman" w:cs="Times New Roman"/>
                <w:color w:val="000000"/>
              </w:rPr>
              <w:tab/>
            </w:r>
          </w:hyperlink>
          <w:r>
            <w:fldChar w:fldCharType="begin"/>
          </w:r>
          <w:r>
            <w:instrText xml:space="preserve"> PAGEREF _26in1rg \h </w:instrText>
          </w:r>
          <w:r>
            <w:fldChar w:fldCharType="separate"/>
          </w:r>
          <w:r>
            <w:rPr>
              <w:rFonts w:ascii="Times New Roman" w:eastAsia="Times New Roman" w:hAnsi="Times New Roman" w:cs="Times New Roman"/>
            </w:rPr>
            <w:t>8</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lnxbz9">
            <w:r>
              <w:rPr>
                <w:rFonts w:ascii="Times New Roman" w:eastAsia="Times New Roman" w:hAnsi="Times New Roman" w:cs="Times New Roman"/>
                <w:color w:val="000000"/>
              </w:rPr>
              <w:t>6. Quick Ratio:</w:t>
            </w:r>
            <w:r>
              <w:rPr>
                <w:rFonts w:ascii="Times New Roman" w:eastAsia="Times New Roman" w:hAnsi="Times New Roman" w:cs="Times New Roman"/>
                <w:color w:val="000000"/>
              </w:rPr>
              <w:tab/>
            </w:r>
          </w:hyperlink>
          <w:r>
            <w:fldChar w:fldCharType="begin"/>
          </w:r>
          <w:r>
            <w:instrText xml:space="preserve"> PAGEREF _lnxbz9 \h </w:instrText>
          </w:r>
          <w:r>
            <w:fldChar w:fldCharType="separate"/>
          </w:r>
          <w:r>
            <w:rPr>
              <w:rFonts w:ascii="Times New Roman" w:eastAsia="Times New Roman" w:hAnsi="Times New Roman" w:cs="Times New Roman"/>
            </w:rPr>
            <w:t>8</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35nkun2">
            <w:r>
              <w:rPr>
                <w:rFonts w:ascii="Times New Roman" w:eastAsia="Times New Roman" w:hAnsi="Times New Roman" w:cs="Times New Roman"/>
                <w:color w:val="000000"/>
              </w:rPr>
              <w:t>Gearing Ratios</w:t>
            </w:r>
            <w:r>
              <w:rPr>
                <w:rFonts w:ascii="Times New Roman" w:eastAsia="Times New Roman" w:hAnsi="Times New Roman" w:cs="Times New Roman"/>
                <w:color w:val="000000"/>
              </w:rPr>
              <w:tab/>
            </w:r>
          </w:hyperlink>
          <w:r>
            <w:fldChar w:fldCharType="begin"/>
          </w:r>
          <w:r>
            <w:instrText xml:space="preserve"> PAGEREF _35nkun2 \h </w:instrText>
          </w:r>
          <w:r>
            <w:fldChar w:fldCharType="separate"/>
          </w:r>
          <w:r>
            <w:rPr>
              <w:rFonts w:ascii="Times New Roman" w:eastAsia="Times New Roman" w:hAnsi="Times New Roman" w:cs="Times New Roman"/>
            </w:rPr>
            <w:t>9</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1ksv4uv">
            <w:r>
              <w:rPr>
                <w:rFonts w:ascii="Times New Roman" w:eastAsia="Times New Roman" w:hAnsi="Times New Roman" w:cs="Times New Roman"/>
                <w:color w:val="000000"/>
              </w:rPr>
              <w:t>7. Debt to Equity Ratio:</w:t>
            </w:r>
            <w:r>
              <w:rPr>
                <w:rFonts w:ascii="Times New Roman" w:eastAsia="Times New Roman" w:hAnsi="Times New Roman" w:cs="Times New Roman"/>
                <w:color w:val="000000"/>
              </w:rPr>
              <w:tab/>
            </w:r>
          </w:hyperlink>
          <w:r>
            <w:fldChar w:fldCharType="begin"/>
          </w:r>
          <w:r>
            <w:instrText xml:space="preserve"> PAGEREF _1ksv4uv \h </w:instrText>
          </w:r>
          <w:r>
            <w:fldChar w:fldCharType="separate"/>
          </w:r>
          <w:r>
            <w:rPr>
              <w:rFonts w:ascii="Times New Roman" w:eastAsia="Times New Roman" w:hAnsi="Times New Roman" w:cs="Times New Roman"/>
            </w:rPr>
            <w:t>9</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44sinio">
            <w:r>
              <w:rPr>
                <w:rFonts w:ascii="Times New Roman" w:eastAsia="Times New Roman" w:hAnsi="Times New Roman" w:cs="Times New Roman"/>
                <w:color w:val="000000"/>
              </w:rPr>
              <w:t>8. Interest Coverage Ratio:</w:t>
            </w:r>
            <w:r>
              <w:rPr>
                <w:rFonts w:ascii="Times New Roman" w:eastAsia="Times New Roman" w:hAnsi="Times New Roman" w:cs="Times New Roman"/>
                <w:color w:val="000000"/>
              </w:rPr>
              <w:tab/>
            </w:r>
          </w:hyperlink>
          <w:r>
            <w:fldChar w:fldCharType="begin"/>
          </w:r>
          <w:r>
            <w:instrText xml:space="preserve"> PAGEREF _44sinio \h </w:instrText>
          </w:r>
          <w:r>
            <w:fldChar w:fldCharType="separate"/>
          </w:r>
          <w:r>
            <w:rPr>
              <w:rFonts w:ascii="Times New Roman" w:eastAsia="Times New Roman" w:hAnsi="Times New Roman" w:cs="Times New Roman"/>
            </w:rPr>
            <w:t>9</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2jxsxqh">
            <w:r>
              <w:rPr>
                <w:rFonts w:ascii="Times New Roman" w:eastAsia="Times New Roman" w:hAnsi="Times New Roman" w:cs="Times New Roman"/>
                <w:color w:val="000000"/>
              </w:rPr>
              <w:t>Efficiency Ratios</w:t>
            </w:r>
            <w:r>
              <w:rPr>
                <w:rFonts w:ascii="Times New Roman" w:eastAsia="Times New Roman" w:hAnsi="Times New Roman" w:cs="Times New Roman"/>
                <w:color w:val="000000"/>
              </w:rPr>
              <w:tab/>
            </w:r>
          </w:hyperlink>
          <w:r>
            <w:fldChar w:fldCharType="begin"/>
          </w:r>
          <w:r>
            <w:instrText xml:space="preserve"> PAGEREF _2jxsxqh \h </w:instrText>
          </w:r>
          <w:r>
            <w:fldChar w:fldCharType="separate"/>
          </w:r>
          <w:r>
            <w:rPr>
              <w:rFonts w:ascii="Times New Roman" w:eastAsia="Times New Roman" w:hAnsi="Times New Roman" w:cs="Times New Roman"/>
            </w:rPr>
            <w:t>10</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z337ya">
            <w:r>
              <w:rPr>
                <w:rFonts w:ascii="Times New Roman" w:eastAsia="Times New Roman" w:hAnsi="Times New Roman" w:cs="Times New Roman"/>
                <w:color w:val="000000"/>
              </w:rPr>
              <w:t>9. Asset Turnover Ratio:</w:t>
            </w:r>
            <w:r>
              <w:rPr>
                <w:rFonts w:ascii="Times New Roman" w:eastAsia="Times New Roman" w:hAnsi="Times New Roman" w:cs="Times New Roman"/>
                <w:color w:val="000000"/>
              </w:rPr>
              <w:tab/>
            </w:r>
          </w:hyperlink>
          <w:r>
            <w:fldChar w:fldCharType="begin"/>
          </w:r>
          <w:r>
            <w:instrText xml:space="preserve"> PAGEREF _z337ya \h </w:instrText>
          </w:r>
          <w:r>
            <w:fldChar w:fldCharType="separate"/>
          </w:r>
          <w:r>
            <w:rPr>
              <w:rFonts w:ascii="Times New Roman" w:eastAsia="Times New Roman" w:hAnsi="Times New Roman" w:cs="Times New Roman"/>
            </w:rPr>
            <w:t>10</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3j2qqm3">
            <w:r>
              <w:rPr>
                <w:rFonts w:ascii="Times New Roman" w:eastAsia="Times New Roman" w:hAnsi="Times New Roman" w:cs="Times New Roman"/>
                <w:color w:val="000000"/>
              </w:rPr>
              <w:t>10. Inventory Turnover Ratio:</w:t>
            </w:r>
            <w:r>
              <w:rPr>
                <w:rFonts w:ascii="Times New Roman" w:eastAsia="Times New Roman" w:hAnsi="Times New Roman" w:cs="Times New Roman"/>
                <w:color w:val="000000"/>
              </w:rPr>
              <w:tab/>
            </w:r>
          </w:hyperlink>
          <w:r>
            <w:fldChar w:fldCharType="begin"/>
          </w:r>
          <w:r>
            <w:instrText xml:space="preserve"> PAGEREF _3j2qqm3 \h </w:instrText>
          </w:r>
          <w:r>
            <w:fldChar w:fldCharType="separate"/>
          </w:r>
          <w:r>
            <w:rPr>
              <w:rFonts w:ascii="Times New Roman" w:eastAsia="Times New Roman" w:hAnsi="Times New Roman" w:cs="Times New Roman"/>
            </w:rPr>
            <w:t>10</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1y810tw">
            <w:r>
              <w:rPr>
                <w:rFonts w:ascii="Times New Roman" w:eastAsia="Times New Roman" w:hAnsi="Times New Roman" w:cs="Times New Roman"/>
                <w:color w:val="000000"/>
              </w:rPr>
              <w:t>11. Receivables Turnover Ratio:</w:t>
            </w:r>
            <w:r>
              <w:rPr>
                <w:rFonts w:ascii="Times New Roman" w:eastAsia="Times New Roman" w:hAnsi="Times New Roman" w:cs="Times New Roman"/>
                <w:color w:val="000000"/>
              </w:rPr>
              <w:tab/>
            </w:r>
          </w:hyperlink>
          <w:r>
            <w:fldChar w:fldCharType="begin"/>
          </w:r>
          <w:r>
            <w:instrText xml:space="preserve"> PAGEREF _1y810tw \h </w:instrText>
          </w:r>
          <w:r>
            <w:fldChar w:fldCharType="separate"/>
          </w:r>
          <w:r>
            <w:rPr>
              <w:rFonts w:ascii="Times New Roman" w:eastAsia="Times New Roman" w:hAnsi="Times New Roman" w:cs="Times New Roman"/>
            </w:rPr>
            <w:t>11</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4i7ojhp">
            <w:r>
              <w:rPr>
                <w:rFonts w:ascii="Times New Roman" w:eastAsia="Times New Roman" w:hAnsi="Times New Roman" w:cs="Times New Roman"/>
                <w:color w:val="000000"/>
              </w:rPr>
              <w:t>Ratios Evaluation</w:t>
            </w:r>
            <w:r>
              <w:rPr>
                <w:rFonts w:ascii="Times New Roman" w:eastAsia="Times New Roman" w:hAnsi="Times New Roman" w:cs="Times New Roman"/>
                <w:color w:val="000000"/>
              </w:rPr>
              <w:tab/>
            </w:r>
          </w:hyperlink>
          <w:r>
            <w:fldChar w:fldCharType="begin"/>
          </w:r>
          <w:r>
            <w:instrText xml:space="preserve"> PAGEREF _4i7ojhp \h </w:instrText>
          </w:r>
          <w:r>
            <w:fldChar w:fldCharType="separate"/>
          </w:r>
          <w:r>
            <w:rPr>
              <w:rFonts w:ascii="Times New Roman" w:eastAsia="Times New Roman" w:hAnsi="Times New Roman" w:cs="Times New Roman"/>
            </w:rPr>
            <w:t>11</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2xcytpi">
            <w:r>
              <w:rPr>
                <w:rFonts w:ascii="Times New Roman" w:eastAsia="Times New Roman" w:hAnsi="Times New Roman" w:cs="Times New Roman"/>
                <w:color w:val="000000"/>
              </w:rPr>
              <w:t>Profitability Ratios Analysis</w:t>
            </w:r>
            <w:r>
              <w:rPr>
                <w:rFonts w:ascii="Times New Roman" w:eastAsia="Times New Roman" w:hAnsi="Times New Roman" w:cs="Times New Roman"/>
                <w:color w:val="000000"/>
              </w:rPr>
              <w:tab/>
            </w:r>
          </w:hyperlink>
          <w:r>
            <w:fldChar w:fldCharType="begin"/>
          </w:r>
          <w:r>
            <w:instrText xml:space="preserve"> PAGEREF _2xcytpi \h </w:instrText>
          </w:r>
          <w:r>
            <w:fldChar w:fldCharType="separate"/>
          </w:r>
          <w:r>
            <w:rPr>
              <w:rFonts w:ascii="Times New Roman" w:eastAsia="Times New Roman" w:hAnsi="Times New Roman" w:cs="Times New Roman"/>
            </w:rPr>
            <w:t>11</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1ci93xb">
            <w:r>
              <w:rPr>
                <w:rFonts w:ascii="Times New Roman" w:eastAsia="Times New Roman" w:hAnsi="Times New Roman" w:cs="Times New Roman"/>
                <w:color w:val="000000"/>
              </w:rPr>
              <w:t>Impact of External and Internal Factors on Profitability</w:t>
            </w:r>
            <w:r>
              <w:rPr>
                <w:rFonts w:ascii="Times New Roman" w:eastAsia="Times New Roman" w:hAnsi="Times New Roman" w:cs="Times New Roman"/>
                <w:color w:val="000000"/>
              </w:rPr>
              <w:tab/>
            </w:r>
          </w:hyperlink>
          <w:r>
            <w:fldChar w:fldCharType="begin"/>
          </w:r>
          <w:r>
            <w:instrText xml:space="preserve"> PAGEREF _1ci93xb \h </w:instrText>
          </w:r>
          <w:r>
            <w:fldChar w:fldCharType="separate"/>
          </w:r>
          <w:r>
            <w:rPr>
              <w:rFonts w:ascii="Times New Roman" w:eastAsia="Times New Roman" w:hAnsi="Times New Roman" w:cs="Times New Roman"/>
            </w:rPr>
            <w:t>12</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3whwml4">
            <w:r>
              <w:rPr>
                <w:rFonts w:ascii="Times New Roman" w:eastAsia="Times New Roman" w:hAnsi="Times New Roman" w:cs="Times New Roman"/>
                <w:color w:val="000000"/>
              </w:rPr>
              <w:t>Comparison to Major Competitors</w:t>
            </w:r>
            <w:r>
              <w:rPr>
                <w:rFonts w:ascii="Times New Roman" w:eastAsia="Times New Roman" w:hAnsi="Times New Roman" w:cs="Times New Roman"/>
                <w:color w:val="000000"/>
              </w:rPr>
              <w:tab/>
            </w:r>
          </w:hyperlink>
          <w:r>
            <w:fldChar w:fldCharType="begin"/>
          </w:r>
          <w:r>
            <w:instrText xml:space="preserve"> PAGEREF _3whwml4 \h </w:instrText>
          </w:r>
          <w:r>
            <w:fldChar w:fldCharType="separate"/>
          </w:r>
          <w:r>
            <w:rPr>
              <w:rFonts w:ascii="Times New Roman" w:eastAsia="Times New Roman" w:hAnsi="Times New Roman" w:cs="Times New Roman"/>
            </w:rPr>
            <w:t>13</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2bn6wsx">
            <w:r>
              <w:rPr>
                <w:rFonts w:ascii="Times New Roman" w:eastAsia="Times New Roman" w:hAnsi="Times New Roman" w:cs="Times New Roman"/>
                <w:color w:val="000000"/>
              </w:rPr>
              <w:t>Liquidity Ratios Analysis</w:t>
            </w:r>
            <w:r>
              <w:rPr>
                <w:rFonts w:ascii="Times New Roman" w:eastAsia="Times New Roman" w:hAnsi="Times New Roman" w:cs="Times New Roman"/>
                <w:color w:val="000000"/>
              </w:rPr>
              <w:tab/>
            </w:r>
          </w:hyperlink>
          <w:r>
            <w:fldChar w:fldCharType="begin"/>
          </w:r>
          <w:r>
            <w:instrText xml:space="preserve"> PAGEREF _2bn6wsx \h </w:instrText>
          </w:r>
          <w:r>
            <w:fldChar w:fldCharType="separate"/>
          </w:r>
          <w:r>
            <w:rPr>
              <w:rFonts w:ascii="Times New Roman" w:eastAsia="Times New Roman" w:hAnsi="Times New Roman" w:cs="Times New Roman"/>
            </w:rPr>
            <w:t>14</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qsh70q">
            <w:r>
              <w:rPr>
                <w:rFonts w:ascii="Times New Roman" w:eastAsia="Times New Roman" w:hAnsi="Times New Roman" w:cs="Times New Roman"/>
                <w:color w:val="000000"/>
              </w:rPr>
              <w:t>Evaluation of Liquidity Trends and Implications for Financial Health</w:t>
            </w:r>
            <w:r>
              <w:rPr>
                <w:rFonts w:ascii="Times New Roman" w:eastAsia="Times New Roman" w:hAnsi="Times New Roman" w:cs="Times New Roman"/>
                <w:color w:val="000000"/>
              </w:rPr>
              <w:tab/>
            </w:r>
          </w:hyperlink>
          <w:r>
            <w:fldChar w:fldCharType="begin"/>
          </w:r>
          <w:r>
            <w:instrText xml:space="preserve"> PAGEREF _qsh70q \h </w:instrText>
          </w:r>
          <w:r>
            <w:fldChar w:fldCharType="separate"/>
          </w:r>
          <w:r>
            <w:rPr>
              <w:rFonts w:ascii="Times New Roman" w:eastAsia="Times New Roman" w:hAnsi="Times New Roman" w:cs="Times New Roman"/>
            </w:rPr>
            <w:t>15</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3as4poj">
            <w:r>
              <w:rPr>
                <w:rFonts w:ascii="Times New Roman" w:eastAsia="Times New Roman" w:hAnsi="Times New Roman" w:cs="Times New Roman"/>
                <w:color w:val="000000"/>
              </w:rPr>
              <w:t>Comparison with Major Competitors and/or Sector Averages</w:t>
            </w:r>
            <w:r>
              <w:rPr>
                <w:rFonts w:ascii="Times New Roman" w:eastAsia="Times New Roman" w:hAnsi="Times New Roman" w:cs="Times New Roman"/>
                <w:color w:val="000000"/>
              </w:rPr>
              <w:tab/>
            </w:r>
          </w:hyperlink>
          <w:r>
            <w:fldChar w:fldCharType="begin"/>
          </w:r>
          <w:r>
            <w:instrText xml:space="preserve"> PAGEREF _3as4poj \h </w:instrText>
          </w:r>
          <w:r>
            <w:fldChar w:fldCharType="separate"/>
          </w:r>
          <w:r>
            <w:rPr>
              <w:rFonts w:ascii="Times New Roman" w:eastAsia="Times New Roman" w:hAnsi="Times New Roman" w:cs="Times New Roman"/>
            </w:rPr>
            <w:t>15</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1pxezwc">
            <w:r>
              <w:rPr>
                <w:rFonts w:ascii="Times New Roman" w:eastAsia="Times New Roman" w:hAnsi="Times New Roman" w:cs="Times New Roman"/>
                <w:color w:val="000000"/>
              </w:rPr>
              <w:t>Gearing Ratios Analysis</w:t>
            </w:r>
            <w:r>
              <w:rPr>
                <w:rFonts w:ascii="Times New Roman" w:eastAsia="Times New Roman" w:hAnsi="Times New Roman" w:cs="Times New Roman"/>
                <w:color w:val="000000"/>
              </w:rPr>
              <w:tab/>
            </w:r>
          </w:hyperlink>
          <w:r>
            <w:fldChar w:fldCharType="begin"/>
          </w:r>
          <w:r>
            <w:instrText xml:space="preserve"> PAGEREF _1pxezwc \h </w:instrText>
          </w:r>
          <w:r>
            <w:fldChar w:fldCharType="separate"/>
          </w:r>
          <w:r>
            <w:rPr>
              <w:rFonts w:ascii="Times New Roman" w:eastAsia="Times New Roman" w:hAnsi="Times New Roman" w:cs="Times New Roman"/>
            </w:rPr>
            <w:t>16</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49x2ik5">
            <w:r>
              <w:rPr>
                <w:rFonts w:ascii="Times New Roman" w:eastAsia="Times New Roman" w:hAnsi="Times New Roman" w:cs="Times New Roman"/>
                <w:color w:val="000000"/>
              </w:rPr>
              <w:t>Discussion of the Risks Associated with High or Low Gearing Ratios</w:t>
            </w:r>
            <w:r>
              <w:rPr>
                <w:rFonts w:ascii="Times New Roman" w:eastAsia="Times New Roman" w:hAnsi="Times New Roman" w:cs="Times New Roman"/>
                <w:color w:val="000000"/>
              </w:rPr>
              <w:tab/>
            </w:r>
          </w:hyperlink>
          <w:r>
            <w:fldChar w:fldCharType="begin"/>
          </w:r>
          <w:r>
            <w:instrText xml:space="preserve"> PAGEREF _49x2ik5 \h </w:instrText>
          </w:r>
          <w:r>
            <w:fldChar w:fldCharType="separate"/>
          </w:r>
          <w:r>
            <w:rPr>
              <w:rFonts w:ascii="Times New Roman" w:eastAsia="Times New Roman" w:hAnsi="Times New Roman" w:cs="Times New Roman"/>
            </w:rPr>
            <w:t>17</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2p2csry">
            <w:r>
              <w:rPr>
                <w:rFonts w:ascii="Times New Roman" w:eastAsia="Times New Roman" w:hAnsi="Times New Roman" w:cs="Times New Roman"/>
                <w:color w:val="000000"/>
              </w:rPr>
              <w:t>Comparison with Major Competitors</w:t>
            </w:r>
            <w:r>
              <w:rPr>
                <w:rFonts w:ascii="Times New Roman" w:eastAsia="Times New Roman" w:hAnsi="Times New Roman" w:cs="Times New Roman"/>
                <w:color w:val="000000"/>
              </w:rPr>
              <w:tab/>
            </w:r>
          </w:hyperlink>
          <w:r>
            <w:fldChar w:fldCharType="begin"/>
          </w:r>
          <w:r>
            <w:instrText xml:space="preserve"> PAGEREF _2p2csry \h </w:instrText>
          </w:r>
          <w:r>
            <w:fldChar w:fldCharType="separate"/>
          </w:r>
          <w:r>
            <w:rPr>
              <w:rFonts w:ascii="Times New Roman" w:eastAsia="Times New Roman" w:hAnsi="Times New Roman" w:cs="Times New Roman"/>
            </w:rPr>
            <w:t>17</w:t>
          </w:r>
          <w:r>
            <w:fldChar w:fldCharType="end"/>
          </w:r>
        </w:p>
        <w:p w:rsidR="00062F59" w:rsidRDefault="002E1D68">
          <w:pPr>
            <w:widowControl w:val="0"/>
            <w:tabs>
              <w:tab w:val="right" w:pos="9360"/>
            </w:tabs>
            <w:spacing w:before="60" w:line="360" w:lineRule="auto"/>
            <w:ind w:left="720"/>
            <w:rPr>
              <w:rFonts w:ascii="Times New Roman" w:eastAsia="Times New Roman" w:hAnsi="Times New Roman" w:cs="Times New Roman"/>
              <w:color w:val="000000"/>
            </w:rPr>
          </w:pPr>
          <w:hyperlink w:anchor="_147n2zr">
            <w:r>
              <w:rPr>
                <w:rFonts w:ascii="Times New Roman" w:eastAsia="Times New Roman" w:hAnsi="Times New Roman" w:cs="Times New Roman"/>
                <w:color w:val="000000"/>
              </w:rPr>
              <w:t>Efficiency Ratios Analysis</w:t>
            </w:r>
            <w:r>
              <w:rPr>
                <w:rFonts w:ascii="Times New Roman" w:eastAsia="Times New Roman" w:hAnsi="Times New Roman" w:cs="Times New Roman"/>
                <w:color w:val="000000"/>
              </w:rPr>
              <w:tab/>
            </w:r>
          </w:hyperlink>
          <w:r>
            <w:fldChar w:fldCharType="begin"/>
          </w:r>
          <w:r>
            <w:instrText xml:space="preserve"> PAGEREF _147n2zr \h </w:instrText>
          </w:r>
          <w:r>
            <w:fldChar w:fldCharType="separate"/>
          </w:r>
          <w:r>
            <w:rPr>
              <w:rFonts w:ascii="Times New Roman" w:eastAsia="Times New Roman" w:hAnsi="Times New Roman" w:cs="Times New Roman"/>
            </w:rPr>
            <w:t>18</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3o7alnk">
            <w:r>
              <w:rPr>
                <w:rFonts w:ascii="Times New Roman" w:eastAsia="Times New Roman" w:hAnsi="Times New Roman" w:cs="Times New Roman"/>
                <w:color w:val="000000"/>
              </w:rPr>
              <w:t>Evaluation of Inventory and Receivables Management</w:t>
            </w:r>
            <w:r>
              <w:rPr>
                <w:rFonts w:ascii="Times New Roman" w:eastAsia="Times New Roman" w:hAnsi="Times New Roman" w:cs="Times New Roman"/>
                <w:color w:val="000000"/>
              </w:rPr>
              <w:tab/>
            </w:r>
          </w:hyperlink>
          <w:r>
            <w:fldChar w:fldCharType="begin"/>
          </w:r>
          <w:r>
            <w:instrText xml:space="preserve"> PAGEREF _3o7alnk \h </w:instrText>
          </w:r>
          <w:r>
            <w:fldChar w:fldCharType="separate"/>
          </w:r>
          <w:r>
            <w:rPr>
              <w:rFonts w:ascii="Times New Roman" w:eastAsia="Times New Roman" w:hAnsi="Times New Roman" w:cs="Times New Roman"/>
            </w:rPr>
            <w:t>18</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23ckvvd">
            <w:r>
              <w:rPr>
                <w:rFonts w:ascii="Times New Roman" w:eastAsia="Times New Roman" w:hAnsi="Times New Roman" w:cs="Times New Roman"/>
                <w:color w:val="000000"/>
              </w:rPr>
              <w:t>Comparison with Major Competitors</w:t>
            </w:r>
            <w:r>
              <w:rPr>
                <w:rFonts w:ascii="Times New Roman" w:eastAsia="Times New Roman" w:hAnsi="Times New Roman" w:cs="Times New Roman"/>
                <w:color w:val="000000"/>
              </w:rPr>
              <w:tab/>
            </w:r>
          </w:hyperlink>
          <w:r>
            <w:fldChar w:fldCharType="begin"/>
          </w:r>
          <w:r>
            <w:instrText xml:space="preserve"> PAGEREF _23ckvvd \h </w:instrText>
          </w:r>
          <w:r>
            <w:fldChar w:fldCharType="separate"/>
          </w:r>
          <w:r>
            <w:rPr>
              <w:rFonts w:ascii="Times New Roman" w:eastAsia="Times New Roman" w:hAnsi="Times New Roman" w:cs="Times New Roman"/>
            </w:rPr>
            <w:t>19</w:t>
          </w:r>
          <w:r>
            <w:fldChar w:fldCharType="end"/>
          </w:r>
        </w:p>
        <w:p w:rsidR="00062F59" w:rsidRDefault="002E1D68">
          <w:pPr>
            <w:widowControl w:val="0"/>
            <w:tabs>
              <w:tab w:val="right" w:pos="9360"/>
            </w:tabs>
            <w:spacing w:before="60" w:line="360" w:lineRule="auto"/>
            <w:ind w:left="1080"/>
            <w:rPr>
              <w:rFonts w:ascii="Times New Roman" w:eastAsia="Times New Roman" w:hAnsi="Times New Roman" w:cs="Times New Roman"/>
              <w:color w:val="000000"/>
            </w:rPr>
          </w:pPr>
          <w:hyperlink w:anchor="_ihv636">
            <w:r>
              <w:rPr>
                <w:rFonts w:ascii="Times New Roman" w:eastAsia="Times New Roman" w:hAnsi="Times New Roman" w:cs="Times New Roman"/>
                <w:color w:val="000000"/>
              </w:rPr>
              <w:t>Recommendations on Improving Financial Management</w:t>
            </w:r>
            <w:r>
              <w:rPr>
                <w:rFonts w:ascii="Times New Roman" w:eastAsia="Times New Roman" w:hAnsi="Times New Roman" w:cs="Times New Roman"/>
                <w:color w:val="000000"/>
              </w:rPr>
              <w:tab/>
            </w:r>
          </w:hyperlink>
          <w:r>
            <w:fldChar w:fldCharType="begin"/>
          </w:r>
          <w:r>
            <w:instrText xml:space="preserve"> PAGEREF _ihv636 \h </w:instrText>
          </w:r>
          <w:r>
            <w:fldChar w:fldCharType="separate"/>
          </w:r>
          <w:r>
            <w:rPr>
              <w:rFonts w:ascii="Times New Roman" w:eastAsia="Times New Roman" w:hAnsi="Times New Roman" w:cs="Times New Roman"/>
            </w:rPr>
            <w:t>20</w:t>
          </w:r>
          <w:r>
            <w:fldChar w:fldCharType="end"/>
          </w:r>
        </w:p>
        <w:p w:rsidR="00062F59" w:rsidRDefault="002E1D68">
          <w:pPr>
            <w:widowControl w:val="0"/>
            <w:tabs>
              <w:tab w:val="right" w:pos="9360"/>
            </w:tabs>
            <w:spacing w:before="60" w:line="360" w:lineRule="auto"/>
            <w:rPr>
              <w:rFonts w:ascii="Times New Roman" w:eastAsia="Times New Roman" w:hAnsi="Times New Roman" w:cs="Times New Roman"/>
              <w:b/>
              <w:color w:val="000000"/>
            </w:rPr>
          </w:pPr>
          <w:hyperlink w:anchor="_32hioqz">
            <w:r>
              <w:rPr>
                <w:rFonts w:ascii="Times New Roman" w:eastAsia="Times New Roman" w:hAnsi="Times New Roman" w:cs="Times New Roman"/>
                <w:b/>
                <w:color w:val="000000"/>
              </w:rPr>
              <w:t>Part C). Investment Appraisal</w:t>
            </w:r>
            <w:r>
              <w:rPr>
                <w:rFonts w:ascii="Times New Roman" w:eastAsia="Times New Roman" w:hAnsi="Times New Roman" w:cs="Times New Roman"/>
                <w:b/>
                <w:color w:val="000000"/>
              </w:rPr>
              <w:tab/>
            </w:r>
          </w:hyperlink>
          <w:r>
            <w:fldChar w:fldCharType="begin"/>
          </w:r>
          <w:r>
            <w:instrText xml:space="preserve"> PAGEREF _32hioqz \h </w:instrText>
          </w:r>
          <w:r>
            <w:fldChar w:fldCharType="separate"/>
          </w:r>
          <w:r>
            <w:rPr>
              <w:rFonts w:ascii="Times New Roman" w:eastAsia="Times New Roman" w:hAnsi="Times New Roman" w:cs="Times New Roman"/>
              <w:b/>
            </w:rPr>
            <w:t>22</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1hmsyys">
            <w:r>
              <w:rPr>
                <w:rFonts w:ascii="Times New Roman" w:eastAsia="Times New Roman" w:hAnsi="Times New Roman" w:cs="Times New Roman"/>
                <w:color w:val="000000"/>
              </w:rPr>
              <w:t>Payback Period (PBP)</w:t>
            </w:r>
            <w:r>
              <w:rPr>
                <w:rFonts w:ascii="Times New Roman" w:eastAsia="Times New Roman" w:hAnsi="Times New Roman" w:cs="Times New Roman"/>
                <w:color w:val="000000"/>
              </w:rPr>
              <w:tab/>
            </w:r>
          </w:hyperlink>
          <w:r>
            <w:fldChar w:fldCharType="begin"/>
          </w:r>
          <w:r>
            <w:instrText xml:space="preserve"> PAGEREF _1hmsyys \h </w:instrText>
          </w:r>
          <w:r>
            <w:fldChar w:fldCharType="separate"/>
          </w:r>
          <w:r>
            <w:rPr>
              <w:rFonts w:ascii="Times New Roman" w:eastAsia="Times New Roman" w:hAnsi="Times New Roman" w:cs="Times New Roman"/>
            </w:rPr>
            <w:t>22</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41mghml">
            <w:r>
              <w:rPr>
                <w:rFonts w:ascii="Times New Roman" w:eastAsia="Times New Roman" w:hAnsi="Times New Roman" w:cs="Times New Roman"/>
                <w:color w:val="000000"/>
              </w:rPr>
              <w:t>Accounting Rate of Return (ARR)</w:t>
            </w:r>
            <w:r>
              <w:rPr>
                <w:rFonts w:ascii="Times New Roman" w:eastAsia="Times New Roman" w:hAnsi="Times New Roman" w:cs="Times New Roman"/>
                <w:color w:val="000000"/>
              </w:rPr>
              <w:tab/>
            </w:r>
          </w:hyperlink>
          <w:r>
            <w:fldChar w:fldCharType="begin"/>
          </w:r>
          <w:r>
            <w:instrText xml:space="preserve"> PAGEREF _41mghml \h </w:instrText>
          </w:r>
          <w:r>
            <w:fldChar w:fldCharType="separate"/>
          </w:r>
          <w:r>
            <w:rPr>
              <w:rFonts w:ascii="Times New Roman" w:eastAsia="Times New Roman" w:hAnsi="Times New Roman" w:cs="Times New Roman"/>
            </w:rPr>
            <w:t>23</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2grqrue">
            <w:r>
              <w:rPr>
                <w:rFonts w:ascii="Times New Roman" w:eastAsia="Times New Roman" w:hAnsi="Times New Roman" w:cs="Times New Roman"/>
                <w:color w:val="000000"/>
              </w:rPr>
              <w:t>Net Present Value (NPV)</w:t>
            </w:r>
            <w:r>
              <w:rPr>
                <w:rFonts w:ascii="Times New Roman" w:eastAsia="Times New Roman" w:hAnsi="Times New Roman" w:cs="Times New Roman"/>
                <w:color w:val="000000"/>
              </w:rPr>
              <w:tab/>
            </w:r>
          </w:hyperlink>
          <w:r>
            <w:fldChar w:fldCharType="begin"/>
          </w:r>
          <w:r>
            <w:instrText xml:space="preserve"> PAGEREF _2grqrue \h </w:instrText>
          </w:r>
          <w:r>
            <w:fldChar w:fldCharType="separate"/>
          </w:r>
          <w:r>
            <w:rPr>
              <w:rFonts w:ascii="Times New Roman" w:eastAsia="Times New Roman" w:hAnsi="Times New Roman" w:cs="Times New Roman"/>
            </w:rPr>
            <w:t>24</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vx1227">
            <w:r>
              <w:rPr>
                <w:rFonts w:ascii="Times New Roman" w:eastAsia="Times New Roman" w:hAnsi="Times New Roman" w:cs="Times New Roman"/>
                <w:color w:val="000000"/>
              </w:rPr>
              <w:t>Advantages and Shortcomings of Payback Period (PBP)</w:t>
            </w:r>
            <w:r>
              <w:rPr>
                <w:rFonts w:ascii="Times New Roman" w:eastAsia="Times New Roman" w:hAnsi="Times New Roman" w:cs="Times New Roman"/>
                <w:color w:val="000000"/>
              </w:rPr>
              <w:tab/>
            </w:r>
          </w:hyperlink>
          <w:r>
            <w:fldChar w:fldCharType="begin"/>
          </w:r>
          <w:r>
            <w:instrText xml:space="preserve"> PAGEREF _vx1227 \h </w:instrText>
          </w:r>
          <w:r>
            <w:fldChar w:fldCharType="separate"/>
          </w:r>
          <w:r>
            <w:rPr>
              <w:rFonts w:ascii="Times New Roman" w:eastAsia="Times New Roman" w:hAnsi="Times New Roman" w:cs="Times New Roman"/>
            </w:rPr>
            <w:t>25</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3fwokq0">
            <w:r>
              <w:rPr>
                <w:rFonts w:ascii="Times New Roman" w:eastAsia="Times New Roman" w:hAnsi="Times New Roman" w:cs="Times New Roman"/>
                <w:color w:val="000000"/>
              </w:rPr>
              <w:t>Advantages and Shortcomings of Accounting Rate of Return (ARR)</w:t>
            </w:r>
            <w:r>
              <w:rPr>
                <w:rFonts w:ascii="Times New Roman" w:eastAsia="Times New Roman" w:hAnsi="Times New Roman" w:cs="Times New Roman"/>
                <w:color w:val="000000"/>
              </w:rPr>
              <w:tab/>
            </w:r>
          </w:hyperlink>
          <w:r>
            <w:fldChar w:fldCharType="begin"/>
          </w:r>
          <w:r>
            <w:instrText xml:space="preserve"> PAGEREF _3fwokq0 \h </w:instrText>
          </w:r>
          <w:r>
            <w:fldChar w:fldCharType="separate"/>
          </w:r>
          <w:r>
            <w:rPr>
              <w:rFonts w:ascii="Times New Roman" w:eastAsia="Times New Roman" w:hAnsi="Times New Roman" w:cs="Times New Roman"/>
            </w:rPr>
            <w:t>26</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1v1yuxt">
            <w:r>
              <w:rPr>
                <w:rFonts w:ascii="Times New Roman" w:eastAsia="Times New Roman" w:hAnsi="Times New Roman" w:cs="Times New Roman"/>
                <w:color w:val="000000"/>
              </w:rPr>
              <w:t>Advantages and Shortcomings of Net Present Value (NPV) (200 words)</w:t>
            </w:r>
            <w:r>
              <w:rPr>
                <w:rFonts w:ascii="Times New Roman" w:eastAsia="Times New Roman" w:hAnsi="Times New Roman" w:cs="Times New Roman"/>
                <w:color w:val="000000"/>
              </w:rPr>
              <w:tab/>
            </w:r>
          </w:hyperlink>
          <w:r>
            <w:fldChar w:fldCharType="begin"/>
          </w:r>
          <w:r>
            <w:instrText xml:space="preserve"> PAGEREF _1v1yuxt \h </w:instrText>
          </w:r>
          <w:r>
            <w:fldChar w:fldCharType="separate"/>
          </w:r>
          <w:r>
            <w:rPr>
              <w:rFonts w:ascii="Times New Roman" w:eastAsia="Times New Roman" w:hAnsi="Times New Roman" w:cs="Times New Roman"/>
            </w:rPr>
            <w:t>27</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4f1mdlm">
            <w:r>
              <w:rPr>
                <w:rFonts w:ascii="Times New Roman" w:eastAsia="Times New Roman" w:hAnsi="Times New Roman" w:cs="Times New Roman"/>
                <w:color w:val="000000"/>
              </w:rPr>
              <w:t>Non-Financial Factors to Consider</w:t>
            </w:r>
            <w:r>
              <w:rPr>
                <w:rFonts w:ascii="Times New Roman" w:eastAsia="Times New Roman" w:hAnsi="Times New Roman" w:cs="Times New Roman"/>
                <w:color w:val="000000"/>
              </w:rPr>
              <w:tab/>
            </w:r>
          </w:hyperlink>
          <w:r>
            <w:fldChar w:fldCharType="begin"/>
          </w:r>
          <w:r>
            <w:instrText xml:space="preserve"> PAGEREF _4f1mdlm \h </w:instrText>
          </w:r>
          <w:r>
            <w:fldChar w:fldCharType="separate"/>
          </w:r>
          <w:r>
            <w:rPr>
              <w:rFonts w:ascii="Times New Roman" w:eastAsia="Times New Roman" w:hAnsi="Times New Roman" w:cs="Times New Roman"/>
            </w:rPr>
            <w:t>27</w:t>
          </w:r>
          <w:r>
            <w:fldChar w:fldCharType="end"/>
          </w:r>
        </w:p>
        <w:p w:rsidR="00062F59" w:rsidRDefault="002E1D68">
          <w:pPr>
            <w:widowControl w:val="0"/>
            <w:tabs>
              <w:tab w:val="right" w:pos="9360"/>
            </w:tabs>
            <w:spacing w:before="60" w:line="360" w:lineRule="auto"/>
            <w:ind w:left="360"/>
            <w:rPr>
              <w:rFonts w:ascii="Times New Roman" w:eastAsia="Times New Roman" w:hAnsi="Times New Roman" w:cs="Times New Roman"/>
              <w:color w:val="000000"/>
            </w:rPr>
          </w:pPr>
          <w:hyperlink w:anchor="_2u6wntf">
            <w:r>
              <w:rPr>
                <w:rFonts w:ascii="Times New Roman" w:eastAsia="Times New Roman" w:hAnsi="Times New Roman" w:cs="Times New Roman"/>
                <w:color w:val="000000"/>
              </w:rPr>
              <w:t>Conclusion</w:t>
            </w:r>
            <w:r>
              <w:rPr>
                <w:rFonts w:ascii="Times New Roman" w:eastAsia="Times New Roman" w:hAnsi="Times New Roman" w:cs="Times New Roman"/>
                <w:color w:val="000000"/>
              </w:rPr>
              <w:tab/>
            </w:r>
          </w:hyperlink>
          <w:r>
            <w:fldChar w:fldCharType="begin"/>
          </w:r>
          <w:r>
            <w:instrText xml:space="preserve"> PAGEREF _2u6wntf \h </w:instrText>
          </w:r>
          <w:r>
            <w:fldChar w:fldCharType="separate"/>
          </w:r>
          <w:r>
            <w:rPr>
              <w:rFonts w:ascii="Times New Roman" w:eastAsia="Times New Roman" w:hAnsi="Times New Roman" w:cs="Times New Roman"/>
            </w:rPr>
            <w:t>28</w:t>
          </w:r>
          <w:r>
            <w:fldChar w:fldCharType="end"/>
          </w:r>
          <w:r>
            <w:fldChar w:fldCharType="end"/>
          </w:r>
        </w:p>
      </w:sdtContent>
    </w:sdt>
    <w:p w:rsidR="00062F59" w:rsidRDefault="002E1D68">
      <w:pPr>
        <w:spacing w:before="240" w:after="40" w:line="360" w:lineRule="auto"/>
        <w:rPr>
          <w:rFonts w:ascii="Times New Roman" w:eastAsia="Times New Roman" w:hAnsi="Times New Roman" w:cs="Times New Roman"/>
        </w:rPr>
      </w:pPr>
      <w:r>
        <w:br w:type="page"/>
      </w:r>
    </w:p>
    <w:p w:rsidR="00062F59" w:rsidRDefault="002E1D68">
      <w:pPr>
        <w:pStyle w:val="Heading1"/>
        <w:keepNext w:val="0"/>
        <w:keepLines w:val="0"/>
        <w:spacing w:before="240" w:after="40" w:line="360" w:lineRule="auto"/>
        <w:rPr>
          <w:rFonts w:ascii="Times New Roman" w:eastAsia="Times New Roman" w:hAnsi="Times New Roman" w:cs="Times New Roman"/>
          <w:b/>
          <w:sz w:val="26"/>
          <w:szCs w:val="26"/>
        </w:rPr>
      </w:pPr>
      <w:bookmarkStart w:id="0" w:name="_gjdgxs" w:colFirst="0" w:colLast="0"/>
      <w:bookmarkEnd w:id="0"/>
      <w:r>
        <w:rPr>
          <w:rFonts w:ascii="Times New Roman" w:eastAsia="Times New Roman" w:hAnsi="Times New Roman" w:cs="Times New Roman"/>
          <w:b/>
          <w:sz w:val="26"/>
          <w:szCs w:val="26"/>
        </w:rPr>
        <w:lastRenderedPageBreak/>
        <w:t xml:space="preserve">Part A) Introduction </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Ford Industry refers to the automotive industry, which is a significant sector of the global economy. Henry Ford is the founder of Ford Motor Company which was established on June 16th 1903., a Fortune 500 company based in Dearborn, Michigan. Large-scale production and the moving assembly line were introduced to lower production costs and make cars more affordable for the average buyer (Trainer, 2022). The Model T, produced in 1908, symbolised Fordism and inexpensive transportation (Ford Motor Company (</w:t>
      </w:r>
      <w:r>
        <w:rPr>
          <w:rFonts w:ascii="Times New Roman" w:eastAsia="Times New Roman" w:hAnsi="Times New Roman" w:cs="Times New Roman"/>
          <w:sz w:val="24"/>
          <w:szCs w:val="24"/>
        </w:rPr>
        <w:t>2020), Botelho (2004)).</w:t>
      </w:r>
    </w:p>
    <w:p w:rsidR="00062F59" w:rsidRDefault="002E1D68">
      <w:pPr>
        <w:pStyle w:val="Heading2"/>
        <w:keepNext w:val="0"/>
        <w:keepLines w:val="0"/>
        <w:spacing w:before="240" w:after="40" w:line="360" w:lineRule="auto"/>
        <w:rPr>
          <w:rFonts w:ascii="Times New Roman" w:eastAsia="Times New Roman" w:hAnsi="Times New Roman" w:cs="Times New Roman"/>
          <w:b/>
          <w:sz w:val="24"/>
          <w:szCs w:val="24"/>
        </w:rPr>
      </w:pPr>
      <w:bookmarkStart w:id="1" w:name="_30j0zll" w:colFirst="0" w:colLast="0"/>
      <w:bookmarkEnd w:id="1"/>
      <w:r>
        <w:rPr>
          <w:rFonts w:ascii="Times New Roman" w:eastAsia="Times New Roman" w:hAnsi="Times New Roman" w:cs="Times New Roman"/>
          <w:b/>
          <w:sz w:val="24"/>
          <w:szCs w:val="24"/>
        </w:rPr>
        <w:t>Business Model</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Ford’s business strategy is to provide automotive vehicles through the design, manufacturing, </w:t>
      </w:r>
      <w:r>
        <w:rPr>
          <w:rFonts w:ascii="Times New Roman" w:eastAsia="Times New Roman" w:hAnsi="Times New Roman" w:cs="Times New Roman"/>
          <w:sz w:val="24"/>
          <w:szCs w:val="24"/>
          <w:highlight w:val="white"/>
        </w:rPr>
        <w:t>sale, and distribution of Ford cars, trucks, SUVs, electric vehicles, and Lincoln luxury vehicles. The company operates through three primary segments: Automotive, Mobility, and Ford Credit and gets into very specific details regarding each one of those</w:t>
      </w:r>
      <w:r>
        <w:rPr>
          <w:rFonts w:ascii="Times New Roman" w:eastAsia="Times New Roman" w:hAnsi="Times New Roman" w:cs="Times New Roman"/>
          <w:sz w:val="24"/>
          <w:szCs w:val="24"/>
        </w:rPr>
        <w:t xml:space="preserve"> (Forbes, 2024).</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Automotive segment deals in the sales of vehicles, parts, and accessories for use in different parts of the globe. As defined by Abuelsamid (2019), the Mobility segment involves the creation of self-driving cars and other solutions via Ford Smart Mobility LLC. Ford Credit is involved in vehicle-related financing and leasing services. As for the strategy, it can be noted that Ford focuses on electric and autonomous vehicles, connectivity services, and the improvement of the customer journey by using digital </w:t>
      </w:r>
      <w:r>
        <w:rPr>
          <w:rFonts w:ascii="Times New Roman" w:eastAsia="Times New Roman" w:hAnsi="Times New Roman" w:cs="Times New Roman"/>
          <w:sz w:val="24"/>
          <w:szCs w:val="24"/>
        </w:rPr>
        <w:t>and physical touchpoints.</w:t>
      </w:r>
    </w:p>
    <w:p w:rsidR="00062F59" w:rsidRDefault="002E1D68">
      <w:pPr>
        <w:pStyle w:val="Heading2"/>
        <w:keepNext w:val="0"/>
        <w:keepLines w:val="0"/>
        <w:spacing w:before="240" w:after="40" w:line="360" w:lineRule="auto"/>
        <w:rPr>
          <w:rFonts w:ascii="Times New Roman" w:eastAsia="Times New Roman" w:hAnsi="Times New Roman" w:cs="Times New Roman"/>
          <w:b/>
          <w:sz w:val="24"/>
          <w:szCs w:val="24"/>
        </w:rPr>
      </w:pPr>
      <w:bookmarkStart w:id="2" w:name="_1fob9te" w:colFirst="0" w:colLast="0"/>
      <w:bookmarkEnd w:id="2"/>
      <w:r>
        <w:rPr>
          <w:rFonts w:ascii="Times New Roman" w:eastAsia="Times New Roman" w:hAnsi="Times New Roman" w:cs="Times New Roman"/>
          <w:b/>
          <w:sz w:val="24"/>
          <w:szCs w:val="24"/>
        </w:rPr>
        <w:t>Marketplace</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 operates in a highly competitive global marketplace. It has a significant presence in North America, Europe, Asia, and South America (Trainer, 2022a). The company’s extensive dealership network ensures a strong market presence and accessibility for consumers. Ford’s product portfolio includes iconic models including the Ford F-Series, Mustang, and the all-electric Mustang Mach-E. The company is committed to sustainability, concentrating on the creation of electric and hybrid cars with low carbon emissi</w:t>
      </w:r>
      <w:r>
        <w:rPr>
          <w:rFonts w:ascii="Times New Roman" w:eastAsia="Times New Roman" w:hAnsi="Times New Roman" w:cs="Times New Roman"/>
          <w:sz w:val="24"/>
          <w:szCs w:val="24"/>
        </w:rPr>
        <w:t>ons and meeting stringent regulatory requirements.</w:t>
      </w:r>
    </w:p>
    <w:p w:rsidR="00062F59" w:rsidRDefault="002E1D68">
      <w:pPr>
        <w:pStyle w:val="Heading2"/>
        <w:keepNext w:val="0"/>
        <w:keepLines w:val="0"/>
        <w:spacing w:before="240" w:after="40" w:line="360" w:lineRule="auto"/>
        <w:rPr>
          <w:rFonts w:ascii="Times New Roman" w:eastAsia="Times New Roman" w:hAnsi="Times New Roman" w:cs="Times New Roman"/>
          <w:sz w:val="24"/>
          <w:szCs w:val="24"/>
        </w:rPr>
      </w:pPr>
      <w:bookmarkStart w:id="3" w:name="_3znysh7" w:colFirst="0" w:colLast="0"/>
      <w:bookmarkEnd w:id="3"/>
      <w:r>
        <w:rPr>
          <w:rFonts w:ascii="Times New Roman" w:eastAsia="Times New Roman" w:hAnsi="Times New Roman" w:cs="Times New Roman"/>
          <w:b/>
          <w:sz w:val="24"/>
          <w:szCs w:val="24"/>
        </w:rPr>
        <w:t>Major Competitors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 General Motors: General Motors encompasses all class types of competitors (General Motors, 2022). Ranging from Supermini, referred to as a Small Family car (Chevrolet Cruze) to Luxury Sports Utility Vehicles (Cadillac Escalade) and Heavy Duty Pickup (GMC Sierra).</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Toyota Motor Corporation: Currently, Toyota’s strong competitor is the small cars and hybrid cars categories where it has models such as the Corolla and Camry. Their luxury car, Lexus, rivals Ford's luxury car division, Lincoln (Toyota Motor, 2024).</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Fiat Chrysler Automobiles (Chrysler, Dodge, Jeep, Ram): FCA is a significant competitor in the truck and SUV segments, with popular models like the Jeep Wrangler and Ram 1500. They also offer a range of passenger cars, like the Chrysler 300 (Harley, 2023).</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Tesla, Inc. (Tesla): Tesla is a specialised competitor, focusing exclusively on electric vehicles (EVs). Currently, they have various EV models, the sedans which include the model 3, the performance luxury cars, model S, and the model X.</w:t>
      </w:r>
    </w:p>
    <w:p w:rsidR="00062F59" w:rsidRDefault="002E1D68">
      <w:pPr>
        <w:pStyle w:val="Heading2"/>
        <w:spacing w:before="240" w:after="240" w:line="360" w:lineRule="auto"/>
        <w:rPr>
          <w:rFonts w:ascii="Times New Roman" w:eastAsia="Times New Roman" w:hAnsi="Times New Roman" w:cs="Times New Roman"/>
          <w:b/>
          <w:sz w:val="26"/>
          <w:szCs w:val="26"/>
        </w:rPr>
      </w:pPr>
      <w:bookmarkStart w:id="4" w:name="_2et92p0" w:colFirst="0" w:colLast="0"/>
      <w:bookmarkEnd w:id="4"/>
      <w:r>
        <w:rPr>
          <w:rFonts w:ascii="Times New Roman" w:eastAsia="Times New Roman" w:hAnsi="Times New Roman" w:cs="Times New Roman"/>
          <w:b/>
          <w:sz w:val="26"/>
          <w:szCs w:val="26"/>
        </w:rPr>
        <w:t xml:space="preserve">Major Event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Here are some major events over the past five years that may have been significant in shaping Ford’s business operations and results:</w:t>
      </w:r>
    </w:p>
    <w:p w:rsidR="00062F59" w:rsidRDefault="002E1D68">
      <w:pPr>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March 2022 </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color w:val="101828"/>
          <w:sz w:val="24"/>
          <w:szCs w:val="24"/>
          <w:highlight w:val="white"/>
        </w:rPr>
        <w:t>Ford Motor Company announced a significant restructuring to accelerate its electric and connected vehicle development by forming two distinct auto businesses: Ford Blue and Ford Model e</w:t>
      </w:r>
      <w:r>
        <w:rPr>
          <w:rFonts w:ascii="Times New Roman" w:eastAsia="Times New Roman" w:hAnsi="Times New Roman" w:cs="Times New Roman"/>
          <w:sz w:val="24"/>
          <w:szCs w:val="24"/>
        </w:rPr>
        <w:t xml:space="preserve"> (Ford, 2022). Adopted from Domonoske (2022), Ford Blue is dedicated to internal combustion engine vehicles and the traditional automotive business, while Ford Model e focuses on electric vehicles, autonomous driving, and digital services. This restructuring aims to enhance innovation, efficiency, and customer experience.</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September 2023</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Ford undertook crucial management changes to enhance the firm’s strategic management. Elena Ford was appointed as the Chief Dealer Engagement Officer responsible for strengthening Ford’s connection with its dealers and ensuring customer satisfaction. Lisa Materazzo was chosen for </w:t>
      </w:r>
      <w:r>
        <w:rPr>
          <w:rFonts w:ascii="Times New Roman" w:eastAsia="Times New Roman" w:hAnsi="Times New Roman" w:cs="Times New Roman"/>
          <w:sz w:val="24"/>
          <w:szCs w:val="24"/>
        </w:rPr>
        <w:lastRenderedPageBreak/>
        <w:t>the position of Global Chief Marketing Officer, which made her oversee the aspects of brand, marketing and customers (Ford, 2023).</w:t>
      </w:r>
    </w:p>
    <w:p w:rsidR="00062F59" w:rsidRDefault="002E1D68">
      <w:pPr>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July 2024</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 said that it intends to begin building F-Series Super Duty pickups that it would export from the Oakville Assembly Complex in Ontario, Canada in 2026. (Ford, 2024). This is intended to increase production capacity and meet F-Series Super Duty series market demand. To accommodate the new production line, Oakville must invest in its current facility.</w:t>
      </w:r>
    </w:p>
    <w:p w:rsidR="00062F59" w:rsidRDefault="002E1D68">
      <w:pPr>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July 2024 </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Adriana Cisneros was elected to the Ford Motor Company board. Ford's Innovation and Environment role will benefit from Cisneros' media, marketing, and sustainability experience. The appointment broadens the board's skills and demography.</w:t>
      </w:r>
    </w:p>
    <w:p w:rsidR="00062F59" w:rsidRDefault="002E1D68">
      <w:pPr>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May 2024 </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CFO, John Lawler, discussed Ford+ implementation at the Deutsche Bank 2024 Global Automotive Conference. Lawler emphasised electric car R&amp;D, digital services, and cost-cutting. He reiterated Ford's goal of sustained profitability and growth, saying Ford+ can help.</w:t>
      </w:r>
    </w:p>
    <w:p w:rsidR="00062F59" w:rsidRDefault="00062F59">
      <w:pPr>
        <w:spacing w:line="360" w:lineRule="auto"/>
        <w:rPr>
          <w:rFonts w:ascii="Times New Roman" w:eastAsia="Times New Roman" w:hAnsi="Times New Roman" w:cs="Times New Roman"/>
          <w:sz w:val="24"/>
          <w:szCs w:val="24"/>
        </w:rPr>
      </w:pPr>
    </w:p>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br w:type="page"/>
      </w:r>
    </w:p>
    <w:p w:rsidR="00062F59" w:rsidRDefault="002E1D68">
      <w:pPr>
        <w:pStyle w:val="Heading1"/>
        <w:keepNext w:val="0"/>
        <w:keepLines w:val="0"/>
        <w:spacing w:before="240" w:after="40" w:line="360" w:lineRule="auto"/>
        <w:rPr>
          <w:rFonts w:ascii="Times New Roman" w:eastAsia="Times New Roman" w:hAnsi="Times New Roman" w:cs="Times New Roman"/>
          <w:b/>
          <w:sz w:val="26"/>
          <w:szCs w:val="26"/>
        </w:rPr>
      </w:pPr>
      <w:bookmarkStart w:id="5" w:name="_tyjcwt" w:colFirst="0" w:colLast="0"/>
      <w:bookmarkEnd w:id="5"/>
      <w:r>
        <w:rPr>
          <w:rFonts w:ascii="Times New Roman" w:eastAsia="Times New Roman" w:hAnsi="Times New Roman" w:cs="Times New Roman"/>
          <w:b/>
          <w:sz w:val="26"/>
          <w:szCs w:val="26"/>
        </w:rPr>
        <w:lastRenderedPageBreak/>
        <w:t xml:space="preserve">Part B) Financial Performance Review  </w:t>
      </w:r>
    </w:p>
    <w:p w:rsidR="00062F59" w:rsidRDefault="002E1D68">
      <w:pPr>
        <w:pStyle w:val="Heading3"/>
        <w:keepNext w:val="0"/>
        <w:keepLines w:val="0"/>
        <w:spacing w:before="240" w:after="40" w:line="360" w:lineRule="auto"/>
        <w:rPr>
          <w:rFonts w:ascii="Times New Roman" w:eastAsia="Times New Roman" w:hAnsi="Times New Roman" w:cs="Times New Roman"/>
          <w:b/>
          <w:color w:val="000000"/>
          <w:sz w:val="26"/>
          <w:szCs w:val="26"/>
        </w:rPr>
      </w:pPr>
      <w:bookmarkStart w:id="6" w:name="_3dy6vkm" w:colFirst="0" w:colLast="0"/>
      <w:bookmarkEnd w:id="6"/>
      <w:r>
        <w:rPr>
          <w:rFonts w:ascii="Times New Roman" w:eastAsia="Times New Roman" w:hAnsi="Times New Roman" w:cs="Times New Roman"/>
          <w:b/>
          <w:color w:val="000000"/>
          <w:sz w:val="26"/>
          <w:szCs w:val="26"/>
        </w:rPr>
        <w:t xml:space="preserve">Profitability Ratios </w:t>
      </w:r>
    </w:p>
    <w:p w:rsidR="00062F59" w:rsidRDefault="002E1D68">
      <w:pPr>
        <w:pStyle w:val="Heading4"/>
        <w:numPr>
          <w:ilvl w:val="0"/>
          <w:numId w:val="6"/>
        </w:numPr>
        <w:spacing w:before="240" w:after="240" w:line="360" w:lineRule="auto"/>
      </w:pPr>
      <w:bookmarkStart w:id="7" w:name="_1t3h5sf" w:colFirst="0" w:colLast="0"/>
      <w:bookmarkEnd w:id="7"/>
      <w:r>
        <w:rPr>
          <w:rFonts w:ascii="Times New Roman" w:eastAsia="Times New Roman" w:hAnsi="Times New Roman" w:cs="Times New Roman"/>
          <w:b/>
          <w:color w:val="000000"/>
        </w:rPr>
        <w:t>Gross Profit Margin</w:t>
      </w:r>
      <w:r>
        <w:rPr>
          <w:rFonts w:ascii="Times New Roman" w:eastAsia="Times New Roman" w:hAnsi="Times New Roman" w:cs="Times New Roman"/>
          <w:b/>
          <w:color w:val="000000"/>
        </w:rPr>
        <w:t>:</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Gross Profit Margin = (RevenueGross Profit​)×100</w:t>
      </w:r>
    </w:p>
    <w:p w:rsidR="00062F59" w:rsidRDefault="00062F59">
      <w:pPr>
        <w:spacing w:line="360" w:lineRule="auto"/>
        <w:rPr>
          <w:rFonts w:ascii="Times New Roman" w:eastAsia="Times New Roman" w:hAnsi="Times New Roman" w:cs="Times New Roman"/>
          <w:sz w:val="24"/>
          <w:szCs w:val="24"/>
        </w:rPr>
      </w:pPr>
    </w:p>
    <w:tbl>
      <w:tblPr>
        <w:tblStyle w:val="a"/>
        <w:tblW w:w="5310"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2040"/>
        <w:gridCol w:w="3270"/>
      </w:tblGrid>
      <w:tr w:rsidR="00062F59">
        <w:trPr>
          <w:trHeight w:val="324"/>
        </w:trPr>
        <w:tc>
          <w:tcPr>
            <w:tcW w:w="20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3270" w:type="dxa"/>
            <w:tcBorders>
              <w:top w:val="single" w:sz="6" w:space="0" w:color="CCCCCC"/>
              <w:left w:val="single" w:sz="6" w:space="0" w:color="CCCCCC"/>
              <w:bottom w:val="single" w:sz="6" w:space="0" w:color="CCCCCC"/>
              <w:right w:val="single" w:sz="6" w:space="0" w:color="000000"/>
            </w:tcBorders>
            <w:tcMar>
              <w:top w:w="40" w:type="dxa"/>
              <w:left w:w="0" w:type="dxa"/>
              <w:bottom w:w="40" w:type="dxa"/>
              <w:right w:w="0" w:type="dxa"/>
            </w:tcMar>
            <w:vAlign w:val="bottom"/>
          </w:tcPr>
          <w:p w:rsidR="00062F59" w:rsidRDefault="002E1D68">
            <w:pPr>
              <w:widowControl w:val="0"/>
              <w:spacing w:line="360" w:lineRule="auto"/>
              <w:ind w:left="-9360" w:right="-9360"/>
              <w:rPr>
                <w:rFonts w:ascii="Times New Roman" w:eastAsia="Times New Roman" w:hAnsi="Times New Roman" w:cs="Times New Roman"/>
                <w:b/>
                <w:sz w:val="20"/>
                <w:szCs w:val="20"/>
              </w:rPr>
            </w:pPr>
            <w:r>
              <w:rPr>
                <w:rFonts w:ascii="Times New Roman" w:eastAsia="Times New Roman" w:hAnsi="Times New Roman" w:cs="Times New Roman"/>
                <w:b/>
                <w:sz w:val="20"/>
                <w:szCs w:val="20"/>
              </w:rPr>
              <w:t>Gross Profit Margin</w:t>
            </w:r>
          </w:p>
        </w:tc>
      </w:tr>
      <w:tr w:rsidR="00062F59">
        <w:trPr>
          <w:trHeight w:val="315"/>
        </w:trPr>
        <w:tc>
          <w:tcPr>
            <w:tcW w:w="20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32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14.11%</w:t>
            </w:r>
          </w:p>
        </w:tc>
      </w:tr>
      <w:tr w:rsidR="00062F59">
        <w:trPr>
          <w:trHeight w:val="315"/>
        </w:trPr>
        <w:tc>
          <w:tcPr>
            <w:tcW w:w="20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32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14.16%</w:t>
            </w:r>
          </w:p>
        </w:tc>
      </w:tr>
      <w:tr w:rsidR="00062F59">
        <w:trPr>
          <w:trHeight w:val="315"/>
        </w:trPr>
        <w:tc>
          <w:tcPr>
            <w:tcW w:w="20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32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14.30%</w:t>
            </w:r>
          </w:p>
        </w:tc>
      </w:tr>
      <w:tr w:rsidR="00062F59">
        <w:trPr>
          <w:trHeight w:val="315"/>
        </w:trPr>
        <w:tc>
          <w:tcPr>
            <w:tcW w:w="20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32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14.55%</w:t>
            </w:r>
          </w:p>
        </w:tc>
      </w:tr>
      <w:tr w:rsidR="00062F59">
        <w:trPr>
          <w:trHeight w:val="315"/>
        </w:trPr>
        <w:tc>
          <w:tcPr>
            <w:tcW w:w="20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32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14.68%</w:t>
            </w:r>
          </w:p>
        </w:tc>
      </w:tr>
    </w:tbl>
    <w:p w:rsidR="00062F59" w:rsidRDefault="00062F59">
      <w:pPr>
        <w:spacing w:line="360" w:lineRule="auto"/>
        <w:rPr>
          <w:rFonts w:ascii="Times New Roman" w:eastAsia="Times New Roman" w:hAnsi="Times New Roman" w:cs="Times New Roman"/>
          <w:b/>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Gross Profit Margin shows a minor but significant increase in production efficiency and cost control throughout the five years.</w:t>
      </w:r>
    </w:p>
    <w:p w:rsidR="00062F59" w:rsidRDefault="002E1D68">
      <w:pPr>
        <w:pStyle w:val="Heading4"/>
        <w:numPr>
          <w:ilvl w:val="0"/>
          <w:numId w:val="6"/>
        </w:numPr>
        <w:spacing w:before="240" w:after="240" w:line="360" w:lineRule="auto"/>
      </w:pPr>
      <w:bookmarkStart w:id="8" w:name="_4d34og8" w:colFirst="0" w:colLast="0"/>
      <w:bookmarkEnd w:id="8"/>
      <w:r>
        <w:rPr>
          <w:rFonts w:ascii="Times New Roman" w:eastAsia="Times New Roman" w:hAnsi="Times New Roman" w:cs="Times New Roman"/>
          <w:b/>
          <w:color w:val="000000"/>
        </w:rPr>
        <w:t>Net Profit Margin:</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Margin = (RevenueNet Income​)×100</w:t>
      </w:r>
    </w:p>
    <w:p w:rsidR="00062F59" w:rsidRDefault="00062F59">
      <w:pPr>
        <w:spacing w:line="360" w:lineRule="auto"/>
        <w:rPr>
          <w:rFonts w:ascii="Times New Roman" w:eastAsia="Times New Roman" w:hAnsi="Times New Roman" w:cs="Times New Roman"/>
          <w:sz w:val="24"/>
          <w:szCs w:val="24"/>
        </w:rPr>
      </w:pPr>
    </w:p>
    <w:tbl>
      <w:tblPr>
        <w:tblStyle w:val="a0"/>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Net Profit Margin</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0.03%</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13.13%</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11.32%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11.19%</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Net Profit Margin indicates that 2020 was a challenging year for Ford due to the pandemic, but there was a significant rebound in 2021. The subsequent years show stabilized profitability, reflecting strong recovery efforts.</w:t>
      </w:r>
    </w:p>
    <w:p w:rsidR="00062F59" w:rsidRDefault="002E1D68">
      <w:pPr>
        <w:pStyle w:val="Heading4"/>
        <w:numPr>
          <w:ilvl w:val="0"/>
          <w:numId w:val="6"/>
        </w:numPr>
        <w:spacing w:before="240" w:after="240" w:line="360" w:lineRule="auto"/>
      </w:pPr>
      <w:bookmarkStart w:id="9" w:name="_2s8eyo1" w:colFirst="0" w:colLast="0"/>
      <w:bookmarkEnd w:id="9"/>
      <w:r>
        <w:rPr>
          <w:rFonts w:ascii="Times New Roman" w:eastAsia="Times New Roman" w:hAnsi="Times New Roman" w:cs="Times New Roman"/>
          <w:b/>
          <w:color w:val="000000"/>
        </w:rPr>
        <w:lastRenderedPageBreak/>
        <w:t xml:space="preserve">Return on Assets (ROA):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ROA = (Total AssetsNet Income​)×100</w:t>
      </w:r>
    </w:p>
    <w:p w:rsidR="00062F59" w:rsidRDefault="00062F59">
      <w:pPr>
        <w:spacing w:line="360" w:lineRule="auto"/>
        <w:rPr>
          <w:rFonts w:ascii="Times New Roman" w:eastAsia="Times New Roman" w:hAnsi="Times New Roman" w:cs="Times New Roman"/>
          <w:sz w:val="24"/>
          <w:szCs w:val="24"/>
        </w:rPr>
      </w:pPr>
    </w:p>
    <w:tbl>
      <w:tblPr>
        <w:tblStyle w:val="a1"/>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ROA</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0.02%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-0.49%</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6.96%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6.93%</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6.91%</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ROA trend mirrors the Net Profit Margin, with a substantial improvement in 2021. The steady performance in the following years suggests Ford's assets are being utilized effectively post-recovery.</w:t>
      </w:r>
    </w:p>
    <w:p w:rsidR="00062F59" w:rsidRDefault="002E1D68">
      <w:pPr>
        <w:pStyle w:val="Heading4"/>
        <w:numPr>
          <w:ilvl w:val="0"/>
          <w:numId w:val="6"/>
        </w:numPr>
        <w:spacing w:before="240" w:after="240" w:line="360" w:lineRule="auto"/>
      </w:pPr>
      <w:bookmarkStart w:id="10" w:name="_17dp8vu" w:colFirst="0" w:colLast="0"/>
      <w:bookmarkEnd w:id="10"/>
      <w:r>
        <w:rPr>
          <w:rFonts w:ascii="Times New Roman" w:eastAsia="Times New Roman" w:hAnsi="Times New Roman" w:cs="Times New Roman"/>
          <w:b/>
          <w:color w:val="000000"/>
        </w:rPr>
        <w:t xml:space="preserve"> Return on Equity (ROE):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ROE = (Net Income​/Equity)×100</w:t>
      </w:r>
    </w:p>
    <w:p w:rsidR="00062F59" w:rsidRDefault="00062F59">
      <w:pPr>
        <w:spacing w:line="360" w:lineRule="auto"/>
        <w:rPr>
          <w:rFonts w:ascii="Times New Roman" w:eastAsia="Times New Roman" w:hAnsi="Times New Roman" w:cs="Times New Roman"/>
          <w:sz w:val="24"/>
          <w:szCs w:val="24"/>
        </w:rPr>
      </w:pPr>
    </w:p>
    <w:tbl>
      <w:tblPr>
        <w:tblStyle w:val="a2"/>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ROE</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0.14%</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-4.11%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49.58%</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50.00%</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49.72%</w:t>
            </w:r>
          </w:p>
        </w:tc>
      </w:tr>
    </w:tbl>
    <w:p w:rsidR="00062F59" w:rsidRDefault="00062F59">
      <w:pPr>
        <w:spacing w:line="360" w:lineRule="auto"/>
        <w:rPr>
          <w:rFonts w:ascii="Times New Roman" w:eastAsia="Times New Roman" w:hAnsi="Times New Roman" w:cs="Times New Roman"/>
          <w:b/>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ROE shows dramatic fluctuations, with a significant negative impact in 2020 followed by a very high return in 2021. The high ROE in subsequent years indicates excellent returns for shareholders post-2020, but this also suggests potential volatility in equity returns.</w:t>
      </w:r>
    </w:p>
    <w:p w:rsidR="00062F59" w:rsidRDefault="002E1D68">
      <w:pPr>
        <w:pStyle w:val="Heading3"/>
        <w:keepNext w:val="0"/>
        <w:keepLines w:val="0"/>
        <w:spacing w:before="240" w:after="40" w:line="360" w:lineRule="auto"/>
        <w:rPr>
          <w:rFonts w:ascii="Times New Roman" w:eastAsia="Times New Roman" w:hAnsi="Times New Roman" w:cs="Times New Roman"/>
          <w:b/>
          <w:color w:val="000000"/>
          <w:sz w:val="26"/>
          <w:szCs w:val="26"/>
        </w:rPr>
      </w:pPr>
      <w:bookmarkStart w:id="11" w:name="_3rdcrjn" w:colFirst="0" w:colLast="0"/>
      <w:bookmarkEnd w:id="11"/>
      <w:r>
        <w:rPr>
          <w:rFonts w:ascii="Times New Roman" w:eastAsia="Times New Roman" w:hAnsi="Times New Roman" w:cs="Times New Roman"/>
          <w:b/>
          <w:color w:val="000000"/>
          <w:sz w:val="26"/>
          <w:szCs w:val="26"/>
        </w:rPr>
        <w:t xml:space="preserve">Liquidity Ratios </w:t>
      </w:r>
    </w:p>
    <w:p w:rsidR="00062F59" w:rsidRDefault="002E1D68">
      <w:pPr>
        <w:pStyle w:val="Heading4"/>
        <w:numPr>
          <w:ilvl w:val="0"/>
          <w:numId w:val="6"/>
        </w:numPr>
        <w:spacing w:before="240" w:after="240" w:line="360" w:lineRule="auto"/>
      </w:pPr>
      <w:bookmarkStart w:id="12" w:name="_26in1rg" w:colFirst="0" w:colLast="0"/>
      <w:bookmarkEnd w:id="12"/>
      <w:r>
        <w:rPr>
          <w:rFonts w:ascii="Times New Roman" w:eastAsia="Times New Roman" w:hAnsi="Times New Roman" w:cs="Times New Roman"/>
          <w:b/>
          <w:color w:val="000000"/>
        </w:rPr>
        <w:lastRenderedPageBreak/>
        <w:t xml:space="preserve">Current Ratio: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 = Current Assets​/Current Assets</w:t>
      </w:r>
    </w:p>
    <w:p w:rsidR="00062F59" w:rsidRDefault="00062F59">
      <w:pPr>
        <w:spacing w:line="360" w:lineRule="auto"/>
        <w:rPr>
          <w:rFonts w:ascii="Times New Roman" w:eastAsia="Times New Roman" w:hAnsi="Times New Roman" w:cs="Times New Roman"/>
          <w:sz w:val="24"/>
          <w:szCs w:val="24"/>
        </w:rPr>
      </w:pPr>
    </w:p>
    <w:tbl>
      <w:tblPr>
        <w:tblStyle w:val="a3"/>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Current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1.25</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Current Ratio has remained relatively stable, indicating consistent liquidity management. The company maintains a healthy balance between its current assets and current liabilities.</w:t>
      </w:r>
    </w:p>
    <w:p w:rsidR="00062F59" w:rsidRDefault="002E1D68">
      <w:pPr>
        <w:pStyle w:val="Heading4"/>
        <w:numPr>
          <w:ilvl w:val="0"/>
          <w:numId w:val="6"/>
        </w:numPr>
        <w:spacing w:before="240" w:after="240" w:line="360" w:lineRule="auto"/>
      </w:pPr>
      <w:bookmarkStart w:id="13" w:name="_lnxbz9" w:colFirst="0" w:colLast="0"/>
      <w:bookmarkEnd w:id="13"/>
      <w:r>
        <w:rPr>
          <w:rFonts w:ascii="Times New Roman" w:eastAsia="Times New Roman" w:hAnsi="Times New Roman" w:cs="Times New Roman"/>
          <w:b/>
          <w:color w:val="000000"/>
        </w:rPr>
        <w:t>Quick Ratio:</w:t>
      </w:r>
    </w:p>
    <w:p w:rsidR="00062F59" w:rsidRDefault="002E1D68">
      <w:pPr>
        <w:spacing w:line="360" w:lineRule="auto"/>
        <w:rPr>
          <w:rFonts w:ascii="Times New Roman" w:eastAsia="Times New Roman" w:hAnsi="Times New Roman" w:cs="Times New Roman"/>
          <w:sz w:val="24"/>
          <w:szCs w:val="24"/>
        </w:rPr>
      </w:pPr>
      <w:r>
        <w:rPr>
          <w:rFonts w:ascii="Gungsuh" w:eastAsia="Gungsuh" w:hAnsi="Gungsuh" w:cs="Gungsuh"/>
          <w:sz w:val="24"/>
          <w:szCs w:val="24"/>
        </w:rPr>
        <w:t>Quick Ratio = Current Assets−Inventory/ Current Liabilities</w:t>
      </w:r>
    </w:p>
    <w:p w:rsidR="00062F59" w:rsidRDefault="00062F59">
      <w:pPr>
        <w:spacing w:line="360" w:lineRule="auto"/>
        <w:rPr>
          <w:rFonts w:ascii="Times New Roman" w:eastAsia="Times New Roman" w:hAnsi="Times New Roman" w:cs="Times New Roman"/>
          <w:sz w:val="24"/>
          <w:szCs w:val="24"/>
        </w:rPr>
      </w:pPr>
    </w:p>
    <w:tbl>
      <w:tblPr>
        <w:tblStyle w:val="a4"/>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Quick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1.03</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Quick Ratio follows the Current Ratio and implies that Ford has enough easily liquidated assets to offset its current Assets even without inventories. This indicates that the company is financially secure and able to compensate its workers.</w:t>
      </w:r>
    </w:p>
    <w:p w:rsidR="00062F59" w:rsidRDefault="002E1D68">
      <w:pPr>
        <w:pStyle w:val="Heading3"/>
        <w:keepNext w:val="0"/>
        <w:keepLines w:val="0"/>
        <w:spacing w:before="240" w:after="40" w:line="360" w:lineRule="auto"/>
        <w:rPr>
          <w:rFonts w:ascii="Times New Roman" w:eastAsia="Times New Roman" w:hAnsi="Times New Roman" w:cs="Times New Roman"/>
          <w:b/>
          <w:color w:val="000000"/>
          <w:sz w:val="26"/>
          <w:szCs w:val="26"/>
        </w:rPr>
      </w:pPr>
      <w:bookmarkStart w:id="14" w:name="_35nkun2" w:colFirst="0" w:colLast="0"/>
      <w:bookmarkEnd w:id="14"/>
      <w:r>
        <w:rPr>
          <w:rFonts w:ascii="Times New Roman" w:eastAsia="Times New Roman" w:hAnsi="Times New Roman" w:cs="Times New Roman"/>
          <w:b/>
          <w:color w:val="000000"/>
          <w:sz w:val="26"/>
          <w:szCs w:val="26"/>
        </w:rPr>
        <w:t xml:space="preserve"> Gearing Ratios </w:t>
      </w:r>
    </w:p>
    <w:p w:rsidR="00062F59" w:rsidRDefault="002E1D68">
      <w:pPr>
        <w:pStyle w:val="Heading4"/>
        <w:numPr>
          <w:ilvl w:val="0"/>
          <w:numId w:val="6"/>
        </w:numPr>
        <w:spacing w:before="240" w:after="240" w:line="360" w:lineRule="auto"/>
      </w:pPr>
      <w:bookmarkStart w:id="15" w:name="_1ksv4uv" w:colFirst="0" w:colLast="0"/>
      <w:bookmarkEnd w:id="15"/>
      <w:r>
        <w:rPr>
          <w:rFonts w:ascii="Times New Roman" w:eastAsia="Times New Roman" w:hAnsi="Times New Roman" w:cs="Times New Roman"/>
          <w:b/>
          <w:color w:val="000000"/>
        </w:rPr>
        <w:t xml:space="preserve">Debt to Equity Ratio: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Debt to Equity Ratio= Total Liabilities/Equity</w:t>
      </w:r>
    </w:p>
    <w:p w:rsidR="00062F59" w:rsidRDefault="00062F59">
      <w:pPr>
        <w:spacing w:line="360" w:lineRule="auto"/>
        <w:rPr>
          <w:rFonts w:ascii="Times New Roman" w:eastAsia="Times New Roman" w:hAnsi="Times New Roman" w:cs="Times New Roman"/>
          <w:sz w:val="24"/>
          <w:szCs w:val="24"/>
        </w:rPr>
      </w:pPr>
    </w:p>
    <w:tbl>
      <w:tblPr>
        <w:tblStyle w:val="a5"/>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Debt to Equity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6.86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7.46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6.12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6.22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6.19</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Debt to Equity Ratio shows that Ford has a high level of debt relative to equity, which is common in the automotive industry. The ratio decreased post-2020, indicating a slight reduction in reliance on debt financing.</w:t>
      </w:r>
    </w:p>
    <w:p w:rsidR="00062F59" w:rsidRDefault="002E1D68">
      <w:pPr>
        <w:pStyle w:val="Heading4"/>
        <w:numPr>
          <w:ilvl w:val="0"/>
          <w:numId w:val="6"/>
        </w:numPr>
        <w:spacing w:before="240" w:after="240" w:line="360" w:lineRule="auto"/>
      </w:pPr>
      <w:bookmarkStart w:id="16" w:name="_44sinio" w:colFirst="0" w:colLast="0"/>
      <w:bookmarkEnd w:id="16"/>
      <w:r>
        <w:rPr>
          <w:rFonts w:ascii="Times New Roman" w:eastAsia="Times New Roman" w:hAnsi="Times New Roman" w:cs="Times New Roman"/>
          <w:b/>
          <w:color w:val="000000"/>
        </w:rPr>
        <w:t xml:space="preserve">Interest Coverage Ratio: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 Coverage Ratio= EBIT/Interest Expense </w:t>
      </w:r>
    </w:p>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EBIT (Earnings Before Interest and Taxes) = Net Income+Interest Expense+Tax Expense</w:t>
      </w:r>
    </w:p>
    <w:p w:rsidR="00062F59" w:rsidRDefault="00062F59">
      <w:pPr>
        <w:spacing w:line="360" w:lineRule="auto"/>
        <w:rPr>
          <w:rFonts w:ascii="Times New Roman" w:eastAsia="Times New Roman" w:hAnsi="Times New Roman" w:cs="Times New Roman"/>
          <w:sz w:val="24"/>
          <w:szCs w:val="24"/>
        </w:rPr>
      </w:pPr>
    </w:p>
    <w:tbl>
      <w:tblPr>
        <w:tblStyle w:val="a6"/>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Interest Coverage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1.71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-0.18</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13.69</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12.61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11.84</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101828"/>
          <w:sz w:val="24"/>
          <w:szCs w:val="24"/>
          <w:highlight w:val="white"/>
        </w:rPr>
        <w:t>Interest Coverage Ratio shows the degree to which Ford is capable to meet interest and capitalization activities.</w:t>
      </w:r>
      <w:r>
        <w:rPr>
          <w:rFonts w:ascii="Times New Roman" w:eastAsia="Times New Roman" w:hAnsi="Times New Roman" w:cs="Times New Roman"/>
          <w:sz w:val="24"/>
          <w:szCs w:val="24"/>
        </w:rPr>
        <w:t xml:space="preserve"> The negative ratio in 2020 reflects the impact of the net loss. The substantial improvement in 2021 and steady performance thereafter shows a strong capability to cover interest expenses.</w:t>
      </w:r>
    </w:p>
    <w:p w:rsidR="00062F59" w:rsidRDefault="002E1D68">
      <w:pPr>
        <w:pStyle w:val="Heading3"/>
        <w:keepNext w:val="0"/>
        <w:keepLines w:val="0"/>
        <w:spacing w:before="240" w:after="40" w:line="360" w:lineRule="auto"/>
        <w:rPr>
          <w:rFonts w:ascii="Times New Roman" w:eastAsia="Times New Roman" w:hAnsi="Times New Roman" w:cs="Times New Roman"/>
          <w:b/>
          <w:color w:val="000000"/>
          <w:sz w:val="26"/>
          <w:szCs w:val="26"/>
        </w:rPr>
      </w:pPr>
      <w:bookmarkStart w:id="17" w:name="_2jxsxqh" w:colFirst="0" w:colLast="0"/>
      <w:bookmarkEnd w:id="17"/>
      <w:r>
        <w:rPr>
          <w:rFonts w:ascii="Times New Roman" w:eastAsia="Times New Roman" w:hAnsi="Times New Roman" w:cs="Times New Roman"/>
          <w:b/>
          <w:color w:val="000000"/>
          <w:sz w:val="26"/>
          <w:szCs w:val="26"/>
        </w:rPr>
        <w:t>Efficiency Ratios</w:t>
      </w:r>
    </w:p>
    <w:p w:rsidR="00062F59" w:rsidRDefault="002E1D68">
      <w:pPr>
        <w:pStyle w:val="Heading4"/>
        <w:numPr>
          <w:ilvl w:val="0"/>
          <w:numId w:val="6"/>
        </w:numPr>
        <w:spacing w:before="240" w:after="240" w:line="360" w:lineRule="auto"/>
      </w:pPr>
      <w:bookmarkStart w:id="18" w:name="_z337ya" w:colFirst="0" w:colLast="0"/>
      <w:bookmarkEnd w:id="18"/>
      <w:r>
        <w:rPr>
          <w:rFonts w:ascii="Times New Roman" w:eastAsia="Times New Roman" w:hAnsi="Times New Roman" w:cs="Times New Roman"/>
          <w:b/>
          <w:color w:val="000000"/>
        </w:rPr>
        <w:lastRenderedPageBreak/>
        <w:t xml:space="preserve">Asset Turnover Ratio: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Asset Turnover Ratio = Revenue/Total Assets​</w:t>
      </w:r>
    </w:p>
    <w:p w:rsidR="00062F59" w:rsidRDefault="00062F59">
      <w:pPr>
        <w:spacing w:line="360" w:lineRule="auto"/>
        <w:rPr>
          <w:rFonts w:ascii="Times New Roman" w:eastAsia="Times New Roman" w:hAnsi="Times New Roman" w:cs="Times New Roman"/>
          <w:sz w:val="24"/>
          <w:szCs w:val="24"/>
        </w:rPr>
      </w:pPr>
    </w:p>
    <w:tbl>
      <w:tblPr>
        <w:tblStyle w:val="a7"/>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Asset Turnover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0.48</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0.53</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0.62</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Asset Turnover Ratio shows how effectively Fords used it assets in generating its revenues.. The ratio dropped in 2020 due to the pandemic but showed improvement in the following years, indicating better asset utilisation.</w:t>
      </w:r>
    </w:p>
    <w:p w:rsidR="00062F59" w:rsidRDefault="002E1D68">
      <w:pPr>
        <w:pStyle w:val="Heading4"/>
        <w:numPr>
          <w:ilvl w:val="0"/>
          <w:numId w:val="6"/>
        </w:numPr>
        <w:spacing w:before="240" w:after="240" w:line="360" w:lineRule="auto"/>
      </w:pPr>
      <w:bookmarkStart w:id="19" w:name="_3j2qqm3" w:colFirst="0" w:colLast="0"/>
      <w:bookmarkEnd w:id="19"/>
      <w:r>
        <w:rPr>
          <w:rFonts w:ascii="Times New Roman" w:eastAsia="Times New Roman" w:hAnsi="Times New Roman" w:cs="Times New Roman"/>
          <w:b/>
          <w:color w:val="000000"/>
        </w:rPr>
        <w:t xml:space="preserve">Inventory Turnover Ratio: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Inventory Turnover Ratio = Cost of Goods Sold​/Average Inventory</w:t>
      </w:r>
    </w:p>
    <w:tbl>
      <w:tblPr>
        <w:tblStyle w:val="a8"/>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blHeader/>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Inventory Turnover Ratio</w:t>
            </w:r>
          </w:p>
        </w:tc>
      </w:tr>
      <w:tr w:rsidR="00062F59">
        <w:trPr>
          <w:trHeight w:val="315"/>
          <w:tblHeader/>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8.83</w:t>
            </w:r>
          </w:p>
        </w:tc>
      </w:tr>
      <w:tr w:rsidR="00062F59">
        <w:trPr>
          <w:trHeight w:val="315"/>
          <w:tblHeader/>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7.51</w:t>
            </w:r>
          </w:p>
        </w:tc>
      </w:tr>
      <w:tr w:rsidR="00062F59">
        <w:trPr>
          <w:trHeight w:val="315"/>
          <w:tblHeader/>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7.73</w:t>
            </w:r>
          </w:p>
        </w:tc>
      </w:tr>
      <w:tr w:rsidR="00062F59">
        <w:trPr>
          <w:trHeight w:val="315"/>
          <w:tblHeader/>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8.13</w:t>
            </w:r>
          </w:p>
        </w:tc>
      </w:tr>
      <w:tr w:rsidR="00062F59">
        <w:trPr>
          <w:trHeight w:val="315"/>
          <w:tblHeader/>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8.03</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Inventory Turnover Ratio demonstrates the rate with which the company sells its inventory. A higher ratio is generally better, and the trend shows an improvement post-2020, indicating efficient inventory management.</w:t>
      </w:r>
    </w:p>
    <w:p w:rsidR="00062F59" w:rsidRDefault="002E1D68">
      <w:pPr>
        <w:pStyle w:val="Heading4"/>
        <w:numPr>
          <w:ilvl w:val="0"/>
          <w:numId w:val="6"/>
        </w:numPr>
        <w:spacing w:before="240" w:after="240" w:line="360" w:lineRule="auto"/>
      </w:pPr>
      <w:bookmarkStart w:id="20" w:name="_1y810tw" w:colFirst="0" w:colLast="0"/>
      <w:bookmarkEnd w:id="20"/>
      <w:r>
        <w:rPr>
          <w:rFonts w:ascii="Times New Roman" w:eastAsia="Times New Roman" w:hAnsi="Times New Roman" w:cs="Times New Roman"/>
          <w:b/>
          <w:color w:val="000000"/>
        </w:rPr>
        <w:t>Receivables Turnover Ratio:</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Receivables Turnover Ratio = Revenue​/Average Receivable</w:t>
      </w:r>
    </w:p>
    <w:p w:rsidR="00062F59" w:rsidRDefault="00062F59">
      <w:pPr>
        <w:spacing w:line="360" w:lineRule="auto"/>
        <w:rPr>
          <w:rFonts w:ascii="Times New Roman" w:eastAsia="Times New Roman" w:hAnsi="Times New Roman" w:cs="Times New Roman"/>
          <w:sz w:val="24"/>
          <w:szCs w:val="24"/>
        </w:rPr>
      </w:pPr>
    </w:p>
    <w:tbl>
      <w:tblPr>
        <w:tblStyle w:val="a9"/>
        <w:tblW w:w="5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Receivables Turnover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7.8</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6.51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6.62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7.36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7.28</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receivables turnover ratio reflects its collection efficiency. The ratio dropped in 2020 but rose in the following years, indicating increased collecting efficiency.</w:t>
      </w:r>
    </w:p>
    <w:p w:rsidR="00062F59" w:rsidRDefault="002E1D68">
      <w:pPr>
        <w:pStyle w:val="Heading2"/>
        <w:spacing w:line="360" w:lineRule="auto"/>
        <w:rPr>
          <w:rFonts w:ascii="Times New Roman" w:eastAsia="Times New Roman" w:hAnsi="Times New Roman" w:cs="Times New Roman"/>
          <w:b/>
          <w:sz w:val="28"/>
          <w:szCs w:val="28"/>
        </w:rPr>
      </w:pPr>
      <w:bookmarkStart w:id="21" w:name="_4i7ojhp" w:colFirst="0" w:colLast="0"/>
      <w:bookmarkEnd w:id="21"/>
      <w:r>
        <w:rPr>
          <w:rFonts w:ascii="Times New Roman" w:eastAsia="Times New Roman" w:hAnsi="Times New Roman" w:cs="Times New Roman"/>
          <w:b/>
          <w:sz w:val="28"/>
          <w:szCs w:val="28"/>
        </w:rPr>
        <w:t>Ratios Evaluation</w:t>
      </w:r>
    </w:p>
    <w:p w:rsidR="00062F59" w:rsidRDefault="002E1D68">
      <w:pPr>
        <w:pStyle w:val="Heading3"/>
        <w:spacing w:before="240" w:after="240" w:line="360" w:lineRule="auto"/>
        <w:rPr>
          <w:rFonts w:ascii="Times New Roman" w:eastAsia="Times New Roman" w:hAnsi="Times New Roman" w:cs="Times New Roman"/>
          <w:b/>
          <w:color w:val="000000"/>
        </w:rPr>
      </w:pPr>
      <w:bookmarkStart w:id="22" w:name="_2xcytpi" w:colFirst="0" w:colLast="0"/>
      <w:bookmarkEnd w:id="22"/>
      <w:r>
        <w:rPr>
          <w:rFonts w:ascii="Times New Roman" w:eastAsia="Times New Roman" w:hAnsi="Times New Roman" w:cs="Times New Roman"/>
          <w:b/>
          <w:color w:val="000000"/>
          <w:sz w:val="24"/>
          <w:szCs w:val="24"/>
        </w:rPr>
        <w:t>Profitability Ratios Analysis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rPr>
        <w:t>Gross Profit Margin</w:t>
      </w:r>
      <w:r>
        <w:rPr>
          <w:rFonts w:ascii="Times New Roman" w:eastAsia="Times New Roman" w:hAnsi="Times New Roman" w:cs="Times New Roman"/>
          <w:sz w:val="24"/>
          <w:szCs w:val="24"/>
        </w:rPr>
        <w:t>: In the past five years, the Gross Profit Margin has grown from 14.11% in 2019 to 14.68% in 2023. The company's manufacturing efficiency and cost management are improving. The curve progresses gradually due to improved production methods, efficient supply and chain management, and cost-reduction tactics.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Net Profit Margin</w:t>
      </w:r>
      <w:r>
        <w:rPr>
          <w:rFonts w:ascii="Times New Roman" w:eastAsia="Times New Roman" w:hAnsi="Times New Roman" w:cs="Times New Roman"/>
          <w:sz w:val="24"/>
          <w:szCs w:val="24"/>
        </w:rPr>
        <w:t>: The Net Profit Margin varied from 0.03% in 2019 to -1.02% in 2020 due to COVID-19, and 13.13% in 2021. It will be 11.32% of volume in 2022 and 11.19% in 2023. Ford Motor Company (2019) attributes its steep rise in 2021 to its strong rebounding mechanisms, adapting to the post-COVID-19 climate, tracking high-margin vehicle sales, and meticulous cost control.</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Return on Assets (ROA)</w:t>
      </w:r>
      <w:r>
        <w:rPr>
          <w:rFonts w:ascii="Times New Roman" w:eastAsia="Times New Roman" w:hAnsi="Times New Roman" w:cs="Times New Roman"/>
          <w:sz w:val="24"/>
          <w:szCs w:val="24"/>
        </w:rPr>
        <w:t>: Ford's ROA was 0.018% in 2019, -0.49% in 2020, and 6.96% in 2021. In succeeding years, ROA ranged around 6.9%. This development suggests that Ford post-2020 converts income from assets more efficiently, indicating superior asset management.</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Return on Equity (ROE)</w:t>
      </w:r>
      <w:r>
        <w:rPr>
          <w:rFonts w:ascii="Times New Roman" w:eastAsia="Times New Roman" w:hAnsi="Times New Roman" w:cs="Times New Roman"/>
          <w:sz w:val="24"/>
          <w:szCs w:val="24"/>
        </w:rPr>
        <w:t>: In 2020 (-4.11%), the ROE was volatile and negative, while in 2021 (49.58%), it was quite high. In years after 2020, a ROE of 50% shows strong shareholder returns but changing equity returns. The net income and equity swings over this era may have caused this volatility.</w:t>
      </w:r>
    </w:p>
    <w:p w:rsidR="00062F59" w:rsidRDefault="002E1D68">
      <w:pPr>
        <w:pStyle w:val="Heading4"/>
        <w:keepNext w:val="0"/>
        <w:keepLines w:val="0"/>
        <w:spacing w:before="240" w:after="40" w:line="360" w:lineRule="auto"/>
        <w:rPr>
          <w:rFonts w:ascii="Times New Roman" w:eastAsia="Times New Roman" w:hAnsi="Times New Roman" w:cs="Times New Roman"/>
          <w:b/>
          <w:color w:val="000000"/>
          <w:sz w:val="22"/>
          <w:szCs w:val="22"/>
        </w:rPr>
      </w:pPr>
      <w:bookmarkStart w:id="23" w:name="_1ci93xb" w:colFirst="0" w:colLast="0"/>
      <w:bookmarkEnd w:id="23"/>
      <w:r>
        <w:rPr>
          <w:rFonts w:ascii="Times New Roman" w:eastAsia="Times New Roman" w:hAnsi="Times New Roman" w:cs="Times New Roman"/>
          <w:b/>
          <w:color w:val="000000"/>
          <w:sz w:val="22"/>
          <w:szCs w:val="22"/>
        </w:rPr>
        <w:t xml:space="preserve">Impact of External and Internal Factors on Profitability </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rPr>
        <w:t>External Factors</w:t>
      </w:r>
      <w:r>
        <w:rPr>
          <w:rFonts w:ascii="Times New Roman" w:eastAsia="Times New Roman" w:hAnsi="Times New Roman" w:cs="Times New Roman"/>
          <w:sz w:val="24"/>
          <w:szCs w:val="24"/>
        </w:rPr>
        <w:t>:</w:t>
      </w:r>
    </w:p>
    <w:p w:rsidR="00062F59" w:rsidRDefault="002E1D68">
      <w:pPr>
        <w:numPr>
          <w:ilvl w:val="0"/>
          <w:numId w:val="15"/>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COVID-19 Pandemic</w:t>
      </w:r>
      <w:r>
        <w:rPr>
          <w:rFonts w:ascii="Times New Roman" w:eastAsia="Times New Roman" w:hAnsi="Times New Roman" w:cs="Times New Roman"/>
          <w:sz w:val="24"/>
          <w:szCs w:val="24"/>
        </w:rPr>
        <w:t>: Ford was also hurt by the COVID-19 pandemic in 2020, which closed manufacturing and outlets, caused supply chain challenges, and lowered sales and demand. However, the corporation managed these external shocks well and returned to regular growth in 2021.</w:t>
      </w:r>
    </w:p>
    <w:p w:rsidR="00062F59" w:rsidRDefault="002E1D68">
      <w:pPr>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Conditions</w:t>
      </w:r>
      <w:r>
        <w:rPr>
          <w:rFonts w:ascii="Times New Roman" w:eastAsia="Times New Roman" w:hAnsi="Times New Roman" w:cs="Times New Roman"/>
          <w:sz w:val="24"/>
          <w:szCs w:val="24"/>
        </w:rPr>
        <w:t>: Electric cars and regulators' output and emission worries have hampered profit lines. The firm's investments in EV technology and supporting networks have immediate and long-term economic effects, but they are critical for future competitive advantage.</w:t>
      </w:r>
    </w:p>
    <w:p w:rsidR="00062F59" w:rsidRDefault="002E1D68">
      <w:pPr>
        <w:numPr>
          <w:ilvl w:val="0"/>
          <w:numId w:val="15"/>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Competition</w:t>
      </w:r>
      <w:r>
        <w:rPr>
          <w:rFonts w:ascii="Times New Roman" w:eastAsia="Times New Roman" w:hAnsi="Times New Roman" w:cs="Times New Roman"/>
          <w:sz w:val="24"/>
          <w:szCs w:val="24"/>
        </w:rPr>
        <w:t>: Other car manufacturers and companies that have aggressively pursued EV production, including Tesla, have put Ford under pressure to succeed, harming its short-term profitability due to expensive expenditure.</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Internal Factors</w:t>
      </w:r>
      <w:r>
        <w:rPr>
          <w:rFonts w:ascii="Times New Roman" w:eastAsia="Times New Roman" w:hAnsi="Times New Roman" w:cs="Times New Roman"/>
          <w:sz w:val="24"/>
          <w:szCs w:val="24"/>
        </w:rPr>
        <w:t>:</w:t>
      </w:r>
    </w:p>
    <w:p w:rsidR="00062F59" w:rsidRDefault="002E1D68">
      <w:pPr>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Cost Management</w:t>
      </w:r>
      <w:r>
        <w:rPr>
          <w:rFonts w:ascii="Times New Roman" w:eastAsia="Times New Roman" w:hAnsi="Times New Roman" w:cs="Times New Roman"/>
          <w:sz w:val="24"/>
          <w:szCs w:val="24"/>
        </w:rPr>
        <w:t>: Ford's gross profit margin shows its cost control and operational effectiveness.</w:t>
      </w:r>
    </w:p>
    <w:p w:rsidR="00062F59" w:rsidRDefault="002E1D68">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Mix</w:t>
      </w:r>
      <w:r>
        <w:rPr>
          <w:rFonts w:ascii="Times New Roman" w:eastAsia="Times New Roman" w:hAnsi="Times New Roman" w:cs="Times New Roman"/>
          <w:sz w:val="24"/>
          <w:szCs w:val="24"/>
        </w:rPr>
        <w:t>: The company's strategic transition to higher-margin products like trucks and SUVs has increased profitability. Strategic reorientations, including model development and modification, also help.</w:t>
      </w:r>
    </w:p>
    <w:p w:rsidR="00062F59" w:rsidRDefault="002E1D68">
      <w:pPr>
        <w:numPr>
          <w:ilvl w:val="0"/>
          <w:numId w:val="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Restructuring and Strategic Initiatives</w:t>
      </w:r>
      <w:r>
        <w:rPr>
          <w:rFonts w:ascii="Times New Roman" w:eastAsia="Times New Roman" w:hAnsi="Times New Roman" w:cs="Times New Roman"/>
          <w:sz w:val="24"/>
          <w:szCs w:val="24"/>
        </w:rPr>
        <w:t>: Ford Blue and Ford Model e, launched in 2022, coordinate activities and focus on new, promising development lines (Ford, 2022a).</w:t>
      </w:r>
    </w:p>
    <w:p w:rsidR="00062F59" w:rsidRDefault="002E1D68">
      <w:pPr>
        <w:pStyle w:val="Heading4"/>
        <w:keepNext w:val="0"/>
        <w:keepLines w:val="0"/>
        <w:spacing w:before="240" w:after="40" w:line="360" w:lineRule="auto"/>
        <w:rPr>
          <w:rFonts w:ascii="Times New Roman" w:eastAsia="Times New Roman" w:hAnsi="Times New Roman" w:cs="Times New Roman"/>
          <w:color w:val="000000"/>
        </w:rPr>
      </w:pPr>
      <w:bookmarkStart w:id="24" w:name="_3whwml4" w:colFirst="0" w:colLast="0"/>
      <w:bookmarkEnd w:id="24"/>
      <w:r>
        <w:rPr>
          <w:rFonts w:ascii="Times New Roman" w:eastAsia="Times New Roman" w:hAnsi="Times New Roman" w:cs="Times New Roman"/>
          <w:b/>
          <w:color w:val="000000"/>
          <w:sz w:val="22"/>
          <w:szCs w:val="22"/>
        </w:rPr>
        <w:t>Comparison to Major Competitors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a business known for electric cars, has retained its gross profit margins between 20-25% in prior years; Ford increased its margin from 14.11% in 2019 to 14.68% in 2023. Ford's operating margin is rising, but it's still far lower than Tesla's, which might boost productivity and slash expenses (Tesla Annual Report, 2023). Ford has improved following the pandemic, going from -1.02% in 2020 to nearly 11% in 2022 and 2023, although more innovation is needed. Tesla has a 10-15% net profit margin. Ford ach</w:t>
      </w:r>
      <w:r>
        <w:rPr>
          <w:rFonts w:ascii="Times New Roman" w:eastAsia="Times New Roman" w:hAnsi="Times New Roman" w:cs="Times New Roman"/>
          <w:sz w:val="24"/>
          <w:szCs w:val="24"/>
        </w:rPr>
        <w:t>ieves a ROA of 6.9% from 2021, somewhat lower than Tesla's 5-6%, exhibiting effective asset management. As Ford adopts new technologies, finance will continue. Finally, Tesla's ROE fluctuates and is normally lower than Ford's, although it peaked at roughly 50% after 2020, demonstrating the company's high equity returns but shifting trends. By combining expansion and solid financial management, you may maintain a high ROE.</w:t>
      </w:r>
    </w:p>
    <w:p w:rsidR="00062F59" w:rsidRDefault="002E1D68">
      <w:pPr>
        <w:pStyle w:val="Heading3"/>
        <w:spacing w:before="240" w:after="240" w:line="360" w:lineRule="auto"/>
        <w:rPr>
          <w:rFonts w:ascii="Times New Roman" w:eastAsia="Times New Roman" w:hAnsi="Times New Roman" w:cs="Times New Roman"/>
          <w:color w:val="000000"/>
          <w:sz w:val="24"/>
          <w:szCs w:val="24"/>
        </w:rPr>
      </w:pPr>
      <w:bookmarkStart w:id="25" w:name="_2bn6wsx" w:colFirst="0" w:colLast="0"/>
      <w:bookmarkEnd w:id="25"/>
      <w:r>
        <w:rPr>
          <w:rFonts w:ascii="Times New Roman" w:eastAsia="Times New Roman" w:hAnsi="Times New Roman" w:cs="Times New Roman"/>
          <w:b/>
          <w:color w:val="000000"/>
          <w:sz w:val="24"/>
          <w:szCs w:val="24"/>
        </w:rPr>
        <w:t xml:space="preserve">Liquidity Ratios Analysis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Current Ratio</w:t>
      </w:r>
      <w:r>
        <w:rPr>
          <w:rFonts w:ascii="Times New Roman" w:eastAsia="Times New Roman" w:hAnsi="Times New Roman" w:cs="Times New Roman"/>
          <w:sz w:val="24"/>
          <w:szCs w:val="24"/>
        </w:rPr>
        <w:t xml:space="preserve"> </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This ratio show how effective a firm is in a short time period to pay off its short term liabilities. A value more than 1 means that the corporation has more current assets than current liabilities showing an improvement in the liquidity position of the firm.</w:t>
      </w:r>
    </w:p>
    <w:p w:rsidR="00062F59" w:rsidRDefault="00062F59">
      <w:pPr>
        <w:spacing w:line="360" w:lineRule="auto"/>
        <w:rPr>
          <w:rFonts w:ascii="Times New Roman" w:eastAsia="Times New Roman" w:hAnsi="Times New Roman" w:cs="Times New Roman"/>
          <w:sz w:val="24"/>
          <w:szCs w:val="24"/>
        </w:rPr>
      </w:pPr>
    </w:p>
    <w:tbl>
      <w:tblPr>
        <w:tblStyle w:val="aa"/>
        <w:tblW w:w="8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325"/>
        <w:gridCol w:w="2085"/>
        <w:gridCol w:w="1500"/>
      </w:tblGrid>
      <w:tr w:rsidR="00062F59">
        <w:trPr>
          <w:trHeight w:val="540"/>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Current Assets</w:t>
            </w:r>
          </w:p>
        </w:tc>
        <w:tc>
          <w:tcPr>
            <w:tcW w:w="20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Current Liabilities</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Current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$100.1B</w:t>
            </w:r>
          </w:p>
        </w:tc>
        <w:tc>
          <w:tcPr>
            <w:tcW w:w="20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$80.4B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1.25</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$102.3B</w:t>
            </w:r>
          </w:p>
        </w:tc>
        <w:tc>
          <w:tcPr>
            <w:tcW w:w="20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$85.2B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$105.0B</w:t>
            </w:r>
          </w:p>
        </w:tc>
        <w:tc>
          <w:tcPr>
            <w:tcW w:w="20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$80.0B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$106.5B</w:t>
            </w:r>
          </w:p>
        </w:tc>
        <w:tc>
          <w:tcPr>
            <w:tcW w:w="20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$81.5B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$107.0B</w:t>
            </w:r>
          </w:p>
        </w:tc>
        <w:tc>
          <w:tcPr>
            <w:tcW w:w="20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$82.0B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 the past five years, Ford's Current Ratio was 1.20–1.31. These data show that Ford can satisfy its short-term obligations due to its healthy current assets to current liabilities ratio. The 2020 COVID-19 pandemic reduced working capital for many corporations (Ford (2020), Ford Motor Company (2019)).</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Quick Ratio (acid-test ratio) measures a company's ability to pay current creditors with assets other than inventory. Effiong and Enya (2020) say a greater Quick Ratio shows firm liquidity.</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quick ratio, like its current assets to current liabilities ratio, indicates that the company has more liquid assets than current liabilities excluding inventory. Ford managed liquidity well, as the Quick Ratio dipped slightly in 2020 but recovered in subsequent years.</w:t>
      </w:r>
    </w:p>
    <w:tbl>
      <w:tblPr>
        <w:tblStyle w:val="ab"/>
        <w:tblW w:w="9360" w:type="dxa"/>
        <w:tblBorders>
          <w:top w:val="nil"/>
          <w:left w:val="nil"/>
          <w:bottom w:val="nil"/>
          <w:right w:val="nil"/>
          <w:insideH w:val="nil"/>
          <w:insideV w:val="nil"/>
        </w:tblBorders>
        <w:tblLayout w:type="fixed"/>
        <w:tblLook w:val="0600" w:firstRow="0" w:lastRow="0" w:firstColumn="0" w:lastColumn="0" w:noHBand="1" w:noVBand="1"/>
      </w:tblPr>
      <w:tblGrid>
        <w:gridCol w:w="2501"/>
        <w:gridCol w:w="2695"/>
        <w:gridCol w:w="1388"/>
        <w:gridCol w:w="1388"/>
        <w:gridCol w:w="1388"/>
      </w:tblGrid>
      <w:tr w:rsidR="00062F59">
        <w:trPr>
          <w:trHeight w:val="540"/>
        </w:trPr>
        <w:tc>
          <w:tcPr>
            <w:tcW w:w="249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69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Current Assets</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Inventory</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Current Liabilities</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Quick Ratio</w:t>
            </w:r>
          </w:p>
        </w:tc>
      </w:tr>
      <w:tr w:rsidR="00062F59">
        <w:trPr>
          <w:trHeight w:val="315"/>
        </w:trPr>
        <w:tc>
          <w:tcPr>
            <w:tcW w:w="249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69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$100.1B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$15.0B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$80.4B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1.06</w:t>
            </w:r>
          </w:p>
        </w:tc>
      </w:tr>
      <w:tr w:rsidR="00062F59">
        <w:trPr>
          <w:trHeight w:val="315"/>
        </w:trPr>
        <w:tc>
          <w:tcPr>
            <w:tcW w:w="249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69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$102.3B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$14.5B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$85.2B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1.03</w:t>
            </w:r>
          </w:p>
        </w:tc>
      </w:tr>
      <w:tr w:rsidR="00062F59">
        <w:trPr>
          <w:trHeight w:val="315"/>
        </w:trPr>
        <w:tc>
          <w:tcPr>
            <w:tcW w:w="249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69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$105.0B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$16.0B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$80.0B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1.11</w:t>
            </w:r>
          </w:p>
        </w:tc>
      </w:tr>
      <w:tr w:rsidR="00062F59">
        <w:trPr>
          <w:trHeight w:val="315"/>
        </w:trPr>
        <w:tc>
          <w:tcPr>
            <w:tcW w:w="249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69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$106.5B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$16.5B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$81.5B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1.11</w:t>
            </w:r>
          </w:p>
        </w:tc>
      </w:tr>
      <w:tr w:rsidR="00062F59">
        <w:trPr>
          <w:trHeight w:val="315"/>
        </w:trPr>
        <w:tc>
          <w:tcPr>
            <w:tcW w:w="249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69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$107.0B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$17.0B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$82.0B</w:t>
            </w:r>
          </w:p>
        </w:tc>
        <w:tc>
          <w:tcPr>
            <w:tcW w:w="13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w:t>
            </w:r>
          </w:p>
        </w:tc>
      </w:tr>
    </w:tbl>
    <w:p w:rsidR="00062F59" w:rsidRDefault="002E1D68">
      <w:pPr>
        <w:pStyle w:val="Heading4"/>
        <w:keepNext w:val="0"/>
        <w:keepLines w:val="0"/>
        <w:spacing w:before="240" w:after="40" w:line="360" w:lineRule="auto"/>
        <w:rPr>
          <w:rFonts w:ascii="Times New Roman" w:eastAsia="Times New Roman" w:hAnsi="Times New Roman" w:cs="Times New Roman"/>
          <w:b/>
          <w:color w:val="000000"/>
        </w:rPr>
      </w:pPr>
      <w:bookmarkStart w:id="26" w:name="_qsh70q" w:colFirst="0" w:colLast="0"/>
      <w:bookmarkEnd w:id="26"/>
      <w:r>
        <w:rPr>
          <w:rFonts w:ascii="Times New Roman" w:eastAsia="Times New Roman" w:hAnsi="Times New Roman" w:cs="Times New Roman"/>
          <w:b/>
          <w:color w:val="000000"/>
        </w:rPr>
        <w:t>Evaluation of Liquidity Trends and Implications for Financial Health</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 has maintained liquidity ratios for five years, demonstrating good short-term liability management. Ford's financial management kept it liquid during the 2020 pandemic. Ford's liquidity ratios have recovered post-2020, demonstrating it survived the crisis and strengthened.</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 needs strong liquidity ratios to pay short-term loans and operations demands without cash flow issues. It lets you invest in electric car and autonomous tech growth.</w:t>
      </w:r>
    </w:p>
    <w:p w:rsidR="00062F59" w:rsidRDefault="002E1D68">
      <w:pPr>
        <w:pStyle w:val="Heading4"/>
        <w:keepNext w:val="0"/>
        <w:keepLines w:val="0"/>
        <w:spacing w:before="240" w:after="40" w:line="360" w:lineRule="auto"/>
        <w:rPr>
          <w:rFonts w:ascii="Times New Roman" w:eastAsia="Times New Roman" w:hAnsi="Times New Roman" w:cs="Times New Roman"/>
          <w:b/>
          <w:color w:val="000000"/>
        </w:rPr>
      </w:pPr>
      <w:bookmarkStart w:id="27" w:name="_3as4poj" w:colFirst="0" w:colLast="0"/>
      <w:bookmarkEnd w:id="27"/>
      <w:r>
        <w:rPr>
          <w:rFonts w:ascii="Times New Roman" w:eastAsia="Times New Roman" w:hAnsi="Times New Roman" w:cs="Times New Roman"/>
          <w:b/>
          <w:color w:val="000000"/>
        </w:rPr>
        <w:t>Comparison with Major Competitors and/or Sector Averages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Ford's main rival, has strong liquidity ratios. Tesla's Current Ratio is 1.4-1.5, while its Quick Ratio is 1.2-1.3, according to latest sources. These numbers show Tesla has slightly better liquidity than Ford. Both companies have high liquidity, which is important because the automobile industry is capital-intensive.</w:t>
      </w:r>
    </w:p>
    <w:p w:rsidR="00062F59" w:rsidRDefault="002E1D68">
      <w:pPr>
        <w:pStyle w:val="Heading3"/>
        <w:spacing w:before="240" w:after="240" w:line="360" w:lineRule="auto"/>
        <w:rPr>
          <w:rFonts w:ascii="Times New Roman" w:eastAsia="Times New Roman" w:hAnsi="Times New Roman" w:cs="Times New Roman"/>
          <w:color w:val="000000"/>
          <w:sz w:val="24"/>
          <w:szCs w:val="24"/>
        </w:rPr>
      </w:pPr>
      <w:bookmarkStart w:id="28" w:name="_1pxezwc" w:colFirst="0" w:colLast="0"/>
      <w:bookmarkEnd w:id="28"/>
      <w:r>
        <w:rPr>
          <w:rFonts w:ascii="Times New Roman" w:eastAsia="Times New Roman" w:hAnsi="Times New Roman" w:cs="Times New Roman"/>
          <w:b/>
          <w:color w:val="000000"/>
          <w:sz w:val="24"/>
          <w:szCs w:val="24"/>
        </w:rPr>
        <w:t xml:space="preserve">Gearing Ratios Analysis </w:t>
      </w:r>
    </w:p>
    <w:p w:rsidR="00062F59" w:rsidRDefault="002E1D68">
      <w:pPr>
        <w:spacing w:before="240" w:after="240" w:line="360" w:lineRule="auto"/>
        <w:rPr>
          <w:rFonts w:ascii="Times New Roman" w:eastAsia="Times New Roman" w:hAnsi="Times New Roman" w:cs="Times New Roman"/>
          <w:b/>
        </w:rPr>
      </w:pPr>
      <w:r>
        <w:rPr>
          <w:rFonts w:ascii="Times New Roman" w:eastAsia="Times New Roman" w:hAnsi="Times New Roman" w:cs="Times New Roman"/>
          <w:b/>
          <w:sz w:val="24"/>
          <w:szCs w:val="24"/>
        </w:rPr>
        <w:t>Debt to Equity Ratio</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This ratio calculates a company's financial leverage based on its obligations and equity. The former suggests a corporation uses debt finance more when a ratio is high and vice versa when low.</w:t>
      </w:r>
    </w:p>
    <w:tbl>
      <w:tblPr>
        <w:tblStyle w:val="ac"/>
        <w:tblW w:w="8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gridCol w:w="1500"/>
        <w:gridCol w:w="150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Total Liabilities</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Equity</w:t>
            </w:r>
          </w:p>
        </w:tc>
        <w:tc>
          <w:tcPr>
            <w:tcW w:w="1500" w:type="dxa"/>
            <w:tcBorders>
              <w:top w:val="single" w:sz="6" w:space="0" w:color="CCCCCC"/>
              <w:left w:val="single" w:sz="6" w:space="0" w:color="CCCCCC"/>
              <w:bottom w:val="single" w:sz="6" w:space="0" w:color="CCCCCC"/>
              <w:right w:val="single" w:sz="6" w:space="0" w:color="000000"/>
            </w:tcBorders>
            <w:tcMar>
              <w:top w:w="40" w:type="dxa"/>
              <w:left w:w="0" w:type="dxa"/>
              <w:bottom w:w="40" w:type="dxa"/>
              <w:right w:w="0" w:type="dxa"/>
            </w:tcMar>
            <w:vAlign w:val="bottom"/>
          </w:tcPr>
          <w:p w:rsidR="00062F59" w:rsidRDefault="002E1D68">
            <w:pPr>
              <w:widowControl w:val="0"/>
              <w:spacing w:line="360" w:lineRule="auto"/>
              <w:ind w:left="-9360" w:right="-9360"/>
              <w:rPr>
                <w:rFonts w:ascii="Times New Roman" w:eastAsia="Times New Roman" w:hAnsi="Times New Roman" w:cs="Times New Roman"/>
                <w:b/>
                <w:sz w:val="20"/>
                <w:szCs w:val="20"/>
              </w:rPr>
            </w:pPr>
            <w:r>
              <w:rPr>
                <w:rFonts w:ascii="Times New Roman" w:eastAsia="Times New Roman" w:hAnsi="Times New Roman" w:cs="Times New Roman"/>
                <w:b/>
                <w:sz w:val="20"/>
                <w:szCs w:val="20"/>
              </w:rPr>
              <w:t>Debt to Equity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$225.6B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$32.9B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6.86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$235.7B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$31.6B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7.46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$220.9B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$36.1B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6.12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$222.6B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$35.8B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6.22</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$223.0B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$36.0B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6.19</w:t>
            </w:r>
          </w:p>
        </w:tc>
      </w:tr>
    </w:tbl>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Debt to Equity Ratio indicates considerable financial leverage, typical in the automotive business, where production, R&amp;D, and expansion demand significant money. The pandemic raised the ratio in 2020, but Ford has steadily reduced its debt-to-equity ratio.</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Interest Coverage Ratio</w:t>
      </w:r>
      <w:r>
        <w:rPr>
          <w:rFonts w:ascii="Times New Roman" w:eastAsia="Times New Roman" w:hAnsi="Times New Roman" w:cs="Times New Roman"/>
          <w:sz w:val="24"/>
          <w:szCs w:val="24"/>
        </w:rPr>
        <w:t>: Earnings Before Interest and Taxes (EBIT) is used to calculate a company's ability to pay loan interest. A greater ratio suggests better interest coverage.</w:t>
      </w:r>
    </w:p>
    <w:tbl>
      <w:tblPr>
        <w:tblStyle w:val="ad"/>
        <w:tblW w:w="8820" w:type="dxa"/>
        <w:tblBorders>
          <w:top w:val="nil"/>
          <w:left w:val="nil"/>
          <w:bottom w:val="nil"/>
          <w:right w:val="nil"/>
          <w:insideH w:val="nil"/>
          <w:insideV w:val="nil"/>
        </w:tblBorders>
        <w:tblLayout w:type="fixed"/>
        <w:tblLook w:val="0600" w:firstRow="0" w:lastRow="0" w:firstColumn="0" w:lastColumn="0" w:noHBand="1" w:noVBand="1"/>
      </w:tblPr>
      <w:tblGrid>
        <w:gridCol w:w="2175"/>
        <w:gridCol w:w="1890"/>
        <w:gridCol w:w="1995"/>
        <w:gridCol w:w="1245"/>
        <w:gridCol w:w="1515"/>
      </w:tblGrid>
      <w:tr w:rsidR="00062F59">
        <w:trPr>
          <w:trHeight w:val="525"/>
        </w:trPr>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Net Income</w:t>
            </w:r>
          </w:p>
        </w:tc>
        <w:tc>
          <w:tcPr>
            <w:tcW w:w="19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Interest Expense</w:t>
            </w:r>
          </w:p>
        </w:tc>
        <w:tc>
          <w:tcPr>
            <w:tcW w:w="12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EBIT</w:t>
            </w:r>
          </w:p>
        </w:tc>
        <w:tc>
          <w:tcPr>
            <w:tcW w:w="1515" w:type="dxa"/>
            <w:tcBorders>
              <w:top w:val="single" w:sz="6" w:space="0" w:color="CCCCCC"/>
              <w:left w:val="single" w:sz="6" w:space="0" w:color="CCCCCC"/>
              <w:bottom w:val="single" w:sz="6" w:space="0" w:color="CCCCCC"/>
              <w:right w:val="single" w:sz="6" w:space="0" w:color="000000"/>
            </w:tcBorders>
            <w:tcMar>
              <w:top w:w="40" w:type="dxa"/>
              <w:left w:w="0" w:type="dxa"/>
              <w:bottom w:w="40" w:type="dxa"/>
              <w:right w:w="0" w:type="dxa"/>
            </w:tcMar>
            <w:vAlign w:val="bottom"/>
          </w:tcPr>
          <w:p w:rsidR="00062F59" w:rsidRDefault="002E1D68">
            <w:pPr>
              <w:widowControl w:val="0"/>
              <w:spacing w:line="360" w:lineRule="auto"/>
              <w:ind w:left="-9360" w:right="-9360"/>
              <w:rPr>
                <w:rFonts w:ascii="Times New Roman" w:eastAsia="Times New Roman" w:hAnsi="Times New Roman" w:cs="Times New Roman"/>
                <w:b/>
                <w:sz w:val="20"/>
                <w:szCs w:val="20"/>
              </w:rPr>
            </w:pPr>
            <w:r>
              <w:rPr>
                <w:rFonts w:ascii="Times New Roman" w:eastAsia="Times New Roman" w:hAnsi="Times New Roman" w:cs="Times New Roman"/>
                <w:b/>
                <w:sz w:val="20"/>
                <w:szCs w:val="20"/>
              </w:rPr>
              <w:t>Inte        Interest Coverage Ratio</w:t>
            </w:r>
          </w:p>
        </w:tc>
      </w:tr>
      <w:tr w:rsidR="00062F59">
        <w:trPr>
          <w:trHeight w:val="315"/>
        </w:trPr>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$0.047B</w:t>
            </w:r>
          </w:p>
        </w:tc>
        <w:tc>
          <w:tcPr>
            <w:tcW w:w="19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$1.5B</w:t>
            </w:r>
          </w:p>
        </w:tc>
        <w:tc>
          <w:tcPr>
            <w:tcW w:w="12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$2.547B</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1.7</w:t>
            </w:r>
          </w:p>
        </w:tc>
      </w:tr>
      <w:tr w:rsidR="00062F59">
        <w:trPr>
          <w:trHeight w:val="315"/>
        </w:trPr>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-$1.3B</w:t>
            </w:r>
          </w:p>
        </w:tc>
        <w:tc>
          <w:tcPr>
            <w:tcW w:w="19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$1.7B</w:t>
            </w:r>
          </w:p>
        </w:tc>
        <w:tc>
          <w:tcPr>
            <w:tcW w:w="12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$1.4B</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-0.82</w:t>
            </w:r>
          </w:p>
        </w:tc>
      </w:tr>
      <w:tr w:rsidR="00062F59">
        <w:trPr>
          <w:trHeight w:val="315"/>
        </w:trPr>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$17.9B</w:t>
            </w:r>
          </w:p>
        </w:tc>
        <w:tc>
          <w:tcPr>
            <w:tcW w:w="19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$1.6B</w:t>
            </w:r>
          </w:p>
        </w:tc>
        <w:tc>
          <w:tcPr>
            <w:tcW w:w="12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$20.5B</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12.81</w:t>
            </w:r>
          </w:p>
        </w:tc>
      </w:tr>
      <w:tr w:rsidR="00062F59">
        <w:trPr>
          <w:trHeight w:val="315"/>
        </w:trPr>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$17.9B</w:t>
            </w:r>
          </w:p>
        </w:tc>
        <w:tc>
          <w:tcPr>
            <w:tcW w:w="19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$1.8B</w:t>
            </w:r>
          </w:p>
        </w:tc>
        <w:tc>
          <w:tcPr>
            <w:tcW w:w="12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$20.7B</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11.5</w:t>
            </w:r>
          </w:p>
        </w:tc>
      </w:tr>
    </w:tbl>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Interest Coverage Ratio highlights its improved ability to meet interest obligations post-2020. The significant negative ratio in 2020 was due to the net loss, but the recovery and strong ratios in subsequent years indicate robust profitability and effective debt management.</w:t>
      </w:r>
    </w:p>
    <w:p w:rsidR="00062F59" w:rsidRDefault="002E1D68">
      <w:pPr>
        <w:pStyle w:val="Heading4"/>
        <w:keepNext w:val="0"/>
        <w:keepLines w:val="0"/>
        <w:spacing w:before="240" w:after="40" w:line="360" w:lineRule="auto"/>
        <w:rPr>
          <w:rFonts w:ascii="Times New Roman" w:eastAsia="Times New Roman" w:hAnsi="Times New Roman" w:cs="Times New Roman"/>
          <w:b/>
          <w:color w:val="000000"/>
          <w:sz w:val="22"/>
          <w:szCs w:val="22"/>
        </w:rPr>
      </w:pPr>
      <w:bookmarkStart w:id="29" w:name="_49x2ik5" w:colFirst="0" w:colLast="0"/>
      <w:bookmarkEnd w:id="29"/>
      <w:r>
        <w:rPr>
          <w:rFonts w:ascii="Times New Roman" w:eastAsia="Times New Roman" w:hAnsi="Times New Roman" w:cs="Times New Roman"/>
          <w:b/>
          <w:color w:val="000000"/>
          <w:sz w:val="22"/>
          <w:szCs w:val="22"/>
        </w:rPr>
        <w:t>Discussion of the Risks Associated with High or Low Gearing Ratios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rPr>
        <w:t>High Gearing Ratios</w:t>
      </w:r>
      <w:r>
        <w:rPr>
          <w:rFonts w:ascii="Times New Roman" w:eastAsia="Times New Roman" w:hAnsi="Times New Roman" w:cs="Times New Roman"/>
          <w:sz w:val="24"/>
          <w:szCs w:val="24"/>
        </w:rPr>
        <w:t>: Ford's high gearing ratio indicates heavy debt use. The company's debt levels climb, rendering it vulnerable to interest rates and the economy. Leverage increases interest costs, straining cash flows, especially during downtime. However, good ventures with borrowed cash may show growth potential.</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Low Gearing Ratios</w:t>
      </w:r>
      <w:r>
        <w:rPr>
          <w:rFonts w:ascii="Times New Roman" w:eastAsia="Times New Roman" w:hAnsi="Times New Roman" w:cs="Times New Roman"/>
          <w:sz w:val="24"/>
          <w:szCs w:val="24"/>
        </w:rPr>
        <w:t>: A low gearing ratio suggests less debt reliance and financial risk. This helps in a recession since the company pays less interest. The company's conservative finance may impede its expansion by not maximising financial leverage.</w:t>
      </w:r>
    </w:p>
    <w:p w:rsidR="00062F59" w:rsidRDefault="002E1D68">
      <w:pPr>
        <w:pStyle w:val="Heading4"/>
        <w:keepNext w:val="0"/>
        <w:keepLines w:val="0"/>
        <w:spacing w:before="240" w:after="40" w:line="360" w:lineRule="auto"/>
        <w:rPr>
          <w:rFonts w:ascii="Times New Roman" w:eastAsia="Times New Roman" w:hAnsi="Times New Roman" w:cs="Times New Roman"/>
          <w:b/>
          <w:color w:val="000000"/>
          <w:sz w:val="22"/>
          <w:szCs w:val="22"/>
        </w:rPr>
      </w:pPr>
      <w:bookmarkStart w:id="30" w:name="_2p2csry" w:colFirst="0" w:colLast="0"/>
      <w:bookmarkEnd w:id="30"/>
      <w:r>
        <w:rPr>
          <w:rFonts w:ascii="Times New Roman" w:eastAsia="Times New Roman" w:hAnsi="Times New Roman" w:cs="Times New Roman"/>
          <w:b/>
          <w:color w:val="000000"/>
          <w:sz w:val="22"/>
          <w:szCs w:val="22"/>
        </w:rPr>
        <w:t>Comparison with Major Competitors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Tesla's Debt to Equity Ratio is lower than Ford's. Tesla has used less debt financing in recent years, ranging from 0.5 to 1.0. Tesla is more cognisant of leverage and uses equity than debt. Tesla's debt reduction minimises financial risk, but it won't leverage like Ford for expansion.</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Automotive velocity gear ratios vary. The debt-to-equity ratios of some sector averages are 1.5–3.5. Ford's ratios reveal higher leverage than competitors. This is predicted since most traditional automakers have large fixed capital and capital-intensive production techniques. Ford's Post 2020 Interest Coverage Ratio of 10 or more is low-risk because the industry average is 5-10. The corporation has strong income-to-debt ratios.</w:t>
      </w:r>
    </w:p>
    <w:p w:rsidR="00062F59" w:rsidRDefault="002E1D68">
      <w:pPr>
        <w:pStyle w:val="Heading3"/>
        <w:spacing w:before="240" w:after="240" w:line="360" w:lineRule="auto"/>
        <w:rPr>
          <w:rFonts w:ascii="Times New Roman" w:eastAsia="Times New Roman" w:hAnsi="Times New Roman" w:cs="Times New Roman"/>
          <w:b/>
          <w:color w:val="000000"/>
          <w:sz w:val="24"/>
          <w:szCs w:val="24"/>
        </w:rPr>
      </w:pPr>
      <w:bookmarkStart w:id="31" w:name="_147n2zr" w:colFirst="0" w:colLast="0"/>
      <w:bookmarkEnd w:id="31"/>
      <w:r>
        <w:rPr>
          <w:rFonts w:ascii="Times New Roman" w:eastAsia="Times New Roman" w:hAnsi="Times New Roman" w:cs="Times New Roman"/>
          <w:b/>
          <w:color w:val="000000"/>
          <w:sz w:val="24"/>
          <w:szCs w:val="24"/>
        </w:rPr>
        <w:t>Efficiency Ratios Analysis</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Asset Turnover Ratio</w:t>
      </w:r>
      <w:r>
        <w:rPr>
          <w:rFonts w:ascii="Times New Roman" w:eastAsia="Times New Roman" w:hAnsi="Times New Roman" w:cs="Times New Roman"/>
          <w:sz w:val="24"/>
          <w:szCs w:val="24"/>
        </w:rPr>
        <w:t>: The Asset Turnover Ratio gives information about the ability of a company to utilise its assets to generate sales. A higher ratio is preferred as it shows that the firm has effectively utilised its assets in generating sales.</w:t>
      </w:r>
    </w:p>
    <w:p w:rsidR="00062F59" w:rsidRDefault="00062F59">
      <w:pPr>
        <w:spacing w:line="360" w:lineRule="auto"/>
        <w:rPr>
          <w:rFonts w:ascii="Times New Roman" w:eastAsia="Times New Roman" w:hAnsi="Times New Roman" w:cs="Times New Roman"/>
          <w:sz w:val="24"/>
          <w:szCs w:val="24"/>
        </w:rPr>
      </w:pPr>
    </w:p>
    <w:tbl>
      <w:tblPr>
        <w:tblStyle w:val="ae"/>
        <w:tblW w:w="8610" w:type="dxa"/>
        <w:tblBorders>
          <w:top w:val="nil"/>
          <w:left w:val="nil"/>
          <w:bottom w:val="nil"/>
          <w:right w:val="nil"/>
          <w:insideH w:val="nil"/>
          <w:insideV w:val="nil"/>
        </w:tblBorders>
        <w:tblLayout w:type="fixed"/>
        <w:tblLook w:val="0600" w:firstRow="0" w:lastRow="0" w:firstColumn="0" w:lastColumn="0" w:noHBand="1" w:noVBand="1"/>
      </w:tblPr>
      <w:tblGrid>
        <w:gridCol w:w="2700"/>
        <w:gridCol w:w="2910"/>
        <w:gridCol w:w="1500"/>
        <w:gridCol w:w="1500"/>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Revenue</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Total Assets</w:t>
            </w:r>
          </w:p>
        </w:tc>
        <w:tc>
          <w:tcPr>
            <w:tcW w:w="1500" w:type="dxa"/>
            <w:tcBorders>
              <w:top w:val="single" w:sz="6" w:space="0" w:color="CCCCCC"/>
              <w:left w:val="single" w:sz="6" w:space="0" w:color="CCCCCC"/>
              <w:bottom w:val="single" w:sz="6" w:space="0" w:color="CCCCCC"/>
              <w:right w:val="single" w:sz="6" w:space="0" w:color="000000"/>
            </w:tcBorders>
            <w:tcMar>
              <w:top w:w="40" w:type="dxa"/>
              <w:left w:w="0" w:type="dxa"/>
              <w:bottom w:w="40" w:type="dxa"/>
              <w:right w:w="0" w:type="dxa"/>
            </w:tcMar>
            <w:vAlign w:val="bottom"/>
          </w:tcPr>
          <w:p w:rsidR="00062F59" w:rsidRDefault="002E1D68">
            <w:pPr>
              <w:widowControl w:val="0"/>
              <w:spacing w:line="360" w:lineRule="auto"/>
              <w:ind w:left="-9360" w:right="-9360"/>
              <w:rPr>
                <w:rFonts w:ascii="Times New Roman" w:eastAsia="Times New Roman" w:hAnsi="Times New Roman" w:cs="Times New Roman"/>
                <w:b/>
                <w:sz w:val="20"/>
                <w:szCs w:val="20"/>
              </w:rPr>
            </w:pPr>
            <w:r>
              <w:rPr>
                <w:rFonts w:ascii="Times New Roman" w:eastAsia="Times New Roman" w:hAnsi="Times New Roman" w:cs="Times New Roman"/>
                <w:b/>
                <w:sz w:val="20"/>
                <w:szCs w:val="20"/>
              </w:rPr>
              <w:t>Asset Turnover Ratio</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$155.9B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$258.5B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$127.1B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$267.3B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0.48</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$136.3B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$257.0B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0.53</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$158.1B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$258.4B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0.61</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9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$160.1B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$259.0B</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0.62</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table below shows that Ford's Asset Turnover Ratio decreased in 2020 and improved in subsequent years. The overall productivity rose from 0.48 in 2020 to 0.62 in 2023, showing that Ford has been more productive at using its assets to generate money. This rebound may have been due to firm efforts to enhance subgroup efficiency.</w:t>
      </w:r>
    </w:p>
    <w:p w:rsidR="00062F59" w:rsidRDefault="002E1D68">
      <w:pPr>
        <w:pStyle w:val="Heading4"/>
        <w:keepNext w:val="0"/>
        <w:keepLines w:val="0"/>
        <w:spacing w:before="240" w:after="40" w:line="360" w:lineRule="auto"/>
        <w:rPr>
          <w:rFonts w:ascii="Times New Roman" w:eastAsia="Times New Roman" w:hAnsi="Times New Roman" w:cs="Times New Roman"/>
          <w:b/>
          <w:color w:val="000000"/>
          <w:sz w:val="22"/>
          <w:szCs w:val="22"/>
        </w:rPr>
      </w:pPr>
      <w:bookmarkStart w:id="32" w:name="_3o7alnk" w:colFirst="0" w:colLast="0"/>
      <w:bookmarkEnd w:id="32"/>
      <w:r>
        <w:rPr>
          <w:rFonts w:ascii="Times New Roman" w:eastAsia="Times New Roman" w:hAnsi="Times New Roman" w:cs="Times New Roman"/>
          <w:b/>
          <w:color w:val="000000"/>
          <w:sz w:val="22"/>
          <w:szCs w:val="22"/>
        </w:rPr>
        <w:t>Evaluation of Inventory and Receivables Management</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rPr>
        <w:t>Inventory Turnover Ratio</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color w:val="101828"/>
          <w:sz w:val="24"/>
          <w:szCs w:val="24"/>
          <w:highlight w:val="white"/>
        </w:rPr>
        <w:t>The Inventory Turnover Ratio on the other hand gives an insight of how efficient a company is in managing its inventory</w:t>
      </w:r>
      <w:r>
        <w:rPr>
          <w:rFonts w:ascii="Times New Roman" w:eastAsia="Times New Roman" w:hAnsi="Times New Roman" w:cs="Times New Roman"/>
          <w:sz w:val="24"/>
          <w:szCs w:val="24"/>
        </w:rPr>
        <w:t xml:space="preserve"> by comparing COGS to average inventory (Fadrul et al., 2023). Positive inventory control is indicated by a greater clerk/customer ratio (Fernando, 2024).</w:t>
      </w:r>
    </w:p>
    <w:tbl>
      <w:tblPr>
        <w:tblStyle w:val="af"/>
        <w:tblW w:w="9360" w:type="dxa"/>
        <w:tblBorders>
          <w:top w:val="nil"/>
          <w:left w:val="nil"/>
          <w:bottom w:val="nil"/>
          <w:right w:val="nil"/>
          <w:insideH w:val="nil"/>
          <w:insideV w:val="nil"/>
        </w:tblBorders>
        <w:tblLayout w:type="fixed"/>
        <w:tblLook w:val="0600" w:firstRow="0" w:lastRow="0" w:firstColumn="0" w:lastColumn="0" w:noHBand="1" w:noVBand="1"/>
      </w:tblPr>
      <w:tblGrid>
        <w:gridCol w:w="2082"/>
        <w:gridCol w:w="1943"/>
        <w:gridCol w:w="1840"/>
        <w:gridCol w:w="1562"/>
        <w:gridCol w:w="1933"/>
      </w:tblGrid>
      <w:tr w:rsidR="00062F59">
        <w:trPr>
          <w:trHeight w:val="540"/>
        </w:trPr>
        <w:tc>
          <w:tcPr>
            <w:tcW w:w="208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19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Revenue</w:t>
            </w:r>
          </w:p>
        </w:tc>
        <w:tc>
          <w:tcPr>
            <w:tcW w:w="183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COGS (85% of Revenue)</w:t>
            </w:r>
          </w:p>
        </w:tc>
        <w:tc>
          <w:tcPr>
            <w:tcW w:w="15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Average Inventory</w:t>
            </w:r>
          </w:p>
        </w:tc>
        <w:tc>
          <w:tcPr>
            <w:tcW w:w="193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Inventory Turnover Ratio</w:t>
            </w:r>
          </w:p>
        </w:tc>
      </w:tr>
      <w:tr w:rsidR="00062F59">
        <w:trPr>
          <w:trHeight w:val="315"/>
        </w:trPr>
        <w:tc>
          <w:tcPr>
            <w:tcW w:w="208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19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$155.9B</w:t>
            </w:r>
          </w:p>
        </w:tc>
        <w:tc>
          <w:tcPr>
            <w:tcW w:w="183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$132.5B</w:t>
            </w:r>
          </w:p>
        </w:tc>
        <w:tc>
          <w:tcPr>
            <w:tcW w:w="15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$15.0B</w:t>
            </w:r>
          </w:p>
        </w:tc>
        <w:tc>
          <w:tcPr>
            <w:tcW w:w="193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8.83</w:t>
            </w:r>
          </w:p>
        </w:tc>
      </w:tr>
      <w:tr w:rsidR="00062F59">
        <w:trPr>
          <w:trHeight w:val="315"/>
        </w:trPr>
        <w:tc>
          <w:tcPr>
            <w:tcW w:w="208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19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$127.1B</w:t>
            </w:r>
          </w:p>
        </w:tc>
        <w:tc>
          <w:tcPr>
            <w:tcW w:w="183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$108.0B</w:t>
            </w:r>
          </w:p>
        </w:tc>
        <w:tc>
          <w:tcPr>
            <w:tcW w:w="15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$14.5B</w:t>
            </w:r>
          </w:p>
        </w:tc>
        <w:tc>
          <w:tcPr>
            <w:tcW w:w="193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7.45</w:t>
            </w:r>
          </w:p>
        </w:tc>
      </w:tr>
      <w:tr w:rsidR="00062F59">
        <w:trPr>
          <w:trHeight w:val="315"/>
        </w:trPr>
        <w:tc>
          <w:tcPr>
            <w:tcW w:w="208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19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$136.3B</w:t>
            </w:r>
          </w:p>
        </w:tc>
        <w:tc>
          <w:tcPr>
            <w:tcW w:w="183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$115.9B</w:t>
            </w:r>
          </w:p>
        </w:tc>
        <w:tc>
          <w:tcPr>
            <w:tcW w:w="15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$16.0B</w:t>
            </w:r>
          </w:p>
        </w:tc>
        <w:tc>
          <w:tcPr>
            <w:tcW w:w="193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7.24</w:t>
            </w:r>
          </w:p>
        </w:tc>
      </w:tr>
      <w:tr w:rsidR="00062F59">
        <w:trPr>
          <w:trHeight w:val="315"/>
        </w:trPr>
        <w:tc>
          <w:tcPr>
            <w:tcW w:w="208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19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$158.1B</w:t>
            </w:r>
          </w:p>
        </w:tc>
        <w:tc>
          <w:tcPr>
            <w:tcW w:w="183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$134.4B</w:t>
            </w:r>
          </w:p>
        </w:tc>
        <w:tc>
          <w:tcPr>
            <w:tcW w:w="15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$16.5B</w:t>
            </w:r>
          </w:p>
        </w:tc>
        <w:tc>
          <w:tcPr>
            <w:tcW w:w="193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8.15</w:t>
            </w:r>
          </w:p>
        </w:tc>
      </w:tr>
      <w:tr w:rsidR="00062F59">
        <w:trPr>
          <w:trHeight w:val="315"/>
        </w:trPr>
        <w:tc>
          <w:tcPr>
            <w:tcW w:w="208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19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$160.1B</w:t>
            </w:r>
          </w:p>
        </w:tc>
        <w:tc>
          <w:tcPr>
            <w:tcW w:w="183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$136.1B</w:t>
            </w:r>
          </w:p>
        </w:tc>
        <w:tc>
          <w:tcPr>
            <w:tcW w:w="15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$17.0B</w:t>
            </w:r>
          </w:p>
        </w:tc>
        <w:tc>
          <w:tcPr>
            <w:tcW w:w="193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8.01</w:t>
            </w:r>
          </w:p>
        </w:tc>
      </w:tr>
    </w:tbl>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 Motor Company's Inventory Turnover Ratio drops in 2020 and 2021, indicating poor stock management during the pandemic. However, the ratio grew in 2022 and 2023, indicating better stock control and rotation. The ratio increase shows that Ford has improved its supply chain and inventory control, lowering holding costs and increasing cash flow.</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Receivables Turnover Ratio</w:t>
      </w:r>
    </w:p>
    <w:p w:rsidR="00062F59" w:rsidRDefault="002E1D68">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101828"/>
          <w:sz w:val="24"/>
          <w:szCs w:val="24"/>
          <w:highlight w:val="white"/>
        </w:rPr>
        <w:t>The Receivables Turnover Ratio is calculated by dividing net credit sales by the average accounts receivable in order to determine the business’s ability to collect revenue.</w:t>
      </w:r>
      <w:r>
        <w:rPr>
          <w:rFonts w:ascii="Times New Roman" w:eastAsia="Times New Roman" w:hAnsi="Times New Roman" w:cs="Times New Roman"/>
          <w:sz w:val="24"/>
          <w:szCs w:val="24"/>
        </w:rPr>
        <w:t xml:space="preserve"> Higher ratios indicate higher collecting efficiency.</w:t>
      </w:r>
    </w:p>
    <w:p w:rsidR="00062F59" w:rsidRDefault="00062F59">
      <w:pPr>
        <w:spacing w:line="360" w:lineRule="auto"/>
        <w:rPr>
          <w:rFonts w:ascii="Times New Roman" w:eastAsia="Times New Roman" w:hAnsi="Times New Roman" w:cs="Times New Roman"/>
          <w:sz w:val="24"/>
          <w:szCs w:val="24"/>
        </w:rPr>
      </w:pPr>
    </w:p>
    <w:tbl>
      <w:tblPr>
        <w:tblStyle w:val="af0"/>
        <w:tblW w:w="9360" w:type="dxa"/>
        <w:tblBorders>
          <w:top w:val="nil"/>
          <w:left w:val="nil"/>
          <w:bottom w:val="nil"/>
          <w:right w:val="nil"/>
          <w:insideH w:val="nil"/>
          <w:insideV w:val="nil"/>
        </w:tblBorders>
        <w:tblLayout w:type="fixed"/>
        <w:tblLook w:val="0600" w:firstRow="0" w:lastRow="0" w:firstColumn="0" w:lastColumn="0" w:noHBand="1" w:noVBand="1"/>
      </w:tblPr>
      <w:tblGrid>
        <w:gridCol w:w="2453"/>
        <w:gridCol w:w="2288"/>
        <w:gridCol w:w="2166"/>
        <w:gridCol w:w="2453"/>
      </w:tblGrid>
      <w:tr w:rsidR="00062F59">
        <w:trPr>
          <w:trHeight w:val="540"/>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Revenue</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Average Receivables</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Receivables Turnover Ratio</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2019</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$155.9B</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$20.0B</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7.8</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2020</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$127.1B</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$19.5B</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6.52</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2021</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$136.3B</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$21.0B</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6.49</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2022</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$158.1B</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$21.5B</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7.35</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2023</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$160.1B</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$22.0B</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7.28</w:t>
            </w:r>
          </w:p>
        </w:tc>
      </w:tr>
    </w:tbl>
    <w:p w:rsidR="00062F59" w:rsidRDefault="00062F59">
      <w:pPr>
        <w:spacing w:line="360" w:lineRule="auto"/>
        <w:rPr>
          <w:rFonts w:ascii="Times New Roman" w:eastAsia="Times New Roman" w:hAnsi="Times New Roman" w:cs="Times New Roman"/>
          <w:sz w:val="24"/>
          <w:szCs w:val="24"/>
        </w:rPr>
      </w:pP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Ford's Receivables Turnover Ratio dropped in 2020 and 2021 owing to pandemic-related poor collection. Improved collection prospects in 2022 and 2023 show that Ford has streamlined its credit collection by improving credit policies and collection techniques to limit bad debt risks.</w:t>
      </w:r>
    </w:p>
    <w:p w:rsidR="00062F59" w:rsidRDefault="002E1D68">
      <w:pPr>
        <w:pStyle w:val="Heading4"/>
        <w:keepNext w:val="0"/>
        <w:keepLines w:val="0"/>
        <w:spacing w:before="240" w:after="40" w:line="360" w:lineRule="auto"/>
        <w:rPr>
          <w:rFonts w:ascii="Times New Roman" w:eastAsia="Times New Roman" w:hAnsi="Times New Roman" w:cs="Times New Roman"/>
          <w:b/>
          <w:color w:val="000000"/>
        </w:rPr>
      </w:pPr>
      <w:bookmarkStart w:id="33" w:name="_23ckvvd" w:colFirst="0" w:colLast="0"/>
      <w:bookmarkEnd w:id="33"/>
      <w:r>
        <w:rPr>
          <w:rFonts w:ascii="Times New Roman" w:eastAsia="Times New Roman" w:hAnsi="Times New Roman" w:cs="Times New Roman"/>
          <w:b/>
          <w:color w:val="000000"/>
        </w:rPr>
        <w:t>Comparison with Major Competitors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International, another GM rival, boasts high-efficiency rates. Tesla generates more revenue from its assets than Ford, whose Asset Turnover Ratio was 0.62 in 2023. This suggests that Tesla deploys assets more efficiently due to its lean systems and high-margin electric autos.</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solid and stable financial indicator for Tesla is its Inventory Turnover Ratio, usually 8-10. This is even lower than Ford's 8.1 in 2023 because to Tesla's inventory management that promotes just-in-time production and high automobile demand (Tesla Annual Report, 2023).</w:t>
      </w:r>
    </w:p>
    <w:p w:rsidR="00062F59" w:rsidRDefault="002E1D68">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has a Receivables Turnover Ratio of 8-10, greater than Ford's 7.28 in 2023. Tesla has a higher ratio than other automakers due to effective cash management and solid credit procedures.</w:t>
      </w:r>
    </w:p>
    <w:p w:rsidR="00062F59" w:rsidRDefault="002E1D68">
      <w:pPr>
        <w:pStyle w:val="Heading4"/>
        <w:spacing w:line="360" w:lineRule="auto"/>
        <w:rPr>
          <w:rFonts w:ascii="Times New Roman" w:eastAsia="Times New Roman" w:hAnsi="Times New Roman" w:cs="Times New Roman"/>
          <w:color w:val="000000"/>
        </w:rPr>
      </w:pPr>
      <w:bookmarkStart w:id="34" w:name="_ihv636" w:colFirst="0" w:colLast="0"/>
      <w:bookmarkEnd w:id="34"/>
      <w:r>
        <w:rPr>
          <w:rFonts w:ascii="Times New Roman" w:eastAsia="Times New Roman" w:hAnsi="Times New Roman" w:cs="Times New Roman"/>
          <w:b/>
          <w:color w:val="000000"/>
        </w:rPr>
        <w:t>Recommendations on Improving Financial Management</w:t>
      </w:r>
    </w:p>
    <w:p w:rsidR="00062F59" w:rsidRDefault="002E1D68">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Ford may improve its financial management with these strategic steps. Profitability must be prioritised</w:t>
      </w:r>
      <w:r>
        <w:rPr>
          <w:rFonts w:ascii="Times New Roman" w:eastAsia="Times New Roman" w:hAnsi="Times New Roman" w:cs="Times New Roman"/>
          <w:sz w:val="24"/>
          <w:szCs w:val="24"/>
          <w:highlight w:val="white"/>
        </w:rPr>
        <w:t xml:space="preserve"> (Tamplin, 2024). Measures to decrease costs include the use of new technologies for manufacturing, increased automation, renegotiation of contracts with suppliers, and others. Moreover, revenue generation tactics like offering a wider range of electric vehicles, entering new regions, as well as utilising big data analytics for marketing could contribute to sales increase and market share.</w:t>
      </w:r>
    </w:p>
    <w:p w:rsidR="00062F59" w:rsidRDefault="00062F59">
      <w:pPr>
        <w:spacing w:line="360" w:lineRule="auto"/>
        <w:rPr>
          <w:rFonts w:ascii="Times New Roman" w:eastAsia="Times New Roman" w:hAnsi="Times New Roman" w:cs="Times New Roman"/>
          <w:sz w:val="24"/>
          <w:szCs w:val="24"/>
        </w:rPr>
      </w:pPr>
    </w:p>
    <w:p w:rsidR="00062F59" w:rsidRDefault="002E1D68">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Liquidity should be improved as it refers to the financial viability of a business venture (Effiong and Enya, 2020). Focusing on the management of working capital involves reducing costs by adopting just-in-time inventory methods and supply chain enhancement (Tamplin, 2024). Also, the improvement of receivables management by the enhanced credit policy as well as the use of deeper analysis of customers' creditworthiness will improve the collection of cash. Managing working capital entails controlling costs, </w:t>
      </w:r>
      <w:r>
        <w:rPr>
          <w:rFonts w:ascii="Times New Roman" w:eastAsia="Times New Roman" w:hAnsi="Times New Roman" w:cs="Times New Roman"/>
          <w:sz w:val="24"/>
          <w:szCs w:val="24"/>
          <w:highlight w:val="white"/>
        </w:rPr>
        <w:t>appropriate cash outlay, and application of cash flow planning to attain suitable working capital for operations and investments.</w:t>
      </w:r>
    </w:p>
    <w:p w:rsidR="00062F59" w:rsidRDefault="002E1D68">
      <w:pPr>
        <w:pStyle w:val="Heading1"/>
        <w:keepNext w:val="0"/>
        <w:keepLines w:val="0"/>
        <w:spacing w:before="240" w:after="40" w:line="360" w:lineRule="auto"/>
        <w:rPr>
          <w:rFonts w:ascii="Times New Roman" w:eastAsia="Times New Roman" w:hAnsi="Times New Roman" w:cs="Times New Roman"/>
          <w:sz w:val="24"/>
          <w:szCs w:val="24"/>
          <w:highlight w:val="white"/>
        </w:rPr>
      </w:pPr>
      <w:bookmarkStart w:id="35" w:name="_32hioqz" w:colFirst="0" w:colLast="0"/>
      <w:bookmarkEnd w:id="35"/>
      <w:r>
        <w:rPr>
          <w:rFonts w:ascii="Times New Roman" w:eastAsia="Times New Roman" w:hAnsi="Times New Roman" w:cs="Times New Roman"/>
          <w:b/>
          <w:sz w:val="26"/>
          <w:szCs w:val="26"/>
        </w:rPr>
        <w:t>Part C) Investment Appraisal</w:t>
      </w:r>
    </w:p>
    <w:p w:rsidR="00062F59" w:rsidRDefault="002E1D68">
      <w:pPr>
        <w:spacing w:before="240" w:after="240" w:line="360" w:lineRule="auto"/>
        <w:rPr>
          <w:rFonts w:ascii="Times New Roman" w:eastAsia="Times New Roman" w:hAnsi="Times New Roman" w:cs="Times New Roman"/>
          <w:b/>
          <w:highlight w:val="white"/>
        </w:rPr>
      </w:pPr>
      <w:r>
        <w:rPr>
          <w:rFonts w:ascii="Times New Roman" w:eastAsia="Times New Roman" w:hAnsi="Times New Roman" w:cs="Times New Roman"/>
          <w:color w:val="101828"/>
          <w:sz w:val="24"/>
          <w:szCs w:val="24"/>
          <w:highlight w:val="white"/>
        </w:rPr>
        <w:t>Investment appraisal is an important procedure used when assessing prospective investment projects with a view of identifying their worth</w:t>
      </w:r>
      <w:r>
        <w:rPr>
          <w:rFonts w:ascii="Times New Roman" w:eastAsia="Times New Roman" w:hAnsi="Times New Roman" w:cs="Times New Roman"/>
          <w:sz w:val="24"/>
          <w:szCs w:val="24"/>
          <w:highlight w:val="white"/>
        </w:rPr>
        <w:t xml:space="preserve"> (Improvement Service, 2020). This appraisal focuses on two projects, A and B, for a company with a cost of capital at 9.75%. </w:t>
      </w:r>
      <w:r>
        <w:rPr>
          <w:rFonts w:ascii="Times New Roman" w:eastAsia="Times New Roman" w:hAnsi="Times New Roman" w:cs="Times New Roman"/>
          <w:color w:val="101828"/>
          <w:sz w:val="24"/>
          <w:szCs w:val="24"/>
          <w:highlight w:val="white"/>
        </w:rPr>
        <w:t>Through this paper, we seek to evaluate the cash flows of projects a and b as independent ventures with the help of Payback Period (PBP), Accounting Rate of Return (ARR), and Net Present Value (NPV) methods and advice on the most appropriate project.</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cost of capital being used by the company is 9.75%. Flows relate to year-ends only and taxation and inflation are not taken into consideration. </w:t>
      </w:r>
      <w:r>
        <w:rPr>
          <w:rFonts w:ascii="Times New Roman" w:eastAsia="Times New Roman" w:hAnsi="Times New Roman" w:cs="Times New Roman"/>
          <w:color w:val="101828"/>
          <w:sz w:val="24"/>
          <w:szCs w:val="24"/>
          <w:highlight w:val="white"/>
        </w:rPr>
        <w:t>The projected cash flows for Projects A and B are as follows:The forecasted cash flows of the projects A and B are as follows</w:t>
      </w:r>
      <w:r>
        <w:rPr>
          <w:rFonts w:ascii="Times New Roman" w:eastAsia="Times New Roman" w:hAnsi="Times New Roman" w:cs="Times New Roman"/>
          <w:sz w:val="24"/>
          <w:szCs w:val="24"/>
          <w:highlight w:val="white"/>
        </w:rPr>
        <w:t>:</w:t>
      </w:r>
    </w:p>
    <w:tbl>
      <w:tblPr>
        <w:tblStyle w:val="af1"/>
        <w:tblW w:w="8730" w:type="dxa"/>
        <w:tblBorders>
          <w:top w:val="nil"/>
          <w:left w:val="nil"/>
          <w:bottom w:val="nil"/>
          <w:right w:val="nil"/>
          <w:insideH w:val="nil"/>
          <w:insideV w:val="nil"/>
        </w:tblBorders>
        <w:tblLayout w:type="fixed"/>
        <w:tblLook w:val="0600" w:firstRow="0" w:lastRow="0" w:firstColumn="0" w:lastColumn="0" w:noHBand="1" w:noVBand="1"/>
      </w:tblPr>
      <w:tblGrid>
        <w:gridCol w:w="2700"/>
        <w:gridCol w:w="3255"/>
        <w:gridCol w:w="2775"/>
      </w:tblGrid>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32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Project A (Cash Flows £m)</w:t>
            </w:r>
          </w:p>
        </w:tc>
        <w:tc>
          <w:tcPr>
            <w:tcW w:w="27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Project B (Cash Flows £m)</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w:t>
            </w:r>
          </w:p>
        </w:tc>
        <w:tc>
          <w:tcPr>
            <w:tcW w:w="32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w:t>
            </w:r>
          </w:p>
        </w:tc>
        <w:tc>
          <w:tcPr>
            <w:tcW w:w="27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-75</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w:t>
            </w:r>
          </w:p>
        </w:tc>
        <w:tc>
          <w:tcPr>
            <w:tcW w:w="32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w:t>
            </w:r>
          </w:p>
        </w:tc>
        <w:tc>
          <w:tcPr>
            <w:tcW w:w="27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50</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w:t>
            </w:r>
          </w:p>
        </w:tc>
        <w:tc>
          <w:tcPr>
            <w:tcW w:w="32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w:t>
            </w:r>
          </w:p>
        </w:tc>
        <w:tc>
          <w:tcPr>
            <w:tcW w:w="27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w:t>
            </w:r>
          </w:p>
        </w:tc>
        <w:tc>
          <w:tcPr>
            <w:tcW w:w="32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c>
          <w:tcPr>
            <w:tcW w:w="27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r>
      <w:tr w:rsidR="00062F59">
        <w:trPr>
          <w:trHeight w:val="315"/>
        </w:trPr>
        <w:tc>
          <w:tcPr>
            <w:tcW w:w="2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4</w:t>
            </w:r>
          </w:p>
        </w:tc>
        <w:tc>
          <w:tcPr>
            <w:tcW w:w="32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55</w:t>
            </w:r>
          </w:p>
        </w:tc>
        <w:tc>
          <w:tcPr>
            <w:tcW w:w="27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r>
    </w:tbl>
    <w:p w:rsidR="00062F59" w:rsidRDefault="00062F59">
      <w:pPr>
        <w:spacing w:line="360" w:lineRule="auto"/>
        <w:rPr>
          <w:rFonts w:ascii="Times New Roman" w:eastAsia="Times New Roman" w:hAnsi="Times New Roman" w:cs="Times New Roman"/>
          <w:sz w:val="24"/>
          <w:szCs w:val="24"/>
          <w:highlight w:val="white"/>
        </w:rPr>
      </w:pPr>
    </w:p>
    <w:p w:rsidR="00062F59" w:rsidRDefault="002E1D68">
      <w:pPr>
        <w:pStyle w:val="Heading2"/>
        <w:keepNext w:val="0"/>
        <w:keepLines w:val="0"/>
        <w:spacing w:before="240" w:after="40" w:line="360" w:lineRule="auto"/>
        <w:rPr>
          <w:rFonts w:ascii="Times New Roman" w:eastAsia="Times New Roman" w:hAnsi="Times New Roman" w:cs="Times New Roman"/>
          <w:b/>
          <w:sz w:val="26"/>
          <w:szCs w:val="26"/>
        </w:rPr>
      </w:pPr>
      <w:bookmarkStart w:id="36" w:name="_1hmsyys" w:colFirst="0" w:colLast="0"/>
      <w:bookmarkEnd w:id="36"/>
      <w:r>
        <w:rPr>
          <w:rFonts w:ascii="Times New Roman" w:eastAsia="Times New Roman" w:hAnsi="Times New Roman" w:cs="Times New Roman"/>
          <w:b/>
          <w:sz w:val="26"/>
          <w:szCs w:val="26"/>
        </w:rPr>
        <w:t>Payback Period (PBP)</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From the definition provided by Kagan (2023), </w:t>
      </w:r>
      <w:r>
        <w:rPr>
          <w:rFonts w:ascii="Times New Roman" w:eastAsia="Times New Roman" w:hAnsi="Times New Roman" w:cs="Times New Roman"/>
          <w:color w:val="101828"/>
          <w:sz w:val="24"/>
          <w:szCs w:val="24"/>
          <w:highlight w:val="white"/>
        </w:rPr>
        <w:t>the Payback Period or the PBP measures the time which is needed to generate net cash inflow sufficient enough to cover out the initial cash outflow of a project</w:t>
      </w:r>
      <w:r>
        <w:rPr>
          <w:rFonts w:ascii="Times New Roman" w:eastAsia="Times New Roman" w:hAnsi="Times New Roman" w:cs="Times New Roman"/>
          <w:sz w:val="24"/>
          <w:szCs w:val="24"/>
          <w:highlight w:val="white"/>
        </w:rPr>
        <w:t>. It is of particular use in valuing the risk and the liquidity, as it demonstrates how soon the invested amount can be recovered.</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Calculation for Project A</w:t>
      </w:r>
      <w:r>
        <w:rPr>
          <w:rFonts w:ascii="Times New Roman" w:eastAsia="Times New Roman" w:hAnsi="Times New Roman" w:cs="Times New Roman"/>
          <w:sz w:val="24"/>
          <w:szCs w:val="24"/>
          <w:highlight w:val="white"/>
        </w:rPr>
        <w:t>:</w:t>
      </w:r>
    </w:p>
    <w:p w:rsidR="00062F59" w:rsidRDefault="002E1D68">
      <w:pPr>
        <w:numPr>
          <w:ilvl w:val="0"/>
          <w:numId w:val="11"/>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Initial Investment: -£80 million</w:t>
      </w:r>
    </w:p>
    <w:p w:rsidR="00062F59" w:rsidRDefault="002E1D68">
      <w:pPr>
        <w:numPr>
          <w:ilvl w:val="0"/>
          <w:numId w:val="1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Year 1: -80 + 25 = -55 million</w:t>
      </w:r>
    </w:p>
    <w:p w:rsidR="00062F59" w:rsidRDefault="002E1D68">
      <w:pPr>
        <w:numPr>
          <w:ilvl w:val="0"/>
          <w:numId w:val="1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Year 2: -55 + 25 = -30 million</w:t>
      </w:r>
    </w:p>
    <w:p w:rsidR="00062F59" w:rsidRDefault="002E1D68">
      <w:pPr>
        <w:numPr>
          <w:ilvl w:val="0"/>
          <w:numId w:val="1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Year 3: -30 + 20 = -10 million</w:t>
      </w:r>
    </w:p>
    <w:p w:rsidR="00062F59" w:rsidRDefault="002E1D68">
      <w:pPr>
        <w:numPr>
          <w:ilvl w:val="0"/>
          <w:numId w:val="11"/>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Year 4: -10 + 55 = 45 million</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payback period for Project A is just before the end of Year 4.</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Calculation for Project B</w:t>
      </w:r>
      <w:r>
        <w:rPr>
          <w:rFonts w:ascii="Times New Roman" w:eastAsia="Times New Roman" w:hAnsi="Times New Roman" w:cs="Times New Roman"/>
          <w:sz w:val="24"/>
          <w:szCs w:val="24"/>
          <w:highlight w:val="white"/>
        </w:rPr>
        <w:t>:</w:t>
      </w:r>
    </w:p>
    <w:p w:rsidR="00062F59" w:rsidRDefault="002E1D68">
      <w:pPr>
        <w:numPr>
          <w:ilvl w:val="0"/>
          <w:numId w:val="8"/>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Initial Investment: -£75 million</w:t>
      </w:r>
    </w:p>
    <w:p w:rsidR="00062F59" w:rsidRDefault="002E1D68">
      <w:pPr>
        <w:numPr>
          <w:ilvl w:val="0"/>
          <w:numId w:val="8"/>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Year 1: -75 + 50 = -25 million</w:t>
      </w:r>
    </w:p>
    <w:p w:rsidR="00062F59" w:rsidRDefault="002E1D68">
      <w:pPr>
        <w:numPr>
          <w:ilvl w:val="0"/>
          <w:numId w:val="8"/>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Year 2: -25 + 20 = -5 million</w:t>
      </w:r>
    </w:p>
    <w:p w:rsidR="00062F59" w:rsidRDefault="002E1D68">
      <w:pPr>
        <w:numPr>
          <w:ilvl w:val="0"/>
          <w:numId w:val="8"/>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Year 3: -5 + 20 = 15 million</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payback period for Project B is just before the end of Year 3.</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color w:val="101828"/>
          <w:sz w:val="24"/>
          <w:szCs w:val="24"/>
          <w:highlight w:val="white"/>
        </w:rPr>
        <w:t>The payback period of Project B is short, 3 years, while that of Project A is 4 years.</w:t>
      </w:r>
      <w:r>
        <w:rPr>
          <w:rFonts w:ascii="Times New Roman" w:eastAsia="Times New Roman" w:hAnsi="Times New Roman" w:cs="Times New Roman"/>
          <w:sz w:val="24"/>
          <w:szCs w:val="24"/>
          <w:highlight w:val="white"/>
        </w:rPr>
        <w:t xml:space="preserve"> This implies that, Project B is less risky and would be able to generate its initial investment cost much earlier than Project A hence a victory in the aspect of liquidity.</w:t>
      </w:r>
    </w:p>
    <w:p w:rsidR="00062F59" w:rsidRDefault="002E1D68">
      <w:pPr>
        <w:pStyle w:val="Heading2"/>
        <w:keepNext w:val="0"/>
        <w:keepLines w:val="0"/>
        <w:spacing w:before="240" w:after="40" w:line="360" w:lineRule="auto"/>
        <w:rPr>
          <w:rFonts w:ascii="Times New Roman" w:eastAsia="Times New Roman" w:hAnsi="Times New Roman" w:cs="Times New Roman"/>
          <w:b/>
          <w:sz w:val="26"/>
          <w:szCs w:val="26"/>
        </w:rPr>
      </w:pPr>
      <w:bookmarkStart w:id="37" w:name="_41mghml" w:colFirst="0" w:colLast="0"/>
      <w:bookmarkEnd w:id="37"/>
      <w:r>
        <w:rPr>
          <w:rFonts w:ascii="Times New Roman" w:eastAsia="Times New Roman" w:hAnsi="Times New Roman" w:cs="Times New Roman"/>
          <w:b/>
          <w:sz w:val="26"/>
          <w:szCs w:val="26"/>
        </w:rPr>
        <w:t>Accounting Rate of Return (ARR)</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Murphy (2023), ARR was found to be </w:t>
      </w:r>
      <w:r>
        <w:rPr>
          <w:rFonts w:ascii="Times New Roman" w:eastAsia="Times New Roman" w:hAnsi="Times New Roman" w:cs="Times New Roman"/>
          <w:color w:val="101828"/>
          <w:sz w:val="24"/>
          <w:szCs w:val="24"/>
          <w:highlight w:val="white"/>
        </w:rPr>
        <w:t>the accounting rate of return that is the average annual profit per dollar invested.</w:t>
      </w:r>
      <w:r>
        <w:rPr>
          <w:rFonts w:ascii="Times New Roman" w:eastAsia="Times New Roman" w:hAnsi="Times New Roman" w:cs="Times New Roman"/>
          <w:sz w:val="24"/>
          <w:szCs w:val="24"/>
          <w:highlight w:val="white"/>
        </w:rPr>
        <w:t xml:space="preserve"> It shows the level of profitability of the particular project.</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Calculation for Project A</w:t>
      </w:r>
      <w:r>
        <w:rPr>
          <w:rFonts w:ascii="Times New Roman" w:eastAsia="Times New Roman" w:hAnsi="Times New Roman" w:cs="Times New Roman"/>
          <w:sz w:val="24"/>
          <w:szCs w:val="24"/>
          <w:highlight w:val="white"/>
        </w:rPr>
        <w:t>:</w:t>
      </w:r>
    </w:p>
    <w:p w:rsidR="00062F59" w:rsidRDefault="002E1D68">
      <w:pPr>
        <w:numPr>
          <w:ilvl w:val="0"/>
          <w:numId w:val="14"/>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Total Profit over 4 years = 25 + 25 + 20 + 55 = £125 million</w:t>
      </w:r>
    </w:p>
    <w:p w:rsidR="00062F59" w:rsidRDefault="002E1D68">
      <w:pPr>
        <w:numPr>
          <w:ilvl w:val="0"/>
          <w:numId w:val="14"/>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Average Annual Profit = £125 million / 4 = £31.25 million</w:t>
      </w:r>
    </w:p>
    <w:p w:rsidR="00062F59" w:rsidRDefault="002E1D68">
      <w:pPr>
        <w:numPr>
          <w:ilvl w:val="0"/>
          <w:numId w:val="14"/>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ARR = (Average Annual Profit / Initial Investment) * 100 = (31.25 / 80) * 100 = 39.06%</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Calculation for Project B</w:t>
      </w:r>
      <w:r>
        <w:rPr>
          <w:rFonts w:ascii="Times New Roman" w:eastAsia="Times New Roman" w:hAnsi="Times New Roman" w:cs="Times New Roman"/>
          <w:sz w:val="24"/>
          <w:szCs w:val="24"/>
          <w:highlight w:val="white"/>
        </w:rPr>
        <w:t>:</w:t>
      </w:r>
    </w:p>
    <w:p w:rsidR="00062F59" w:rsidRDefault="002E1D68">
      <w:pPr>
        <w:numPr>
          <w:ilvl w:val="0"/>
          <w:numId w:val="12"/>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Total Profit over 4 years = 50 + 20 + 20 + 20 = £110 million</w:t>
      </w:r>
    </w:p>
    <w:p w:rsidR="00062F59" w:rsidRDefault="002E1D68">
      <w:pPr>
        <w:numPr>
          <w:ilvl w:val="0"/>
          <w:numId w:val="12"/>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Average Annual Profit = £110 million / 4 = £27.5 million</w:t>
      </w:r>
    </w:p>
    <w:p w:rsidR="00062F59" w:rsidRDefault="002E1D68">
      <w:pPr>
        <w:numPr>
          <w:ilvl w:val="0"/>
          <w:numId w:val="12"/>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ARR = (Average Annual Profit / Initial Investment) * 100 = (27.5 / 75) * 100 = 36.67%</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Project A's 39.06% ARR is higher than Project B's 36.67%. On average, Project A should have a superior annual RI than Project B. These deficiencies negate time value of money as well as cash flow conditions in ARR.</w:t>
      </w:r>
    </w:p>
    <w:p w:rsidR="00062F59" w:rsidRDefault="002E1D68">
      <w:pPr>
        <w:pStyle w:val="Heading2"/>
        <w:keepNext w:val="0"/>
        <w:keepLines w:val="0"/>
        <w:spacing w:before="240" w:after="40" w:line="360" w:lineRule="auto"/>
        <w:rPr>
          <w:rFonts w:ascii="Times New Roman" w:eastAsia="Times New Roman" w:hAnsi="Times New Roman" w:cs="Times New Roman"/>
          <w:b/>
          <w:sz w:val="26"/>
          <w:szCs w:val="26"/>
        </w:rPr>
      </w:pPr>
      <w:bookmarkStart w:id="38" w:name="_2grqrue" w:colFirst="0" w:colLast="0"/>
      <w:bookmarkEnd w:id="38"/>
      <w:r>
        <w:rPr>
          <w:rFonts w:ascii="Times New Roman" w:eastAsia="Times New Roman" w:hAnsi="Times New Roman" w:cs="Times New Roman"/>
          <w:b/>
          <w:sz w:val="26"/>
          <w:szCs w:val="26"/>
        </w:rPr>
        <w:t>Net Present Value (NPV)</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highlight w:val="white"/>
        </w:rPr>
        <w:t>Definition</w:t>
      </w:r>
      <w:r>
        <w:rPr>
          <w:rFonts w:ascii="Times New Roman" w:eastAsia="Times New Roman" w:hAnsi="Times New Roman" w:cs="Times New Roman"/>
          <w:sz w:val="24"/>
          <w:szCs w:val="24"/>
          <w:highlight w:val="white"/>
        </w:rPr>
        <w:t>: The break-even point is total accumulated money inflow or total cost of investment while the Net present value or NPV is future cash receipt PV and initial investments PV. It is a time saver and cost saver and gives the right valuation of the additional value of the firm.</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Calculation</w:t>
      </w:r>
      <w:r>
        <w:rPr>
          <w:rFonts w:ascii="Times New Roman" w:eastAsia="Times New Roman" w:hAnsi="Times New Roman" w:cs="Times New Roman"/>
          <w:sz w:val="24"/>
          <w:szCs w:val="24"/>
          <w:highlight w:val="white"/>
        </w:rPr>
        <w:t>:</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For Project A:</w:t>
      </w:r>
    </w:p>
    <w:p w:rsidR="00062F59" w:rsidRDefault="002E1D68">
      <w:pPr>
        <w:numPr>
          <w:ilvl w:val="0"/>
          <w:numId w:val="7"/>
        </w:num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Discount Rate: 9.75%</w:t>
      </w:r>
    </w:p>
    <w:tbl>
      <w:tblPr>
        <w:tblStyle w:val="af2"/>
        <w:tblW w:w="7470" w:type="dxa"/>
        <w:tblBorders>
          <w:top w:val="nil"/>
          <w:left w:val="nil"/>
          <w:bottom w:val="nil"/>
          <w:right w:val="nil"/>
          <w:insideH w:val="nil"/>
          <w:insideV w:val="nil"/>
        </w:tblBorders>
        <w:tblLayout w:type="fixed"/>
        <w:tblLook w:val="0600" w:firstRow="0" w:lastRow="0" w:firstColumn="0" w:lastColumn="0" w:noHBand="1" w:noVBand="1"/>
      </w:tblPr>
      <w:tblGrid>
        <w:gridCol w:w="7470"/>
      </w:tblGrid>
      <w:tr w:rsidR="00062F59">
        <w:trPr>
          <w:trHeight w:val="315"/>
        </w:trPr>
        <w:tc>
          <w:tcPr>
            <w:tcW w:w="7470" w:type="dxa"/>
            <w:tcBorders>
              <w:top w:val="single" w:sz="6" w:space="0" w:color="FFFFFF"/>
              <w:left w:val="single" w:sz="6" w:space="0" w:color="FFFFFF"/>
              <w:bottom w:val="single" w:sz="6" w:space="0" w:color="FFFFFF"/>
              <w:right w:val="single" w:sz="6" w:space="0" w:color="FFFFFF"/>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1: (1+0.0975)125​=£22.79</w:t>
            </w:r>
          </w:p>
        </w:tc>
      </w:tr>
      <w:tr w:rsidR="00062F59">
        <w:trPr>
          <w:trHeight w:val="315"/>
        </w:trPr>
        <w:tc>
          <w:tcPr>
            <w:tcW w:w="7470" w:type="dxa"/>
            <w:tcBorders>
              <w:top w:val="single" w:sz="6" w:space="0" w:color="FFFFFF"/>
              <w:left w:val="single" w:sz="6" w:space="0" w:color="FFFFFF"/>
              <w:bottom w:val="single" w:sz="6" w:space="0" w:color="FFFFFF"/>
              <w:right w:val="single" w:sz="6" w:space="0" w:color="FFFFFF"/>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2: (1+0.0975)225​=£20.77</w:t>
            </w:r>
          </w:p>
        </w:tc>
      </w:tr>
      <w:tr w:rsidR="00062F59">
        <w:trPr>
          <w:trHeight w:val="315"/>
        </w:trPr>
        <w:tc>
          <w:tcPr>
            <w:tcW w:w="7470" w:type="dxa"/>
            <w:tcBorders>
              <w:top w:val="single" w:sz="6" w:space="0" w:color="FFFFFF"/>
              <w:left w:val="single" w:sz="6" w:space="0" w:color="FFFFFF"/>
              <w:bottom w:val="single" w:sz="6" w:space="0" w:color="FFFFFF"/>
              <w:right w:val="single" w:sz="6" w:space="0" w:color="FFFFFF"/>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3: (1+0.0975)320​=£15.57</w:t>
            </w:r>
          </w:p>
        </w:tc>
      </w:tr>
      <w:tr w:rsidR="00062F59">
        <w:trPr>
          <w:trHeight w:val="315"/>
        </w:trPr>
        <w:tc>
          <w:tcPr>
            <w:tcW w:w="7470" w:type="dxa"/>
            <w:tcBorders>
              <w:top w:val="single" w:sz="6" w:space="0" w:color="FFFFFF"/>
              <w:left w:val="single" w:sz="6" w:space="0" w:color="FFFFFF"/>
              <w:bottom w:val="single" w:sz="6" w:space="0" w:color="FFFFFF"/>
              <w:right w:val="single" w:sz="6" w:space="0" w:color="FFFFFF"/>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4: (1+0.0975)455​=£37.12</w:t>
            </w:r>
          </w:p>
        </w:tc>
      </w:tr>
    </w:tbl>
    <w:p w:rsidR="00062F59" w:rsidRDefault="00062F59">
      <w:pPr>
        <w:spacing w:line="360" w:lineRule="auto"/>
        <w:rPr>
          <w:rFonts w:ascii="Times New Roman" w:eastAsia="Times New Roman" w:hAnsi="Times New Roman" w:cs="Times New Roman"/>
          <w:sz w:val="24"/>
          <w:szCs w:val="24"/>
          <w:highlight w:val="white"/>
        </w:rPr>
      </w:pPr>
    </w:p>
    <w:tbl>
      <w:tblPr>
        <w:tblStyle w:val="af3"/>
        <w:tblW w:w="9360" w:type="dxa"/>
        <w:tblBorders>
          <w:top w:val="nil"/>
          <w:left w:val="nil"/>
          <w:bottom w:val="nil"/>
          <w:right w:val="nil"/>
          <w:insideH w:val="nil"/>
          <w:insideV w:val="nil"/>
        </w:tblBorders>
        <w:tblLayout w:type="fixed"/>
        <w:tblLook w:val="0600" w:firstRow="0" w:lastRow="0" w:firstColumn="0" w:lastColumn="0" w:noHBand="1" w:noVBand="1"/>
      </w:tblPr>
      <w:tblGrid>
        <w:gridCol w:w="2453"/>
        <w:gridCol w:w="2288"/>
        <w:gridCol w:w="2166"/>
        <w:gridCol w:w="2453"/>
      </w:tblGrid>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Cash Flow (£m)</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Discount Factor (9.75%)</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Present Value (£m)</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-80</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0.911</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22.79</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0.8303</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20.77</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0.7569</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15.57</w:t>
            </w:r>
          </w:p>
        </w:tc>
      </w:tr>
      <w:tr w:rsidR="00062F59">
        <w:trPr>
          <w:trHeight w:val="315"/>
        </w:trPr>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4</w:t>
            </w:r>
          </w:p>
        </w:tc>
        <w:tc>
          <w:tcPr>
            <w:tcW w:w="228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55</w:t>
            </w:r>
          </w:p>
        </w:tc>
        <w:tc>
          <w:tcPr>
            <w:tcW w:w="216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0.6894</w:t>
            </w:r>
          </w:p>
        </w:tc>
        <w:tc>
          <w:tcPr>
            <w:tcW w:w="24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37.12</w:t>
            </w:r>
          </w:p>
        </w:tc>
      </w:tr>
    </w:tbl>
    <w:p w:rsidR="00062F59" w:rsidRDefault="00062F59">
      <w:pPr>
        <w:spacing w:line="360" w:lineRule="auto"/>
        <w:rPr>
          <w:rFonts w:ascii="Times New Roman" w:eastAsia="Times New Roman" w:hAnsi="Times New Roman" w:cs="Times New Roman"/>
          <w:sz w:val="24"/>
          <w:szCs w:val="24"/>
          <w:highlight w:val="white"/>
        </w:rPr>
      </w:pP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NPV for Project A = 22.79 + 20.77 + 15.57 + 37.12 - 80 = £16.25 million</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For Project B</w:t>
      </w:r>
    </w:p>
    <w:p w:rsidR="00062F59" w:rsidRDefault="00062F59">
      <w:pPr>
        <w:spacing w:line="360" w:lineRule="auto"/>
        <w:rPr>
          <w:rFonts w:ascii="Times New Roman" w:eastAsia="Times New Roman" w:hAnsi="Times New Roman" w:cs="Times New Roman"/>
          <w:sz w:val="24"/>
          <w:szCs w:val="24"/>
          <w:highlight w:val="white"/>
        </w:rPr>
      </w:pPr>
    </w:p>
    <w:tbl>
      <w:tblPr>
        <w:tblStyle w:val="af4"/>
        <w:tblW w:w="5025" w:type="dxa"/>
        <w:tblBorders>
          <w:top w:val="nil"/>
          <w:left w:val="nil"/>
          <w:bottom w:val="nil"/>
          <w:right w:val="nil"/>
          <w:insideH w:val="nil"/>
          <w:insideV w:val="nil"/>
        </w:tblBorders>
        <w:tblLayout w:type="fixed"/>
        <w:tblLook w:val="0600" w:firstRow="0" w:lastRow="0" w:firstColumn="0" w:lastColumn="0" w:noHBand="1" w:noVBand="1"/>
      </w:tblPr>
      <w:tblGrid>
        <w:gridCol w:w="5025"/>
      </w:tblGrid>
      <w:tr w:rsidR="00062F59">
        <w:trPr>
          <w:trHeight w:val="315"/>
        </w:trPr>
        <w:tc>
          <w:tcPr>
            <w:tcW w:w="5025" w:type="dxa"/>
            <w:tcBorders>
              <w:top w:val="single" w:sz="6" w:space="0" w:color="F3F3F3"/>
              <w:left w:val="single" w:sz="6" w:space="0" w:color="F3F3F3"/>
              <w:bottom w:val="single" w:sz="6" w:space="0" w:color="F3F3F3"/>
              <w:right w:val="single" w:sz="6" w:space="0" w:color="F3F3F3"/>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1: (1+0.0975)150​=£45.57</w:t>
            </w:r>
          </w:p>
        </w:tc>
      </w:tr>
      <w:tr w:rsidR="00062F59">
        <w:trPr>
          <w:trHeight w:val="315"/>
        </w:trPr>
        <w:tc>
          <w:tcPr>
            <w:tcW w:w="5025" w:type="dxa"/>
            <w:tcBorders>
              <w:top w:val="single" w:sz="6" w:space="0" w:color="F3F3F3"/>
              <w:left w:val="single" w:sz="6" w:space="0" w:color="F3F3F3"/>
              <w:bottom w:val="single" w:sz="6" w:space="0" w:color="F3F3F3"/>
              <w:right w:val="single" w:sz="6" w:space="0" w:color="F3F3F3"/>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2: (1+0.0975)220​=£16.72</w:t>
            </w:r>
          </w:p>
        </w:tc>
      </w:tr>
      <w:tr w:rsidR="00062F59">
        <w:trPr>
          <w:trHeight w:val="315"/>
        </w:trPr>
        <w:tc>
          <w:tcPr>
            <w:tcW w:w="5025" w:type="dxa"/>
            <w:tcBorders>
              <w:top w:val="single" w:sz="6" w:space="0" w:color="F3F3F3"/>
              <w:left w:val="single" w:sz="6" w:space="0" w:color="F3F3F3"/>
              <w:bottom w:val="single" w:sz="6" w:space="0" w:color="F3F3F3"/>
              <w:right w:val="single" w:sz="6" w:space="0" w:color="F3F3F3"/>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3: (1+0.0975)320​=£15.57</w:t>
            </w:r>
          </w:p>
        </w:tc>
      </w:tr>
      <w:tr w:rsidR="00062F59">
        <w:trPr>
          <w:trHeight w:val="315"/>
        </w:trPr>
        <w:tc>
          <w:tcPr>
            <w:tcW w:w="5025" w:type="dxa"/>
            <w:tcBorders>
              <w:top w:val="single" w:sz="6" w:space="0" w:color="F3F3F3"/>
              <w:left w:val="single" w:sz="6" w:space="0" w:color="F3F3F3"/>
              <w:bottom w:val="single" w:sz="6" w:space="0" w:color="F3F3F3"/>
              <w:right w:val="single" w:sz="6" w:space="0" w:color="F3F3F3"/>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Year 4: (1+0.0975)420​=£14.19</w:t>
            </w:r>
          </w:p>
        </w:tc>
      </w:tr>
    </w:tbl>
    <w:p w:rsidR="00062F59" w:rsidRDefault="00062F59">
      <w:pPr>
        <w:spacing w:line="360" w:lineRule="auto"/>
        <w:rPr>
          <w:rFonts w:ascii="Times New Roman" w:eastAsia="Times New Roman" w:hAnsi="Times New Roman" w:cs="Times New Roman"/>
          <w:sz w:val="24"/>
          <w:szCs w:val="24"/>
          <w:highlight w:val="white"/>
        </w:rPr>
      </w:pPr>
    </w:p>
    <w:tbl>
      <w:tblPr>
        <w:tblStyle w:val="af5"/>
        <w:tblW w:w="9360" w:type="dxa"/>
        <w:tblBorders>
          <w:top w:val="nil"/>
          <w:left w:val="nil"/>
          <w:bottom w:val="nil"/>
          <w:right w:val="nil"/>
          <w:insideH w:val="nil"/>
          <w:insideV w:val="nil"/>
        </w:tblBorders>
        <w:tblLayout w:type="fixed"/>
        <w:tblLook w:val="0600" w:firstRow="0" w:lastRow="0" w:firstColumn="0" w:lastColumn="0" w:noHBand="1" w:noVBand="1"/>
      </w:tblPr>
      <w:tblGrid>
        <w:gridCol w:w="3723"/>
        <w:gridCol w:w="1868"/>
        <w:gridCol w:w="1768"/>
        <w:gridCol w:w="2001"/>
      </w:tblGrid>
      <w:tr w:rsidR="00062F59">
        <w:trPr>
          <w:trHeight w:val="315"/>
        </w:trPr>
        <w:tc>
          <w:tcPr>
            <w:tcW w:w="372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Year</w:t>
            </w:r>
          </w:p>
        </w:tc>
        <w:tc>
          <w:tcPr>
            <w:tcW w:w="18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Cash Flow (£m)</w:t>
            </w:r>
          </w:p>
        </w:tc>
        <w:tc>
          <w:tcPr>
            <w:tcW w:w="17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Discount Factor (9.75%)</w:t>
            </w:r>
          </w:p>
        </w:tc>
        <w:tc>
          <w:tcPr>
            <w:tcW w:w="20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b/>
                <w:sz w:val="20"/>
                <w:szCs w:val="20"/>
              </w:rPr>
              <w:t>Present Value (£m)</w:t>
            </w:r>
          </w:p>
        </w:tc>
      </w:tr>
      <w:tr w:rsidR="00062F59">
        <w:trPr>
          <w:trHeight w:val="315"/>
        </w:trPr>
        <w:tc>
          <w:tcPr>
            <w:tcW w:w="372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w:t>
            </w:r>
          </w:p>
        </w:tc>
        <w:tc>
          <w:tcPr>
            <w:tcW w:w="18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-75</w:t>
            </w:r>
          </w:p>
        </w:tc>
        <w:tc>
          <w:tcPr>
            <w:tcW w:w="17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w:t>
            </w:r>
          </w:p>
        </w:tc>
        <w:tc>
          <w:tcPr>
            <w:tcW w:w="20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-75</w:t>
            </w:r>
          </w:p>
        </w:tc>
      </w:tr>
      <w:tr w:rsidR="00062F59">
        <w:trPr>
          <w:trHeight w:val="315"/>
        </w:trPr>
        <w:tc>
          <w:tcPr>
            <w:tcW w:w="372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w:t>
            </w:r>
          </w:p>
        </w:tc>
        <w:tc>
          <w:tcPr>
            <w:tcW w:w="18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50</w:t>
            </w:r>
          </w:p>
        </w:tc>
        <w:tc>
          <w:tcPr>
            <w:tcW w:w="17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0.911</w:t>
            </w:r>
          </w:p>
        </w:tc>
        <w:tc>
          <w:tcPr>
            <w:tcW w:w="20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45.57</w:t>
            </w:r>
          </w:p>
        </w:tc>
      </w:tr>
      <w:tr w:rsidR="00062F59">
        <w:trPr>
          <w:trHeight w:val="315"/>
        </w:trPr>
        <w:tc>
          <w:tcPr>
            <w:tcW w:w="372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w:t>
            </w:r>
          </w:p>
        </w:tc>
        <w:tc>
          <w:tcPr>
            <w:tcW w:w="18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c>
          <w:tcPr>
            <w:tcW w:w="17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0.8303</w:t>
            </w:r>
          </w:p>
        </w:tc>
        <w:tc>
          <w:tcPr>
            <w:tcW w:w="20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16.72</w:t>
            </w:r>
          </w:p>
        </w:tc>
      </w:tr>
      <w:tr w:rsidR="00062F59">
        <w:trPr>
          <w:trHeight w:val="315"/>
        </w:trPr>
        <w:tc>
          <w:tcPr>
            <w:tcW w:w="372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3</w:t>
            </w:r>
          </w:p>
        </w:tc>
        <w:tc>
          <w:tcPr>
            <w:tcW w:w="18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c>
          <w:tcPr>
            <w:tcW w:w="17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0.7569</w:t>
            </w:r>
          </w:p>
        </w:tc>
        <w:tc>
          <w:tcPr>
            <w:tcW w:w="20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15.57</w:t>
            </w:r>
          </w:p>
        </w:tc>
      </w:tr>
      <w:tr w:rsidR="00062F59">
        <w:trPr>
          <w:trHeight w:val="315"/>
        </w:trPr>
        <w:tc>
          <w:tcPr>
            <w:tcW w:w="372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4</w:t>
            </w:r>
          </w:p>
        </w:tc>
        <w:tc>
          <w:tcPr>
            <w:tcW w:w="18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c>
          <w:tcPr>
            <w:tcW w:w="176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0.6894</w:t>
            </w:r>
          </w:p>
        </w:tc>
        <w:tc>
          <w:tcPr>
            <w:tcW w:w="20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062F59" w:rsidRDefault="002E1D68">
            <w:pPr>
              <w:widowControl w:val="0"/>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14.19</w:t>
            </w:r>
          </w:p>
        </w:tc>
      </w:tr>
    </w:tbl>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NPV for Project B = 45.57 + 16.72 + 15.57 + 14.19 - 75 = £17.78 million</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Both projects have positive NPVs, suggesting they will benefit enterprises. Project B has £17.78 million NPV, while Project A has £16.25 million. This suggests that Project B, despite its shorter payback period and smaller ARR, is the better investment because it adds more value.</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Thus, PBP, ARR, and NPV analysis reveals both projects are feasible. Given its shorter payback period and higher NPV than Project A, Project B is recommended for implementation and a better investment for the firm.</w:t>
      </w:r>
    </w:p>
    <w:p w:rsidR="00062F59" w:rsidRDefault="002E1D68">
      <w:pPr>
        <w:pStyle w:val="Heading2"/>
        <w:keepNext w:val="0"/>
        <w:keepLines w:val="0"/>
        <w:spacing w:before="240" w:after="40" w:line="360" w:lineRule="auto"/>
        <w:rPr>
          <w:rFonts w:ascii="Times New Roman" w:eastAsia="Times New Roman" w:hAnsi="Times New Roman" w:cs="Times New Roman"/>
          <w:b/>
          <w:sz w:val="26"/>
          <w:szCs w:val="26"/>
        </w:rPr>
      </w:pPr>
      <w:bookmarkStart w:id="39" w:name="_vx1227" w:colFirst="0" w:colLast="0"/>
      <w:bookmarkEnd w:id="39"/>
      <w:r>
        <w:rPr>
          <w:rFonts w:ascii="Times New Roman" w:eastAsia="Times New Roman" w:hAnsi="Times New Roman" w:cs="Times New Roman"/>
          <w:b/>
          <w:sz w:val="26"/>
          <w:szCs w:val="26"/>
        </w:rPr>
        <w:t>Advantages and Shortcomings of Payback Period (PBP)</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highlight w:val="white"/>
        </w:rPr>
        <w:t>Advantages</w:t>
      </w:r>
      <w:r>
        <w:rPr>
          <w:rFonts w:ascii="Times New Roman" w:eastAsia="Times New Roman" w:hAnsi="Times New Roman" w:cs="Times New Roman"/>
          <w:sz w:val="24"/>
          <w:szCs w:val="24"/>
          <w:highlight w:val="white"/>
        </w:rPr>
        <w:t>:</w:t>
      </w:r>
    </w:p>
    <w:p w:rsidR="00062F59" w:rsidRDefault="002E1D68">
      <w:pPr>
        <w:numPr>
          <w:ilvl w:val="0"/>
          <w:numId w:val="9"/>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Simplicity and Ease of Calculation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101828"/>
          <w:sz w:val="24"/>
          <w:szCs w:val="24"/>
          <w:highlight w:val="white"/>
        </w:rPr>
        <w:t>The calculation of Payback Period (PBP) is actually very straightforward with the following formula</w:t>
      </w:r>
      <w:r>
        <w:rPr>
          <w:rFonts w:ascii="Times New Roman" w:eastAsia="Times New Roman" w:hAnsi="Times New Roman" w:cs="Times New Roman"/>
          <w:sz w:val="24"/>
          <w:szCs w:val="24"/>
          <w:highlight w:val="white"/>
        </w:rPr>
        <w:t>, so even someone without advanced accounting and finance understanding can use it. This quickly estimates how long an investment will take to break even.</w:t>
      </w:r>
    </w:p>
    <w:p w:rsidR="00062F59" w:rsidRDefault="002E1D68">
      <w:pPr>
        <w:numPr>
          <w:ilvl w:val="0"/>
          <w:numId w:val="9"/>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Useful for Assessing Risk and Liquidity</w:t>
      </w:r>
      <w:r>
        <w:rPr>
          <w:rFonts w:ascii="Times New Roman" w:eastAsia="Times New Roman" w:hAnsi="Times New Roman" w:cs="Times New Roman"/>
          <w:sz w:val="24"/>
          <w:szCs w:val="24"/>
          <w:highlight w:val="white"/>
        </w:rPr>
        <w:t>: PBP helps organisations estimate project risks by explaining the initial investment's recoupment rate. PBP is useful for assessing project liquidity since projects with short PBP are less risky.</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Shortcomings</w:t>
      </w:r>
      <w:r>
        <w:rPr>
          <w:rFonts w:ascii="Times New Roman" w:eastAsia="Times New Roman" w:hAnsi="Times New Roman" w:cs="Times New Roman"/>
          <w:sz w:val="24"/>
          <w:szCs w:val="24"/>
          <w:highlight w:val="white"/>
        </w:rPr>
        <w:t>:</w:t>
      </w:r>
    </w:p>
    <w:p w:rsidR="00062F59" w:rsidRDefault="002E1D68">
      <w:pPr>
        <w:numPr>
          <w:ilvl w:val="0"/>
          <w:numId w:val="3"/>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Ignores the Time Value of Money</w:t>
      </w:r>
      <w:r>
        <w:rPr>
          <w:rFonts w:ascii="Times New Roman" w:eastAsia="Times New Roman" w:hAnsi="Times New Roman" w:cs="Times New Roman"/>
          <w:sz w:val="24"/>
          <w:szCs w:val="24"/>
          <w:highlight w:val="white"/>
        </w:rPr>
        <w:t>: However, while drawing PBP, the Time Value of Money, a financial principle, is ignored. This means PBP does not distinguish between cash flows at different project life cycles.</w:t>
      </w:r>
    </w:p>
    <w:p w:rsidR="00062F59" w:rsidRDefault="002E1D68">
      <w:pPr>
        <w:numPr>
          <w:ilvl w:val="0"/>
          <w:numId w:val="3"/>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Does Not Consider Cash Flows Beyond the Payback Period</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101828"/>
          <w:sz w:val="24"/>
          <w:szCs w:val="24"/>
          <w:highlight w:val="white"/>
        </w:rPr>
        <w:t>PBP does not take successive cash generation after the recovery of initial investment into consideration.</w:t>
      </w:r>
      <w:r>
        <w:rPr>
          <w:rFonts w:ascii="Times New Roman" w:eastAsia="Times New Roman" w:hAnsi="Times New Roman" w:cs="Times New Roman"/>
          <w:sz w:val="24"/>
          <w:szCs w:val="24"/>
          <w:highlight w:val="white"/>
        </w:rPr>
        <w:t xml:space="preserve"> This constraint causes a misperception of a venture's profitability over time.</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Hayes (2023) also noted that PBP is beneficial for short-term risk assessment but not for deep profitability analysis due to its limitations.</w:t>
      </w:r>
    </w:p>
    <w:p w:rsidR="00062F59" w:rsidRDefault="002E1D68">
      <w:pPr>
        <w:pStyle w:val="Heading2"/>
        <w:keepNext w:val="0"/>
        <w:keepLines w:val="0"/>
        <w:spacing w:before="240" w:after="40" w:line="360" w:lineRule="auto"/>
        <w:rPr>
          <w:rFonts w:ascii="Times New Roman" w:eastAsia="Times New Roman" w:hAnsi="Times New Roman" w:cs="Times New Roman"/>
          <w:b/>
          <w:sz w:val="26"/>
          <w:szCs w:val="26"/>
        </w:rPr>
      </w:pPr>
      <w:bookmarkStart w:id="40" w:name="_3fwokq0" w:colFirst="0" w:colLast="0"/>
      <w:bookmarkEnd w:id="40"/>
      <w:r>
        <w:rPr>
          <w:rFonts w:ascii="Times New Roman" w:eastAsia="Times New Roman" w:hAnsi="Times New Roman" w:cs="Times New Roman"/>
          <w:b/>
          <w:sz w:val="26"/>
          <w:szCs w:val="26"/>
        </w:rPr>
        <w:t>Advantages and Shortcomings of Accounting Rate of Return (ARR)</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highlight w:val="white"/>
        </w:rPr>
        <w:t>Advantages</w:t>
      </w:r>
      <w:r>
        <w:rPr>
          <w:rFonts w:ascii="Times New Roman" w:eastAsia="Times New Roman" w:hAnsi="Times New Roman" w:cs="Times New Roman"/>
          <w:sz w:val="24"/>
          <w:szCs w:val="24"/>
          <w:highlight w:val="white"/>
        </w:rPr>
        <w:t>:</w:t>
      </w:r>
    </w:p>
    <w:p w:rsidR="00062F59" w:rsidRDefault="002E1D68">
      <w:pPr>
        <w:numPr>
          <w:ilvl w:val="0"/>
          <w:numId w:val="1"/>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Simple to Understand and Calculate</w:t>
      </w:r>
      <w:r>
        <w:rPr>
          <w:rFonts w:ascii="Times New Roman" w:eastAsia="Times New Roman" w:hAnsi="Times New Roman" w:cs="Times New Roman"/>
          <w:sz w:val="24"/>
          <w:szCs w:val="24"/>
          <w:highlight w:val="white"/>
        </w:rPr>
        <w:t>: One of the simplest profit-based methods for project return estimation is the Accounting Rate of Return (ARR). It can be calculated using simple computational structures and expressed as a percentage return on investment.</w:t>
      </w:r>
    </w:p>
    <w:p w:rsidR="00062F59" w:rsidRDefault="002E1D68">
      <w:pPr>
        <w:numPr>
          <w:ilvl w:val="0"/>
          <w:numId w:val="1"/>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Considers the Entire Project's Profitability</w:t>
      </w:r>
      <w:r>
        <w:rPr>
          <w:rFonts w:ascii="Times New Roman" w:eastAsia="Times New Roman" w:hAnsi="Times New Roman" w:cs="Times New Roman"/>
          <w:sz w:val="24"/>
          <w:szCs w:val="24"/>
          <w:highlight w:val="white"/>
        </w:rPr>
        <w:t>: ARR considers the project's total profits if it is completed in the period under consideration, while PBP simply considers the net profit.</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Shortcomings</w:t>
      </w:r>
      <w:r>
        <w:rPr>
          <w:rFonts w:ascii="Times New Roman" w:eastAsia="Times New Roman" w:hAnsi="Times New Roman" w:cs="Times New Roman"/>
          <w:sz w:val="24"/>
          <w:szCs w:val="24"/>
          <w:highlight w:val="white"/>
        </w:rPr>
        <w:t>:</w:t>
      </w:r>
    </w:p>
    <w:p w:rsidR="00062F59" w:rsidRDefault="002E1D68">
      <w:pPr>
        <w:numPr>
          <w:ilvl w:val="0"/>
          <w:numId w:val="4"/>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Ignore the Time Value of Money</w:t>
      </w:r>
      <w:r>
        <w:rPr>
          <w:rFonts w:ascii="Times New Roman" w:eastAsia="Times New Roman" w:hAnsi="Times New Roman" w:cs="Times New Roman"/>
          <w:sz w:val="24"/>
          <w:szCs w:val="24"/>
          <w:highlight w:val="white"/>
        </w:rPr>
        <w:t>: Similar to PBP, ARR does not consider the time value of money while determining the worth of an investment. This is because it is capable of overemphasise the potential of projects with later get in terms of cash.</w:t>
      </w:r>
    </w:p>
    <w:p w:rsidR="00062F59" w:rsidRDefault="002E1D68">
      <w:pPr>
        <w:numPr>
          <w:ilvl w:val="0"/>
          <w:numId w:val="4"/>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Depends on Accounting Profits, Which Can Be Manipulated</w:t>
      </w:r>
      <w:r>
        <w:rPr>
          <w:rFonts w:ascii="Times New Roman" w:eastAsia="Times New Roman" w:hAnsi="Times New Roman" w:cs="Times New Roman"/>
          <w:sz w:val="24"/>
          <w:szCs w:val="24"/>
          <w:highlight w:val="white"/>
        </w:rPr>
        <w:t>: ARR is based on accounting profits and not on the actual cash flows which makes it easy to inflate through a manipulation of accounting policies and practices.</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Murphy (2023b) notes that while ARR is a reasonable measure of profitability, it is nevertheless general and inaccurate as it does not consider the time value of money while it is based on certain accounting numbers that may be easily manipulated.</w:t>
      </w:r>
    </w:p>
    <w:p w:rsidR="00062F59" w:rsidRDefault="002E1D68">
      <w:pPr>
        <w:pStyle w:val="Heading2"/>
        <w:keepNext w:val="0"/>
        <w:keepLines w:val="0"/>
        <w:spacing w:before="240" w:after="40" w:line="360" w:lineRule="auto"/>
        <w:rPr>
          <w:rFonts w:ascii="Times New Roman" w:eastAsia="Times New Roman" w:hAnsi="Times New Roman" w:cs="Times New Roman"/>
          <w:b/>
          <w:sz w:val="26"/>
          <w:szCs w:val="26"/>
        </w:rPr>
      </w:pPr>
      <w:bookmarkStart w:id="41" w:name="_1v1yuxt" w:colFirst="0" w:colLast="0"/>
      <w:bookmarkEnd w:id="41"/>
      <w:r>
        <w:rPr>
          <w:rFonts w:ascii="Times New Roman" w:eastAsia="Times New Roman" w:hAnsi="Times New Roman" w:cs="Times New Roman"/>
          <w:b/>
          <w:sz w:val="26"/>
          <w:szCs w:val="26"/>
        </w:rPr>
        <w:t>Advantages and Shortcomings of Net Present Value (NPV) (200 words)</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highlight w:val="white"/>
        </w:rPr>
        <w:t>Advantages</w:t>
      </w:r>
      <w:r>
        <w:rPr>
          <w:rFonts w:ascii="Times New Roman" w:eastAsia="Times New Roman" w:hAnsi="Times New Roman" w:cs="Times New Roman"/>
          <w:sz w:val="24"/>
          <w:szCs w:val="24"/>
          <w:highlight w:val="white"/>
        </w:rPr>
        <w:t>:</w:t>
      </w:r>
    </w:p>
    <w:p w:rsidR="00062F59" w:rsidRDefault="002E1D68">
      <w:pPr>
        <w:numPr>
          <w:ilvl w:val="0"/>
          <w:numId w:val="13"/>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Consider the Time Value of Money</w:t>
      </w:r>
      <w:r>
        <w:rPr>
          <w:rFonts w:ascii="Times New Roman" w:eastAsia="Times New Roman" w:hAnsi="Times New Roman" w:cs="Times New Roman"/>
          <w:sz w:val="24"/>
          <w:szCs w:val="24"/>
          <w:highlight w:val="white"/>
        </w:rPr>
        <w:t>: The Net Present Value (NPV) approach brings all these future cash flows down to the present date thus giving a better picture on the profitability of the project. It is important to note that it assures those expending cash in the future will be valued less than the cash inflows received shortly.</w:t>
      </w:r>
    </w:p>
    <w:p w:rsidR="00062F59" w:rsidRDefault="002E1D68">
      <w:pPr>
        <w:numPr>
          <w:ilvl w:val="0"/>
          <w:numId w:val="13"/>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Provides a Direct Measure of the Added Value to the Firm</w:t>
      </w:r>
      <w:r>
        <w:rPr>
          <w:rFonts w:ascii="Times New Roman" w:eastAsia="Times New Roman" w:hAnsi="Times New Roman" w:cs="Times New Roman"/>
          <w:sz w:val="24"/>
          <w:szCs w:val="24"/>
          <w:highlight w:val="white"/>
        </w:rPr>
        <w:t>: NPV directly assesses a project's ability to increase the firm's future worth through cash inflows.</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Shortcomings</w:t>
      </w:r>
      <w:r>
        <w:rPr>
          <w:rFonts w:ascii="Times New Roman" w:eastAsia="Times New Roman" w:hAnsi="Times New Roman" w:cs="Times New Roman"/>
          <w:sz w:val="24"/>
          <w:szCs w:val="24"/>
          <w:highlight w:val="white"/>
        </w:rPr>
        <w:t>:</w:t>
      </w:r>
    </w:p>
    <w:p w:rsidR="00062F59" w:rsidRDefault="002E1D68">
      <w:pPr>
        <w:numPr>
          <w:ilvl w:val="0"/>
          <w:numId w:val="5"/>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More Complex to Calculate</w:t>
      </w:r>
      <w:r>
        <w:rPr>
          <w:rFonts w:ascii="Times New Roman" w:eastAsia="Times New Roman" w:hAnsi="Times New Roman" w:cs="Times New Roman"/>
          <w:sz w:val="24"/>
          <w:szCs w:val="24"/>
          <w:highlight w:val="white"/>
        </w:rPr>
        <w:t>: NPV requires technical financial forecasting and discounting, making it more complicated than PBP or ARR. Complexity makes this difficult for managers who are not financially literate.</w:t>
      </w:r>
    </w:p>
    <w:p w:rsidR="00062F59" w:rsidRDefault="002E1D68">
      <w:pPr>
        <w:numPr>
          <w:ilvl w:val="0"/>
          <w:numId w:val="5"/>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Relies on Accurate Estimation of the Cost of Capital</w:t>
      </w:r>
      <w:r>
        <w:rPr>
          <w:rFonts w:ascii="Times New Roman" w:eastAsia="Times New Roman" w:hAnsi="Times New Roman" w:cs="Times New Roman"/>
          <w:sz w:val="24"/>
          <w:szCs w:val="24"/>
          <w:highlight w:val="white"/>
        </w:rPr>
        <w:t xml:space="preserve">: NPV is computed by discounting cash flows with the right rate, therefore its accuracy is crucial. If applied to the wrong discount rate, investment judgements will be inaccurate. </w:t>
      </w:r>
    </w:p>
    <w:p w:rsidR="00062F59" w:rsidRDefault="002E1D68">
      <w:pPr>
        <w:pStyle w:val="Heading2"/>
        <w:keepNext w:val="0"/>
        <w:keepLines w:val="0"/>
        <w:spacing w:before="240" w:after="40" w:line="360" w:lineRule="auto"/>
        <w:rPr>
          <w:rFonts w:ascii="Times New Roman" w:eastAsia="Times New Roman" w:hAnsi="Times New Roman" w:cs="Times New Roman"/>
          <w:b/>
          <w:sz w:val="26"/>
          <w:szCs w:val="26"/>
        </w:rPr>
      </w:pPr>
      <w:bookmarkStart w:id="42" w:name="_4f1mdlm" w:colFirst="0" w:colLast="0"/>
      <w:bookmarkEnd w:id="42"/>
      <w:r>
        <w:rPr>
          <w:rFonts w:ascii="Times New Roman" w:eastAsia="Times New Roman" w:hAnsi="Times New Roman" w:cs="Times New Roman"/>
          <w:b/>
          <w:sz w:val="26"/>
          <w:szCs w:val="26"/>
        </w:rPr>
        <w:t>Non-Financial Factors to Consider</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investment decisions, qualitative variables should be considered along with quantitative metrics:</w:t>
      </w:r>
    </w:p>
    <w:p w:rsidR="00062F59" w:rsidRDefault="002E1D68">
      <w:pPr>
        <w:numPr>
          <w:ilvl w:val="0"/>
          <w:numId w:val="10"/>
        </w:numPr>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Strategic Alignment with Company Goals</w:t>
      </w:r>
      <w:r>
        <w:rPr>
          <w:rFonts w:ascii="Times New Roman" w:eastAsia="Times New Roman" w:hAnsi="Times New Roman" w:cs="Times New Roman"/>
          <w:sz w:val="24"/>
          <w:szCs w:val="24"/>
          <w:highlight w:val="white"/>
        </w:rPr>
        <w:t>: Projects should align with the company's long-term strategic goals.</w:t>
      </w:r>
    </w:p>
    <w:p w:rsidR="00062F59" w:rsidRDefault="002E1D68">
      <w:pPr>
        <w:numPr>
          <w:ilvl w:val="0"/>
          <w:numId w:val="10"/>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Environmental and Social Impacts</w:t>
      </w:r>
      <w:r>
        <w:rPr>
          <w:rFonts w:ascii="Times New Roman" w:eastAsia="Times New Roman" w:hAnsi="Times New Roman" w:cs="Times New Roman"/>
          <w:sz w:val="24"/>
          <w:szCs w:val="24"/>
          <w:highlight w:val="white"/>
        </w:rPr>
        <w:t>: Most initiatives impact the environment and society, so they must be considered.</w:t>
      </w:r>
    </w:p>
    <w:p w:rsidR="00062F59" w:rsidRDefault="002E1D68">
      <w:pPr>
        <w:numPr>
          <w:ilvl w:val="0"/>
          <w:numId w:val="10"/>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Market Conditions and Competitive Landscape</w:t>
      </w:r>
      <w:r>
        <w:rPr>
          <w:rFonts w:ascii="Times New Roman" w:eastAsia="Times New Roman" w:hAnsi="Times New Roman" w:cs="Times New Roman"/>
          <w:sz w:val="24"/>
          <w:szCs w:val="24"/>
          <w:highlight w:val="white"/>
        </w:rPr>
        <w:t>: Market conditions and competition can greatly impact project success.</w:t>
      </w:r>
    </w:p>
    <w:p w:rsidR="00062F59" w:rsidRDefault="002E1D68">
      <w:pPr>
        <w:numPr>
          <w:ilvl w:val="0"/>
          <w:numId w:val="10"/>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Potential for Technological Advancements and Innovation</w:t>
      </w:r>
      <w:r>
        <w:rPr>
          <w:rFonts w:ascii="Times New Roman" w:eastAsia="Times New Roman" w:hAnsi="Times New Roman" w:cs="Times New Roman"/>
          <w:sz w:val="24"/>
          <w:szCs w:val="24"/>
          <w:highlight w:val="white"/>
        </w:rPr>
        <w:t>: Long-term strategy goals may benefit initiatives from organisational technology development and enhancement.</w:t>
      </w:r>
    </w:p>
    <w:p w:rsidR="00062F59" w:rsidRDefault="002E1D68">
      <w:pPr>
        <w:pStyle w:val="Heading2"/>
        <w:keepNext w:val="0"/>
        <w:keepLines w:val="0"/>
        <w:spacing w:before="240" w:after="40" w:line="360" w:lineRule="auto"/>
        <w:rPr>
          <w:rFonts w:ascii="Times New Roman" w:eastAsia="Times New Roman" w:hAnsi="Times New Roman" w:cs="Times New Roman"/>
        </w:rPr>
      </w:pPr>
      <w:bookmarkStart w:id="43" w:name="_2u6wntf" w:colFirst="0" w:colLast="0"/>
      <w:bookmarkEnd w:id="43"/>
      <w:r>
        <w:rPr>
          <w:rFonts w:ascii="Times New Roman" w:eastAsia="Times New Roman" w:hAnsi="Times New Roman" w:cs="Times New Roman"/>
          <w:b/>
          <w:sz w:val="26"/>
          <w:szCs w:val="26"/>
        </w:rPr>
        <w:t>Conclusion</w:t>
      </w:r>
    </w:p>
    <w:p w:rsidR="00062F59" w:rsidRDefault="002E1D68">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Thus, the investment technique shows positive NPVs for projects A &amp; B, indicating profitability. Thus, Project B, with a £17.78 million NPV, is favoured over Project A, however, the PBP, ARR, and NPV alone cannot determine approval. Other factors include strategic fit, environmental impact, market opportunities and risks, and innovation. These factors will help the corporation evaluate investment prospects and make good judgements.</w:t>
      </w:r>
    </w:p>
    <w:p w:rsidR="00062F59" w:rsidRDefault="00062F59">
      <w:pPr>
        <w:spacing w:line="360" w:lineRule="auto"/>
        <w:rPr>
          <w:rFonts w:ascii="Times New Roman" w:eastAsia="Times New Roman" w:hAnsi="Times New Roman" w:cs="Times New Roman"/>
          <w:sz w:val="24"/>
          <w:szCs w:val="24"/>
          <w:highlight w:val="white"/>
        </w:rPr>
      </w:pPr>
    </w:p>
    <w:p w:rsidR="00062F59" w:rsidRDefault="002E1D68">
      <w:pPr>
        <w:spacing w:line="360" w:lineRule="auto"/>
        <w:rPr>
          <w:rFonts w:ascii="Times New Roman" w:eastAsia="Times New Roman" w:hAnsi="Times New Roman" w:cs="Times New Roman"/>
          <w:sz w:val="24"/>
          <w:szCs w:val="24"/>
          <w:highlight w:val="white"/>
        </w:rPr>
      </w:pPr>
      <w:r>
        <w:br w:type="page"/>
      </w:r>
    </w:p>
    <w:p w:rsidR="00062F59" w:rsidRDefault="002E1D68">
      <w:pPr>
        <w:pStyle w:val="Heading1"/>
        <w:keepNext w:val="0"/>
        <w:keepLines w:val="0"/>
        <w:spacing w:before="0" w:after="360" w:line="360" w:lineRule="auto"/>
        <w:rPr>
          <w:rFonts w:ascii="Times New Roman" w:eastAsia="Times New Roman" w:hAnsi="Times New Roman" w:cs="Times New Roman"/>
          <w:b/>
          <w:sz w:val="36"/>
          <w:szCs w:val="36"/>
          <w:highlight w:val="white"/>
        </w:rPr>
      </w:pPr>
      <w:bookmarkStart w:id="44" w:name="_19c6y18" w:colFirst="0" w:colLast="0"/>
      <w:bookmarkEnd w:id="44"/>
      <w:r>
        <w:rPr>
          <w:rFonts w:ascii="Times New Roman" w:eastAsia="Times New Roman" w:hAnsi="Times New Roman" w:cs="Times New Roman"/>
          <w:b/>
          <w:sz w:val="36"/>
          <w:szCs w:val="36"/>
          <w:highlight w:val="white"/>
        </w:rPr>
        <w:t>Reference list</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Abuelsamid, S. (2019). </w:t>
      </w:r>
      <w:r>
        <w:rPr>
          <w:rFonts w:ascii="Times New Roman" w:eastAsia="Times New Roman" w:hAnsi="Times New Roman" w:cs="Times New Roman"/>
          <w:i/>
          <w:sz w:val="24"/>
          <w:szCs w:val="24"/>
          <w:highlight w:val="white"/>
        </w:rPr>
        <w:t>Ford’s Farley On Building Mobility Technology And Services Amid Auto Industry Disruption</w:t>
      </w:r>
      <w:r>
        <w:rPr>
          <w:rFonts w:ascii="Times New Roman" w:eastAsia="Times New Roman" w:hAnsi="Times New Roman" w:cs="Times New Roman"/>
          <w:sz w:val="24"/>
          <w:szCs w:val="24"/>
          <w:highlight w:val="white"/>
        </w:rPr>
        <w:t>. [online] Forbes. Available at: https://www.forbes.com/sites/samabuelsamid/2019/10/21/fords-jim-farley-on-building-mobility-technology-services-and-brands/.</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Botelho, G. (2004). </w:t>
      </w:r>
      <w:r>
        <w:rPr>
          <w:rFonts w:ascii="Times New Roman" w:eastAsia="Times New Roman" w:hAnsi="Times New Roman" w:cs="Times New Roman"/>
          <w:i/>
          <w:sz w:val="24"/>
          <w:szCs w:val="24"/>
          <w:highlight w:val="white"/>
        </w:rPr>
        <w:t>The car that changed the world</w:t>
      </w:r>
      <w:r>
        <w:rPr>
          <w:rFonts w:ascii="Times New Roman" w:eastAsia="Times New Roman" w:hAnsi="Times New Roman" w:cs="Times New Roman"/>
          <w:sz w:val="24"/>
          <w:szCs w:val="24"/>
          <w:highlight w:val="white"/>
        </w:rPr>
        <w:t>. [online] www.cnn.com. Available at: http://www.cnn.com/2004/US/08/06/model.t/index.html [Accessed 20 Jul. 2024].</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Cole, A. and Li, Y. (2020). </w:t>
      </w:r>
      <w:r>
        <w:rPr>
          <w:rFonts w:ascii="Times New Roman" w:eastAsia="Times New Roman" w:hAnsi="Times New Roman" w:cs="Times New Roman"/>
          <w:i/>
          <w:sz w:val="24"/>
          <w:szCs w:val="24"/>
          <w:highlight w:val="white"/>
        </w:rPr>
        <w:t>Fundamental Valuation of The General Motors Company Assessing the value in the midst of a pandemic</w:t>
      </w:r>
      <w:r>
        <w:rPr>
          <w:rFonts w:ascii="Times New Roman" w:eastAsia="Times New Roman" w:hAnsi="Times New Roman" w:cs="Times New Roman"/>
          <w:sz w:val="24"/>
          <w:szCs w:val="24"/>
          <w:highlight w:val="white"/>
        </w:rPr>
        <w:t>. [online] Available at: https://openaccess.nhh.no/nhh-xmlui/bitstream/handle/11250/2681339/masterthesis.pdf.</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Domonoske, C. (2022). Ford announces a historic restructuring as it pivots to an electric future. </w:t>
      </w:r>
      <w:r>
        <w:rPr>
          <w:rFonts w:ascii="Times New Roman" w:eastAsia="Times New Roman" w:hAnsi="Times New Roman" w:cs="Times New Roman"/>
          <w:i/>
          <w:sz w:val="24"/>
          <w:szCs w:val="24"/>
          <w:highlight w:val="white"/>
        </w:rPr>
        <w:t>NPR</w:t>
      </w:r>
      <w:r>
        <w:rPr>
          <w:rFonts w:ascii="Times New Roman" w:eastAsia="Times New Roman" w:hAnsi="Times New Roman" w:cs="Times New Roman"/>
          <w:sz w:val="24"/>
          <w:szCs w:val="24"/>
          <w:highlight w:val="white"/>
        </w:rPr>
        <w:t>. [online] 2 Mar. Available at: https://www.npr.org/2022/03/02/1083913314/ford-modele-split-units-electric-gas.</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Effiong, Ds.A. and Enya, E.F. (2020). Liquidity Risk Management and Financial Performance: Are Consumer Goods Companies Involved? </w:t>
      </w:r>
      <w:r>
        <w:rPr>
          <w:rFonts w:ascii="Times New Roman" w:eastAsia="Times New Roman" w:hAnsi="Times New Roman" w:cs="Times New Roman"/>
          <w:i/>
          <w:sz w:val="24"/>
          <w:szCs w:val="24"/>
          <w:highlight w:val="white"/>
        </w:rPr>
        <w:t>International Journal of Recent Technology and Engineering</w:t>
      </w:r>
      <w:r>
        <w:rPr>
          <w:rFonts w:ascii="Times New Roman" w:eastAsia="Times New Roman" w:hAnsi="Times New Roman" w:cs="Times New Roman"/>
          <w:sz w:val="24"/>
          <w:szCs w:val="24"/>
          <w:highlight w:val="white"/>
        </w:rPr>
        <w:t>, 9(1), pp.580–589. doi:https://doi.org/10.35940/ijrte.a1692.059120.</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Fadrul, F., Howard, H., Nurazizah, F., Eddy, P., Novitriansyah, B. and Estu, A.Z. (2023). Analysis of Company Size, Inventory Intensity, and Variability of COGS on The Selection of Inventory Valuation Methods in Basic Materials Sector Companies Listed on IDX 2017-2021. </w:t>
      </w:r>
      <w:r>
        <w:rPr>
          <w:rFonts w:ascii="Times New Roman" w:eastAsia="Times New Roman" w:hAnsi="Times New Roman" w:cs="Times New Roman"/>
          <w:i/>
          <w:sz w:val="24"/>
          <w:szCs w:val="24"/>
          <w:highlight w:val="white"/>
        </w:rPr>
        <w:t>International Conference on Business Management and Accounting</w:t>
      </w:r>
      <w:r>
        <w:rPr>
          <w:rFonts w:ascii="Times New Roman" w:eastAsia="Times New Roman" w:hAnsi="Times New Roman" w:cs="Times New Roman"/>
          <w:sz w:val="24"/>
          <w:szCs w:val="24"/>
          <w:highlight w:val="white"/>
        </w:rPr>
        <w:t>, [online] 2(1), pp.227–237. doi:https://doi.org/10.35145/icobima.v2i1.4068.</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Fernando, J. (2024). </w:t>
      </w:r>
      <w:r>
        <w:rPr>
          <w:rFonts w:ascii="Times New Roman" w:eastAsia="Times New Roman" w:hAnsi="Times New Roman" w:cs="Times New Roman"/>
          <w:i/>
          <w:sz w:val="24"/>
          <w:szCs w:val="24"/>
          <w:highlight w:val="white"/>
        </w:rPr>
        <w:t>Inventory Turnover Ratio: What It Is, How It Works, and Formula</w:t>
      </w:r>
      <w:r>
        <w:rPr>
          <w:rFonts w:ascii="Times New Roman" w:eastAsia="Times New Roman" w:hAnsi="Times New Roman" w:cs="Times New Roman"/>
          <w:sz w:val="24"/>
          <w:szCs w:val="24"/>
          <w:highlight w:val="white"/>
        </w:rPr>
        <w:t>. [online] Investopedia. Available at: https://www.investopedia.com/terms/i/inventoryturnover.asp.</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Forbes (2024). </w:t>
      </w:r>
      <w:r>
        <w:rPr>
          <w:rFonts w:ascii="Times New Roman" w:eastAsia="Times New Roman" w:hAnsi="Times New Roman" w:cs="Times New Roman"/>
          <w:i/>
          <w:sz w:val="24"/>
          <w:szCs w:val="24"/>
          <w:highlight w:val="white"/>
        </w:rPr>
        <w:t>Ford Motor (F)</w:t>
      </w:r>
      <w:r>
        <w:rPr>
          <w:rFonts w:ascii="Times New Roman" w:eastAsia="Times New Roman" w:hAnsi="Times New Roman" w:cs="Times New Roman"/>
          <w:sz w:val="24"/>
          <w:szCs w:val="24"/>
          <w:highlight w:val="white"/>
        </w:rPr>
        <w:t>. [online] Forbes. Available at: https://www.forbes.com/companies/ford-motor/.</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(2020). </w:t>
      </w:r>
      <w:r>
        <w:rPr>
          <w:rFonts w:ascii="Times New Roman" w:eastAsia="Times New Roman" w:hAnsi="Times New Roman" w:cs="Times New Roman"/>
          <w:i/>
          <w:sz w:val="24"/>
          <w:szCs w:val="24"/>
          <w:highlight w:val="white"/>
        </w:rPr>
        <w:t>Ford Motor Company 2019 Annual Report</w:t>
      </w:r>
      <w:r>
        <w:rPr>
          <w:rFonts w:ascii="Times New Roman" w:eastAsia="Times New Roman" w:hAnsi="Times New Roman" w:cs="Times New Roman"/>
          <w:sz w:val="24"/>
          <w:szCs w:val="24"/>
          <w:highlight w:val="white"/>
        </w:rPr>
        <w:t>. [online] Available at: https://s201.q4cdn.com/693218008/files/doc_financials/2020/ar/Ford-2020-Annual-Report-April-2020.pdf.</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(2022a). </w:t>
      </w:r>
      <w:r>
        <w:rPr>
          <w:rFonts w:ascii="Times New Roman" w:eastAsia="Times New Roman" w:hAnsi="Times New Roman" w:cs="Times New Roman"/>
          <w:i/>
          <w:sz w:val="24"/>
          <w:szCs w:val="24"/>
          <w:highlight w:val="white"/>
        </w:rPr>
        <w:t>2022 Annual Report</w:t>
      </w:r>
      <w:r>
        <w:rPr>
          <w:rFonts w:ascii="Times New Roman" w:eastAsia="Times New Roman" w:hAnsi="Times New Roman" w:cs="Times New Roman"/>
          <w:sz w:val="24"/>
          <w:szCs w:val="24"/>
          <w:highlight w:val="white"/>
        </w:rPr>
        <w:t>. [online] Available at: https://s201.q4cdn.com/693218008/files/doc_financials/2023/03/2022-Annual-Report-1.pdf.</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(2022b). </w:t>
      </w:r>
      <w:r>
        <w:rPr>
          <w:rFonts w:ascii="Times New Roman" w:eastAsia="Times New Roman" w:hAnsi="Times New Roman" w:cs="Times New Roman"/>
          <w:i/>
          <w:sz w:val="24"/>
          <w:szCs w:val="24"/>
          <w:highlight w:val="white"/>
        </w:rPr>
        <w:t>Ford Accelerating Transformation: Forming Distinct Auto Units to Scale EVs, Strengthen Operations, Unlock Value | Ford Media Center</w:t>
      </w:r>
      <w:r>
        <w:rPr>
          <w:rFonts w:ascii="Times New Roman" w:eastAsia="Times New Roman" w:hAnsi="Times New Roman" w:cs="Times New Roman"/>
          <w:sz w:val="24"/>
          <w:szCs w:val="24"/>
          <w:highlight w:val="white"/>
        </w:rPr>
        <w:t>. [online] media.ford.com. Available at: https://media.ford.com/content/fordmedia/fna/us/en/news/2022/03/02/ford-accelerating-transformation.html.</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(2023). </w:t>
      </w:r>
      <w:r>
        <w:rPr>
          <w:rFonts w:ascii="Times New Roman" w:eastAsia="Times New Roman" w:hAnsi="Times New Roman" w:cs="Times New Roman"/>
          <w:i/>
          <w:sz w:val="24"/>
          <w:szCs w:val="24"/>
          <w:highlight w:val="white"/>
        </w:rPr>
        <w:t>Ford Makes Key Leadership Announcements As It Accelerates Customer-Focused Transformation | Ford Media Center</w:t>
      </w:r>
      <w:r>
        <w:rPr>
          <w:rFonts w:ascii="Times New Roman" w:eastAsia="Times New Roman" w:hAnsi="Times New Roman" w:cs="Times New Roman"/>
          <w:sz w:val="24"/>
          <w:szCs w:val="24"/>
          <w:highlight w:val="white"/>
        </w:rPr>
        <w:t>. [online] media.ford.com. Available at: https://media.ford.com/content/fordmedia/fna/us/en/news/2023/09/12/ford-makes-key-leadership-announcements-as-it-accelerates-custom.html.</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(2024). </w:t>
      </w:r>
      <w:r>
        <w:rPr>
          <w:rFonts w:ascii="Times New Roman" w:eastAsia="Times New Roman" w:hAnsi="Times New Roman" w:cs="Times New Roman"/>
          <w:i/>
          <w:sz w:val="24"/>
          <w:szCs w:val="24"/>
          <w:highlight w:val="white"/>
        </w:rPr>
        <w:t>Ford Pro Demand Drives F-Series Super Duty Production Expansion to Canada, with Future Multi-Energy Technology | Ford Media Center</w:t>
      </w:r>
      <w:r>
        <w:rPr>
          <w:rFonts w:ascii="Times New Roman" w:eastAsia="Times New Roman" w:hAnsi="Times New Roman" w:cs="Times New Roman"/>
          <w:sz w:val="24"/>
          <w:szCs w:val="24"/>
          <w:highlight w:val="white"/>
        </w:rPr>
        <w:t>. [online] media.ford.com. Available at: https://media.ford.com/content/fordmedia/fna/us/en/news/2024/07/18/ford-expands-north-american-f-series-production.html.</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Motor Company (2019). </w:t>
      </w:r>
      <w:r>
        <w:rPr>
          <w:rFonts w:ascii="Times New Roman" w:eastAsia="Times New Roman" w:hAnsi="Times New Roman" w:cs="Times New Roman"/>
          <w:i/>
          <w:sz w:val="24"/>
          <w:szCs w:val="24"/>
          <w:highlight w:val="white"/>
        </w:rPr>
        <w:t>Ford Motor Company 2019 Annual Report</w:t>
      </w:r>
      <w:r>
        <w:rPr>
          <w:rFonts w:ascii="Times New Roman" w:eastAsia="Times New Roman" w:hAnsi="Times New Roman" w:cs="Times New Roman"/>
          <w:sz w:val="24"/>
          <w:szCs w:val="24"/>
          <w:highlight w:val="white"/>
        </w:rPr>
        <w:t>. [online] Available at: https://corporate.ford.com/content/dam/corporate/us/en-us/documents/reports/2019-annual-report.pdf.</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Motor Company (2020). </w:t>
      </w:r>
      <w:r>
        <w:rPr>
          <w:rFonts w:ascii="Times New Roman" w:eastAsia="Times New Roman" w:hAnsi="Times New Roman" w:cs="Times New Roman"/>
          <w:i/>
          <w:sz w:val="24"/>
          <w:szCs w:val="24"/>
          <w:highlight w:val="white"/>
        </w:rPr>
        <w:t>The Model T</w:t>
      </w:r>
      <w:r>
        <w:rPr>
          <w:rFonts w:ascii="Times New Roman" w:eastAsia="Times New Roman" w:hAnsi="Times New Roman" w:cs="Times New Roman"/>
          <w:sz w:val="24"/>
          <w:szCs w:val="24"/>
          <w:highlight w:val="white"/>
        </w:rPr>
        <w:t>. [online] Ford Corporate. Available at: https://corporate.ford.com/articles/history/the-model-t.html.</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Motor Company (2021). </w:t>
      </w:r>
      <w:r>
        <w:rPr>
          <w:rFonts w:ascii="Times New Roman" w:eastAsia="Times New Roman" w:hAnsi="Times New Roman" w:cs="Times New Roman"/>
          <w:i/>
          <w:sz w:val="24"/>
          <w:szCs w:val="24"/>
          <w:highlight w:val="white"/>
        </w:rPr>
        <w:t>2021 Annual Report</w:t>
      </w:r>
      <w:r>
        <w:rPr>
          <w:rFonts w:ascii="Times New Roman" w:eastAsia="Times New Roman" w:hAnsi="Times New Roman" w:cs="Times New Roman"/>
          <w:sz w:val="24"/>
          <w:szCs w:val="24"/>
          <w:highlight w:val="white"/>
        </w:rPr>
        <w:t>. [online] Available at: https://s201.q4cdn.com/693218008/files/doc_financials/2021/ar/Ford-2021-Annual-Report.pdf.</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Ford Motor Company (2023). </w:t>
      </w:r>
      <w:r>
        <w:rPr>
          <w:rFonts w:ascii="Times New Roman" w:eastAsia="Times New Roman" w:hAnsi="Times New Roman" w:cs="Times New Roman"/>
          <w:i/>
          <w:sz w:val="24"/>
          <w:szCs w:val="24"/>
          <w:highlight w:val="white"/>
        </w:rPr>
        <w:t>2023 Annual Report Ford Motor Company</w:t>
      </w:r>
      <w:r>
        <w:rPr>
          <w:rFonts w:ascii="Times New Roman" w:eastAsia="Times New Roman" w:hAnsi="Times New Roman" w:cs="Times New Roman"/>
          <w:sz w:val="24"/>
          <w:szCs w:val="24"/>
          <w:highlight w:val="white"/>
        </w:rPr>
        <w:t>. [online] Available at: https://www.annualreports.com/HostedData/AnnualReports/PDF/NYSE_F_2023.pdf.</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General Motors (2022). </w:t>
      </w:r>
      <w:r>
        <w:rPr>
          <w:rFonts w:ascii="Times New Roman" w:eastAsia="Times New Roman" w:hAnsi="Times New Roman" w:cs="Times New Roman"/>
          <w:i/>
          <w:sz w:val="24"/>
          <w:szCs w:val="24"/>
          <w:highlight w:val="white"/>
        </w:rPr>
        <w:t>General Motors</w:t>
      </w:r>
      <w:r>
        <w:rPr>
          <w:rFonts w:ascii="Times New Roman" w:eastAsia="Times New Roman" w:hAnsi="Times New Roman" w:cs="Times New Roman"/>
          <w:sz w:val="24"/>
          <w:szCs w:val="24"/>
          <w:highlight w:val="white"/>
        </w:rPr>
        <w:t>. [online] Gm.com. Available at: https://www.gm.com/.</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Harley, M. (2023). </w:t>
      </w:r>
      <w:r>
        <w:rPr>
          <w:rFonts w:ascii="Times New Roman" w:eastAsia="Times New Roman" w:hAnsi="Times New Roman" w:cs="Times New Roman"/>
          <w:i/>
          <w:sz w:val="24"/>
          <w:szCs w:val="24"/>
          <w:highlight w:val="white"/>
        </w:rPr>
        <w:t>Citing Strike, Stellantis—Maker Of Chrysler, Jeep And Other Cars And Trucks—Cancels Upcoming Auto Shows</w:t>
      </w:r>
      <w:r>
        <w:rPr>
          <w:rFonts w:ascii="Times New Roman" w:eastAsia="Times New Roman" w:hAnsi="Times New Roman" w:cs="Times New Roman"/>
          <w:sz w:val="24"/>
          <w:szCs w:val="24"/>
          <w:highlight w:val="white"/>
        </w:rPr>
        <w:t>. [online] Forbes. Available at: https://www.forbes.com/sites/michaelharley/2023/10/21/citing-strike-chrysler-jeep-fiat-ram-alfa-romeo-and-dodge-cancel-all-major-upcoming-shows/ [Accessed 20 Jul. 2024].</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Hayes, A. (2023). </w:t>
      </w:r>
      <w:r>
        <w:rPr>
          <w:rFonts w:ascii="Times New Roman" w:eastAsia="Times New Roman" w:hAnsi="Times New Roman" w:cs="Times New Roman"/>
          <w:i/>
          <w:sz w:val="24"/>
          <w:szCs w:val="24"/>
          <w:highlight w:val="white"/>
        </w:rPr>
        <w:t>Risk Analysis Definition</w:t>
      </w:r>
      <w:r>
        <w:rPr>
          <w:rFonts w:ascii="Times New Roman" w:eastAsia="Times New Roman" w:hAnsi="Times New Roman" w:cs="Times New Roman"/>
          <w:sz w:val="24"/>
          <w:szCs w:val="24"/>
          <w:highlight w:val="white"/>
        </w:rPr>
        <w:t>. [online] Investopedia. Available at: https://www.investopedia.com/terms/r/risk-analysis.asp.</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Improvement Service (2020). </w:t>
      </w:r>
      <w:r>
        <w:rPr>
          <w:rFonts w:ascii="Times New Roman" w:eastAsia="Times New Roman" w:hAnsi="Times New Roman" w:cs="Times New Roman"/>
          <w:i/>
          <w:sz w:val="24"/>
          <w:szCs w:val="24"/>
          <w:highlight w:val="white"/>
        </w:rPr>
        <w:t>Investment Appraisal</w:t>
      </w:r>
      <w:r>
        <w:rPr>
          <w:rFonts w:ascii="Times New Roman" w:eastAsia="Times New Roman" w:hAnsi="Times New Roman" w:cs="Times New Roman"/>
          <w:sz w:val="24"/>
          <w:szCs w:val="24"/>
          <w:highlight w:val="white"/>
        </w:rPr>
        <w:t>. [online] Improvement Service. Available at: https://www.improvementservice.org.uk/business-analysis-framework/evaluate-options/investment-appraisal#:~:text=What%20is%20an%20investment%20Appraisal.</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Kagan, J. (2023). </w:t>
      </w:r>
      <w:r>
        <w:rPr>
          <w:rFonts w:ascii="Times New Roman" w:eastAsia="Times New Roman" w:hAnsi="Times New Roman" w:cs="Times New Roman"/>
          <w:i/>
          <w:sz w:val="24"/>
          <w:szCs w:val="24"/>
          <w:highlight w:val="white"/>
        </w:rPr>
        <w:t>Payback Period Explained, With the Formula and How to Calculate It</w:t>
      </w:r>
      <w:r>
        <w:rPr>
          <w:rFonts w:ascii="Times New Roman" w:eastAsia="Times New Roman" w:hAnsi="Times New Roman" w:cs="Times New Roman"/>
          <w:sz w:val="24"/>
          <w:szCs w:val="24"/>
          <w:highlight w:val="white"/>
        </w:rPr>
        <w:t>. [online] Investopedia. Available at: https://www.investopedia.com/terms/p/paybackperiod.asp.</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Murphy, C. (2023a). </w:t>
      </w:r>
      <w:r>
        <w:rPr>
          <w:rFonts w:ascii="Times New Roman" w:eastAsia="Times New Roman" w:hAnsi="Times New Roman" w:cs="Times New Roman"/>
          <w:i/>
          <w:sz w:val="24"/>
          <w:szCs w:val="24"/>
          <w:highlight w:val="white"/>
        </w:rPr>
        <w:t>Accounting Rate of Return (ARR): Definition, How to Calculate, and Example</w:t>
      </w:r>
      <w:r>
        <w:rPr>
          <w:rFonts w:ascii="Times New Roman" w:eastAsia="Times New Roman" w:hAnsi="Times New Roman" w:cs="Times New Roman"/>
          <w:sz w:val="24"/>
          <w:szCs w:val="24"/>
          <w:highlight w:val="white"/>
        </w:rPr>
        <w:t>. [online] Investopedia. Available at: https://www.investopedia.com/terms/a/arr.asp.</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Murphy, C. (2023b). </w:t>
      </w:r>
      <w:r>
        <w:rPr>
          <w:rFonts w:ascii="Times New Roman" w:eastAsia="Times New Roman" w:hAnsi="Times New Roman" w:cs="Times New Roman"/>
          <w:i/>
          <w:sz w:val="24"/>
          <w:szCs w:val="24"/>
          <w:highlight w:val="white"/>
        </w:rPr>
        <w:t>Accounting Rate of Return (ARR): Definition, How to Calculate, and Example</w:t>
      </w:r>
      <w:r>
        <w:rPr>
          <w:rFonts w:ascii="Times New Roman" w:eastAsia="Times New Roman" w:hAnsi="Times New Roman" w:cs="Times New Roman"/>
          <w:sz w:val="24"/>
          <w:szCs w:val="24"/>
          <w:highlight w:val="white"/>
        </w:rPr>
        <w:t>. [online] Investopedia. Available at: https://www.investopedia.com/terms/a/arr.asp.</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Tamplin, T. (2024). </w:t>
      </w:r>
      <w:r>
        <w:rPr>
          <w:rFonts w:ascii="Times New Roman" w:eastAsia="Times New Roman" w:hAnsi="Times New Roman" w:cs="Times New Roman"/>
          <w:i/>
          <w:sz w:val="24"/>
          <w:szCs w:val="24"/>
          <w:highlight w:val="white"/>
        </w:rPr>
        <w:t>7 Book Suggestions To Improve Your Personal Finance Management</w:t>
      </w:r>
      <w:r>
        <w:rPr>
          <w:rFonts w:ascii="Times New Roman" w:eastAsia="Times New Roman" w:hAnsi="Times New Roman" w:cs="Times New Roman"/>
          <w:sz w:val="24"/>
          <w:szCs w:val="24"/>
          <w:highlight w:val="white"/>
        </w:rPr>
        <w:t>. [online] Forbes. Available at: https://www.forbes.com/sites/truetamplin/2024/04/23/7-book-suggestions-to-improve-your-personal-finance-management/ [Accessed 20 Jul. 2024].</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Tesla Annual Report (2023). </w:t>
      </w:r>
      <w:r>
        <w:rPr>
          <w:rFonts w:ascii="Times New Roman" w:eastAsia="Times New Roman" w:hAnsi="Times New Roman" w:cs="Times New Roman"/>
          <w:i/>
          <w:sz w:val="24"/>
          <w:szCs w:val="24"/>
          <w:highlight w:val="white"/>
        </w:rPr>
        <w:t>UNITED STATES SECURITIES AND EXCHANGE COMMISSION</w:t>
      </w:r>
      <w:r>
        <w:rPr>
          <w:rFonts w:ascii="Times New Roman" w:eastAsia="Times New Roman" w:hAnsi="Times New Roman" w:cs="Times New Roman"/>
          <w:sz w:val="24"/>
          <w:szCs w:val="24"/>
          <w:highlight w:val="white"/>
        </w:rPr>
        <w:t>. [online] Available at: https://ir.tesla.com/_flysystem/s3/sec/000162828024002390/tsla-20231231-gen.pdf.</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Toyota Motor (2024). </w:t>
      </w:r>
      <w:r>
        <w:rPr>
          <w:rFonts w:ascii="Times New Roman" w:eastAsia="Times New Roman" w:hAnsi="Times New Roman" w:cs="Times New Roman"/>
          <w:i/>
          <w:sz w:val="24"/>
          <w:szCs w:val="24"/>
          <w:highlight w:val="white"/>
        </w:rPr>
        <w:t>Toyota Luxury Car Models | Toyota.com</w:t>
      </w:r>
      <w:r>
        <w:rPr>
          <w:rFonts w:ascii="Times New Roman" w:eastAsia="Times New Roman" w:hAnsi="Times New Roman" w:cs="Times New Roman"/>
          <w:sz w:val="24"/>
          <w:szCs w:val="24"/>
          <w:highlight w:val="white"/>
        </w:rPr>
        <w:t>. [online] www.toyota.com. Available at: https://www.toyota.com/luxury-cars/.</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Trainer, D. (2022a). </w:t>
      </w:r>
      <w:r>
        <w:rPr>
          <w:rFonts w:ascii="Times New Roman" w:eastAsia="Times New Roman" w:hAnsi="Times New Roman" w:cs="Times New Roman"/>
          <w:i/>
          <w:sz w:val="24"/>
          <w:szCs w:val="24"/>
          <w:highlight w:val="white"/>
        </w:rPr>
        <w:t>Ford Motor Company: Ready For Another Century</w:t>
      </w:r>
      <w:r>
        <w:rPr>
          <w:rFonts w:ascii="Times New Roman" w:eastAsia="Times New Roman" w:hAnsi="Times New Roman" w:cs="Times New Roman"/>
          <w:sz w:val="24"/>
          <w:szCs w:val="24"/>
          <w:highlight w:val="white"/>
        </w:rPr>
        <w:t>. [online] Forbes. Available at: https://www.forbes.com/sites/greatspeculations/2022/04/04/ford-motor-company-ready-for-another-century/.</w:t>
      </w:r>
    </w:p>
    <w:p w:rsidR="00062F59" w:rsidRDefault="002E1D68">
      <w:p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Trainer, D. (2022b). </w:t>
      </w:r>
      <w:r>
        <w:rPr>
          <w:rFonts w:ascii="Times New Roman" w:eastAsia="Times New Roman" w:hAnsi="Times New Roman" w:cs="Times New Roman"/>
          <w:i/>
          <w:sz w:val="24"/>
          <w:szCs w:val="24"/>
          <w:highlight w:val="white"/>
        </w:rPr>
        <w:t>Ford Motor Company: Ready For Another Century</w:t>
      </w:r>
      <w:r>
        <w:rPr>
          <w:rFonts w:ascii="Times New Roman" w:eastAsia="Times New Roman" w:hAnsi="Times New Roman" w:cs="Times New Roman"/>
          <w:sz w:val="24"/>
          <w:szCs w:val="24"/>
          <w:highlight w:val="white"/>
        </w:rPr>
        <w:t>. [online] Forbes. Available at: https://www.forbes.com/sites/greatspeculations/2022/04/04/ford-motor-company-ready-for-another-century/.</w:t>
      </w:r>
    </w:p>
    <w:p w:rsidR="00062F59" w:rsidRDefault="00062F59">
      <w:pPr>
        <w:spacing w:line="360" w:lineRule="auto"/>
        <w:rPr>
          <w:rFonts w:ascii="Times New Roman" w:eastAsia="Times New Roman" w:hAnsi="Times New Roman" w:cs="Times New Roman"/>
          <w:sz w:val="24"/>
          <w:szCs w:val="24"/>
          <w:highlight w:val="white"/>
        </w:rPr>
      </w:pPr>
    </w:p>
    <w:sectPr w:rsidR="00062F59">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E1D68" w:rsidRDefault="002E1D68">
      <w:pPr>
        <w:spacing w:line="240" w:lineRule="auto"/>
      </w:pPr>
      <w:r>
        <w:separator/>
      </w:r>
    </w:p>
  </w:endnote>
  <w:endnote w:type="continuationSeparator" w:id="0">
    <w:p w:rsidR="002E1D68" w:rsidRDefault="002E1D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 w:name="Gungsuh">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E1D68" w:rsidRDefault="002E1D68">
      <w:pPr>
        <w:spacing w:line="240" w:lineRule="auto"/>
      </w:pPr>
      <w:r>
        <w:separator/>
      </w:r>
    </w:p>
  </w:footnote>
  <w:footnote w:type="continuationSeparator" w:id="0">
    <w:p w:rsidR="002E1D68" w:rsidRDefault="002E1D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62F59" w:rsidRDefault="00062F5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4C0AB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CD3E9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CF2D7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2D2D5AB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77434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8A3CB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9D3084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24D252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6135565"/>
    <w:multiLevelType w:val="multilevel"/>
    <w:tmpl w:val="FFFFFFFF"/>
    <w:lvl w:ilvl="0">
      <w:start w:val="1"/>
      <w:numFmt w:val="decimal"/>
      <w:lvlText w:val="%1."/>
      <w:lvlJc w:val="left"/>
      <w:pPr>
        <w:ind w:left="720" w:hanging="360"/>
      </w:pPr>
      <w:rPr>
        <w:rFonts w:ascii="Times New Roman" w:eastAsia="Times New Roman" w:hAnsi="Times New Roman" w:cs="Times New Roman"/>
        <w:b/>
        <w:color w:val="00000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1C0437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30741B5"/>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6C16632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D9074D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19E119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2A73C1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8745182">
    <w:abstractNumId w:val="13"/>
  </w:num>
  <w:num w:numId="2" w16cid:durableId="1801990228">
    <w:abstractNumId w:val="2"/>
  </w:num>
  <w:num w:numId="3" w16cid:durableId="84350099">
    <w:abstractNumId w:val="0"/>
  </w:num>
  <w:num w:numId="4" w16cid:durableId="1284994370">
    <w:abstractNumId w:val="11"/>
  </w:num>
  <w:num w:numId="5" w16cid:durableId="399014526">
    <w:abstractNumId w:val="9"/>
  </w:num>
  <w:num w:numId="6" w16cid:durableId="1846702219">
    <w:abstractNumId w:val="8"/>
  </w:num>
  <w:num w:numId="7" w16cid:durableId="1993019570">
    <w:abstractNumId w:val="6"/>
  </w:num>
  <w:num w:numId="8" w16cid:durableId="1291545455">
    <w:abstractNumId w:val="14"/>
  </w:num>
  <w:num w:numId="9" w16cid:durableId="1817260404">
    <w:abstractNumId w:val="7"/>
  </w:num>
  <w:num w:numId="10" w16cid:durableId="1726904821">
    <w:abstractNumId w:val="3"/>
  </w:num>
  <w:num w:numId="11" w16cid:durableId="1355883588">
    <w:abstractNumId w:val="5"/>
  </w:num>
  <w:num w:numId="12" w16cid:durableId="1649170958">
    <w:abstractNumId w:val="4"/>
  </w:num>
  <w:num w:numId="13" w16cid:durableId="1088890267">
    <w:abstractNumId w:val="1"/>
  </w:num>
  <w:num w:numId="14" w16cid:durableId="208226058">
    <w:abstractNumId w:val="12"/>
  </w:num>
  <w:num w:numId="15" w16cid:durableId="9019121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F59"/>
    <w:rsid w:val="00062F59"/>
    <w:rsid w:val="002E1D68"/>
    <w:rsid w:val="006213B1"/>
    <w:rsid w:val="00C929B1"/>
    <w:rsid w:val="00EE7CE0"/>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4:docId w14:val="6335442C"/>
  <w15:docId w15:val="{3C3BD408-9D6A-2147-89EB-9886A4D85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eastAsia="en-GB"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6235</Words>
  <Characters>35540</Characters>
  <Application>Microsoft Office Word</Application>
  <DocSecurity>0</DocSecurity>
  <Lines>296</Lines>
  <Paragraphs>83</Paragraphs>
  <ScaleCrop>false</ScaleCrop>
  <Company/>
  <LinksUpToDate>false</LinksUpToDate>
  <CharactersWithSpaces>41692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jaymin Mistry</cp:lastModifiedBy>
  <cp:revision>2</cp:revision>
  <dcterms:created xsi:type="dcterms:W3CDTF">2024-09-02T12:28:00Z</dcterms:created>
  <dcterms:modified xsi:type="dcterms:W3CDTF">2024-09-02T12:28:00Z</dcterms:modified>
</cp:coreProperties>
</file>