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E8DF6" w14:textId="51E1909E" w:rsidR="001A7ADB" w:rsidRDefault="001A7ADB" w:rsidP="00BB2AEF">
      <w:pPr>
        <w:spacing w:line="360" w:lineRule="auto"/>
        <w:jc w:val="center"/>
        <w:rPr>
          <w:rFonts w:ascii="Arial" w:hAnsi="Arial" w:cs="Arial"/>
          <w:b/>
          <w:bCs/>
        </w:rPr>
      </w:pPr>
      <w:r>
        <w:rPr>
          <w:noProof/>
        </w:rPr>
        <w:drawing>
          <wp:anchor distT="0" distB="0" distL="114300" distR="114300" simplePos="0" relativeHeight="251659264" behindDoc="1" locked="0" layoutInCell="1" allowOverlap="1" wp14:anchorId="5575D058" wp14:editId="238372FE">
            <wp:simplePos x="0" y="0"/>
            <wp:positionH relativeFrom="margin">
              <wp:posOffset>618797</wp:posOffset>
            </wp:positionH>
            <wp:positionV relativeFrom="paragraph">
              <wp:posOffset>58871</wp:posOffset>
            </wp:positionV>
            <wp:extent cx="4394835" cy="1328420"/>
            <wp:effectExtent l="0" t="0" r="0" b="0"/>
            <wp:wrapTight wrapText="bothSides">
              <wp:wrapPolygon edited="0">
                <wp:start x="936" y="3407"/>
                <wp:lineTo x="936" y="8983"/>
                <wp:lineTo x="1217" y="13939"/>
                <wp:lineTo x="2434" y="17346"/>
                <wp:lineTo x="2528" y="17966"/>
                <wp:lineTo x="7303" y="17966"/>
                <wp:lineTo x="12921" y="17346"/>
                <wp:lineTo x="13014" y="13939"/>
                <wp:lineTo x="17134" y="13629"/>
                <wp:lineTo x="17321" y="9602"/>
                <wp:lineTo x="21254" y="8983"/>
                <wp:lineTo x="21441" y="5266"/>
                <wp:lineTo x="19381" y="3407"/>
                <wp:lineTo x="936"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394835"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23ADD17" w14:textId="77777777" w:rsidR="001A7ADB" w:rsidRDefault="001A7ADB" w:rsidP="00BB2AEF">
      <w:pPr>
        <w:spacing w:line="360" w:lineRule="auto"/>
        <w:jc w:val="center"/>
        <w:rPr>
          <w:rFonts w:ascii="Arial" w:hAnsi="Arial" w:cs="Arial"/>
          <w:b/>
          <w:bCs/>
        </w:rPr>
      </w:pPr>
    </w:p>
    <w:p w14:paraId="6DF43289" w14:textId="77777777" w:rsidR="001A7ADB" w:rsidRDefault="001A7ADB" w:rsidP="00BB2AEF">
      <w:pPr>
        <w:spacing w:line="360" w:lineRule="auto"/>
        <w:jc w:val="center"/>
        <w:rPr>
          <w:rFonts w:ascii="Arial" w:hAnsi="Arial" w:cs="Arial"/>
          <w:b/>
          <w:bCs/>
        </w:rPr>
      </w:pPr>
    </w:p>
    <w:p w14:paraId="573886DE" w14:textId="77777777" w:rsidR="001A7ADB" w:rsidRDefault="001A7ADB" w:rsidP="00BB2AEF">
      <w:pPr>
        <w:spacing w:line="360" w:lineRule="auto"/>
        <w:jc w:val="center"/>
        <w:rPr>
          <w:rFonts w:ascii="Arial" w:hAnsi="Arial" w:cs="Arial"/>
          <w:b/>
          <w:bCs/>
        </w:rPr>
      </w:pPr>
    </w:p>
    <w:p w14:paraId="054A3613" w14:textId="77777777" w:rsidR="001A7ADB" w:rsidRDefault="001A7ADB" w:rsidP="00BB2AEF">
      <w:pPr>
        <w:spacing w:line="360" w:lineRule="auto"/>
        <w:jc w:val="center"/>
        <w:rPr>
          <w:rFonts w:ascii="Arial" w:hAnsi="Arial" w:cs="Arial"/>
          <w:b/>
          <w:bCs/>
        </w:rPr>
      </w:pPr>
    </w:p>
    <w:p w14:paraId="520E54C6" w14:textId="2E9AD781" w:rsidR="00647665" w:rsidRPr="00BB2AEF" w:rsidRDefault="00647665" w:rsidP="00BB2AEF">
      <w:pPr>
        <w:spacing w:line="360" w:lineRule="auto"/>
        <w:jc w:val="center"/>
        <w:rPr>
          <w:rFonts w:ascii="Arial" w:hAnsi="Arial" w:cs="Arial"/>
          <w:b/>
          <w:bCs/>
          <w:color w:val="000000" w:themeColor="text1"/>
        </w:rPr>
      </w:pPr>
      <w:r w:rsidRPr="006071A4">
        <w:rPr>
          <w:rFonts w:ascii="Arial" w:hAnsi="Arial" w:cs="Arial"/>
          <w:b/>
          <w:bCs/>
        </w:rPr>
        <w:t>Course: BSc (Hons) Health and Social</w:t>
      </w:r>
      <w:r w:rsidRPr="00BB2AEF">
        <w:rPr>
          <w:rFonts w:ascii="Arial" w:hAnsi="Arial" w:cs="Arial"/>
          <w:b/>
          <w:bCs/>
          <w:color w:val="000000" w:themeColor="text1"/>
        </w:rPr>
        <w:t xml:space="preserve"> Care</w:t>
      </w:r>
    </w:p>
    <w:p w14:paraId="0AD72233" w14:textId="77777777" w:rsidR="00647665" w:rsidRPr="00BB2AEF" w:rsidRDefault="00647665" w:rsidP="00BB2AEF">
      <w:pPr>
        <w:spacing w:line="360" w:lineRule="auto"/>
        <w:jc w:val="center"/>
        <w:rPr>
          <w:rFonts w:ascii="Arial" w:hAnsi="Arial" w:cs="Arial"/>
          <w:b/>
          <w:bCs/>
          <w:color w:val="000000" w:themeColor="text1"/>
        </w:rPr>
      </w:pPr>
      <w:r w:rsidRPr="00BB2AEF">
        <w:rPr>
          <w:rFonts w:ascii="Arial" w:hAnsi="Arial" w:cs="Arial"/>
          <w:b/>
          <w:bCs/>
          <w:color w:val="000000" w:themeColor="text1"/>
        </w:rPr>
        <w:t>Module: Independent Project (BMHP6020_BIRM)</w:t>
      </w:r>
    </w:p>
    <w:p w14:paraId="7A47B213" w14:textId="77777777" w:rsidR="00647665" w:rsidRPr="00BB2AEF" w:rsidRDefault="00647665" w:rsidP="00BB2AEF">
      <w:pPr>
        <w:spacing w:line="360" w:lineRule="auto"/>
        <w:jc w:val="center"/>
        <w:rPr>
          <w:rFonts w:ascii="Arial" w:hAnsi="Arial" w:cs="Arial"/>
          <w:color w:val="000000" w:themeColor="text1"/>
        </w:rPr>
      </w:pPr>
    </w:p>
    <w:p w14:paraId="2B8781E8" w14:textId="77777777" w:rsidR="00647665" w:rsidRPr="00BB2AEF" w:rsidRDefault="00647665" w:rsidP="00BB2AEF">
      <w:pPr>
        <w:spacing w:line="360" w:lineRule="auto"/>
        <w:jc w:val="center"/>
        <w:rPr>
          <w:rFonts w:ascii="Arial" w:hAnsi="Arial" w:cs="Arial"/>
          <w:b/>
          <w:bCs/>
          <w:color w:val="000000" w:themeColor="text1"/>
        </w:rPr>
      </w:pPr>
      <w:r w:rsidRPr="00BB2AEF">
        <w:rPr>
          <w:rFonts w:ascii="Arial" w:hAnsi="Arial" w:cs="Arial"/>
          <w:b/>
          <w:bCs/>
          <w:color w:val="000000" w:themeColor="text1"/>
        </w:rPr>
        <w:t xml:space="preserve">Component 1: </w:t>
      </w:r>
      <w:r w:rsidRPr="00BB2AEF">
        <w:rPr>
          <w:rFonts w:ascii="Arial" w:hAnsi="Arial" w:cs="Arial"/>
          <w:color w:val="000000" w:themeColor="text1"/>
        </w:rPr>
        <w:t xml:space="preserve">Element 1 - Project Proposal </w:t>
      </w:r>
    </w:p>
    <w:p w14:paraId="088F76A1" w14:textId="77777777" w:rsidR="00647665" w:rsidRPr="00BB2AEF" w:rsidRDefault="00647665" w:rsidP="00BB2AEF">
      <w:pPr>
        <w:spacing w:line="360" w:lineRule="auto"/>
        <w:rPr>
          <w:rFonts w:ascii="Arial" w:hAnsi="Arial" w:cs="Arial"/>
          <w:color w:val="000000" w:themeColor="text1"/>
        </w:rPr>
      </w:pPr>
    </w:p>
    <w:p w14:paraId="02C6ADB2" w14:textId="77777777" w:rsidR="00647665" w:rsidRPr="00BB2AEF" w:rsidRDefault="00647665" w:rsidP="00BB2AEF">
      <w:pPr>
        <w:spacing w:line="360" w:lineRule="auto"/>
        <w:rPr>
          <w:rFonts w:ascii="Arial" w:hAnsi="Arial" w:cs="Arial"/>
          <w:color w:val="000000" w:themeColor="text1"/>
        </w:rPr>
      </w:pPr>
    </w:p>
    <w:p w14:paraId="1B0249C7" w14:textId="18C70404" w:rsidR="00647665" w:rsidRPr="00BB2AEF" w:rsidRDefault="00647665" w:rsidP="00BB2AEF">
      <w:pPr>
        <w:spacing w:line="360" w:lineRule="auto"/>
        <w:rPr>
          <w:rFonts w:ascii="Arial" w:hAnsi="Arial" w:cs="Arial"/>
          <w:color w:val="000000" w:themeColor="text1"/>
        </w:rPr>
      </w:pPr>
      <w:r w:rsidRPr="00BB2AEF">
        <w:rPr>
          <w:rFonts w:ascii="Arial" w:hAnsi="Arial" w:cs="Arial"/>
          <w:b/>
          <w:bCs/>
          <w:color w:val="000000" w:themeColor="text1"/>
        </w:rPr>
        <w:t>Student ID</w:t>
      </w:r>
      <w:r w:rsidRPr="00BB2AEF">
        <w:rPr>
          <w:rFonts w:ascii="Arial" w:hAnsi="Arial" w:cs="Arial"/>
          <w:color w:val="000000" w:themeColor="text1"/>
        </w:rPr>
        <w:t xml:space="preserve">: </w:t>
      </w:r>
      <w:r w:rsidR="00415072">
        <w:rPr>
          <w:rFonts w:ascii="Arial" w:hAnsi="Arial" w:cs="Arial"/>
          <w:color w:val="000000" w:themeColor="text1"/>
        </w:rPr>
        <w:t>2246177</w:t>
      </w:r>
    </w:p>
    <w:p w14:paraId="41D50F0B" w14:textId="77777777" w:rsidR="00647665" w:rsidRPr="00BB2AEF" w:rsidRDefault="00647665" w:rsidP="00BB2AEF">
      <w:pPr>
        <w:spacing w:line="360" w:lineRule="auto"/>
        <w:rPr>
          <w:rFonts w:ascii="Arial" w:hAnsi="Arial" w:cs="Arial"/>
          <w:color w:val="000000" w:themeColor="text1"/>
        </w:rPr>
      </w:pPr>
    </w:p>
    <w:p w14:paraId="25AEE8DF" w14:textId="77777777" w:rsidR="00647665" w:rsidRPr="00BB2AEF" w:rsidRDefault="00647665" w:rsidP="00BB2AEF">
      <w:pPr>
        <w:spacing w:line="360" w:lineRule="auto"/>
        <w:rPr>
          <w:rFonts w:ascii="Arial" w:hAnsi="Arial" w:cs="Arial"/>
          <w:color w:val="000000" w:themeColor="text1"/>
        </w:rPr>
      </w:pPr>
      <w:r w:rsidRPr="00BB2AEF">
        <w:rPr>
          <w:rFonts w:ascii="Arial" w:hAnsi="Arial" w:cs="Arial"/>
          <w:b/>
          <w:bCs/>
          <w:color w:val="000000" w:themeColor="text1"/>
        </w:rPr>
        <w:t>Student Name</w:t>
      </w:r>
      <w:r w:rsidRPr="00BB2AEF">
        <w:rPr>
          <w:rFonts w:ascii="Arial" w:hAnsi="Arial" w:cs="Arial"/>
          <w:color w:val="000000" w:themeColor="text1"/>
        </w:rPr>
        <w:t xml:space="preserve">: Shagufta khanum </w:t>
      </w:r>
    </w:p>
    <w:p w14:paraId="42287E9D" w14:textId="77777777" w:rsidR="00647665" w:rsidRPr="00BB2AEF" w:rsidRDefault="00647665" w:rsidP="00BB2AEF">
      <w:pPr>
        <w:spacing w:line="360" w:lineRule="auto"/>
        <w:rPr>
          <w:rFonts w:ascii="Arial" w:hAnsi="Arial" w:cs="Arial"/>
          <w:color w:val="000000" w:themeColor="text1"/>
          <w:lang w:val="nl-NL"/>
        </w:rPr>
      </w:pPr>
      <w:r w:rsidRPr="00BB2AEF">
        <w:rPr>
          <w:rFonts w:ascii="Arial" w:hAnsi="Arial" w:cs="Arial"/>
          <w:b/>
          <w:bCs/>
          <w:color w:val="000000" w:themeColor="text1"/>
          <w:lang w:val="nl-NL"/>
        </w:rPr>
        <w:t>Module name</w:t>
      </w:r>
      <w:r w:rsidRPr="00BB2AEF">
        <w:rPr>
          <w:rFonts w:ascii="Arial" w:hAnsi="Arial" w:cs="Arial"/>
          <w:color w:val="000000" w:themeColor="text1"/>
          <w:lang w:val="nl-NL"/>
        </w:rPr>
        <w:t>: Independent Project</w:t>
      </w:r>
    </w:p>
    <w:p w14:paraId="268E3171" w14:textId="77777777" w:rsidR="00647665" w:rsidRPr="00BB2AEF" w:rsidRDefault="00647665" w:rsidP="00BB2AEF">
      <w:pPr>
        <w:spacing w:line="360" w:lineRule="auto"/>
        <w:rPr>
          <w:rFonts w:ascii="Arial" w:hAnsi="Arial" w:cs="Arial"/>
          <w:color w:val="000000" w:themeColor="text1"/>
          <w:lang w:val="en-US"/>
        </w:rPr>
      </w:pPr>
      <w:r w:rsidRPr="00BB2AEF">
        <w:rPr>
          <w:rFonts w:ascii="Arial" w:hAnsi="Arial" w:cs="Arial"/>
          <w:b/>
          <w:bCs/>
          <w:color w:val="000000" w:themeColor="text1"/>
          <w:lang w:val="en-US"/>
        </w:rPr>
        <w:t>Module code</w:t>
      </w:r>
      <w:r w:rsidRPr="00BB2AEF">
        <w:rPr>
          <w:rFonts w:ascii="Arial" w:hAnsi="Arial" w:cs="Arial"/>
          <w:color w:val="000000" w:themeColor="text1"/>
          <w:lang w:val="en-US"/>
        </w:rPr>
        <w:t>: BMH6020</w:t>
      </w:r>
    </w:p>
    <w:p w14:paraId="2093A570" w14:textId="1058AB6A" w:rsidR="00E41349" w:rsidRPr="005E454C" w:rsidRDefault="00E41349" w:rsidP="00E41349">
      <w:pPr>
        <w:spacing w:line="360" w:lineRule="auto"/>
        <w:rPr>
          <w:rFonts w:ascii="Arial" w:hAnsi="Arial" w:cs="Arial"/>
          <w:b/>
          <w:bCs/>
          <w:color w:val="000000" w:themeColor="text1"/>
        </w:rPr>
      </w:pPr>
      <w:r w:rsidRPr="00E41349">
        <w:rPr>
          <w:rFonts w:ascii="Arial" w:hAnsi="Arial" w:cs="Arial"/>
          <w:b/>
          <w:bCs/>
          <w:color w:val="000000" w:themeColor="text1"/>
          <w:lang w:val="en-US"/>
        </w:rPr>
        <w:t>Research on:</w:t>
      </w:r>
      <w:r>
        <w:rPr>
          <w:rFonts w:ascii="Arial" w:hAnsi="Arial" w:cs="Arial"/>
          <w:color w:val="000000" w:themeColor="text1"/>
          <w:lang w:val="en-US"/>
        </w:rPr>
        <w:t xml:space="preserve"> </w:t>
      </w:r>
      <w:r w:rsidRPr="005E454C">
        <w:rPr>
          <w:rFonts w:ascii="Arial" w:hAnsi="Arial" w:cs="Arial"/>
          <w:b/>
          <w:bCs/>
          <w:color w:val="000000" w:themeColor="text1"/>
        </w:rPr>
        <w:t>Impact of ADHD on medicated Children, and their families in the Uk</w:t>
      </w:r>
    </w:p>
    <w:p w14:paraId="45B73B95" w14:textId="5B3E8B22" w:rsidR="00980A54" w:rsidRPr="00BB2AEF" w:rsidRDefault="00980A54" w:rsidP="00BB2AEF">
      <w:pPr>
        <w:spacing w:line="360" w:lineRule="auto"/>
        <w:rPr>
          <w:rFonts w:ascii="Arial" w:hAnsi="Arial" w:cs="Arial"/>
          <w:color w:val="000000" w:themeColor="text1"/>
          <w:lang w:val="en-US"/>
        </w:rPr>
      </w:pPr>
    </w:p>
    <w:p w14:paraId="188EBDE7" w14:textId="77777777" w:rsidR="005E454C" w:rsidRDefault="005E454C" w:rsidP="00BB2AEF">
      <w:pPr>
        <w:spacing w:line="360" w:lineRule="auto"/>
        <w:rPr>
          <w:rFonts w:ascii="Arial" w:hAnsi="Arial" w:cs="Arial"/>
          <w:color w:val="000000" w:themeColor="text1"/>
        </w:rPr>
      </w:pPr>
    </w:p>
    <w:p w14:paraId="318B5CB9" w14:textId="77777777" w:rsidR="005E454C" w:rsidRDefault="005E454C" w:rsidP="00BB2AEF">
      <w:pPr>
        <w:spacing w:line="360" w:lineRule="auto"/>
        <w:rPr>
          <w:rFonts w:ascii="Arial" w:hAnsi="Arial" w:cs="Arial"/>
          <w:color w:val="000000" w:themeColor="text1"/>
        </w:rPr>
      </w:pPr>
    </w:p>
    <w:p w14:paraId="47738957" w14:textId="77777777" w:rsidR="005E454C" w:rsidRDefault="005E454C" w:rsidP="00BB2AEF">
      <w:pPr>
        <w:spacing w:line="360" w:lineRule="auto"/>
        <w:rPr>
          <w:rFonts w:ascii="Arial" w:hAnsi="Arial" w:cs="Arial"/>
          <w:color w:val="000000" w:themeColor="text1"/>
        </w:rPr>
      </w:pPr>
    </w:p>
    <w:p w14:paraId="68F324FF" w14:textId="77777777" w:rsidR="005E454C" w:rsidRDefault="005E454C" w:rsidP="00BB2AEF">
      <w:pPr>
        <w:spacing w:line="360" w:lineRule="auto"/>
        <w:rPr>
          <w:rFonts w:ascii="Arial" w:hAnsi="Arial" w:cs="Arial"/>
          <w:color w:val="000000" w:themeColor="text1"/>
        </w:rPr>
      </w:pPr>
    </w:p>
    <w:p w14:paraId="590805A4" w14:textId="77777777" w:rsidR="005E454C" w:rsidRDefault="005E454C" w:rsidP="00BB2AEF">
      <w:pPr>
        <w:spacing w:line="360" w:lineRule="auto"/>
        <w:rPr>
          <w:rFonts w:ascii="Arial" w:hAnsi="Arial" w:cs="Arial"/>
          <w:color w:val="000000" w:themeColor="text1"/>
        </w:rPr>
      </w:pPr>
    </w:p>
    <w:p w14:paraId="687FE8DD" w14:textId="77777777" w:rsidR="005E454C" w:rsidRDefault="005E454C" w:rsidP="00BB2AEF">
      <w:pPr>
        <w:spacing w:line="360" w:lineRule="auto"/>
        <w:rPr>
          <w:rFonts w:ascii="Arial" w:hAnsi="Arial" w:cs="Arial"/>
          <w:color w:val="000000" w:themeColor="text1"/>
        </w:rPr>
      </w:pPr>
    </w:p>
    <w:p w14:paraId="60B71861" w14:textId="77777777" w:rsidR="005E454C" w:rsidRDefault="005E454C" w:rsidP="00BB2AEF">
      <w:pPr>
        <w:spacing w:line="360" w:lineRule="auto"/>
        <w:rPr>
          <w:rFonts w:ascii="Arial" w:hAnsi="Arial" w:cs="Arial"/>
          <w:color w:val="000000" w:themeColor="text1"/>
        </w:rPr>
      </w:pPr>
    </w:p>
    <w:p w14:paraId="04313B67" w14:textId="77777777" w:rsidR="005E454C" w:rsidRDefault="005E454C" w:rsidP="00BB2AEF">
      <w:pPr>
        <w:spacing w:line="360" w:lineRule="auto"/>
        <w:rPr>
          <w:rFonts w:ascii="Arial" w:hAnsi="Arial" w:cs="Arial"/>
          <w:color w:val="000000" w:themeColor="text1"/>
        </w:rPr>
      </w:pPr>
    </w:p>
    <w:p w14:paraId="16980140" w14:textId="71DC55BC" w:rsidR="005E454C" w:rsidRDefault="001C470B" w:rsidP="00FC11F5">
      <w:r>
        <w:lastRenderedPageBreak/>
        <w:t xml:space="preserve">Table of </w:t>
      </w:r>
      <w:r w:rsidR="00447498">
        <w:t>Contents</w:t>
      </w:r>
    </w:p>
    <w:p w14:paraId="2A8D3D51" w14:textId="16F14AD4" w:rsidR="00DD5620" w:rsidRPr="00DD5620" w:rsidRDefault="00DD5620" w:rsidP="00FC11F5">
      <w:r w:rsidRPr="00DD5620">
        <w:t>Chapter 1: Introduction</w:t>
      </w:r>
    </w:p>
    <w:p w14:paraId="0776090C" w14:textId="2ADFE457" w:rsidR="00DD5620" w:rsidRPr="00DD5620" w:rsidRDefault="00DD5620" w:rsidP="00FC11F5">
      <w:r w:rsidRPr="00DD5620">
        <w:t xml:space="preserve">   1.1 Objectives</w:t>
      </w:r>
    </w:p>
    <w:p w14:paraId="5645C2D0" w14:textId="7785DC08" w:rsidR="00DD5620" w:rsidRPr="00DD5620" w:rsidRDefault="00DD5620" w:rsidP="00FC11F5">
      <w:r w:rsidRPr="00DD5620">
        <w:t xml:space="preserve">   1.2 Background/Rationale</w:t>
      </w:r>
    </w:p>
    <w:p w14:paraId="4D4F7AE8" w14:textId="2900A1A3" w:rsidR="00DD5620" w:rsidRPr="00DD5620" w:rsidRDefault="00DD5620" w:rsidP="00FC11F5">
      <w:r w:rsidRPr="00DD5620">
        <w:t xml:space="preserve">   1.3 Methods</w:t>
      </w:r>
    </w:p>
    <w:p w14:paraId="7D2AEBD9" w14:textId="77777777" w:rsidR="00DD5620" w:rsidRPr="00DD5620" w:rsidRDefault="00DD5620" w:rsidP="00FC11F5">
      <w:r w:rsidRPr="00DD5620">
        <w:t xml:space="preserve">   1.4 Resources</w:t>
      </w:r>
    </w:p>
    <w:p w14:paraId="72A6CE4D" w14:textId="77777777" w:rsidR="00DD5620" w:rsidRPr="00DD5620" w:rsidRDefault="00DD5620" w:rsidP="00FC11F5">
      <w:r w:rsidRPr="00DD5620">
        <w:t xml:space="preserve">   1.5 Timescale</w:t>
      </w:r>
    </w:p>
    <w:p w14:paraId="04456486" w14:textId="77777777" w:rsidR="00DD5620" w:rsidRPr="00DD5620" w:rsidRDefault="00DD5620" w:rsidP="00FC11F5">
      <w:r w:rsidRPr="00DD5620">
        <w:t xml:space="preserve">   1.6 Self-reflection</w:t>
      </w:r>
    </w:p>
    <w:p w14:paraId="752E2897" w14:textId="77777777" w:rsidR="00DD5620" w:rsidRPr="00DD5620" w:rsidRDefault="00DD5620" w:rsidP="00FC11F5">
      <w:r w:rsidRPr="00DD5620">
        <w:t xml:space="preserve">   1.7 Introduction</w:t>
      </w:r>
    </w:p>
    <w:p w14:paraId="06D826BD" w14:textId="77777777" w:rsidR="00DD5620" w:rsidRPr="00DD5620" w:rsidRDefault="00DD5620" w:rsidP="00FC11F5">
      <w:r w:rsidRPr="00DD5620">
        <w:t xml:space="preserve">   1.8 Key Definitions</w:t>
      </w:r>
    </w:p>
    <w:p w14:paraId="2D52DA22" w14:textId="77777777" w:rsidR="00DD5620" w:rsidRPr="00DD5620" w:rsidRDefault="00DD5620" w:rsidP="00FC11F5">
      <w:r w:rsidRPr="00DD5620">
        <w:t xml:space="preserve">   1.9 Background</w:t>
      </w:r>
    </w:p>
    <w:p w14:paraId="5E870A0A" w14:textId="77777777" w:rsidR="00DD5620" w:rsidRPr="00DD5620" w:rsidRDefault="00DD5620" w:rsidP="00FC11F5">
      <w:r w:rsidRPr="00DD5620">
        <w:t xml:space="preserve">   1.10 Current Context</w:t>
      </w:r>
    </w:p>
    <w:p w14:paraId="7D990A9B" w14:textId="77777777" w:rsidR="00DD5620" w:rsidRPr="00DD5620" w:rsidRDefault="00DD5620" w:rsidP="00FC11F5">
      <w:r w:rsidRPr="00DD5620">
        <w:t xml:space="preserve">   1.11 Rationale for Research</w:t>
      </w:r>
    </w:p>
    <w:p w14:paraId="7338C881" w14:textId="77777777" w:rsidR="00DD5620" w:rsidRPr="00DD5620" w:rsidRDefault="00DD5620" w:rsidP="00FC11F5">
      <w:r w:rsidRPr="00DD5620">
        <w:t xml:space="preserve">   1.12 Aim and Objectives</w:t>
      </w:r>
    </w:p>
    <w:p w14:paraId="6470E1CA" w14:textId="77777777" w:rsidR="00DD5620" w:rsidRPr="00DD5620" w:rsidRDefault="00DD5620" w:rsidP="00FC11F5">
      <w:r w:rsidRPr="00DD5620">
        <w:t xml:space="preserve">       1.12.1 Research Aim</w:t>
      </w:r>
    </w:p>
    <w:p w14:paraId="5992F5FF" w14:textId="77777777" w:rsidR="00DD5620" w:rsidRPr="00DD5620" w:rsidRDefault="00DD5620" w:rsidP="00FC11F5">
      <w:r w:rsidRPr="00DD5620">
        <w:t xml:space="preserve">       1.12.2 Research Objectives</w:t>
      </w:r>
    </w:p>
    <w:p w14:paraId="75F41BE3" w14:textId="77777777" w:rsidR="00DD5620" w:rsidRPr="00DD5620" w:rsidRDefault="00DD5620" w:rsidP="00FC11F5">
      <w:r w:rsidRPr="00DD5620">
        <w:t xml:space="preserve">           1.12.2.1 Objective 1</w:t>
      </w:r>
    </w:p>
    <w:p w14:paraId="30DED504" w14:textId="77777777" w:rsidR="00DD5620" w:rsidRPr="00DD5620" w:rsidRDefault="00DD5620" w:rsidP="00FC11F5">
      <w:r w:rsidRPr="00DD5620">
        <w:t xml:space="preserve">           1.12.2.2 Objective 2</w:t>
      </w:r>
    </w:p>
    <w:p w14:paraId="6F9ED68A" w14:textId="77777777" w:rsidR="00DD5620" w:rsidRPr="00DD5620" w:rsidRDefault="00DD5620" w:rsidP="00FC11F5">
      <w:r w:rsidRPr="00DD5620">
        <w:t xml:space="preserve">           1.12.2.3 Objective 3</w:t>
      </w:r>
    </w:p>
    <w:p w14:paraId="3B994F0A" w14:textId="77777777" w:rsidR="00DD5620" w:rsidRPr="00DD5620" w:rsidRDefault="00DD5620" w:rsidP="00FC11F5">
      <w:r w:rsidRPr="00DD5620">
        <w:t xml:space="preserve">           1.12.2.4 Objective 4</w:t>
      </w:r>
    </w:p>
    <w:p w14:paraId="7D2C7C37" w14:textId="037A037C" w:rsidR="00993B46" w:rsidRDefault="00DD5620" w:rsidP="00FC11F5">
      <w:r w:rsidRPr="00DD5620">
        <w:t xml:space="preserve">   1.13 Conclusion</w:t>
      </w:r>
    </w:p>
    <w:p w14:paraId="4E8F01AC" w14:textId="77777777" w:rsidR="009F1AE6" w:rsidRPr="009F1AE6" w:rsidRDefault="009F1AE6" w:rsidP="00FC11F5">
      <w:r w:rsidRPr="009F1AE6">
        <w:t>Chapter 2: Background Information and Analysis</w:t>
      </w:r>
    </w:p>
    <w:p w14:paraId="5F3FFA1A" w14:textId="77777777" w:rsidR="009F1AE6" w:rsidRPr="009F1AE6" w:rsidRDefault="009F1AE6" w:rsidP="00FC11F5">
      <w:r w:rsidRPr="009F1AE6">
        <w:t xml:space="preserve">   2.1 Introduction</w:t>
      </w:r>
    </w:p>
    <w:p w14:paraId="346A9063" w14:textId="77777777" w:rsidR="009F1AE6" w:rsidRPr="009F1AE6" w:rsidRDefault="009F1AE6" w:rsidP="00FC11F5">
      <w:r w:rsidRPr="009F1AE6">
        <w:t xml:space="preserve">   2.2 Historical Background</w:t>
      </w:r>
    </w:p>
    <w:p w14:paraId="7731F0BE" w14:textId="77777777" w:rsidR="009F1AE6" w:rsidRPr="009F1AE6" w:rsidRDefault="009F1AE6" w:rsidP="00FC11F5">
      <w:r w:rsidRPr="009F1AE6">
        <w:t xml:space="preserve">   2.3 Theoretical Background</w:t>
      </w:r>
    </w:p>
    <w:p w14:paraId="51ED8D80" w14:textId="77777777" w:rsidR="009F1AE6" w:rsidRPr="009F1AE6" w:rsidRDefault="009F1AE6" w:rsidP="00FC11F5">
      <w:r w:rsidRPr="009F1AE6">
        <w:t xml:space="preserve">   2.4 International Context</w:t>
      </w:r>
    </w:p>
    <w:p w14:paraId="215A57AB" w14:textId="77777777" w:rsidR="009F1AE6" w:rsidRPr="009F1AE6" w:rsidRDefault="009F1AE6" w:rsidP="00FC11F5">
      <w:r w:rsidRPr="009F1AE6">
        <w:t xml:space="preserve">   2.5 National and Local UK Context</w:t>
      </w:r>
    </w:p>
    <w:p w14:paraId="3C8FBDC9" w14:textId="21E211BE" w:rsidR="00993B46" w:rsidRDefault="009F1AE6" w:rsidP="00FC11F5">
      <w:r w:rsidRPr="009F1AE6">
        <w:t xml:space="preserve">   2.6 Conclusion</w:t>
      </w:r>
    </w:p>
    <w:p w14:paraId="40E61D2B" w14:textId="77777777" w:rsidR="00A23428" w:rsidRPr="00A23428" w:rsidRDefault="00A23428" w:rsidP="00FC11F5">
      <w:r w:rsidRPr="00A23428">
        <w:t>Chapter 3: Methods and Search Strategy</w:t>
      </w:r>
    </w:p>
    <w:p w14:paraId="56F9D4FC" w14:textId="77777777" w:rsidR="00A23428" w:rsidRPr="00A23428" w:rsidRDefault="00A23428" w:rsidP="00FC11F5">
      <w:r w:rsidRPr="00A23428">
        <w:t xml:space="preserve">   3.1 Introduction</w:t>
      </w:r>
    </w:p>
    <w:p w14:paraId="496CA3A2" w14:textId="77777777" w:rsidR="00A23428" w:rsidRPr="00A23428" w:rsidRDefault="00A23428" w:rsidP="00FC11F5">
      <w:r w:rsidRPr="00A23428">
        <w:t xml:space="preserve">   3.2 Search Strategy</w:t>
      </w:r>
    </w:p>
    <w:p w14:paraId="67CE60C1" w14:textId="77777777" w:rsidR="00A23428" w:rsidRPr="00A23428" w:rsidRDefault="00A23428" w:rsidP="00FC11F5">
      <w:r w:rsidRPr="00A23428">
        <w:lastRenderedPageBreak/>
        <w:t xml:space="preserve">   3.3 Searching for Information</w:t>
      </w:r>
    </w:p>
    <w:p w14:paraId="7362C352" w14:textId="77777777" w:rsidR="00A23428" w:rsidRPr="00A23428" w:rsidRDefault="00A23428" w:rsidP="00FC11F5">
      <w:r w:rsidRPr="00A23428">
        <w:t xml:space="preserve">   3.4 Search Validation</w:t>
      </w:r>
    </w:p>
    <w:p w14:paraId="2EEC209E" w14:textId="77777777" w:rsidR="00A23428" w:rsidRPr="00A23428" w:rsidRDefault="00A23428" w:rsidP="00FC11F5">
      <w:r w:rsidRPr="00A23428">
        <w:t xml:space="preserve">   3.5 Inclusion and Exclusion Criteria</w:t>
      </w:r>
    </w:p>
    <w:p w14:paraId="33AC22BE" w14:textId="77777777" w:rsidR="00A23428" w:rsidRPr="00A23428" w:rsidRDefault="00A23428" w:rsidP="00FC11F5">
      <w:r w:rsidRPr="00A23428">
        <w:t xml:space="preserve">   3.6 Ethical Considerations</w:t>
      </w:r>
    </w:p>
    <w:p w14:paraId="6DBDA897" w14:textId="77777777" w:rsidR="00A23428" w:rsidRPr="00A23428" w:rsidRDefault="00A23428" w:rsidP="00FC11F5">
      <w:r w:rsidRPr="00A23428">
        <w:t xml:space="preserve">   3.7 Analysing Research</w:t>
      </w:r>
    </w:p>
    <w:p w14:paraId="1FF99355" w14:textId="77777777" w:rsidR="00A23428" w:rsidRPr="00A23428" w:rsidRDefault="00A23428" w:rsidP="00FC11F5">
      <w:r w:rsidRPr="00A23428">
        <w:t xml:space="preserve">   3.8 Conclusion</w:t>
      </w:r>
    </w:p>
    <w:p w14:paraId="38ABB669" w14:textId="77777777" w:rsidR="00A63D8F" w:rsidRPr="00A63D8F" w:rsidRDefault="00A63D8F" w:rsidP="00FC11F5">
      <w:r w:rsidRPr="00A63D8F">
        <w:t>Chapter 4: Findings and Discussion</w:t>
      </w:r>
    </w:p>
    <w:p w14:paraId="2E81A60C" w14:textId="77777777" w:rsidR="00A63D8F" w:rsidRPr="00A63D8F" w:rsidRDefault="00A63D8F" w:rsidP="00FC11F5">
      <w:r w:rsidRPr="00A63D8F">
        <w:t xml:space="preserve">   4.1 Introduction</w:t>
      </w:r>
    </w:p>
    <w:p w14:paraId="3166FA12" w14:textId="109B7EEC" w:rsidR="00A63D8F" w:rsidRPr="00A63D8F" w:rsidRDefault="00A63D8F" w:rsidP="00FC11F5">
      <w:r w:rsidRPr="00A63D8F">
        <w:t xml:space="preserve">   4.2 Thematic Analysis</w:t>
      </w:r>
    </w:p>
    <w:p w14:paraId="569459CE" w14:textId="77777777" w:rsidR="00A63D8F" w:rsidRPr="00A63D8F" w:rsidRDefault="00A63D8F" w:rsidP="00FC11F5">
      <w:r w:rsidRPr="00A63D8F">
        <w:t xml:space="preserve">   4.3 Theme 1: Clinical Effectiveness of ADHD Medication in Children</w:t>
      </w:r>
    </w:p>
    <w:p w14:paraId="144628CD" w14:textId="77777777" w:rsidR="00A63D8F" w:rsidRPr="00A63D8F" w:rsidRDefault="00A63D8F" w:rsidP="00FC11F5">
      <w:r w:rsidRPr="00A63D8F">
        <w:t xml:space="preserve">       4.3.1 Definition and Scope of the Theme</w:t>
      </w:r>
    </w:p>
    <w:p w14:paraId="629808B4" w14:textId="77777777" w:rsidR="00A63D8F" w:rsidRPr="00A63D8F" w:rsidRDefault="00A63D8F" w:rsidP="00FC11F5">
      <w:r w:rsidRPr="00A63D8F">
        <w:t xml:space="preserve">       4.3.2 Background and Contemporary Context</w:t>
      </w:r>
    </w:p>
    <w:p w14:paraId="7D92BF1F" w14:textId="77777777" w:rsidR="00A63D8F" w:rsidRPr="00A63D8F" w:rsidRDefault="00A63D8F" w:rsidP="00FC11F5">
      <w:r w:rsidRPr="00A63D8F">
        <w:t xml:space="preserve">       4.3.3 Relevance to the Research Question</w:t>
      </w:r>
    </w:p>
    <w:p w14:paraId="01BB1162" w14:textId="77777777" w:rsidR="00A63D8F" w:rsidRPr="00A63D8F" w:rsidRDefault="00A63D8F" w:rsidP="00FC11F5">
      <w:r w:rsidRPr="00A63D8F">
        <w:t xml:space="preserve">       4.3.4 Statistical and Empirical Context</w:t>
      </w:r>
    </w:p>
    <w:p w14:paraId="00969FAB" w14:textId="77777777" w:rsidR="00A63D8F" w:rsidRPr="00A63D8F" w:rsidRDefault="00A63D8F" w:rsidP="00FC11F5">
      <w:r w:rsidRPr="00A63D8F">
        <w:t xml:space="preserve">       4.3.5 Theoretical and Policy Interpretation</w:t>
      </w:r>
    </w:p>
    <w:p w14:paraId="2D78060B" w14:textId="77777777" w:rsidR="00A63D8F" w:rsidRPr="00A63D8F" w:rsidRDefault="00A63D8F" w:rsidP="00FC11F5">
      <w:r w:rsidRPr="00A63D8F">
        <w:t xml:space="preserve">       4.3.6 Critical Comparison of Key Literature</w:t>
      </w:r>
    </w:p>
    <w:p w14:paraId="708C90D4" w14:textId="77777777" w:rsidR="00A63D8F" w:rsidRPr="00A63D8F" w:rsidRDefault="00A63D8F" w:rsidP="00FC11F5">
      <w:r w:rsidRPr="00A63D8F">
        <w:t xml:space="preserve">       4.3.7 Connections to Other Themes</w:t>
      </w:r>
    </w:p>
    <w:p w14:paraId="5B9D14F4" w14:textId="77777777" w:rsidR="00A63D8F" w:rsidRPr="00A63D8F" w:rsidRDefault="00A63D8F" w:rsidP="00FC11F5">
      <w:r w:rsidRPr="00A63D8F">
        <w:t xml:space="preserve">       4.3.8 Mini-Summary and Signpost</w:t>
      </w:r>
    </w:p>
    <w:p w14:paraId="3439C782" w14:textId="77777777" w:rsidR="00A63D8F" w:rsidRPr="00A63D8F" w:rsidRDefault="00A63D8F" w:rsidP="00FC11F5"/>
    <w:p w14:paraId="27A78B2A" w14:textId="77777777" w:rsidR="00A63D8F" w:rsidRPr="00A63D8F" w:rsidRDefault="00A63D8F" w:rsidP="00FC11F5">
      <w:r w:rsidRPr="00A63D8F">
        <w:t xml:space="preserve">   4.4 Theme 2: Safety, Side Effects and Long-Term Considerations of ADHD Medication in Children</w:t>
      </w:r>
    </w:p>
    <w:p w14:paraId="619281EE" w14:textId="77777777" w:rsidR="00A63D8F" w:rsidRPr="00A63D8F" w:rsidRDefault="00A63D8F" w:rsidP="00FC11F5">
      <w:r w:rsidRPr="00A63D8F">
        <w:t xml:space="preserve">       4.4.1 Definition and Scope of the Theme</w:t>
      </w:r>
    </w:p>
    <w:p w14:paraId="4C8F5FBA" w14:textId="77777777" w:rsidR="00A63D8F" w:rsidRPr="00A63D8F" w:rsidRDefault="00A63D8F" w:rsidP="00FC11F5">
      <w:r w:rsidRPr="00A63D8F">
        <w:t xml:space="preserve">       4.4.2 Background and Contemporary Context</w:t>
      </w:r>
    </w:p>
    <w:p w14:paraId="33583B5D" w14:textId="77777777" w:rsidR="00A63D8F" w:rsidRPr="00A63D8F" w:rsidRDefault="00A63D8F" w:rsidP="00FC11F5">
      <w:r w:rsidRPr="00A63D8F">
        <w:t xml:space="preserve">       4.4.3 Relevance to the Research Question</w:t>
      </w:r>
    </w:p>
    <w:p w14:paraId="5AEA1BA0" w14:textId="77777777" w:rsidR="00A63D8F" w:rsidRPr="00A63D8F" w:rsidRDefault="00A63D8F" w:rsidP="00FC11F5">
      <w:r w:rsidRPr="00A63D8F">
        <w:t xml:space="preserve">       4.4.4 Short-Term Side Effects and Tolerability</w:t>
      </w:r>
    </w:p>
    <w:p w14:paraId="6232B5D8" w14:textId="77777777" w:rsidR="00A63D8F" w:rsidRPr="00A63D8F" w:rsidRDefault="00A63D8F" w:rsidP="00FC11F5">
      <w:r w:rsidRPr="00A63D8F">
        <w:t xml:space="preserve">       4.4.5 Growth, Cardiovascular and Long-Term Health Concerns</w:t>
      </w:r>
    </w:p>
    <w:p w14:paraId="4E770ED0" w14:textId="77777777" w:rsidR="00A63D8F" w:rsidRPr="00A63D8F" w:rsidRDefault="00A63D8F" w:rsidP="00FC11F5">
      <w:r w:rsidRPr="00A63D8F">
        <w:t xml:space="preserve">       4.4.6 Policy and Regulatory Perspectives on Safety</w:t>
      </w:r>
    </w:p>
    <w:p w14:paraId="48801841" w14:textId="77777777" w:rsidR="00A63D8F" w:rsidRPr="00A63D8F" w:rsidRDefault="00A63D8F" w:rsidP="00FC11F5">
      <w:r w:rsidRPr="00A63D8F">
        <w:t xml:space="preserve">       4.4.7 Ethical and Lived Experience Considerations</w:t>
      </w:r>
    </w:p>
    <w:p w14:paraId="752F5585" w14:textId="77777777" w:rsidR="00A63D8F" w:rsidRPr="00A63D8F" w:rsidRDefault="00A63D8F" w:rsidP="00FC11F5">
      <w:r w:rsidRPr="00A63D8F">
        <w:t xml:space="preserve">       4.4.8 Connections to Other Themes</w:t>
      </w:r>
    </w:p>
    <w:p w14:paraId="33F0BC57" w14:textId="77777777" w:rsidR="00A63D8F" w:rsidRPr="00A63D8F" w:rsidRDefault="00A63D8F" w:rsidP="00FC11F5">
      <w:r w:rsidRPr="00A63D8F">
        <w:t xml:space="preserve">       4.4.9 Mini-Summary and Signpost</w:t>
      </w:r>
    </w:p>
    <w:p w14:paraId="3576142C" w14:textId="77777777" w:rsidR="00A63D8F" w:rsidRPr="00A63D8F" w:rsidRDefault="00A63D8F" w:rsidP="00FC11F5"/>
    <w:p w14:paraId="0DF0A92A" w14:textId="77777777" w:rsidR="00A63D8F" w:rsidRPr="00A63D8F" w:rsidRDefault="00A63D8F" w:rsidP="00FC11F5">
      <w:r w:rsidRPr="00A63D8F">
        <w:lastRenderedPageBreak/>
        <w:t xml:space="preserve">   4.5 Theme 3: Impact of ADHD Medication on Families and UK Care Pathways</w:t>
      </w:r>
    </w:p>
    <w:p w14:paraId="6496672E" w14:textId="77777777" w:rsidR="00A63D8F" w:rsidRPr="00A63D8F" w:rsidRDefault="00A63D8F" w:rsidP="00FC11F5">
      <w:r w:rsidRPr="00A63D8F">
        <w:t xml:space="preserve">       4.5.1 Definition and Scope of the Theme</w:t>
      </w:r>
    </w:p>
    <w:p w14:paraId="79012F04" w14:textId="77777777" w:rsidR="00A63D8F" w:rsidRPr="00A63D8F" w:rsidRDefault="00A63D8F" w:rsidP="00FC11F5">
      <w:r w:rsidRPr="00A63D8F">
        <w:t xml:space="preserve">       4.5.2 Background and Contemporary Context</w:t>
      </w:r>
    </w:p>
    <w:p w14:paraId="3D75AE74" w14:textId="77777777" w:rsidR="00A63D8F" w:rsidRPr="00A63D8F" w:rsidRDefault="00A63D8F" w:rsidP="00FC11F5">
      <w:r w:rsidRPr="00A63D8F">
        <w:t xml:space="preserve">       4.5.3 Relevance to the Research Question</w:t>
      </w:r>
    </w:p>
    <w:p w14:paraId="66B277AC" w14:textId="77777777" w:rsidR="00A63D8F" w:rsidRPr="00A63D8F" w:rsidRDefault="00A63D8F" w:rsidP="00FC11F5">
      <w:r w:rsidRPr="00A63D8F">
        <w:t xml:space="preserve">       4.5.4 Emotional and Social Impact on Families</w:t>
      </w:r>
    </w:p>
    <w:p w14:paraId="67A5F206" w14:textId="77777777" w:rsidR="00A63D8F" w:rsidRPr="00A63D8F" w:rsidRDefault="00A63D8F" w:rsidP="00FC11F5">
      <w:r w:rsidRPr="00A63D8F">
        <w:t xml:space="preserve">       4.5.5 Parental Decision-Making and Shared Care</w:t>
      </w:r>
    </w:p>
    <w:p w14:paraId="6442C9A3" w14:textId="77777777" w:rsidR="00A63D8F" w:rsidRPr="00A63D8F" w:rsidRDefault="00A63D8F" w:rsidP="00FC11F5">
      <w:r w:rsidRPr="00A63D8F">
        <w:t xml:space="preserve">       4.5.6 UK Care Pathways and Service Inequalities</w:t>
      </w:r>
    </w:p>
    <w:p w14:paraId="713E5CE9" w14:textId="77777777" w:rsidR="00A63D8F" w:rsidRPr="00A63D8F" w:rsidRDefault="00A63D8F" w:rsidP="00FC11F5">
      <w:r w:rsidRPr="00A63D8F">
        <w:t xml:space="preserve">       4.5.7 Policy and Practice Implications</w:t>
      </w:r>
    </w:p>
    <w:p w14:paraId="007F49AA" w14:textId="77777777" w:rsidR="00A63D8F" w:rsidRPr="00A63D8F" w:rsidRDefault="00A63D8F" w:rsidP="00FC11F5">
      <w:r w:rsidRPr="00A63D8F">
        <w:t xml:space="preserve">       4.5.8 Connections to Other Themes</w:t>
      </w:r>
    </w:p>
    <w:p w14:paraId="756F055D" w14:textId="170E45F8" w:rsidR="00A63D8F" w:rsidRPr="00A63D8F" w:rsidRDefault="00A63D8F" w:rsidP="00FC11F5">
      <w:r w:rsidRPr="00A63D8F">
        <w:t xml:space="preserve">       4.5.9 Mini-Summary and Signpost</w:t>
      </w:r>
    </w:p>
    <w:p w14:paraId="4495DBB3" w14:textId="3F2DC78B" w:rsidR="00A23428" w:rsidRDefault="00A63D8F" w:rsidP="00FC11F5">
      <w:r w:rsidRPr="00A63D8F">
        <w:t xml:space="preserve">   4.6 Conclusion</w:t>
      </w:r>
    </w:p>
    <w:p w14:paraId="008AAB44" w14:textId="77777777" w:rsidR="002F6B7D" w:rsidRPr="002F6B7D" w:rsidRDefault="002F6B7D" w:rsidP="00FC11F5">
      <w:r w:rsidRPr="002F6B7D">
        <w:t>Chapter 5: Conclusions and Recommendations</w:t>
      </w:r>
    </w:p>
    <w:p w14:paraId="62D90127" w14:textId="77777777" w:rsidR="002F6B7D" w:rsidRPr="002F6B7D" w:rsidRDefault="002F6B7D" w:rsidP="00FC11F5">
      <w:r w:rsidRPr="002F6B7D">
        <w:t xml:space="preserve">   5.1 Limitations</w:t>
      </w:r>
    </w:p>
    <w:p w14:paraId="3A0E30E0" w14:textId="77777777" w:rsidR="002F6B7D" w:rsidRPr="002F6B7D" w:rsidRDefault="002F6B7D" w:rsidP="00FC11F5">
      <w:r w:rsidRPr="002F6B7D">
        <w:t xml:space="preserve">   5.2 Recommendations</w:t>
      </w:r>
    </w:p>
    <w:p w14:paraId="4D75E268" w14:textId="77777777" w:rsidR="002F6B7D" w:rsidRPr="002F6B7D" w:rsidRDefault="002F6B7D" w:rsidP="00FC11F5">
      <w:r w:rsidRPr="002F6B7D">
        <w:t xml:space="preserve">       5.2.1 Strengthen Integrated ADHD Care Pathways</w:t>
      </w:r>
    </w:p>
    <w:p w14:paraId="3E7B923D" w14:textId="77777777" w:rsidR="002F6B7D" w:rsidRPr="002F6B7D" w:rsidRDefault="002F6B7D" w:rsidP="00FC11F5">
      <w:r w:rsidRPr="002F6B7D">
        <w:t xml:space="preserve">       5.2.2 Improve Monitoring and Communication Around Medication Safety</w:t>
      </w:r>
    </w:p>
    <w:p w14:paraId="25A5FB90" w14:textId="77777777" w:rsidR="002F6B7D" w:rsidRPr="002F6B7D" w:rsidRDefault="002F6B7D" w:rsidP="00FC11F5">
      <w:r w:rsidRPr="002F6B7D">
        <w:t xml:space="preserve">       5.2.3 Expand Family-Centred and Non-Pharmacological Support</w:t>
      </w:r>
    </w:p>
    <w:p w14:paraId="6BB08F23" w14:textId="77777777" w:rsidR="002F6B7D" w:rsidRPr="002F6B7D" w:rsidRDefault="002F6B7D" w:rsidP="00FC11F5">
      <w:r w:rsidRPr="002F6B7D">
        <w:t xml:space="preserve">   5.3 Future Research</w:t>
      </w:r>
    </w:p>
    <w:p w14:paraId="6FB252D6" w14:textId="6F702B05" w:rsidR="00A63D8F" w:rsidRDefault="002F6B7D" w:rsidP="00FC11F5">
      <w:r w:rsidRPr="002F6B7D">
        <w:t xml:space="preserve">   5.4 Final Reflection</w:t>
      </w:r>
    </w:p>
    <w:p w14:paraId="40064CF8" w14:textId="77777777" w:rsidR="006564C1" w:rsidRDefault="006564C1" w:rsidP="00FC11F5"/>
    <w:p w14:paraId="079C2858" w14:textId="6610C788" w:rsidR="006564C1" w:rsidRPr="00A23428" w:rsidRDefault="0081082E" w:rsidP="00FC11F5">
      <w:r>
        <w:t xml:space="preserve">Reference: </w:t>
      </w:r>
    </w:p>
    <w:p w14:paraId="441A483B" w14:textId="77777777" w:rsidR="00A23428" w:rsidRPr="00A23428" w:rsidRDefault="00A23428" w:rsidP="00FC11F5">
      <w:r w:rsidRPr="00A23428">
        <w:t>Appendix A: Source Tracking Table</w:t>
      </w:r>
    </w:p>
    <w:p w14:paraId="0AC75209" w14:textId="3F51CFFB" w:rsidR="00993B46" w:rsidRDefault="00A23428" w:rsidP="00FC11F5">
      <w:r w:rsidRPr="00A23428">
        <w:t>Appendix B: Summary of Tracking Table</w:t>
      </w:r>
    </w:p>
    <w:p w14:paraId="5090F502" w14:textId="77777777" w:rsidR="00993B46" w:rsidRDefault="00993B46" w:rsidP="00FC11F5">
      <w:pPr>
        <w:rPr>
          <w:rFonts w:ascii="Arial" w:hAnsi="Arial" w:cs="Arial"/>
          <w:color w:val="000000" w:themeColor="text1"/>
        </w:rPr>
      </w:pPr>
    </w:p>
    <w:p w14:paraId="73D73C00" w14:textId="77777777" w:rsidR="00993B46" w:rsidRDefault="00993B46" w:rsidP="00FC11F5">
      <w:pPr>
        <w:rPr>
          <w:rFonts w:ascii="Arial" w:hAnsi="Arial" w:cs="Arial"/>
          <w:color w:val="000000" w:themeColor="text1"/>
        </w:rPr>
      </w:pPr>
    </w:p>
    <w:p w14:paraId="7B430234" w14:textId="77777777" w:rsidR="00993B46" w:rsidRDefault="00993B46" w:rsidP="00FC11F5">
      <w:pPr>
        <w:rPr>
          <w:rFonts w:ascii="Arial" w:hAnsi="Arial" w:cs="Arial"/>
          <w:color w:val="000000" w:themeColor="text1"/>
        </w:rPr>
      </w:pPr>
    </w:p>
    <w:p w14:paraId="46861380" w14:textId="77777777" w:rsidR="00993B46" w:rsidRDefault="00993B46" w:rsidP="00FC11F5">
      <w:pPr>
        <w:rPr>
          <w:rFonts w:ascii="Arial" w:hAnsi="Arial" w:cs="Arial"/>
          <w:color w:val="000000" w:themeColor="text1"/>
        </w:rPr>
      </w:pPr>
    </w:p>
    <w:p w14:paraId="41B9B170" w14:textId="77777777" w:rsidR="00993B46" w:rsidRDefault="00993B46" w:rsidP="00FC11F5">
      <w:pPr>
        <w:rPr>
          <w:rFonts w:ascii="Arial" w:hAnsi="Arial" w:cs="Arial"/>
          <w:color w:val="000000" w:themeColor="text1"/>
        </w:rPr>
      </w:pPr>
    </w:p>
    <w:p w14:paraId="1C9ABD85" w14:textId="77777777" w:rsidR="00993B46" w:rsidRDefault="00993B46" w:rsidP="00FC11F5">
      <w:pPr>
        <w:rPr>
          <w:rFonts w:ascii="Arial" w:hAnsi="Arial" w:cs="Arial"/>
          <w:color w:val="000000" w:themeColor="text1"/>
        </w:rPr>
      </w:pPr>
    </w:p>
    <w:p w14:paraId="04E1B4B0" w14:textId="77777777" w:rsidR="00993B46" w:rsidRDefault="00993B46" w:rsidP="00FC11F5">
      <w:pPr>
        <w:rPr>
          <w:rFonts w:ascii="Arial" w:hAnsi="Arial" w:cs="Arial"/>
          <w:color w:val="000000" w:themeColor="text1"/>
        </w:rPr>
      </w:pPr>
    </w:p>
    <w:p w14:paraId="3C83FE14" w14:textId="77777777" w:rsidR="00D62C14" w:rsidRDefault="00D62C14" w:rsidP="00BB2AEF">
      <w:pPr>
        <w:spacing w:line="360" w:lineRule="auto"/>
        <w:rPr>
          <w:rFonts w:ascii="Arial" w:hAnsi="Arial" w:cs="Arial"/>
          <w:color w:val="000000" w:themeColor="text1"/>
        </w:rPr>
      </w:pPr>
    </w:p>
    <w:p w14:paraId="7647DCC2" w14:textId="67297540" w:rsidR="005E454C" w:rsidRPr="003414A1" w:rsidRDefault="00B44CA0" w:rsidP="00BB2AEF">
      <w:pPr>
        <w:spacing w:line="360" w:lineRule="auto"/>
        <w:rPr>
          <w:rFonts w:ascii="Arial" w:hAnsi="Arial" w:cs="Arial"/>
          <w:b/>
          <w:bCs/>
          <w:color w:val="000000" w:themeColor="text1"/>
        </w:rPr>
      </w:pPr>
      <w:r w:rsidRPr="003414A1">
        <w:rPr>
          <w:rFonts w:ascii="Arial" w:hAnsi="Arial" w:cs="Arial"/>
          <w:b/>
          <w:bCs/>
          <w:color w:val="000000" w:themeColor="text1"/>
        </w:rPr>
        <w:lastRenderedPageBreak/>
        <w:t>Chapter1</w:t>
      </w:r>
      <w:r w:rsidR="003414A1" w:rsidRPr="003414A1">
        <w:rPr>
          <w:rFonts w:ascii="Arial" w:hAnsi="Arial" w:cs="Arial"/>
          <w:b/>
          <w:bCs/>
          <w:color w:val="000000" w:themeColor="text1"/>
        </w:rPr>
        <w:t xml:space="preserve">: </w:t>
      </w:r>
      <w:r w:rsidR="00F81A8D" w:rsidRPr="003414A1">
        <w:rPr>
          <w:rFonts w:ascii="Arial" w:hAnsi="Arial" w:cs="Arial"/>
          <w:b/>
          <w:bCs/>
          <w:color w:val="000000" w:themeColor="text1"/>
        </w:rPr>
        <w:t>Introduction</w:t>
      </w:r>
    </w:p>
    <w:p w14:paraId="2D170343" w14:textId="6074A76D" w:rsidR="00647665" w:rsidRPr="005E454C" w:rsidRDefault="00980A54" w:rsidP="00BB2AEF">
      <w:pPr>
        <w:spacing w:line="360" w:lineRule="auto"/>
        <w:rPr>
          <w:rFonts w:ascii="Arial" w:hAnsi="Arial" w:cs="Arial"/>
          <w:b/>
          <w:bCs/>
          <w:color w:val="000000" w:themeColor="text1"/>
        </w:rPr>
      </w:pPr>
      <w:r w:rsidRPr="005E454C">
        <w:rPr>
          <w:rFonts w:ascii="Arial" w:hAnsi="Arial" w:cs="Arial"/>
          <w:b/>
          <w:bCs/>
          <w:color w:val="000000" w:themeColor="text1"/>
        </w:rPr>
        <w:t>Impact of ADHD on medicated Children, and their families in the Uk.</w:t>
      </w:r>
    </w:p>
    <w:p w14:paraId="0B449CAC" w14:textId="26291FE3" w:rsidR="00D62603" w:rsidRPr="00BB2AEF" w:rsidRDefault="00D62603" w:rsidP="00BB2AEF">
      <w:pPr>
        <w:pStyle w:val="Heading2"/>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The </w:t>
      </w:r>
      <w:r w:rsidR="00CC76C0">
        <w:rPr>
          <w:rFonts w:ascii="Arial" w:hAnsi="Arial" w:cs="Arial"/>
          <w:b/>
          <w:bCs/>
          <w:color w:val="000000" w:themeColor="text1"/>
          <w:sz w:val="22"/>
          <w:szCs w:val="22"/>
        </w:rPr>
        <w:t>A</w:t>
      </w:r>
      <w:r w:rsidRPr="00CC76C0">
        <w:rPr>
          <w:rFonts w:ascii="Arial" w:hAnsi="Arial" w:cs="Arial"/>
          <w:b/>
          <w:bCs/>
          <w:color w:val="000000" w:themeColor="text1"/>
          <w:sz w:val="22"/>
          <w:szCs w:val="22"/>
        </w:rPr>
        <w:t xml:space="preserve">im </w:t>
      </w:r>
      <w:r w:rsidRPr="00BB2AEF">
        <w:rPr>
          <w:rFonts w:ascii="Arial" w:hAnsi="Arial" w:cs="Arial"/>
          <w:color w:val="000000" w:themeColor="text1"/>
          <w:sz w:val="22"/>
          <w:szCs w:val="22"/>
        </w:rPr>
        <w:t>of this research is to critically assess the effectiveness and safety of ADHD medication in children across the United Kingdom, while exploring its broader impact on families. The study will synthesise clinical evidence, safety data, and policy guidance to evaluate outcomes and inform best practice in child mental health care.</w:t>
      </w:r>
    </w:p>
    <w:p w14:paraId="623B3432" w14:textId="77777777" w:rsidR="00D62603" w:rsidRPr="00BB2AEF" w:rsidRDefault="00D62603" w:rsidP="00BB2AEF">
      <w:pPr>
        <w:spacing w:line="360" w:lineRule="auto"/>
        <w:rPr>
          <w:rFonts w:ascii="Arial" w:hAnsi="Arial" w:cs="Arial"/>
          <w:color w:val="000000" w:themeColor="text1"/>
        </w:rPr>
      </w:pPr>
    </w:p>
    <w:p w14:paraId="144E4778" w14:textId="77777777" w:rsidR="00D62603" w:rsidRPr="00BB2AEF" w:rsidRDefault="00D62603" w:rsidP="00BB2AEF">
      <w:pPr>
        <w:pStyle w:val="Heading2"/>
        <w:spacing w:line="360" w:lineRule="auto"/>
        <w:rPr>
          <w:rFonts w:ascii="Arial" w:hAnsi="Arial" w:cs="Arial"/>
          <w:color w:val="000000" w:themeColor="text1"/>
          <w:sz w:val="22"/>
          <w:szCs w:val="22"/>
        </w:rPr>
      </w:pPr>
      <w:r w:rsidRPr="005E454C">
        <w:rPr>
          <w:rFonts w:ascii="Arial" w:hAnsi="Arial" w:cs="Arial"/>
          <w:b/>
          <w:bCs/>
          <w:color w:val="000000" w:themeColor="text1"/>
          <w:sz w:val="22"/>
          <w:szCs w:val="22"/>
        </w:rPr>
        <w:t xml:space="preserve"> Objectives:</w:t>
      </w:r>
      <w:r w:rsidRPr="00BB2AEF">
        <w:rPr>
          <w:rFonts w:ascii="Arial" w:hAnsi="Arial" w:cs="Arial"/>
          <w:color w:val="000000" w:themeColor="text1"/>
          <w:sz w:val="22"/>
          <w:szCs w:val="22"/>
        </w:rPr>
        <w:t xml:space="preserve"> This study will </w:t>
      </w:r>
      <w:r w:rsidRPr="00BB2AEF">
        <w:rPr>
          <w:rStyle w:val="Strong"/>
          <w:rFonts w:ascii="Arial" w:hAnsi="Arial" w:cs="Arial"/>
          <w:b w:val="0"/>
          <w:bCs w:val="0"/>
          <w:color w:val="000000" w:themeColor="text1"/>
          <w:sz w:val="22"/>
          <w:szCs w:val="22"/>
        </w:rPr>
        <w:t>define and explore</w:t>
      </w:r>
      <w:r w:rsidRPr="00BB2AEF">
        <w:rPr>
          <w:rFonts w:ascii="Arial" w:hAnsi="Arial" w:cs="Arial"/>
          <w:color w:val="000000" w:themeColor="text1"/>
          <w:sz w:val="22"/>
          <w:szCs w:val="22"/>
        </w:rPr>
        <w:t xml:space="preserve"> the current use of ADHD medication in children in the UK, with reference to NICE guidance and prescribing data (NICE, 2018; NHS Digital, 2022). </w:t>
      </w:r>
    </w:p>
    <w:p w14:paraId="1A189040" w14:textId="77777777" w:rsidR="00D62603" w:rsidRPr="00BB2AEF" w:rsidRDefault="00D62603" w:rsidP="00BB2AEF">
      <w:pPr>
        <w:spacing w:line="360" w:lineRule="auto"/>
        <w:rPr>
          <w:rFonts w:ascii="Arial" w:hAnsi="Arial" w:cs="Arial"/>
          <w:color w:val="000000" w:themeColor="text1"/>
        </w:rPr>
      </w:pPr>
    </w:p>
    <w:p w14:paraId="3B62AFEE" w14:textId="77777777" w:rsidR="00D62603" w:rsidRPr="00BB2AEF" w:rsidRDefault="00D62603" w:rsidP="00BB2AEF">
      <w:pPr>
        <w:pStyle w:val="Heading2"/>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It will </w:t>
      </w:r>
      <w:r w:rsidRPr="00BB2AEF">
        <w:rPr>
          <w:rStyle w:val="Strong"/>
          <w:rFonts w:ascii="Arial" w:hAnsi="Arial" w:cs="Arial"/>
          <w:b w:val="0"/>
          <w:bCs w:val="0"/>
          <w:color w:val="000000" w:themeColor="text1"/>
          <w:sz w:val="22"/>
          <w:szCs w:val="22"/>
        </w:rPr>
        <w:t>analyse</w:t>
      </w:r>
      <w:r w:rsidRPr="00BB2AEF">
        <w:rPr>
          <w:rFonts w:ascii="Arial" w:hAnsi="Arial" w:cs="Arial"/>
          <w:color w:val="000000" w:themeColor="text1"/>
          <w:sz w:val="22"/>
          <w:szCs w:val="22"/>
        </w:rPr>
        <w:t xml:space="preserve"> the effectiveness of commonly prescribed ADHD medicines in supporting behavioural, academic, and social outcomes in children. </w:t>
      </w:r>
    </w:p>
    <w:p w14:paraId="54041EA4" w14:textId="77777777" w:rsidR="00D62603" w:rsidRPr="00BB2AEF" w:rsidRDefault="00D62603" w:rsidP="00BB2AEF">
      <w:pPr>
        <w:spacing w:line="360" w:lineRule="auto"/>
        <w:rPr>
          <w:rFonts w:ascii="Arial" w:hAnsi="Arial" w:cs="Arial"/>
          <w:color w:val="000000" w:themeColor="text1"/>
        </w:rPr>
      </w:pPr>
    </w:p>
    <w:p w14:paraId="3D1869F9" w14:textId="77777777" w:rsidR="00D62603" w:rsidRPr="00BB2AEF" w:rsidRDefault="00D62603" w:rsidP="00BB2AEF">
      <w:pPr>
        <w:pStyle w:val="Heading2"/>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In addition, it will </w:t>
      </w:r>
      <w:r w:rsidRPr="00BB2AEF">
        <w:rPr>
          <w:rStyle w:val="Strong"/>
          <w:rFonts w:ascii="Arial" w:hAnsi="Arial" w:cs="Arial"/>
          <w:b w:val="0"/>
          <w:bCs w:val="0"/>
          <w:color w:val="000000" w:themeColor="text1"/>
          <w:sz w:val="22"/>
          <w:szCs w:val="22"/>
        </w:rPr>
        <w:t>evaluate</w:t>
      </w:r>
      <w:r w:rsidRPr="00BB2AEF">
        <w:rPr>
          <w:rFonts w:ascii="Arial" w:hAnsi="Arial" w:cs="Arial"/>
          <w:b/>
          <w:bCs/>
          <w:color w:val="000000" w:themeColor="text1"/>
          <w:sz w:val="22"/>
          <w:szCs w:val="22"/>
        </w:rPr>
        <w:t xml:space="preserve"> </w:t>
      </w:r>
      <w:r w:rsidRPr="00BB2AEF">
        <w:rPr>
          <w:rFonts w:ascii="Arial" w:hAnsi="Arial" w:cs="Arial"/>
          <w:color w:val="000000" w:themeColor="text1"/>
          <w:sz w:val="22"/>
          <w:szCs w:val="22"/>
        </w:rPr>
        <w:t>the safety profile of ADHD medication, considering both short- and long-term side effects.</w:t>
      </w:r>
    </w:p>
    <w:p w14:paraId="6CA63A9D" w14:textId="77777777" w:rsidR="00D62603" w:rsidRPr="00BB2AEF" w:rsidRDefault="00D62603" w:rsidP="00BB2AEF">
      <w:pPr>
        <w:pStyle w:val="Heading2"/>
        <w:spacing w:line="360" w:lineRule="auto"/>
        <w:rPr>
          <w:rFonts w:ascii="Arial" w:hAnsi="Arial" w:cs="Arial"/>
          <w:color w:val="000000" w:themeColor="text1"/>
          <w:sz w:val="22"/>
          <w:szCs w:val="22"/>
        </w:rPr>
      </w:pPr>
    </w:p>
    <w:p w14:paraId="40238BFA" w14:textId="77777777" w:rsidR="00D62603" w:rsidRPr="00BB2AEF" w:rsidRDefault="00D62603" w:rsidP="00BB2AEF">
      <w:pPr>
        <w:pStyle w:val="Heading2"/>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It will </w:t>
      </w:r>
      <w:r w:rsidRPr="00BB2AEF">
        <w:rPr>
          <w:rStyle w:val="Strong"/>
          <w:rFonts w:ascii="Arial" w:hAnsi="Arial" w:cs="Arial"/>
          <w:b w:val="0"/>
          <w:bCs w:val="0"/>
          <w:color w:val="000000" w:themeColor="text1"/>
          <w:sz w:val="22"/>
          <w:szCs w:val="22"/>
        </w:rPr>
        <w:t>make recommendations</w:t>
      </w:r>
      <w:r w:rsidRPr="00BB2AEF">
        <w:rPr>
          <w:rFonts w:ascii="Arial" w:hAnsi="Arial" w:cs="Arial"/>
          <w:color w:val="000000" w:themeColor="text1"/>
          <w:sz w:val="22"/>
          <w:szCs w:val="22"/>
        </w:rPr>
        <w:t xml:space="preserve"> for policy and practice to strengthen ADHD care pathways, ensuring that effectiveness and safety are prioritised for children and their families across the UK.</w:t>
      </w:r>
    </w:p>
    <w:p w14:paraId="2EBDC1E0" w14:textId="77777777" w:rsidR="00D62603" w:rsidRPr="00BB2AEF" w:rsidRDefault="00D62603" w:rsidP="00BB2AEF">
      <w:pPr>
        <w:spacing w:line="360" w:lineRule="auto"/>
        <w:rPr>
          <w:rFonts w:ascii="Arial" w:hAnsi="Arial" w:cs="Arial"/>
          <w:color w:val="000000" w:themeColor="text1"/>
        </w:rPr>
      </w:pPr>
    </w:p>
    <w:p w14:paraId="40C36FDD" w14:textId="77777777" w:rsidR="00D62603" w:rsidRPr="005E454C" w:rsidRDefault="00D62603" w:rsidP="00BB2AEF">
      <w:pPr>
        <w:pStyle w:val="Heading2"/>
        <w:spacing w:line="360" w:lineRule="auto"/>
        <w:rPr>
          <w:rFonts w:ascii="Arial" w:hAnsi="Arial" w:cs="Arial"/>
          <w:b/>
          <w:bCs/>
          <w:color w:val="000000" w:themeColor="text1"/>
          <w:sz w:val="22"/>
          <w:szCs w:val="22"/>
        </w:rPr>
      </w:pPr>
      <w:r w:rsidRPr="005E454C">
        <w:rPr>
          <w:rFonts w:ascii="Arial" w:hAnsi="Arial" w:cs="Arial"/>
          <w:b/>
          <w:bCs/>
          <w:color w:val="000000" w:themeColor="text1"/>
          <w:sz w:val="22"/>
          <w:szCs w:val="22"/>
        </w:rPr>
        <w:t>3) Background/Rationale:</w:t>
      </w:r>
    </w:p>
    <w:p w14:paraId="24A741AF" w14:textId="77777777" w:rsidR="00D62603" w:rsidRPr="00BB2AEF" w:rsidRDefault="00D62603" w:rsidP="00BB2AEF">
      <w:pPr>
        <w:spacing w:line="360" w:lineRule="auto"/>
        <w:rPr>
          <w:rFonts w:ascii="Arial" w:eastAsia="Times New Roman" w:hAnsi="Arial" w:cs="Arial"/>
          <w:color w:val="000000" w:themeColor="text1"/>
          <w:lang w:eastAsia="en-GB"/>
        </w:rPr>
      </w:pPr>
      <w:r w:rsidRPr="00BB2AEF">
        <w:rPr>
          <w:rFonts w:ascii="Arial" w:hAnsi="Arial" w:cs="Arial"/>
          <w:color w:val="000000" w:themeColor="text1"/>
        </w:rPr>
        <w:t xml:space="preserve">Attention Deficit Hyperactivity Disorder (ADHD) is a leading neurodevelopmental condition in childhood, with an estimated prevalence of 3–5% among school-aged children in the UK (NICE, 2018). Medication, particularly stimulant drugs such as methylphenidate, is commonly recommended within a broader management framework (Cortese et al., 2018). National data indicate that prescribing rates for ADHD medicines in England have increased consistently, especially among children and adolescents (NHS Digital, 2022). Although evidence supports their short-term effectiveness in enhancing concentration and reducing disruptive behaviours, concerns persist about possible side effects, including effects on growth, sleep, and cardiovascular health (MHRA, 2019). In addition, there remains a shortage of research on long-term outcomes and on the lived experiences of children and </w:t>
      </w:r>
      <w:r w:rsidRPr="00BB2AEF">
        <w:rPr>
          <w:rFonts w:ascii="Arial" w:hAnsi="Arial" w:cs="Arial"/>
          <w:color w:val="000000" w:themeColor="text1"/>
        </w:rPr>
        <w:lastRenderedPageBreak/>
        <w:t xml:space="preserve">families undergoing treatment (Daley et al., 2020). This lack of evidence poses a challenge for health and social care, where balancing clinical effectiveness with safety and wellbeing is essential to shaping best practice and policy. </w:t>
      </w:r>
      <w:r w:rsidRPr="00BB2AEF">
        <w:rPr>
          <w:rFonts w:ascii="Arial" w:eastAsia="Times New Roman" w:hAnsi="Arial" w:cs="Arial"/>
          <w:color w:val="000000" w:themeColor="text1"/>
          <w:lang w:eastAsia="en-GB"/>
        </w:rPr>
        <w:t>Alongside medication, UK provision includes parent training, psychoeducation, and school-based support (NICE, 2018). CAMHS and voluntary organisations such as the ADHD Foundation offer complementary family and behavioural interventions (NHS England, 2022; ADHD Foundation, 2022).</w:t>
      </w:r>
    </w:p>
    <w:p w14:paraId="46375ECB" w14:textId="77777777" w:rsidR="00096D0E" w:rsidRPr="00BB2AEF" w:rsidRDefault="00096D0E" w:rsidP="00BB2AEF">
      <w:pPr>
        <w:spacing w:line="360" w:lineRule="auto"/>
        <w:rPr>
          <w:rFonts w:ascii="Arial" w:eastAsia="Times New Roman" w:hAnsi="Arial" w:cs="Arial"/>
          <w:color w:val="000000" w:themeColor="text1"/>
          <w:lang w:eastAsia="en-GB"/>
        </w:rPr>
      </w:pPr>
    </w:p>
    <w:p w14:paraId="05DD0AC7" w14:textId="443B90BB" w:rsidR="00D62603" w:rsidRPr="00BB2AEF" w:rsidRDefault="00D62603" w:rsidP="00BB2AEF">
      <w:pPr>
        <w:spacing w:line="360" w:lineRule="auto"/>
        <w:rPr>
          <w:rFonts w:ascii="Arial" w:eastAsia="Times New Roman" w:hAnsi="Arial" w:cs="Arial"/>
          <w:color w:val="000000" w:themeColor="text1"/>
          <w:lang w:eastAsia="en-GB"/>
        </w:rPr>
      </w:pPr>
      <w:r w:rsidRPr="005E454C">
        <w:rPr>
          <w:rFonts w:ascii="Arial" w:eastAsia="Times New Roman" w:hAnsi="Arial" w:cs="Arial"/>
          <w:b/>
          <w:bCs/>
          <w:color w:val="000000" w:themeColor="text1"/>
          <w:lang w:eastAsia="en-GB"/>
        </w:rPr>
        <w:t>Methods:</w:t>
      </w:r>
      <w:r w:rsidRPr="00BB2AEF">
        <w:rPr>
          <w:rFonts w:ascii="Arial" w:hAnsi="Arial" w:cs="Arial"/>
          <w:color w:val="000000" w:themeColor="text1"/>
        </w:rPr>
        <w:t xml:space="preserve"> This study adopts a secondary research approach using published studies, clinical guidelines, and policy documents. This method is appropriate as substantial evidence already exists on ADHD medication in children, enabling evaluation of effectiveness, safety, and family impact. Searches will be conducted through PubMed, PsycINFO, Scopus, and Google Scholar, as well as organisational sources such as NICE guidance, NHS Digital prescribing data, and MHRA safety reports. A thematic analysis will compare and synthesise findings across sources. Ethical standards will follow the University of Wales Trinity Saint David Research Ethics and Integrity Code of Practice (University of Wales Trinity Saint David, 2022). and UK GDPR principles.</w:t>
      </w:r>
    </w:p>
    <w:p w14:paraId="0CF88355" w14:textId="77777777" w:rsidR="00D62603" w:rsidRPr="00BB2AEF" w:rsidRDefault="00D62603" w:rsidP="00BB2AEF">
      <w:pPr>
        <w:spacing w:line="360" w:lineRule="auto"/>
        <w:rPr>
          <w:rFonts w:ascii="Arial" w:hAnsi="Arial" w:cs="Arial"/>
          <w:color w:val="000000" w:themeColor="text1"/>
          <w:lang w:eastAsia="en-GB"/>
        </w:rPr>
      </w:pPr>
    </w:p>
    <w:p w14:paraId="34D3136B" w14:textId="77777777" w:rsidR="00D62603" w:rsidRPr="005E454C" w:rsidRDefault="00D62603" w:rsidP="00BB2AEF">
      <w:pPr>
        <w:pStyle w:val="Heading2"/>
        <w:spacing w:line="360" w:lineRule="auto"/>
        <w:rPr>
          <w:rFonts w:ascii="Arial" w:hAnsi="Arial" w:cs="Arial"/>
          <w:b/>
          <w:bCs/>
          <w:color w:val="000000" w:themeColor="text1"/>
          <w:sz w:val="22"/>
          <w:szCs w:val="22"/>
        </w:rPr>
      </w:pPr>
      <w:r w:rsidRPr="005E454C">
        <w:rPr>
          <w:rFonts w:ascii="Arial" w:hAnsi="Arial" w:cs="Arial"/>
          <w:b/>
          <w:bCs/>
          <w:color w:val="000000" w:themeColor="text1"/>
          <w:sz w:val="22"/>
          <w:szCs w:val="22"/>
        </w:rPr>
        <w:t xml:space="preserve">5) Resources: </w:t>
      </w:r>
    </w:p>
    <w:p w14:paraId="209CCAE9" w14:textId="77777777" w:rsidR="00D62603" w:rsidRPr="00BB2AEF" w:rsidRDefault="00D62603" w:rsidP="00BB2AEF">
      <w:pPr>
        <w:numPr>
          <w:ilvl w:val="0"/>
          <w:numId w:val="1"/>
        </w:numPr>
        <w:spacing w:before="100" w:beforeAutospacing="1" w:after="100" w:afterAutospacing="1" w:line="360" w:lineRule="auto"/>
        <w:rPr>
          <w:rFonts w:ascii="Arial" w:eastAsia="Times New Roman" w:hAnsi="Arial" w:cs="Arial"/>
          <w:color w:val="000000" w:themeColor="text1"/>
          <w:lang w:eastAsia="en-GB"/>
        </w:rPr>
      </w:pPr>
      <w:r w:rsidRPr="00BB2AEF">
        <w:rPr>
          <w:rFonts w:ascii="Arial" w:eastAsia="Times New Roman" w:hAnsi="Arial" w:cs="Arial"/>
          <w:color w:val="000000" w:themeColor="text1"/>
          <w:lang w:eastAsia="en-GB"/>
        </w:rPr>
        <w:t>Online databases: PubMed, PsycINFO, Scopus, Google Scholar</w:t>
      </w:r>
    </w:p>
    <w:p w14:paraId="3A211AB8" w14:textId="77777777" w:rsidR="00D62603" w:rsidRPr="00BB2AEF" w:rsidRDefault="00D62603" w:rsidP="00BB2AEF">
      <w:pPr>
        <w:numPr>
          <w:ilvl w:val="0"/>
          <w:numId w:val="1"/>
        </w:numPr>
        <w:spacing w:before="100" w:beforeAutospacing="1" w:after="100" w:afterAutospacing="1" w:line="360" w:lineRule="auto"/>
        <w:rPr>
          <w:rFonts w:ascii="Arial" w:eastAsia="Times New Roman" w:hAnsi="Arial" w:cs="Arial"/>
          <w:color w:val="000000" w:themeColor="text1"/>
          <w:lang w:eastAsia="en-GB"/>
        </w:rPr>
      </w:pPr>
      <w:r w:rsidRPr="00BB2AEF">
        <w:rPr>
          <w:rFonts w:ascii="Arial" w:eastAsia="Times New Roman" w:hAnsi="Arial" w:cs="Arial"/>
          <w:color w:val="000000" w:themeColor="text1"/>
          <w:lang w:eastAsia="en-GB"/>
        </w:rPr>
        <w:t>University library access, Rayyan</w:t>
      </w:r>
    </w:p>
    <w:p w14:paraId="230AE906" w14:textId="77777777" w:rsidR="00D62603" w:rsidRPr="00BB2AEF" w:rsidRDefault="00D62603" w:rsidP="00BB2AEF">
      <w:pPr>
        <w:numPr>
          <w:ilvl w:val="0"/>
          <w:numId w:val="1"/>
        </w:numPr>
        <w:spacing w:before="100" w:beforeAutospacing="1" w:after="100" w:afterAutospacing="1" w:line="360" w:lineRule="auto"/>
        <w:rPr>
          <w:rFonts w:ascii="Arial" w:eastAsia="Times New Roman" w:hAnsi="Arial" w:cs="Arial"/>
          <w:color w:val="000000" w:themeColor="text1"/>
          <w:lang w:eastAsia="en-GB"/>
        </w:rPr>
      </w:pPr>
      <w:r w:rsidRPr="00BB2AEF">
        <w:rPr>
          <w:rFonts w:ascii="Arial" w:eastAsia="Times New Roman" w:hAnsi="Arial" w:cs="Arial"/>
          <w:color w:val="000000" w:themeColor="text1"/>
          <w:lang w:eastAsia="en-GB"/>
        </w:rPr>
        <w:t>Policy reports: NICE, NHS Digital, MHRA</w:t>
      </w:r>
    </w:p>
    <w:p w14:paraId="749A5F65" w14:textId="77777777" w:rsidR="00D62603" w:rsidRPr="00BB2AEF" w:rsidRDefault="00D62603" w:rsidP="00BB2AEF">
      <w:pPr>
        <w:numPr>
          <w:ilvl w:val="0"/>
          <w:numId w:val="1"/>
        </w:numPr>
        <w:spacing w:before="100" w:beforeAutospacing="1" w:after="100" w:afterAutospacing="1" w:line="360" w:lineRule="auto"/>
        <w:rPr>
          <w:rFonts w:ascii="Arial" w:eastAsia="Times New Roman" w:hAnsi="Arial" w:cs="Arial"/>
          <w:color w:val="000000" w:themeColor="text1"/>
          <w:lang w:eastAsia="en-GB"/>
        </w:rPr>
      </w:pPr>
      <w:r w:rsidRPr="00BB2AEF">
        <w:rPr>
          <w:rFonts w:ascii="Arial" w:eastAsia="Times New Roman" w:hAnsi="Arial" w:cs="Arial"/>
          <w:color w:val="000000" w:themeColor="text1"/>
          <w:lang w:eastAsia="en-GB"/>
        </w:rPr>
        <w:t>Grey literature: ADHD Foundation, Young Minds</w:t>
      </w:r>
    </w:p>
    <w:p w14:paraId="614AAC30" w14:textId="77777777" w:rsidR="00D62603" w:rsidRPr="00BB2AEF" w:rsidRDefault="00D62603" w:rsidP="00BB2AEF">
      <w:pPr>
        <w:numPr>
          <w:ilvl w:val="0"/>
          <w:numId w:val="1"/>
        </w:numPr>
        <w:spacing w:before="100" w:beforeAutospacing="1" w:after="100" w:afterAutospacing="1" w:line="360" w:lineRule="auto"/>
        <w:rPr>
          <w:rFonts w:ascii="Arial" w:eastAsia="Times New Roman" w:hAnsi="Arial" w:cs="Arial"/>
          <w:color w:val="000000" w:themeColor="text1"/>
          <w:lang w:eastAsia="en-GB"/>
        </w:rPr>
      </w:pPr>
      <w:r w:rsidRPr="00BB2AEF">
        <w:rPr>
          <w:rFonts w:ascii="Arial" w:eastAsia="Times New Roman" w:hAnsi="Arial" w:cs="Arial"/>
          <w:color w:val="000000" w:themeColor="text1"/>
          <w:lang w:eastAsia="en-GB"/>
        </w:rPr>
        <w:t>Software: Microsoft Word, EndNote</w:t>
      </w:r>
    </w:p>
    <w:p w14:paraId="08BC8914" w14:textId="77777777" w:rsidR="00D62603" w:rsidRPr="00BB2AEF" w:rsidRDefault="00D62603" w:rsidP="00BB2AEF">
      <w:pPr>
        <w:numPr>
          <w:ilvl w:val="0"/>
          <w:numId w:val="1"/>
        </w:numPr>
        <w:spacing w:before="100" w:beforeAutospacing="1" w:after="100" w:afterAutospacing="1" w:line="360" w:lineRule="auto"/>
        <w:rPr>
          <w:rFonts w:ascii="Arial" w:eastAsia="Times New Roman" w:hAnsi="Arial" w:cs="Arial"/>
          <w:color w:val="000000" w:themeColor="text1"/>
          <w:lang w:eastAsia="en-GB"/>
        </w:rPr>
      </w:pPr>
      <w:r w:rsidRPr="00BB2AEF">
        <w:rPr>
          <w:rFonts w:ascii="Arial" w:eastAsia="Times New Roman" w:hAnsi="Arial" w:cs="Arial"/>
          <w:color w:val="000000" w:themeColor="text1"/>
          <w:lang w:eastAsia="en-GB"/>
        </w:rPr>
        <w:t>Stationery: pens, paper, notebooks</w:t>
      </w:r>
    </w:p>
    <w:p w14:paraId="43E37D5C" w14:textId="77777777" w:rsidR="00D62603" w:rsidRPr="005E454C" w:rsidRDefault="00D62603" w:rsidP="00BB2AEF">
      <w:pPr>
        <w:pStyle w:val="Heading2"/>
        <w:spacing w:line="360" w:lineRule="auto"/>
        <w:rPr>
          <w:rFonts w:ascii="Arial" w:hAnsi="Arial" w:cs="Arial"/>
          <w:b/>
          <w:bCs/>
          <w:color w:val="000000" w:themeColor="text1"/>
          <w:sz w:val="22"/>
          <w:szCs w:val="22"/>
        </w:rPr>
      </w:pPr>
      <w:r w:rsidRPr="005E454C">
        <w:rPr>
          <w:rFonts w:ascii="Arial" w:hAnsi="Arial" w:cs="Arial"/>
          <w:b/>
          <w:bCs/>
          <w:color w:val="000000" w:themeColor="text1"/>
          <w:sz w:val="22"/>
          <w:szCs w:val="22"/>
        </w:rPr>
        <w:t>6) Timescale:</w:t>
      </w:r>
    </w:p>
    <w:p w14:paraId="094D1C00" w14:textId="77777777" w:rsidR="00D62603" w:rsidRPr="00BB2AEF" w:rsidRDefault="00D62603" w:rsidP="00BB2AEF">
      <w:pPr>
        <w:spacing w:line="360" w:lineRule="auto"/>
        <w:rPr>
          <w:rFonts w:ascii="Arial" w:hAnsi="Arial" w:cs="Arial"/>
          <w:color w:val="000000" w:themeColor="text1"/>
        </w:rPr>
      </w:pPr>
    </w:p>
    <w:tbl>
      <w:tblPr>
        <w:tblStyle w:val="TableGrid"/>
        <w:tblW w:w="9180" w:type="dxa"/>
        <w:tblLook w:val="04A0" w:firstRow="1" w:lastRow="0" w:firstColumn="1" w:lastColumn="0" w:noHBand="0" w:noVBand="1"/>
      </w:tblPr>
      <w:tblGrid>
        <w:gridCol w:w="4590"/>
        <w:gridCol w:w="4590"/>
      </w:tblGrid>
      <w:tr w:rsidR="00BB2AEF" w:rsidRPr="00BB2AEF" w14:paraId="2A159B91" w14:textId="77777777" w:rsidTr="00C557E2">
        <w:trPr>
          <w:trHeight w:val="498"/>
        </w:trPr>
        <w:tc>
          <w:tcPr>
            <w:tcW w:w="4590" w:type="dxa"/>
          </w:tcPr>
          <w:p w14:paraId="6E37DCDA" w14:textId="77777777" w:rsidR="00D62603" w:rsidRPr="00BB2AEF" w:rsidRDefault="00D62603" w:rsidP="00BB2AEF">
            <w:pPr>
              <w:spacing w:line="360" w:lineRule="auto"/>
              <w:rPr>
                <w:rFonts w:ascii="Arial" w:hAnsi="Arial" w:cs="Arial"/>
                <w:i/>
                <w:iCs/>
                <w:color w:val="000000" w:themeColor="text1"/>
              </w:rPr>
            </w:pPr>
            <w:r w:rsidRPr="00BB2AEF">
              <w:rPr>
                <w:rFonts w:ascii="Arial" w:hAnsi="Arial" w:cs="Arial"/>
                <w:i/>
                <w:iCs/>
                <w:color w:val="000000" w:themeColor="text1"/>
              </w:rPr>
              <w:t>Week</w:t>
            </w:r>
          </w:p>
        </w:tc>
        <w:tc>
          <w:tcPr>
            <w:tcW w:w="4590" w:type="dxa"/>
          </w:tcPr>
          <w:p w14:paraId="70208184" w14:textId="77777777" w:rsidR="00D62603" w:rsidRPr="00BB2AEF" w:rsidRDefault="00D62603" w:rsidP="00BB2AEF">
            <w:pPr>
              <w:spacing w:line="360" w:lineRule="auto"/>
              <w:rPr>
                <w:rFonts w:ascii="Arial" w:hAnsi="Arial" w:cs="Arial"/>
                <w:i/>
                <w:iCs/>
                <w:color w:val="000000" w:themeColor="text1"/>
              </w:rPr>
            </w:pPr>
            <w:r w:rsidRPr="00BB2AEF">
              <w:rPr>
                <w:rFonts w:ascii="Arial" w:hAnsi="Arial" w:cs="Arial"/>
                <w:i/>
                <w:iCs/>
                <w:color w:val="000000" w:themeColor="text1"/>
              </w:rPr>
              <w:t>Task</w:t>
            </w:r>
          </w:p>
        </w:tc>
      </w:tr>
      <w:tr w:rsidR="00BB2AEF" w:rsidRPr="00BB2AEF" w14:paraId="59B70551" w14:textId="77777777" w:rsidTr="00C557E2">
        <w:trPr>
          <w:trHeight w:val="498"/>
        </w:trPr>
        <w:tc>
          <w:tcPr>
            <w:tcW w:w="4590" w:type="dxa"/>
          </w:tcPr>
          <w:p w14:paraId="19FDD1D6" w14:textId="77777777" w:rsidR="00D62603" w:rsidRPr="00BB2AEF" w:rsidRDefault="00D62603" w:rsidP="00BB2AEF">
            <w:pPr>
              <w:spacing w:line="360" w:lineRule="auto"/>
              <w:rPr>
                <w:rFonts w:ascii="Arial" w:hAnsi="Arial" w:cs="Arial"/>
                <w:i/>
                <w:iCs/>
                <w:color w:val="000000" w:themeColor="text1"/>
              </w:rPr>
            </w:pPr>
            <w:r w:rsidRPr="00BB2AEF">
              <w:rPr>
                <w:rFonts w:ascii="Arial" w:hAnsi="Arial" w:cs="Arial"/>
                <w:i/>
                <w:iCs/>
                <w:color w:val="000000" w:themeColor="text1"/>
              </w:rPr>
              <w:t>1-2</w:t>
            </w:r>
          </w:p>
        </w:tc>
        <w:tc>
          <w:tcPr>
            <w:tcW w:w="4590" w:type="dxa"/>
          </w:tcPr>
          <w:p w14:paraId="3967AF26" w14:textId="77777777" w:rsidR="00D62603" w:rsidRPr="00BB2AEF" w:rsidRDefault="00D62603" w:rsidP="00BB2AEF">
            <w:pPr>
              <w:spacing w:line="360" w:lineRule="auto"/>
              <w:rPr>
                <w:rFonts w:ascii="Arial" w:hAnsi="Arial" w:cs="Arial"/>
                <w:i/>
                <w:iCs/>
                <w:color w:val="000000" w:themeColor="text1"/>
              </w:rPr>
            </w:pPr>
            <w:r w:rsidRPr="00BB2AEF">
              <w:rPr>
                <w:rFonts w:ascii="Arial" w:eastAsia="Times New Roman" w:hAnsi="Arial" w:cs="Arial"/>
                <w:color w:val="000000" w:themeColor="text1"/>
                <w:lang w:eastAsia="en-GB"/>
              </w:rPr>
              <w:t xml:space="preserve"> Literature search and data collection</w:t>
            </w:r>
          </w:p>
        </w:tc>
      </w:tr>
      <w:tr w:rsidR="00BB2AEF" w:rsidRPr="00BB2AEF" w14:paraId="49EED84A" w14:textId="77777777" w:rsidTr="00C557E2">
        <w:trPr>
          <w:trHeight w:val="498"/>
        </w:trPr>
        <w:tc>
          <w:tcPr>
            <w:tcW w:w="4590" w:type="dxa"/>
          </w:tcPr>
          <w:p w14:paraId="5D53DD53" w14:textId="77777777" w:rsidR="00D62603" w:rsidRPr="00BB2AEF" w:rsidRDefault="00D62603" w:rsidP="00BB2AEF">
            <w:pPr>
              <w:spacing w:line="360" w:lineRule="auto"/>
              <w:rPr>
                <w:rFonts w:ascii="Arial" w:hAnsi="Arial" w:cs="Arial"/>
                <w:i/>
                <w:iCs/>
                <w:color w:val="000000" w:themeColor="text1"/>
              </w:rPr>
            </w:pPr>
            <w:r w:rsidRPr="00BB2AEF">
              <w:rPr>
                <w:rFonts w:ascii="Arial" w:hAnsi="Arial" w:cs="Arial"/>
                <w:i/>
                <w:iCs/>
                <w:color w:val="000000" w:themeColor="text1"/>
              </w:rPr>
              <w:t>3-4</w:t>
            </w:r>
          </w:p>
        </w:tc>
        <w:tc>
          <w:tcPr>
            <w:tcW w:w="4590" w:type="dxa"/>
          </w:tcPr>
          <w:p w14:paraId="755E9E61" w14:textId="77777777" w:rsidR="00D62603" w:rsidRPr="00BB2AEF" w:rsidRDefault="00D62603" w:rsidP="00BB2AEF">
            <w:pPr>
              <w:spacing w:line="360" w:lineRule="auto"/>
              <w:rPr>
                <w:rFonts w:ascii="Arial" w:hAnsi="Arial" w:cs="Arial"/>
                <w:i/>
                <w:iCs/>
                <w:color w:val="000000" w:themeColor="text1"/>
              </w:rPr>
            </w:pPr>
            <w:r w:rsidRPr="00BB2AEF">
              <w:rPr>
                <w:rFonts w:ascii="Arial" w:eastAsia="Times New Roman" w:hAnsi="Arial" w:cs="Arial"/>
                <w:color w:val="000000" w:themeColor="text1"/>
                <w:lang w:eastAsia="en-GB"/>
              </w:rPr>
              <w:t>Screening and analysis of sources</w:t>
            </w:r>
          </w:p>
        </w:tc>
      </w:tr>
      <w:tr w:rsidR="00BB2AEF" w:rsidRPr="00BB2AEF" w14:paraId="7A7B3615" w14:textId="77777777" w:rsidTr="00C557E2">
        <w:trPr>
          <w:trHeight w:val="513"/>
        </w:trPr>
        <w:tc>
          <w:tcPr>
            <w:tcW w:w="4590" w:type="dxa"/>
          </w:tcPr>
          <w:p w14:paraId="6AEC5BD5" w14:textId="77777777" w:rsidR="00D62603" w:rsidRPr="00BB2AEF" w:rsidRDefault="00D62603" w:rsidP="00BB2AEF">
            <w:pPr>
              <w:spacing w:line="360" w:lineRule="auto"/>
              <w:rPr>
                <w:rFonts w:ascii="Arial" w:hAnsi="Arial" w:cs="Arial"/>
                <w:i/>
                <w:iCs/>
                <w:color w:val="000000" w:themeColor="text1"/>
              </w:rPr>
            </w:pPr>
            <w:r w:rsidRPr="00BB2AEF">
              <w:rPr>
                <w:rFonts w:ascii="Arial" w:hAnsi="Arial" w:cs="Arial"/>
                <w:i/>
                <w:iCs/>
                <w:color w:val="000000" w:themeColor="text1"/>
              </w:rPr>
              <w:t>5</w:t>
            </w:r>
          </w:p>
        </w:tc>
        <w:tc>
          <w:tcPr>
            <w:tcW w:w="4590" w:type="dxa"/>
          </w:tcPr>
          <w:p w14:paraId="088BE920" w14:textId="77777777" w:rsidR="00D62603" w:rsidRPr="00BB2AEF" w:rsidRDefault="00D62603" w:rsidP="00BB2AEF">
            <w:pPr>
              <w:spacing w:line="360" w:lineRule="auto"/>
              <w:rPr>
                <w:rFonts w:ascii="Arial" w:hAnsi="Arial" w:cs="Arial"/>
                <w:i/>
                <w:iCs/>
                <w:color w:val="000000" w:themeColor="text1"/>
              </w:rPr>
            </w:pPr>
            <w:r w:rsidRPr="00BB2AEF">
              <w:rPr>
                <w:rFonts w:ascii="Arial" w:eastAsia="Times New Roman" w:hAnsi="Arial" w:cs="Arial"/>
                <w:color w:val="000000" w:themeColor="text1"/>
                <w:lang w:eastAsia="en-GB"/>
              </w:rPr>
              <w:t>Draft writing</w:t>
            </w:r>
          </w:p>
        </w:tc>
      </w:tr>
      <w:tr w:rsidR="00BB2AEF" w:rsidRPr="00BB2AEF" w14:paraId="7FC83082" w14:textId="77777777" w:rsidTr="00C557E2">
        <w:trPr>
          <w:trHeight w:val="498"/>
        </w:trPr>
        <w:tc>
          <w:tcPr>
            <w:tcW w:w="4590" w:type="dxa"/>
          </w:tcPr>
          <w:p w14:paraId="63D6AC14" w14:textId="77777777" w:rsidR="00D62603" w:rsidRPr="00BB2AEF" w:rsidRDefault="00D62603" w:rsidP="00BB2AEF">
            <w:pPr>
              <w:spacing w:line="360" w:lineRule="auto"/>
              <w:rPr>
                <w:rFonts w:ascii="Arial" w:hAnsi="Arial" w:cs="Arial"/>
                <w:i/>
                <w:iCs/>
                <w:color w:val="000000" w:themeColor="text1"/>
              </w:rPr>
            </w:pPr>
            <w:r w:rsidRPr="00BB2AEF">
              <w:rPr>
                <w:rFonts w:ascii="Arial" w:hAnsi="Arial" w:cs="Arial"/>
                <w:i/>
                <w:iCs/>
                <w:color w:val="000000" w:themeColor="text1"/>
              </w:rPr>
              <w:t>6-7</w:t>
            </w:r>
          </w:p>
        </w:tc>
        <w:tc>
          <w:tcPr>
            <w:tcW w:w="4590" w:type="dxa"/>
          </w:tcPr>
          <w:p w14:paraId="3D945D33" w14:textId="77777777" w:rsidR="00D62603" w:rsidRPr="00BB2AEF" w:rsidRDefault="00D62603" w:rsidP="00BB2AEF">
            <w:pPr>
              <w:spacing w:line="360" w:lineRule="auto"/>
              <w:rPr>
                <w:rFonts w:ascii="Arial" w:eastAsia="Times New Roman" w:hAnsi="Arial" w:cs="Arial"/>
                <w:color w:val="000000" w:themeColor="text1"/>
                <w:lang w:eastAsia="en-GB"/>
              </w:rPr>
            </w:pPr>
            <w:r w:rsidRPr="00BB2AEF">
              <w:rPr>
                <w:rFonts w:ascii="Arial" w:eastAsia="Times New Roman" w:hAnsi="Arial" w:cs="Arial"/>
                <w:color w:val="000000" w:themeColor="text1"/>
                <w:lang w:eastAsia="en-GB"/>
              </w:rPr>
              <w:t>Review, editing, and submission</w:t>
            </w:r>
          </w:p>
        </w:tc>
      </w:tr>
    </w:tbl>
    <w:p w14:paraId="3DF9FA44"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lastRenderedPageBreak/>
        <w:t xml:space="preserve"> </w:t>
      </w:r>
    </w:p>
    <w:p w14:paraId="3A02D31A" w14:textId="77777777" w:rsidR="00D62603" w:rsidRPr="00BB2AEF" w:rsidRDefault="00D62603" w:rsidP="00BB2AEF">
      <w:pPr>
        <w:spacing w:line="360" w:lineRule="auto"/>
        <w:rPr>
          <w:rFonts w:ascii="Arial" w:hAnsi="Arial" w:cs="Arial"/>
          <w:color w:val="000000" w:themeColor="text1"/>
        </w:rPr>
      </w:pPr>
    </w:p>
    <w:p w14:paraId="19696277" w14:textId="77777777" w:rsidR="00D62603" w:rsidRPr="00BB2AEF" w:rsidRDefault="00D62603" w:rsidP="00BB2AEF">
      <w:pPr>
        <w:spacing w:line="360" w:lineRule="auto"/>
        <w:rPr>
          <w:rFonts w:ascii="Arial" w:hAnsi="Arial" w:cs="Arial"/>
          <w:color w:val="000000" w:themeColor="text1"/>
        </w:rPr>
      </w:pPr>
    </w:p>
    <w:tbl>
      <w:tblPr>
        <w:tblStyle w:val="TableGrid"/>
        <w:tblW w:w="0" w:type="auto"/>
        <w:tblLook w:val="04A0" w:firstRow="1" w:lastRow="0" w:firstColumn="1" w:lastColumn="0" w:noHBand="0" w:noVBand="1"/>
      </w:tblPr>
      <w:tblGrid>
        <w:gridCol w:w="4508"/>
        <w:gridCol w:w="4508"/>
      </w:tblGrid>
      <w:tr w:rsidR="00BB2AEF" w:rsidRPr="00BB2AEF" w14:paraId="3F1C48D6" w14:textId="77777777" w:rsidTr="00C557E2">
        <w:tc>
          <w:tcPr>
            <w:tcW w:w="4508" w:type="dxa"/>
          </w:tcPr>
          <w:p w14:paraId="7AF336C9"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8-9-10</w:t>
            </w:r>
          </w:p>
        </w:tc>
        <w:tc>
          <w:tcPr>
            <w:tcW w:w="4508" w:type="dxa"/>
          </w:tcPr>
          <w:p w14:paraId="5F89A8C4"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Introduction</w:t>
            </w:r>
          </w:p>
        </w:tc>
      </w:tr>
      <w:tr w:rsidR="00BB2AEF" w:rsidRPr="00BB2AEF" w14:paraId="1B9CADE8" w14:textId="77777777" w:rsidTr="00C557E2">
        <w:tc>
          <w:tcPr>
            <w:tcW w:w="4508" w:type="dxa"/>
          </w:tcPr>
          <w:p w14:paraId="3B230738"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11-12-13-14</w:t>
            </w:r>
          </w:p>
        </w:tc>
        <w:tc>
          <w:tcPr>
            <w:tcW w:w="4508" w:type="dxa"/>
          </w:tcPr>
          <w:p w14:paraId="49D8C224"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Background</w:t>
            </w:r>
          </w:p>
        </w:tc>
      </w:tr>
      <w:tr w:rsidR="00BB2AEF" w:rsidRPr="00BB2AEF" w14:paraId="59936262" w14:textId="77777777" w:rsidTr="00C557E2">
        <w:tc>
          <w:tcPr>
            <w:tcW w:w="4508" w:type="dxa"/>
          </w:tcPr>
          <w:p w14:paraId="64C8540D"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15-16-17</w:t>
            </w:r>
          </w:p>
        </w:tc>
        <w:tc>
          <w:tcPr>
            <w:tcW w:w="4508" w:type="dxa"/>
          </w:tcPr>
          <w:p w14:paraId="744D6E75"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Academic Method Poster</w:t>
            </w:r>
          </w:p>
        </w:tc>
      </w:tr>
      <w:tr w:rsidR="00BB2AEF" w:rsidRPr="00BB2AEF" w14:paraId="4BD31A61" w14:textId="77777777" w:rsidTr="00C557E2">
        <w:tc>
          <w:tcPr>
            <w:tcW w:w="4508" w:type="dxa"/>
          </w:tcPr>
          <w:p w14:paraId="06322864"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18-19-20-21</w:t>
            </w:r>
          </w:p>
        </w:tc>
        <w:tc>
          <w:tcPr>
            <w:tcW w:w="4508" w:type="dxa"/>
          </w:tcPr>
          <w:p w14:paraId="4D442F30"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Findings and Analysis</w:t>
            </w:r>
          </w:p>
        </w:tc>
      </w:tr>
      <w:tr w:rsidR="00BB2AEF" w:rsidRPr="00BB2AEF" w14:paraId="5DF90084" w14:textId="77777777" w:rsidTr="00C557E2">
        <w:tc>
          <w:tcPr>
            <w:tcW w:w="4508" w:type="dxa"/>
          </w:tcPr>
          <w:p w14:paraId="7CA7E230"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20-21-22-23-24</w:t>
            </w:r>
          </w:p>
        </w:tc>
        <w:tc>
          <w:tcPr>
            <w:tcW w:w="4508" w:type="dxa"/>
          </w:tcPr>
          <w:p w14:paraId="4F9D3B4E"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Conclusion and Recommendations</w:t>
            </w:r>
          </w:p>
        </w:tc>
      </w:tr>
      <w:tr w:rsidR="00D62603" w:rsidRPr="00BB2AEF" w14:paraId="6E02F559" w14:textId="77777777" w:rsidTr="00C557E2">
        <w:tc>
          <w:tcPr>
            <w:tcW w:w="4508" w:type="dxa"/>
          </w:tcPr>
          <w:p w14:paraId="3495B859"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25-26-27</w:t>
            </w:r>
          </w:p>
        </w:tc>
        <w:tc>
          <w:tcPr>
            <w:tcW w:w="4508" w:type="dxa"/>
          </w:tcPr>
          <w:p w14:paraId="6ECDF37D" w14:textId="77777777" w:rsidR="00D62603" w:rsidRPr="00BB2AEF" w:rsidRDefault="00D62603" w:rsidP="00BB2AEF">
            <w:pPr>
              <w:spacing w:line="360" w:lineRule="auto"/>
              <w:rPr>
                <w:rFonts w:ascii="Arial" w:hAnsi="Arial" w:cs="Arial"/>
                <w:color w:val="000000" w:themeColor="text1"/>
              </w:rPr>
            </w:pPr>
            <w:r w:rsidRPr="00BB2AEF">
              <w:rPr>
                <w:rFonts w:ascii="Arial" w:hAnsi="Arial" w:cs="Arial"/>
                <w:color w:val="000000" w:themeColor="text1"/>
              </w:rPr>
              <w:t>Final review and dissertation submission</w:t>
            </w:r>
          </w:p>
        </w:tc>
      </w:tr>
    </w:tbl>
    <w:p w14:paraId="028B49C0" w14:textId="77777777" w:rsidR="00D62603" w:rsidRPr="00BB2AEF" w:rsidRDefault="00D62603" w:rsidP="00BB2AEF">
      <w:pPr>
        <w:spacing w:line="360" w:lineRule="auto"/>
        <w:rPr>
          <w:rFonts w:ascii="Arial" w:hAnsi="Arial" w:cs="Arial"/>
          <w:color w:val="000000" w:themeColor="text1"/>
        </w:rPr>
      </w:pPr>
    </w:p>
    <w:p w14:paraId="34990C50" w14:textId="77777777" w:rsidR="00D62603" w:rsidRPr="00BB2AEF" w:rsidRDefault="00D62603" w:rsidP="00BB2AEF">
      <w:pPr>
        <w:spacing w:line="360" w:lineRule="auto"/>
        <w:rPr>
          <w:rFonts w:ascii="Arial" w:hAnsi="Arial" w:cs="Arial"/>
          <w:b/>
          <w:bCs/>
          <w:color w:val="000000" w:themeColor="text1"/>
        </w:rPr>
      </w:pPr>
      <w:r w:rsidRPr="00BB2AEF">
        <w:rPr>
          <w:rFonts w:ascii="Arial" w:hAnsi="Arial" w:cs="Arial"/>
          <w:b/>
          <w:bCs/>
          <w:color w:val="000000" w:themeColor="text1"/>
        </w:rPr>
        <w:t xml:space="preserve">Self-reflection </w:t>
      </w:r>
    </w:p>
    <w:p w14:paraId="6E7A306E" w14:textId="77777777" w:rsidR="00D62603" w:rsidRPr="00BB2AEF" w:rsidRDefault="00D62603" w:rsidP="00BB2AEF">
      <w:pPr>
        <w:spacing w:line="360" w:lineRule="auto"/>
        <w:rPr>
          <w:rFonts w:ascii="Arial" w:hAnsi="Arial" w:cs="Arial"/>
          <w:i/>
          <w:iCs/>
          <w:color w:val="000000" w:themeColor="text1"/>
        </w:rPr>
      </w:pPr>
      <w:r w:rsidRPr="00BB2AEF">
        <w:rPr>
          <w:rFonts w:ascii="Arial" w:hAnsi="Arial" w:cs="Arial"/>
          <w:color w:val="000000" w:themeColor="text1"/>
        </w:rPr>
        <w:t>The researchers’ strengths include commitment, good critical thinking, and the ability to understand and link information. The challenges they faced are managing time, staying focused, and handling a large amount of literature. This project will help the researchers improve skills in academic writing, research analysis, and overall confidence.</w:t>
      </w:r>
    </w:p>
    <w:p w14:paraId="60A0D4DC" w14:textId="77777777" w:rsidR="00D62603" w:rsidRDefault="00D62603" w:rsidP="00BB2AEF">
      <w:pPr>
        <w:spacing w:line="360" w:lineRule="auto"/>
        <w:rPr>
          <w:rFonts w:ascii="Arial" w:hAnsi="Arial" w:cs="Arial"/>
          <w:b/>
          <w:bCs/>
          <w:color w:val="000000" w:themeColor="text1"/>
        </w:rPr>
      </w:pPr>
      <w:r w:rsidRPr="00BB2AEF">
        <w:rPr>
          <w:rFonts w:ascii="Arial" w:hAnsi="Arial" w:cs="Arial"/>
          <w:b/>
          <w:bCs/>
          <w:color w:val="000000" w:themeColor="text1"/>
        </w:rPr>
        <w:t>Reference list:</w:t>
      </w:r>
    </w:p>
    <w:p w14:paraId="6FA117E2" w14:textId="77777777" w:rsidR="00A86AFE" w:rsidRPr="00A86AFE" w:rsidRDefault="00A86AFE" w:rsidP="00A86AFE">
      <w:pPr>
        <w:spacing w:before="100" w:beforeAutospacing="1" w:after="100" w:afterAutospacing="1" w:line="360" w:lineRule="auto"/>
        <w:rPr>
          <w:rFonts w:ascii="Arial" w:eastAsia="Times New Roman" w:hAnsi="Arial" w:cs="Arial"/>
          <w:kern w:val="0"/>
          <w:lang w:eastAsia="en-GB"/>
          <w14:ligatures w14:val="none"/>
        </w:rPr>
      </w:pPr>
      <w:r w:rsidRPr="00A86AFE">
        <w:rPr>
          <w:rFonts w:ascii="Arial" w:eastAsia="Times New Roman" w:hAnsi="Arial" w:cs="Arial"/>
          <w:kern w:val="0"/>
          <w:lang w:eastAsia="en-GB"/>
          <w14:ligatures w14:val="none"/>
        </w:rPr>
        <w:t xml:space="preserve">ADHD Foundation (2022) </w:t>
      </w:r>
      <w:r w:rsidRPr="00A86AFE">
        <w:rPr>
          <w:rFonts w:ascii="Arial" w:eastAsia="Times New Roman" w:hAnsi="Arial" w:cs="Arial"/>
          <w:i/>
          <w:iCs/>
          <w:kern w:val="0"/>
          <w:lang w:eastAsia="en-GB"/>
          <w14:ligatures w14:val="none"/>
        </w:rPr>
        <w:t>Supporting children, young people and adults with ADHD</w:t>
      </w:r>
      <w:r w:rsidRPr="00A86AFE">
        <w:rPr>
          <w:rFonts w:ascii="Arial" w:eastAsia="Times New Roman" w:hAnsi="Arial" w:cs="Arial"/>
          <w:kern w:val="0"/>
          <w:lang w:eastAsia="en-GB"/>
          <w14:ligatures w14:val="none"/>
        </w:rPr>
        <w:t xml:space="preserve">. Liverpool: ADHD Foundation. Available at: </w:t>
      </w:r>
      <w:hyperlink r:id="rId12" w:tgtFrame="_new" w:history="1">
        <w:r w:rsidRPr="00A86AFE">
          <w:rPr>
            <w:rFonts w:ascii="Arial" w:eastAsia="Times New Roman" w:hAnsi="Arial" w:cs="Arial"/>
            <w:color w:val="0000FF"/>
            <w:kern w:val="0"/>
            <w:u w:val="single"/>
            <w:lang w:eastAsia="en-GB"/>
            <w14:ligatures w14:val="none"/>
          </w:rPr>
          <w:t>https://www.adhdfoundation.org.uk</w:t>
        </w:r>
      </w:hyperlink>
      <w:r w:rsidRPr="00A86AFE">
        <w:rPr>
          <w:rFonts w:ascii="Arial" w:eastAsia="Times New Roman" w:hAnsi="Arial" w:cs="Arial"/>
          <w:kern w:val="0"/>
          <w:lang w:eastAsia="en-GB"/>
          <w14:ligatures w14:val="none"/>
        </w:rPr>
        <w:t xml:space="preserve"> (Accessed: 27 September 2025).</w:t>
      </w:r>
    </w:p>
    <w:p w14:paraId="121E3EED" w14:textId="77777777" w:rsidR="00A86AFE" w:rsidRPr="00A86AFE" w:rsidRDefault="00A86AFE" w:rsidP="00A86AFE">
      <w:pPr>
        <w:spacing w:before="100" w:beforeAutospacing="1" w:after="100" w:afterAutospacing="1" w:line="360" w:lineRule="auto"/>
        <w:rPr>
          <w:rFonts w:ascii="Arial" w:eastAsia="Times New Roman" w:hAnsi="Arial" w:cs="Arial"/>
          <w:kern w:val="0"/>
          <w:lang w:eastAsia="en-GB"/>
          <w14:ligatures w14:val="none"/>
        </w:rPr>
      </w:pPr>
      <w:r w:rsidRPr="00A86AFE">
        <w:rPr>
          <w:rFonts w:ascii="Arial" w:eastAsia="Times New Roman" w:hAnsi="Arial" w:cs="Arial"/>
          <w:kern w:val="0"/>
          <w:lang w:eastAsia="en-GB"/>
          <w14:ligatures w14:val="none"/>
        </w:rPr>
        <w:t xml:space="preserve">Cortese, S., Adamo, N., Del Giovane, C., Mohr-Jensen, C., Hayes, A.J., Carucci, S., </w:t>
      </w:r>
      <w:proofErr w:type="spellStart"/>
      <w:r w:rsidRPr="00A86AFE">
        <w:rPr>
          <w:rFonts w:ascii="Arial" w:eastAsia="Times New Roman" w:hAnsi="Arial" w:cs="Arial"/>
          <w:kern w:val="0"/>
          <w:lang w:eastAsia="en-GB"/>
          <w14:ligatures w14:val="none"/>
        </w:rPr>
        <w:t>Zuddas</w:t>
      </w:r>
      <w:proofErr w:type="spellEnd"/>
      <w:r w:rsidRPr="00A86AFE">
        <w:rPr>
          <w:rFonts w:ascii="Arial" w:eastAsia="Times New Roman" w:hAnsi="Arial" w:cs="Arial"/>
          <w:kern w:val="0"/>
          <w:lang w:eastAsia="en-GB"/>
          <w14:ligatures w14:val="none"/>
        </w:rPr>
        <w:t xml:space="preserve">, A., Coghill, D. and </w:t>
      </w:r>
      <w:proofErr w:type="spellStart"/>
      <w:r w:rsidRPr="00A86AFE">
        <w:rPr>
          <w:rFonts w:ascii="Arial" w:eastAsia="Times New Roman" w:hAnsi="Arial" w:cs="Arial"/>
          <w:kern w:val="0"/>
          <w:lang w:eastAsia="en-GB"/>
          <w14:ligatures w14:val="none"/>
        </w:rPr>
        <w:t>Banaschewski</w:t>
      </w:r>
      <w:proofErr w:type="spellEnd"/>
      <w:r w:rsidRPr="00A86AFE">
        <w:rPr>
          <w:rFonts w:ascii="Arial" w:eastAsia="Times New Roman" w:hAnsi="Arial" w:cs="Arial"/>
          <w:kern w:val="0"/>
          <w:lang w:eastAsia="en-GB"/>
          <w14:ligatures w14:val="none"/>
        </w:rPr>
        <w:t xml:space="preserve">, T. (2018) ‘Comparative efficacy and tolerability of medications for attention-deficit hyperactivity disorder in children, adolescents, and adults: a systematic review and network meta-analysis’, </w:t>
      </w:r>
      <w:r w:rsidRPr="00A86AFE">
        <w:rPr>
          <w:rFonts w:ascii="Arial" w:eastAsia="Times New Roman" w:hAnsi="Arial" w:cs="Arial"/>
          <w:i/>
          <w:iCs/>
          <w:kern w:val="0"/>
          <w:lang w:eastAsia="en-GB"/>
          <w14:ligatures w14:val="none"/>
        </w:rPr>
        <w:t>The Lancet Psychiatry</w:t>
      </w:r>
      <w:r w:rsidRPr="00A86AFE">
        <w:rPr>
          <w:rFonts w:ascii="Arial" w:eastAsia="Times New Roman" w:hAnsi="Arial" w:cs="Arial"/>
          <w:kern w:val="0"/>
          <w:lang w:eastAsia="en-GB"/>
          <w14:ligatures w14:val="none"/>
        </w:rPr>
        <w:t xml:space="preserve">, 5(9), pp. 727–738. Available at: </w:t>
      </w:r>
      <w:hyperlink r:id="rId13" w:tgtFrame="_new" w:history="1">
        <w:r w:rsidRPr="00A86AFE">
          <w:rPr>
            <w:rFonts w:ascii="Arial" w:eastAsia="Times New Roman" w:hAnsi="Arial" w:cs="Arial"/>
            <w:color w:val="0000FF"/>
            <w:kern w:val="0"/>
            <w:u w:val="single"/>
            <w:lang w:eastAsia="en-GB"/>
            <w14:ligatures w14:val="none"/>
          </w:rPr>
          <w:t>https://doi.org/10.1016/S2215-0366(18)30269-4</w:t>
        </w:r>
      </w:hyperlink>
      <w:r w:rsidRPr="00A86AFE">
        <w:rPr>
          <w:rFonts w:ascii="Arial" w:eastAsia="Times New Roman" w:hAnsi="Arial" w:cs="Arial"/>
          <w:kern w:val="0"/>
          <w:lang w:eastAsia="en-GB"/>
          <w14:ligatures w14:val="none"/>
        </w:rPr>
        <w:t>.</w:t>
      </w:r>
    </w:p>
    <w:p w14:paraId="2D60CD76" w14:textId="77777777" w:rsidR="00A86AFE" w:rsidRPr="00A86AFE" w:rsidRDefault="00A86AFE" w:rsidP="00A86AFE">
      <w:pPr>
        <w:spacing w:before="100" w:beforeAutospacing="1" w:after="100" w:afterAutospacing="1" w:line="360" w:lineRule="auto"/>
        <w:rPr>
          <w:rFonts w:ascii="Arial" w:eastAsia="Times New Roman" w:hAnsi="Arial" w:cs="Arial"/>
          <w:kern w:val="0"/>
          <w:lang w:eastAsia="en-GB"/>
          <w14:ligatures w14:val="none"/>
        </w:rPr>
      </w:pPr>
      <w:r w:rsidRPr="00A86AFE">
        <w:rPr>
          <w:rFonts w:ascii="Arial" w:eastAsia="Times New Roman" w:hAnsi="Arial" w:cs="Arial"/>
          <w:kern w:val="0"/>
          <w:lang w:eastAsia="en-GB"/>
          <w14:ligatures w14:val="none"/>
        </w:rPr>
        <w:t xml:space="preserve">Daley, D., van der Oord, S., Ferrin, M., </w:t>
      </w:r>
      <w:proofErr w:type="spellStart"/>
      <w:r w:rsidRPr="00A86AFE">
        <w:rPr>
          <w:rFonts w:ascii="Arial" w:eastAsia="Times New Roman" w:hAnsi="Arial" w:cs="Arial"/>
          <w:kern w:val="0"/>
          <w:lang w:eastAsia="en-GB"/>
          <w14:ligatures w14:val="none"/>
        </w:rPr>
        <w:t>Danckaerts</w:t>
      </w:r>
      <w:proofErr w:type="spellEnd"/>
      <w:r w:rsidRPr="00A86AFE">
        <w:rPr>
          <w:rFonts w:ascii="Arial" w:eastAsia="Times New Roman" w:hAnsi="Arial" w:cs="Arial"/>
          <w:kern w:val="0"/>
          <w:lang w:eastAsia="en-GB"/>
          <w14:ligatures w14:val="none"/>
        </w:rPr>
        <w:t xml:space="preserve">, M., Döpfner, M., Cortese, S., </w:t>
      </w:r>
      <w:proofErr w:type="spellStart"/>
      <w:r w:rsidRPr="00A86AFE">
        <w:rPr>
          <w:rFonts w:ascii="Arial" w:eastAsia="Times New Roman" w:hAnsi="Arial" w:cs="Arial"/>
          <w:kern w:val="0"/>
          <w:lang w:eastAsia="en-GB"/>
          <w14:ligatures w14:val="none"/>
        </w:rPr>
        <w:t>Sonuga</w:t>
      </w:r>
      <w:proofErr w:type="spellEnd"/>
      <w:r w:rsidRPr="00A86AFE">
        <w:rPr>
          <w:rFonts w:ascii="Arial" w:eastAsia="Times New Roman" w:hAnsi="Arial" w:cs="Arial"/>
          <w:kern w:val="0"/>
          <w:lang w:eastAsia="en-GB"/>
          <w14:ligatures w14:val="none"/>
        </w:rPr>
        <w:t xml:space="preserve">-Barke, E.J.S. and the European ADHD Guidelines Group (2020) ‘Practitioner review: current best practice in the use of parent training and other behavioural interventions in the treatment of children and adolescents with attention-deficit hyperactivity disorder’, </w:t>
      </w:r>
      <w:r w:rsidRPr="00A86AFE">
        <w:rPr>
          <w:rFonts w:ascii="Arial" w:eastAsia="Times New Roman" w:hAnsi="Arial" w:cs="Arial"/>
          <w:i/>
          <w:iCs/>
          <w:kern w:val="0"/>
          <w:lang w:eastAsia="en-GB"/>
          <w14:ligatures w14:val="none"/>
        </w:rPr>
        <w:t>Journal of Child Psychology and Psychiatry</w:t>
      </w:r>
      <w:r w:rsidRPr="00A86AFE">
        <w:rPr>
          <w:rFonts w:ascii="Arial" w:eastAsia="Times New Roman" w:hAnsi="Arial" w:cs="Arial"/>
          <w:kern w:val="0"/>
          <w:lang w:eastAsia="en-GB"/>
          <w14:ligatures w14:val="none"/>
        </w:rPr>
        <w:t xml:space="preserve">, 59(9), pp. 932–947. Available at: </w:t>
      </w:r>
      <w:hyperlink r:id="rId14" w:tgtFrame="_new" w:history="1">
        <w:r w:rsidRPr="00A86AFE">
          <w:rPr>
            <w:rFonts w:ascii="Arial" w:eastAsia="Times New Roman" w:hAnsi="Arial" w:cs="Arial"/>
            <w:color w:val="0000FF"/>
            <w:kern w:val="0"/>
            <w:u w:val="single"/>
            <w:lang w:eastAsia="en-GB"/>
            <w14:ligatures w14:val="none"/>
          </w:rPr>
          <w:t>https://doi.org/10.1111/jcpp.12825</w:t>
        </w:r>
      </w:hyperlink>
      <w:r w:rsidRPr="00A86AFE">
        <w:rPr>
          <w:rFonts w:ascii="Arial" w:eastAsia="Times New Roman" w:hAnsi="Arial" w:cs="Arial"/>
          <w:kern w:val="0"/>
          <w:lang w:eastAsia="en-GB"/>
          <w14:ligatures w14:val="none"/>
        </w:rPr>
        <w:t>.</w:t>
      </w:r>
    </w:p>
    <w:p w14:paraId="75B6E6A7" w14:textId="77777777" w:rsidR="00A86AFE" w:rsidRPr="00A86AFE" w:rsidRDefault="00A86AFE" w:rsidP="00A86AFE">
      <w:pPr>
        <w:spacing w:before="100" w:beforeAutospacing="1" w:after="100" w:afterAutospacing="1" w:line="360" w:lineRule="auto"/>
        <w:rPr>
          <w:rFonts w:ascii="Arial" w:eastAsia="Times New Roman" w:hAnsi="Arial" w:cs="Arial"/>
          <w:kern w:val="0"/>
          <w:lang w:eastAsia="en-GB"/>
          <w14:ligatures w14:val="none"/>
        </w:rPr>
      </w:pPr>
      <w:r w:rsidRPr="00A86AFE">
        <w:rPr>
          <w:rFonts w:ascii="Arial" w:eastAsia="Times New Roman" w:hAnsi="Arial" w:cs="Arial"/>
          <w:kern w:val="0"/>
          <w:lang w:eastAsia="en-GB"/>
          <w14:ligatures w14:val="none"/>
        </w:rPr>
        <w:lastRenderedPageBreak/>
        <w:t xml:space="preserve">Medicines and Healthcare products Regulatory Agency (MHRA) (2019) </w:t>
      </w:r>
      <w:r w:rsidRPr="00A86AFE">
        <w:rPr>
          <w:rFonts w:ascii="Arial" w:eastAsia="Times New Roman" w:hAnsi="Arial" w:cs="Arial"/>
          <w:i/>
          <w:iCs/>
          <w:kern w:val="0"/>
          <w:lang w:eastAsia="en-GB"/>
          <w14:ligatures w14:val="none"/>
        </w:rPr>
        <w:t>Methylphenidate: reminder of advice on long-term safety and ongoing monitoring requirements</w:t>
      </w:r>
      <w:r w:rsidRPr="00A86AFE">
        <w:rPr>
          <w:rFonts w:ascii="Arial" w:eastAsia="Times New Roman" w:hAnsi="Arial" w:cs="Arial"/>
          <w:kern w:val="0"/>
          <w:lang w:eastAsia="en-GB"/>
          <w14:ligatures w14:val="none"/>
        </w:rPr>
        <w:t xml:space="preserve">. London: MHRA. Available at: </w:t>
      </w:r>
      <w:hyperlink r:id="rId15" w:tgtFrame="_new" w:history="1">
        <w:r w:rsidRPr="00A86AFE">
          <w:rPr>
            <w:rFonts w:ascii="Arial" w:eastAsia="Times New Roman" w:hAnsi="Arial" w:cs="Arial"/>
            <w:color w:val="0000FF"/>
            <w:kern w:val="0"/>
            <w:u w:val="single"/>
            <w:lang w:eastAsia="en-GB"/>
            <w14:ligatures w14:val="none"/>
          </w:rPr>
          <w:t>https://www.gov.uk/drug-safety-update/methylphenidate-reminder-of-advice-on-long-term-safety-and-ongoing-monitoring-requirements</w:t>
        </w:r>
      </w:hyperlink>
      <w:r w:rsidRPr="00A86AFE">
        <w:rPr>
          <w:rFonts w:ascii="Arial" w:eastAsia="Times New Roman" w:hAnsi="Arial" w:cs="Arial"/>
          <w:kern w:val="0"/>
          <w:lang w:eastAsia="en-GB"/>
          <w14:ligatures w14:val="none"/>
        </w:rPr>
        <w:t xml:space="preserve"> (Accessed: 25 September 2025).</w:t>
      </w:r>
    </w:p>
    <w:p w14:paraId="04BB9D1E" w14:textId="77777777" w:rsidR="00A86AFE" w:rsidRPr="00A86AFE" w:rsidRDefault="00A86AFE" w:rsidP="00A86AFE">
      <w:pPr>
        <w:spacing w:before="100" w:beforeAutospacing="1" w:after="100" w:afterAutospacing="1" w:line="360" w:lineRule="auto"/>
        <w:rPr>
          <w:rFonts w:ascii="Arial" w:eastAsia="Times New Roman" w:hAnsi="Arial" w:cs="Arial"/>
          <w:kern w:val="0"/>
          <w:lang w:eastAsia="en-GB"/>
          <w14:ligatures w14:val="none"/>
        </w:rPr>
      </w:pPr>
      <w:r w:rsidRPr="00A86AFE">
        <w:rPr>
          <w:rFonts w:ascii="Arial" w:eastAsia="Times New Roman" w:hAnsi="Arial" w:cs="Arial"/>
          <w:kern w:val="0"/>
          <w:lang w:eastAsia="en-GB"/>
          <w14:ligatures w14:val="none"/>
        </w:rPr>
        <w:t xml:space="preserve">NHS Digital (2022) </w:t>
      </w:r>
      <w:r w:rsidRPr="00A86AFE">
        <w:rPr>
          <w:rFonts w:ascii="Arial" w:eastAsia="Times New Roman" w:hAnsi="Arial" w:cs="Arial"/>
          <w:i/>
          <w:iCs/>
          <w:kern w:val="0"/>
          <w:lang w:eastAsia="en-GB"/>
          <w14:ligatures w14:val="none"/>
        </w:rPr>
        <w:t>Medicines used in mental health: England 2015/16 to 2021/22</w:t>
      </w:r>
      <w:r w:rsidRPr="00A86AFE">
        <w:rPr>
          <w:rFonts w:ascii="Arial" w:eastAsia="Times New Roman" w:hAnsi="Arial" w:cs="Arial"/>
          <w:kern w:val="0"/>
          <w:lang w:eastAsia="en-GB"/>
          <w14:ligatures w14:val="none"/>
        </w:rPr>
        <w:t xml:space="preserve">. Leeds: NHS Digital. Available at: </w:t>
      </w:r>
      <w:hyperlink r:id="rId16" w:tgtFrame="_new" w:history="1">
        <w:r w:rsidRPr="00A86AFE">
          <w:rPr>
            <w:rFonts w:ascii="Arial" w:eastAsia="Times New Roman" w:hAnsi="Arial" w:cs="Arial"/>
            <w:color w:val="0000FF"/>
            <w:kern w:val="0"/>
            <w:u w:val="single"/>
            <w:lang w:eastAsia="en-GB"/>
            <w14:ligatures w14:val="none"/>
          </w:rPr>
          <w:t>https://digital.nhs.uk/data-and-information/publications</w:t>
        </w:r>
      </w:hyperlink>
      <w:r w:rsidRPr="00A86AFE">
        <w:rPr>
          <w:rFonts w:ascii="Arial" w:eastAsia="Times New Roman" w:hAnsi="Arial" w:cs="Arial"/>
          <w:kern w:val="0"/>
          <w:lang w:eastAsia="en-GB"/>
          <w14:ligatures w14:val="none"/>
        </w:rPr>
        <w:t xml:space="preserve"> (Accessed: 27 September 2025).</w:t>
      </w:r>
    </w:p>
    <w:p w14:paraId="2C873289" w14:textId="77777777" w:rsidR="00A86AFE" w:rsidRPr="00A86AFE" w:rsidRDefault="00A86AFE" w:rsidP="00A86AFE">
      <w:pPr>
        <w:spacing w:before="100" w:beforeAutospacing="1" w:after="100" w:afterAutospacing="1" w:line="360" w:lineRule="auto"/>
        <w:rPr>
          <w:rFonts w:ascii="Arial" w:eastAsia="Times New Roman" w:hAnsi="Arial" w:cs="Arial"/>
          <w:kern w:val="0"/>
          <w:lang w:eastAsia="en-GB"/>
          <w14:ligatures w14:val="none"/>
        </w:rPr>
      </w:pPr>
      <w:r w:rsidRPr="00A86AFE">
        <w:rPr>
          <w:rFonts w:ascii="Arial" w:eastAsia="Times New Roman" w:hAnsi="Arial" w:cs="Arial"/>
          <w:kern w:val="0"/>
          <w:lang w:eastAsia="en-GB"/>
          <w14:ligatures w14:val="none"/>
        </w:rPr>
        <w:t xml:space="preserve">NHS England (2022) </w:t>
      </w:r>
      <w:r w:rsidRPr="00A86AFE">
        <w:rPr>
          <w:rFonts w:ascii="Arial" w:eastAsia="Times New Roman" w:hAnsi="Arial" w:cs="Arial"/>
          <w:i/>
          <w:iCs/>
          <w:kern w:val="0"/>
          <w:lang w:eastAsia="en-GB"/>
          <w14:ligatures w14:val="none"/>
        </w:rPr>
        <w:t>Children and young people’s mental health services: Child and Adolescent Mental Health Services (CAMHS)</w:t>
      </w:r>
      <w:r w:rsidRPr="00A86AFE">
        <w:rPr>
          <w:rFonts w:ascii="Arial" w:eastAsia="Times New Roman" w:hAnsi="Arial" w:cs="Arial"/>
          <w:kern w:val="0"/>
          <w:lang w:eastAsia="en-GB"/>
          <w14:ligatures w14:val="none"/>
        </w:rPr>
        <w:t xml:space="preserve">. London: NHS England. Available at: </w:t>
      </w:r>
      <w:hyperlink r:id="rId17" w:tgtFrame="_new" w:history="1">
        <w:r w:rsidRPr="00A86AFE">
          <w:rPr>
            <w:rFonts w:ascii="Arial" w:eastAsia="Times New Roman" w:hAnsi="Arial" w:cs="Arial"/>
            <w:color w:val="0000FF"/>
            <w:kern w:val="0"/>
            <w:u w:val="single"/>
            <w:lang w:eastAsia="en-GB"/>
            <w14:ligatures w14:val="none"/>
          </w:rPr>
          <w:t>https://www.england.nhs.uk/mental-health/cyp/</w:t>
        </w:r>
      </w:hyperlink>
      <w:r w:rsidRPr="00A86AFE">
        <w:rPr>
          <w:rFonts w:ascii="Arial" w:eastAsia="Times New Roman" w:hAnsi="Arial" w:cs="Arial"/>
          <w:kern w:val="0"/>
          <w:lang w:eastAsia="en-GB"/>
          <w14:ligatures w14:val="none"/>
        </w:rPr>
        <w:t xml:space="preserve"> (Accessed: 27 September 2025).</w:t>
      </w:r>
    </w:p>
    <w:p w14:paraId="59AA72CE" w14:textId="77777777" w:rsidR="00A86AFE" w:rsidRPr="00A86AFE" w:rsidRDefault="00A86AFE" w:rsidP="00A86AFE">
      <w:pPr>
        <w:spacing w:before="100" w:beforeAutospacing="1" w:after="100" w:afterAutospacing="1" w:line="360" w:lineRule="auto"/>
        <w:rPr>
          <w:rFonts w:ascii="Arial" w:eastAsia="Times New Roman" w:hAnsi="Arial" w:cs="Arial"/>
          <w:kern w:val="0"/>
          <w:lang w:eastAsia="en-GB"/>
          <w14:ligatures w14:val="none"/>
        </w:rPr>
      </w:pPr>
      <w:r w:rsidRPr="00A86AFE">
        <w:rPr>
          <w:rFonts w:ascii="Arial" w:eastAsia="Times New Roman" w:hAnsi="Arial" w:cs="Arial"/>
          <w:kern w:val="0"/>
          <w:lang w:eastAsia="en-GB"/>
          <w14:ligatures w14:val="none"/>
        </w:rPr>
        <w:t xml:space="preserve">National Institute for Health and Care Excellence (NICE) (2018) </w:t>
      </w:r>
      <w:r w:rsidRPr="00A86AFE">
        <w:rPr>
          <w:rFonts w:ascii="Arial" w:eastAsia="Times New Roman" w:hAnsi="Arial" w:cs="Arial"/>
          <w:i/>
          <w:iCs/>
          <w:kern w:val="0"/>
          <w:lang w:eastAsia="en-GB"/>
          <w14:ligatures w14:val="none"/>
        </w:rPr>
        <w:t>Attention deficit hyperactivity disorder: diagnosis and management (NG87)</w:t>
      </w:r>
      <w:r w:rsidRPr="00A86AFE">
        <w:rPr>
          <w:rFonts w:ascii="Arial" w:eastAsia="Times New Roman" w:hAnsi="Arial" w:cs="Arial"/>
          <w:kern w:val="0"/>
          <w:lang w:eastAsia="en-GB"/>
          <w14:ligatures w14:val="none"/>
        </w:rPr>
        <w:t xml:space="preserve">. London: NICE. Available at: </w:t>
      </w:r>
      <w:hyperlink r:id="rId18" w:tgtFrame="_new" w:history="1">
        <w:r w:rsidRPr="00A86AFE">
          <w:rPr>
            <w:rFonts w:ascii="Arial" w:eastAsia="Times New Roman" w:hAnsi="Arial" w:cs="Arial"/>
            <w:color w:val="0000FF"/>
            <w:kern w:val="0"/>
            <w:u w:val="single"/>
            <w:lang w:eastAsia="en-GB"/>
            <w14:ligatures w14:val="none"/>
          </w:rPr>
          <w:t>https://www.nice.org.uk/guidance/ng87</w:t>
        </w:r>
      </w:hyperlink>
      <w:r w:rsidRPr="00A86AFE">
        <w:rPr>
          <w:rFonts w:ascii="Arial" w:eastAsia="Times New Roman" w:hAnsi="Arial" w:cs="Arial"/>
          <w:kern w:val="0"/>
          <w:lang w:eastAsia="en-GB"/>
          <w14:ligatures w14:val="none"/>
        </w:rPr>
        <w:t xml:space="preserve"> (Accessed: 27 September 2025).</w:t>
      </w:r>
    </w:p>
    <w:p w14:paraId="7B033C26" w14:textId="77777777" w:rsidR="00A86AFE" w:rsidRPr="00A86AFE" w:rsidRDefault="00A86AFE" w:rsidP="00A86AFE">
      <w:pPr>
        <w:spacing w:before="100" w:beforeAutospacing="1" w:after="100" w:afterAutospacing="1" w:line="360" w:lineRule="auto"/>
        <w:rPr>
          <w:rFonts w:ascii="Arial" w:eastAsia="Times New Roman" w:hAnsi="Arial" w:cs="Arial"/>
          <w:kern w:val="0"/>
          <w:lang w:eastAsia="en-GB"/>
          <w14:ligatures w14:val="none"/>
        </w:rPr>
      </w:pPr>
      <w:r w:rsidRPr="00A86AFE">
        <w:rPr>
          <w:rFonts w:ascii="Arial" w:eastAsia="Times New Roman" w:hAnsi="Arial" w:cs="Arial"/>
          <w:kern w:val="0"/>
          <w:lang w:eastAsia="en-GB"/>
          <w14:ligatures w14:val="none"/>
        </w:rPr>
        <w:t xml:space="preserve">University of Wales Trinity Saint David (2022) </w:t>
      </w:r>
      <w:r w:rsidRPr="00A86AFE">
        <w:rPr>
          <w:rFonts w:ascii="Arial" w:eastAsia="Times New Roman" w:hAnsi="Arial" w:cs="Arial"/>
          <w:i/>
          <w:iCs/>
          <w:kern w:val="0"/>
          <w:lang w:eastAsia="en-GB"/>
          <w14:ligatures w14:val="none"/>
        </w:rPr>
        <w:t>Research Ethics and Integrity Code of Practice</w:t>
      </w:r>
      <w:r w:rsidRPr="00A86AFE">
        <w:rPr>
          <w:rFonts w:ascii="Arial" w:eastAsia="Times New Roman" w:hAnsi="Arial" w:cs="Arial"/>
          <w:kern w:val="0"/>
          <w:lang w:eastAsia="en-GB"/>
          <w14:ligatures w14:val="none"/>
        </w:rPr>
        <w:t xml:space="preserve">. Swansea: University of Wales Trinity Saint David. Available at: </w:t>
      </w:r>
      <w:hyperlink r:id="rId19" w:tgtFrame="_new" w:history="1">
        <w:r w:rsidRPr="00A86AFE">
          <w:rPr>
            <w:rFonts w:ascii="Arial" w:eastAsia="Times New Roman" w:hAnsi="Arial" w:cs="Arial"/>
            <w:color w:val="0000FF"/>
            <w:kern w:val="0"/>
            <w:u w:val="single"/>
            <w:lang w:eastAsia="en-GB"/>
            <w14:ligatures w14:val="none"/>
          </w:rPr>
          <w:t>https://www.uwtsd.ac.uk/research/research-ethics/</w:t>
        </w:r>
      </w:hyperlink>
      <w:r w:rsidRPr="00A86AFE">
        <w:rPr>
          <w:rFonts w:ascii="Arial" w:eastAsia="Times New Roman" w:hAnsi="Arial" w:cs="Arial"/>
          <w:kern w:val="0"/>
          <w:lang w:eastAsia="en-GB"/>
          <w14:ligatures w14:val="none"/>
        </w:rPr>
        <w:t xml:space="preserve"> (Accessed: 5 October 2025).</w:t>
      </w:r>
    </w:p>
    <w:p w14:paraId="3AE88A20" w14:textId="77777777" w:rsidR="00A86AFE" w:rsidRPr="00BB2AEF" w:rsidRDefault="00A86AFE" w:rsidP="00BB2AEF">
      <w:pPr>
        <w:spacing w:line="360" w:lineRule="auto"/>
        <w:rPr>
          <w:rFonts w:ascii="Arial" w:hAnsi="Arial" w:cs="Arial"/>
          <w:b/>
          <w:bCs/>
          <w:color w:val="000000" w:themeColor="text1"/>
        </w:rPr>
      </w:pPr>
    </w:p>
    <w:p w14:paraId="78360D33" w14:textId="77777777" w:rsidR="00D62603" w:rsidRPr="00BB2AEF" w:rsidRDefault="00D62603" w:rsidP="00BB2AEF">
      <w:pPr>
        <w:spacing w:line="360" w:lineRule="auto"/>
        <w:rPr>
          <w:rFonts w:ascii="Arial" w:hAnsi="Arial" w:cs="Arial"/>
          <w:color w:val="000000" w:themeColor="text1"/>
        </w:rPr>
      </w:pPr>
    </w:p>
    <w:p w14:paraId="56CB12BE" w14:textId="176ED772" w:rsidR="002552EC" w:rsidRPr="00BB2AEF" w:rsidRDefault="00DC56AF" w:rsidP="00BB2AEF">
      <w:pPr>
        <w:spacing w:line="360" w:lineRule="auto"/>
        <w:rPr>
          <w:rFonts w:ascii="Arial" w:hAnsi="Arial" w:cs="Arial"/>
          <w:b/>
          <w:bCs/>
          <w:color w:val="000000" w:themeColor="text1"/>
        </w:rPr>
      </w:pPr>
      <w:r w:rsidRPr="00BB2AEF">
        <w:rPr>
          <w:rFonts w:ascii="Arial" w:hAnsi="Arial" w:cs="Arial"/>
          <w:b/>
          <w:bCs/>
          <w:color w:val="000000" w:themeColor="text1"/>
        </w:rPr>
        <w:t>Introduction:</w:t>
      </w:r>
    </w:p>
    <w:p w14:paraId="4DF764A4" w14:textId="45E6C64A" w:rsidR="00A6108F" w:rsidRPr="00BB2AEF" w:rsidRDefault="00A6108F"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“What happens when the medication that helps a child concentrate also alters how they feel?” This question highlights the complexity of treating Attention Deficit Hyperactivity Disorder (ADHD), a leading neurodevelopmental condition affecting approximately 3–5% of school-aged children in the United Kingdom</w:t>
      </w:r>
      <w:r w:rsidR="008A125E" w:rsidRPr="00BB2AEF">
        <w:rPr>
          <w:rFonts w:ascii="Arial" w:hAnsi="Arial" w:cs="Arial"/>
          <w:color w:val="000000" w:themeColor="text1"/>
          <w:sz w:val="22"/>
          <w:szCs w:val="22"/>
        </w:rPr>
        <w:t xml:space="preserve"> (NICE, 2018; Public Health England, 2021)</w:t>
      </w:r>
      <w:r w:rsidRPr="00BB2AEF">
        <w:rPr>
          <w:rFonts w:ascii="Arial" w:hAnsi="Arial" w:cs="Arial"/>
          <w:color w:val="000000" w:themeColor="text1"/>
          <w:sz w:val="22"/>
          <w:szCs w:val="22"/>
        </w:rPr>
        <w:t>. ADHD is characterised by persistent difficulties with attention, hyperactivity, and impulsiveness, which can have a considerable impact on learning, social interaction, and emotional wellbeing</w:t>
      </w:r>
      <w:r w:rsidR="005B4D03" w:rsidRPr="00BB2AEF">
        <w:rPr>
          <w:rFonts w:ascii="Arial" w:hAnsi="Arial" w:cs="Arial"/>
          <w:color w:val="000000" w:themeColor="text1"/>
          <w:sz w:val="22"/>
          <w:szCs w:val="22"/>
        </w:rPr>
        <w:t xml:space="preserve"> (NICE, 2018). </w:t>
      </w:r>
      <w:r w:rsidR="0014161A" w:rsidRPr="00BB2AEF">
        <w:rPr>
          <w:rFonts w:ascii="Arial" w:hAnsi="Arial" w:cs="Arial"/>
          <w:color w:val="000000" w:themeColor="text1"/>
          <w:sz w:val="22"/>
          <w:szCs w:val="22"/>
        </w:rPr>
        <w:t xml:space="preserve"> </w:t>
      </w:r>
    </w:p>
    <w:p w14:paraId="26DCB774" w14:textId="77777777" w:rsidR="00A6108F" w:rsidRPr="00BB2AEF" w:rsidRDefault="00A6108F"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Treatment commonly involves both stimulant medications, such as methylphenidate, and non-stimulant alternatives, including atomoxetine and guanfacine (Cortese et al., 2018). Whilst these medicines are often effective in improving focus and reducing disruptive behaviour, concerns remain regarding potential side effects, long-term safety, and the </w:t>
      </w:r>
      <w:r w:rsidRPr="00BB2AEF">
        <w:rPr>
          <w:rFonts w:ascii="Arial" w:hAnsi="Arial" w:cs="Arial"/>
          <w:color w:val="000000" w:themeColor="text1"/>
          <w:sz w:val="22"/>
          <w:szCs w:val="22"/>
        </w:rPr>
        <w:lastRenderedPageBreak/>
        <w:t>broader emotional implications for children and their families (MHRA, 2019; Daley et al., 2020).</w:t>
      </w:r>
    </w:p>
    <w:p w14:paraId="7D3AA27F" w14:textId="1163C230" w:rsidR="00DC56AF" w:rsidRPr="00BB2AEF" w:rsidRDefault="00A6108F"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This research aims to critically examine the effectiveness and safety of ADHD medication in children within the UK, as well as its influence on family life. The dissertation will review current literature, analyse secondary data, and propose recommendations for policy and practice. By addressing existing gaps in evidence, this study seeks to encourage a more informed, ethical, and family-centred approach to ADHD management.</w:t>
      </w:r>
    </w:p>
    <w:p w14:paraId="1EF7A4AB" w14:textId="36CEAD23" w:rsidR="0057547C" w:rsidRPr="005E454C" w:rsidRDefault="0057547C" w:rsidP="00BB2AEF">
      <w:pPr>
        <w:pStyle w:val="NormalWeb"/>
        <w:spacing w:line="360" w:lineRule="auto"/>
        <w:rPr>
          <w:rFonts w:ascii="Arial" w:hAnsi="Arial" w:cs="Arial"/>
          <w:b/>
          <w:bCs/>
          <w:color w:val="000000" w:themeColor="text1"/>
          <w:sz w:val="22"/>
          <w:szCs w:val="22"/>
        </w:rPr>
      </w:pPr>
      <w:r w:rsidRPr="005E454C">
        <w:rPr>
          <w:rFonts w:ascii="Arial" w:hAnsi="Arial" w:cs="Arial"/>
          <w:b/>
          <w:bCs/>
          <w:color w:val="000000" w:themeColor="text1"/>
          <w:sz w:val="22"/>
          <w:szCs w:val="22"/>
        </w:rPr>
        <w:t xml:space="preserve">Key Definitions: </w:t>
      </w:r>
    </w:p>
    <w:p w14:paraId="1D74FCE1" w14:textId="239AC67B" w:rsidR="0057547C" w:rsidRPr="00BB2AEF" w:rsidRDefault="0057547C" w:rsidP="003904FB">
      <w:pPr>
        <w:spacing w:before="100" w:beforeAutospacing="1" w:after="100" w:afterAutospacing="1" w:line="360" w:lineRule="auto"/>
        <w:ind w:left="720"/>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Attention Deficit Hyperactivity Disorder (ADHD)</w:t>
      </w:r>
      <w:r w:rsidR="003904FB">
        <w:rPr>
          <w:rFonts w:ascii="Arial" w:eastAsia="Times New Roman" w:hAnsi="Arial" w:cs="Arial"/>
          <w:color w:val="000000" w:themeColor="text1"/>
          <w:kern w:val="0"/>
          <w:lang w:eastAsia="en-GB"/>
          <w14:ligatures w14:val="none"/>
        </w:rPr>
        <w:t xml:space="preserve"> </w:t>
      </w:r>
      <w:r w:rsidRPr="00BB2AEF">
        <w:rPr>
          <w:rFonts w:ascii="Arial" w:eastAsia="Times New Roman" w:hAnsi="Arial" w:cs="Arial"/>
          <w:color w:val="000000" w:themeColor="text1"/>
          <w:kern w:val="0"/>
          <w:lang w:eastAsia="en-GB"/>
          <w14:ligatures w14:val="none"/>
        </w:rPr>
        <w:t xml:space="preserve">A neurodevelopmental condition characterised by persistent patterns of inattention, hyperactivity, and impulsivity that interfere with functioning or development </w:t>
      </w:r>
      <w:r w:rsidR="00D11B1F" w:rsidRPr="00BB2AEF">
        <w:rPr>
          <w:rFonts w:ascii="Arial" w:hAnsi="Arial" w:cs="Arial"/>
          <w:color w:val="000000" w:themeColor="text1"/>
        </w:rPr>
        <w:t>(World Health Organization, 2022).</w:t>
      </w:r>
      <w:r w:rsidR="00D11B1F" w:rsidRPr="00BB2AEF">
        <w:rPr>
          <w:rFonts w:ascii="Arial" w:eastAsia="Times New Roman" w:hAnsi="Arial" w:cs="Arial"/>
          <w:color w:val="000000" w:themeColor="text1"/>
          <w:kern w:val="0"/>
          <w:lang w:eastAsia="en-GB"/>
          <w14:ligatures w14:val="none"/>
        </w:rPr>
        <w:t xml:space="preserve"> </w:t>
      </w:r>
    </w:p>
    <w:p w14:paraId="2C160587" w14:textId="77777777" w:rsidR="0057547C" w:rsidRPr="00BB2AEF" w:rsidRDefault="0057547C" w:rsidP="00BB2AEF">
      <w:pPr>
        <w:numPr>
          <w:ilvl w:val="0"/>
          <w:numId w:val="2"/>
        </w:num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Stimulant Medication: A class of drugs commonly prescribed to manage ADHD symptoms by increasing levels of dopamine and norepinephrine in the brain, improving focus and behavioural control. Examples include methylphenidate and lisdexamfetamine (NICE, 2018).</w:t>
      </w:r>
    </w:p>
    <w:p w14:paraId="63DED1F3" w14:textId="77777777" w:rsidR="0057547C" w:rsidRPr="00BB2AEF" w:rsidRDefault="0057547C" w:rsidP="00BB2AEF">
      <w:pPr>
        <w:numPr>
          <w:ilvl w:val="0"/>
          <w:numId w:val="2"/>
        </w:num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Non-Stimulant Medication: Alternative pharmacological treatments for ADHD that act differently on the brain, such as atomoxetine and guanfacine, often prescribed when stimulants are unsuitable or ineffective (Cortese et al., 2018).</w:t>
      </w:r>
    </w:p>
    <w:p w14:paraId="7629432C" w14:textId="2CF659AC" w:rsidR="0057547C" w:rsidRPr="00BB2AEF" w:rsidRDefault="0057547C" w:rsidP="00BB2AEF">
      <w:pPr>
        <w:numPr>
          <w:ilvl w:val="0"/>
          <w:numId w:val="2"/>
        </w:num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Children: </w:t>
      </w:r>
      <w:r w:rsidR="0079340C" w:rsidRPr="00BB2AEF">
        <w:rPr>
          <w:rFonts w:ascii="Arial" w:hAnsi="Arial" w:cs="Arial"/>
          <w:color w:val="000000" w:themeColor="text1"/>
        </w:rPr>
        <w:t xml:space="preserve">For the purpose of this study, </w:t>
      </w:r>
      <w:r w:rsidR="0079340C" w:rsidRPr="00BB2AEF">
        <w:rPr>
          <w:rStyle w:val="Emphasis"/>
          <w:rFonts w:ascii="Arial" w:hAnsi="Arial" w:cs="Arial"/>
          <w:i w:val="0"/>
          <w:iCs w:val="0"/>
          <w:color w:val="000000" w:themeColor="text1"/>
        </w:rPr>
        <w:t>children</w:t>
      </w:r>
      <w:r w:rsidR="0079340C" w:rsidRPr="00BB2AEF">
        <w:rPr>
          <w:rFonts w:ascii="Arial" w:hAnsi="Arial" w:cs="Arial"/>
          <w:i/>
          <w:iCs/>
          <w:color w:val="000000" w:themeColor="text1"/>
        </w:rPr>
        <w:t xml:space="preserve"> </w:t>
      </w:r>
      <w:r w:rsidR="0079340C" w:rsidRPr="00BB2AEF">
        <w:rPr>
          <w:rFonts w:ascii="Arial" w:hAnsi="Arial" w:cs="Arial"/>
          <w:color w:val="000000" w:themeColor="text1"/>
        </w:rPr>
        <w:t xml:space="preserve">are defined as persons under the age of eighteen, in accordance with the </w:t>
      </w:r>
      <w:r w:rsidR="0079340C" w:rsidRPr="00BB2AEF">
        <w:rPr>
          <w:rStyle w:val="Strong"/>
          <w:rFonts w:ascii="Arial" w:hAnsi="Arial" w:cs="Arial"/>
          <w:b w:val="0"/>
          <w:bCs w:val="0"/>
          <w:color w:val="000000" w:themeColor="text1"/>
        </w:rPr>
        <w:t>United</w:t>
      </w:r>
      <w:r w:rsidR="0079340C" w:rsidRPr="00BB2AEF">
        <w:rPr>
          <w:rStyle w:val="Strong"/>
          <w:rFonts w:ascii="Arial" w:hAnsi="Arial" w:cs="Arial"/>
          <w:color w:val="000000" w:themeColor="text1"/>
        </w:rPr>
        <w:t xml:space="preserve"> </w:t>
      </w:r>
      <w:r w:rsidR="0079340C" w:rsidRPr="00BB2AEF">
        <w:rPr>
          <w:rStyle w:val="Strong"/>
          <w:rFonts w:ascii="Arial" w:hAnsi="Arial" w:cs="Arial"/>
          <w:b w:val="0"/>
          <w:bCs w:val="0"/>
          <w:color w:val="000000" w:themeColor="text1"/>
        </w:rPr>
        <w:t>Nations</w:t>
      </w:r>
      <w:r w:rsidR="0079340C" w:rsidRPr="00BB2AEF">
        <w:rPr>
          <w:rStyle w:val="Strong"/>
          <w:rFonts w:ascii="Arial" w:hAnsi="Arial" w:cs="Arial"/>
          <w:color w:val="000000" w:themeColor="text1"/>
        </w:rPr>
        <w:t xml:space="preserve"> </w:t>
      </w:r>
      <w:r w:rsidR="0079340C" w:rsidRPr="00BB2AEF">
        <w:rPr>
          <w:rStyle w:val="Strong"/>
          <w:rFonts w:ascii="Arial" w:hAnsi="Arial" w:cs="Arial"/>
          <w:b w:val="0"/>
          <w:bCs w:val="0"/>
          <w:color w:val="000000" w:themeColor="text1"/>
        </w:rPr>
        <w:t>Convention on the Rights of the Child (UNCRC, 1989)</w:t>
      </w:r>
      <w:r w:rsidR="00606789" w:rsidRPr="00BB2AEF">
        <w:rPr>
          <w:rStyle w:val="Strong"/>
          <w:rFonts w:ascii="Arial" w:hAnsi="Arial" w:cs="Arial"/>
          <w:b w:val="0"/>
          <w:bCs w:val="0"/>
          <w:color w:val="000000" w:themeColor="text1"/>
        </w:rPr>
        <w:t>,</w:t>
      </w:r>
      <w:r w:rsidR="0079340C" w:rsidRPr="00BB2AEF">
        <w:rPr>
          <w:rFonts w:ascii="Arial" w:hAnsi="Arial" w:cs="Arial"/>
          <w:color w:val="000000" w:themeColor="text1"/>
        </w:rPr>
        <w:t xml:space="preserve"> and as recognised by the </w:t>
      </w:r>
      <w:r w:rsidR="0079340C" w:rsidRPr="00BB2AEF">
        <w:rPr>
          <w:rStyle w:val="Strong"/>
          <w:rFonts w:ascii="Arial" w:hAnsi="Arial" w:cs="Arial"/>
          <w:b w:val="0"/>
          <w:bCs w:val="0"/>
          <w:color w:val="000000" w:themeColor="text1"/>
        </w:rPr>
        <w:t>World Health Organization (WHO, 2023).</w:t>
      </w:r>
    </w:p>
    <w:p w14:paraId="2802DE68" w14:textId="77777777" w:rsidR="0057547C" w:rsidRPr="00BB2AEF" w:rsidRDefault="0057547C" w:rsidP="00BB2AEF">
      <w:pPr>
        <w:numPr>
          <w:ilvl w:val="0"/>
          <w:numId w:val="2"/>
        </w:num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Family Support: Support provided to families by Local Authorities, schools, and voluntary organisations to help manage the challenges of raising a child with ADHD. This may include parenting programmes, social care involvement, and advice from community health services (Department for Education, 2022; ADHD Foundation, 2022).</w:t>
      </w:r>
    </w:p>
    <w:p w14:paraId="46873B6E" w14:textId="704BC5CB" w:rsidR="00903AC9" w:rsidRPr="00BB2AEF" w:rsidRDefault="0057547C" w:rsidP="00BB2AEF">
      <w:pPr>
        <w:numPr>
          <w:ilvl w:val="0"/>
          <w:numId w:val="2"/>
        </w:num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National Health Service (NHS) and Private Sector: The NHS is the publicly funded healthcare system in the United Kingdom, responsible for ADHD diagnosis, medication, and ongoing care. Due to increasing waiting times, many families also access private ADHD assessments and treatment, with joint care often managed between NHS and private providers (NHS England, 2023; BBC News, 2023)</w:t>
      </w:r>
      <w:r w:rsidR="00940E7F" w:rsidRPr="00BB2AEF">
        <w:rPr>
          <w:rFonts w:ascii="Arial" w:eastAsia="Times New Roman" w:hAnsi="Arial" w:cs="Arial"/>
          <w:color w:val="000000" w:themeColor="text1"/>
          <w:kern w:val="0"/>
          <w:lang w:eastAsia="en-GB"/>
          <w14:ligatures w14:val="none"/>
        </w:rPr>
        <w:t>.</w:t>
      </w:r>
    </w:p>
    <w:p w14:paraId="30309B78" w14:textId="77777777" w:rsidR="009529A1" w:rsidRDefault="009529A1" w:rsidP="00BB2AEF">
      <w:pPr>
        <w:spacing w:before="100" w:beforeAutospacing="1" w:after="100" w:afterAutospacing="1" w:line="360" w:lineRule="auto"/>
        <w:ind w:left="720"/>
        <w:rPr>
          <w:rFonts w:ascii="Arial" w:eastAsia="Times New Roman" w:hAnsi="Arial" w:cs="Arial"/>
          <w:b/>
          <w:bCs/>
          <w:color w:val="000000" w:themeColor="text1"/>
          <w:kern w:val="0"/>
          <w:lang w:eastAsia="en-GB"/>
          <w14:ligatures w14:val="none"/>
        </w:rPr>
      </w:pPr>
    </w:p>
    <w:p w14:paraId="3FA53906" w14:textId="16E6D2C5" w:rsidR="003D3422" w:rsidRPr="003904FB" w:rsidRDefault="003D3422" w:rsidP="00BB2AEF">
      <w:pPr>
        <w:spacing w:before="100" w:beforeAutospacing="1" w:after="100" w:afterAutospacing="1" w:line="360" w:lineRule="auto"/>
        <w:ind w:left="720"/>
        <w:rPr>
          <w:rFonts w:ascii="Arial" w:eastAsia="Times New Roman" w:hAnsi="Arial" w:cs="Arial"/>
          <w:b/>
          <w:bCs/>
          <w:color w:val="000000" w:themeColor="text1"/>
          <w:kern w:val="0"/>
          <w:lang w:eastAsia="en-GB"/>
          <w14:ligatures w14:val="none"/>
        </w:rPr>
      </w:pPr>
      <w:r w:rsidRPr="003904FB">
        <w:rPr>
          <w:rFonts w:ascii="Arial" w:eastAsia="Times New Roman" w:hAnsi="Arial" w:cs="Arial"/>
          <w:b/>
          <w:bCs/>
          <w:color w:val="000000" w:themeColor="text1"/>
          <w:kern w:val="0"/>
          <w:lang w:eastAsia="en-GB"/>
          <w14:ligatures w14:val="none"/>
        </w:rPr>
        <w:lastRenderedPageBreak/>
        <w:t>Background</w:t>
      </w:r>
      <w:r w:rsidR="00E326D8" w:rsidRPr="003904FB">
        <w:rPr>
          <w:rFonts w:ascii="Arial" w:eastAsia="Times New Roman" w:hAnsi="Arial" w:cs="Arial"/>
          <w:b/>
          <w:bCs/>
          <w:color w:val="000000" w:themeColor="text1"/>
          <w:kern w:val="0"/>
          <w:lang w:eastAsia="en-GB"/>
          <w14:ligatures w14:val="none"/>
        </w:rPr>
        <w:t>:</w:t>
      </w:r>
    </w:p>
    <w:p w14:paraId="387A68DF" w14:textId="4963EFBC" w:rsidR="0072761D" w:rsidRPr="00BB2AEF" w:rsidRDefault="00C800A3" w:rsidP="00BB2AEF">
      <w:pPr>
        <w:spacing w:before="100" w:beforeAutospacing="1" w:after="100" w:afterAutospacing="1" w:line="360" w:lineRule="auto"/>
        <w:outlineLvl w:val="2"/>
        <w:rPr>
          <w:rFonts w:ascii="Arial" w:eastAsia="Times New Roman" w:hAnsi="Arial" w:cs="Arial"/>
          <w:color w:val="000000" w:themeColor="text1"/>
          <w:kern w:val="0"/>
          <w:lang w:eastAsia="en-GB"/>
          <w14:ligatures w14:val="none"/>
        </w:rPr>
      </w:pPr>
      <w:r w:rsidRPr="00BB2AEF">
        <w:rPr>
          <w:rFonts w:ascii="Arial" w:hAnsi="Arial" w:cs="Arial"/>
          <w:color w:val="000000" w:themeColor="text1"/>
        </w:rPr>
        <w:t xml:space="preserve">Attention Deficit Hyperactivity Disorder (ADHD) has been formally recognised in the United Kingdom since the mid-twentieth century, evolving from the earlier classification of </w:t>
      </w:r>
      <w:r w:rsidRPr="00BB2AEF">
        <w:rPr>
          <w:rStyle w:val="Emphasis"/>
          <w:rFonts w:ascii="Arial" w:hAnsi="Arial" w:cs="Arial"/>
          <w:i w:val="0"/>
          <w:iCs w:val="0"/>
          <w:color w:val="000000" w:themeColor="text1"/>
        </w:rPr>
        <w:t>hyperkinetic disorder</w:t>
      </w:r>
      <w:r w:rsidRPr="00BB2AEF">
        <w:rPr>
          <w:rFonts w:ascii="Arial" w:hAnsi="Arial" w:cs="Arial"/>
          <w:color w:val="000000" w:themeColor="text1"/>
        </w:rPr>
        <w:t xml:space="preserve"> to its present understanding as a neurodevelopmental condition, as defined by the </w:t>
      </w:r>
      <w:r w:rsidRPr="00BB2AEF">
        <w:rPr>
          <w:rStyle w:val="Strong"/>
          <w:rFonts w:ascii="Arial" w:hAnsi="Arial" w:cs="Arial"/>
          <w:b w:val="0"/>
          <w:bCs w:val="0"/>
          <w:color w:val="000000" w:themeColor="text1"/>
        </w:rPr>
        <w:t>National Institute for Health and Care Excellence (NICE, 2018)</w:t>
      </w:r>
      <w:r w:rsidRPr="00BB2AEF">
        <w:rPr>
          <w:rFonts w:ascii="Arial" w:hAnsi="Arial" w:cs="Arial"/>
          <w:b/>
          <w:bCs/>
          <w:color w:val="000000" w:themeColor="text1"/>
        </w:rPr>
        <w:t xml:space="preserve">. </w:t>
      </w:r>
      <w:r w:rsidR="0072761D" w:rsidRPr="00BB2AEF">
        <w:rPr>
          <w:rFonts w:ascii="Arial" w:hAnsi="Arial" w:cs="Arial"/>
          <w:color w:val="000000" w:themeColor="text1"/>
        </w:rPr>
        <w:t>Awareness and diagnosis have gradually increased as research has advanced, public understanding has improved, and diagnostic criteria have been refined. Stimulant medication, such as methylphenidate, became a primary treatment option during the 1990s following guidance from the National Institute for Health and Care Excellence (NICE</w:t>
      </w:r>
      <w:r w:rsidR="007F3837" w:rsidRPr="00BB2AEF">
        <w:rPr>
          <w:rFonts w:ascii="Arial" w:hAnsi="Arial" w:cs="Arial"/>
          <w:color w:val="000000" w:themeColor="text1"/>
        </w:rPr>
        <w:t>,2018</w:t>
      </w:r>
      <w:r w:rsidR="0072761D" w:rsidRPr="00BB2AEF">
        <w:rPr>
          <w:rFonts w:ascii="Arial" w:hAnsi="Arial" w:cs="Arial"/>
          <w:color w:val="000000" w:themeColor="text1"/>
        </w:rPr>
        <w:t>)</w:t>
      </w:r>
      <w:r w:rsidR="00A80D61" w:rsidRPr="00BB2AEF">
        <w:rPr>
          <w:rFonts w:ascii="Arial" w:hAnsi="Arial" w:cs="Arial"/>
          <w:color w:val="000000" w:themeColor="text1"/>
        </w:rPr>
        <w:t xml:space="preserve">. </w:t>
      </w:r>
      <w:r w:rsidR="0072761D" w:rsidRPr="00BB2AEF">
        <w:rPr>
          <w:rFonts w:ascii="Arial" w:hAnsi="Arial" w:cs="Arial"/>
          <w:color w:val="000000" w:themeColor="text1"/>
        </w:rPr>
        <w:t xml:space="preserve"> Early debates centred on the medicalisation of childhood behaviour and the long-term safety of pharmacological treatment. Over time, research has demonstrated that medication can effectively reduce symptoms, enhance concentration, and support educational attainment (Cortese et al., 2018). In recent years, prescriptions for ADHD medication in England have </w:t>
      </w:r>
      <w:r w:rsidR="0072761D" w:rsidRPr="00BB2AEF">
        <w:rPr>
          <w:rStyle w:val="Strong"/>
          <w:rFonts w:ascii="Arial" w:hAnsi="Arial" w:cs="Arial"/>
          <w:b w:val="0"/>
          <w:bCs w:val="0"/>
          <w:color w:val="000000" w:themeColor="text1"/>
        </w:rPr>
        <w:t>risen sharply</w:t>
      </w:r>
      <w:r w:rsidR="0072761D" w:rsidRPr="00BB2AEF">
        <w:rPr>
          <w:rFonts w:ascii="Arial" w:hAnsi="Arial" w:cs="Arial"/>
          <w:color w:val="000000" w:themeColor="text1"/>
        </w:rPr>
        <w:t xml:space="preserve">, from around </w:t>
      </w:r>
      <w:r w:rsidR="0072761D" w:rsidRPr="00BB2AEF">
        <w:rPr>
          <w:rStyle w:val="Strong"/>
          <w:rFonts w:ascii="Arial" w:hAnsi="Arial" w:cs="Arial"/>
          <w:b w:val="0"/>
          <w:bCs w:val="0"/>
          <w:color w:val="000000" w:themeColor="text1"/>
        </w:rPr>
        <w:t>25 per 1,000 people in 2019–20 to over 40 per 1,000 in 2023–24</w:t>
      </w:r>
      <w:r w:rsidR="0072761D" w:rsidRPr="00BB2AEF">
        <w:rPr>
          <w:rFonts w:ascii="Arial" w:hAnsi="Arial" w:cs="Arial"/>
          <w:color w:val="000000" w:themeColor="text1"/>
        </w:rPr>
        <w:t>, reflecting growing recognition and diagnosis</w:t>
      </w:r>
      <w:r w:rsidR="00B9773E" w:rsidRPr="00BB2AEF">
        <w:rPr>
          <w:rFonts w:ascii="Arial" w:hAnsi="Arial" w:cs="Arial"/>
          <w:color w:val="000000" w:themeColor="text1"/>
        </w:rPr>
        <w:t xml:space="preserve"> (NHS Business Services Authority, 2024; BBC News, 2023) </w:t>
      </w:r>
    </w:p>
    <w:p w14:paraId="46139153" w14:textId="440C12F8" w:rsidR="00940E7F" w:rsidRPr="003904FB" w:rsidRDefault="003D3422"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3904FB">
        <w:rPr>
          <w:rFonts w:ascii="Arial" w:eastAsia="Times New Roman" w:hAnsi="Arial" w:cs="Arial"/>
          <w:b/>
          <w:bCs/>
          <w:color w:val="000000" w:themeColor="text1"/>
          <w:kern w:val="0"/>
          <w:lang w:eastAsia="en-GB"/>
          <w14:ligatures w14:val="none"/>
        </w:rPr>
        <w:t>Current Context</w:t>
      </w:r>
      <w:r w:rsidR="00903AC9" w:rsidRPr="003904FB">
        <w:rPr>
          <w:rFonts w:ascii="Arial" w:eastAsia="Times New Roman" w:hAnsi="Arial" w:cs="Arial"/>
          <w:b/>
          <w:bCs/>
          <w:color w:val="000000" w:themeColor="text1"/>
          <w:kern w:val="0"/>
          <w:lang w:eastAsia="en-GB"/>
          <w14:ligatures w14:val="none"/>
        </w:rPr>
        <w:t xml:space="preserve">: </w:t>
      </w:r>
    </w:p>
    <w:p w14:paraId="34CAB5D6" w14:textId="5B99C8A2" w:rsidR="00CD571D" w:rsidRPr="00BB2AEF" w:rsidRDefault="00485EF8"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ADHD remains a significant public-health issue in the United Kingdom, affecting approximately </w:t>
      </w:r>
      <w:r w:rsidRPr="00BB2AEF">
        <w:rPr>
          <w:rStyle w:val="Strong"/>
          <w:rFonts w:ascii="Arial" w:eastAsiaTheme="majorEastAsia" w:hAnsi="Arial" w:cs="Arial"/>
          <w:b w:val="0"/>
          <w:bCs w:val="0"/>
          <w:color w:val="000000" w:themeColor="text1"/>
          <w:sz w:val="22"/>
          <w:szCs w:val="22"/>
        </w:rPr>
        <w:t>3–5 per cent of school-aged children</w:t>
      </w:r>
      <w:r w:rsidRPr="00BB2AEF">
        <w:rPr>
          <w:rFonts w:ascii="Arial" w:hAnsi="Arial" w:cs="Arial"/>
          <w:color w:val="000000" w:themeColor="text1"/>
          <w:sz w:val="22"/>
          <w:szCs w:val="22"/>
        </w:rPr>
        <w:t xml:space="preserve"> (NICE, 2018). National policies, such as the </w:t>
      </w:r>
      <w:r w:rsidRPr="00BB2AEF">
        <w:rPr>
          <w:rStyle w:val="Strong"/>
          <w:rFonts w:ascii="Arial" w:eastAsiaTheme="majorEastAsia" w:hAnsi="Arial" w:cs="Arial"/>
          <w:b w:val="0"/>
          <w:bCs w:val="0"/>
          <w:color w:val="000000" w:themeColor="text1"/>
          <w:sz w:val="22"/>
          <w:szCs w:val="22"/>
        </w:rPr>
        <w:t>Children and Families Act (2014)</w:t>
      </w:r>
      <w:r w:rsidRPr="00BB2AEF">
        <w:rPr>
          <w:rFonts w:ascii="Arial" w:hAnsi="Arial" w:cs="Arial"/>
          <w:color w:val="000000" w:themeColor="text1"/>
          <w:sz w:val="22"/>
          <w:szCs w:val="22"/>
        </w:rPr>
        <w:t xml:space="preserve"> and the </w:t>
      </w:r>
      <w:r w:rsidRPr="00BB2AEF">
        <w:rPr>
          <w:rStyle w:val="Strong"/>
          <w:rFonts w:ascii="Arial" w:eastAsiaTheme="majorEastAsia" w:hAnsi="Arial" w:cs="Arial"/>
          <w:b w:val="0"/>
          <w:bCs w:val="0"/>
          <w:color w:val="000000" w:themeColor="text1"/>
          <w:sz w:val="22"/>
          <w:szCs w:val="22"/>
        </w:rPr>
        <w:t>NHS Long Term Plan (2019)</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emphasise early identification and improved access to mental health services for children and young people. By early </w:t>
      </w:r>
      <w:r w:rsidRPr="00BB2AEF">
        <w:rPr>
          <w:rStyle w:val="Strong"/>
          <w:rFonts w:ascii="Arial" w:eastAsiaTheme="majorEastAsia" w:hAnsi="Arial" w:cs="Arial"/>
          <w:b w:val="0"/>
          <w:bCs w:val="0"/>
          <w:color w:val="000000" w:themeColor="text1"/>
          <w:sz w:val="22"/>
          <w:szCs w:val="22"/>
        </w:rPr>
        <w:t>2025</w:t>
      </w:r>
      <w:r w:rsidRPr="00BB2AEF">
        <w:rPr>
          <w:rFonts w:ascii="Arial" w:hAnsi="Arial" w:cs="Arial"/>
          <w:color w:val="000000" w:themeColor="text1"/>
          <w:sz w:val="22"/>
          <w:szCs w:val="22"/>
        </w:rPr>
        <w:t xml:space="preserve">, an estimated </w:t>
      </w:r>
      <w:r w:rsidRPr="00BB2AEF">
        <w:rPr>
          <w:rStyle w:val="Strong"/>
          <w:rFonts w:ascii="Arial" w:eastAsiaTheme="majorEastAsia" w:hAnsi="Arial" w:cs="Arial"/>
          <w:b w:val="0"/>
          <w:bCs w:val="0"/>
          <w:color w:val="000000" w:themeColor="text1"/>
          <w:sz w:val="22"/>
          <w:szCs w:val="22"/>
        </w:rPr>
        <w:t>half a million people were waiting for an ADHD assessment</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including around </w:t>
      </w:r>
      <w:r w:rsidRPr="00BB2AEF">
        <w:rPr>
          <w:rStyle w:val="Strong"/>
          <w:rFonts w:ascii="Arial" w:eastAsiaTheme="majorEastAsia" w:hAnsi="Arial" w:cs="Arial"/>
          <w:b w:val="0"/>
          <w:bCs w:val="0"/>
          <w:color w:val="000000" w:themeColor="text1"/>
          <w:sz w:val="22"/>
          <w:szCs w:val="22"/>
        </w:rPr>
        <w:t>380,000 children and young people</w:t>
      </w:r>
      <w:r w:rsidRPr="00BB2AEF">
        <w:rPr>
          <w:rFonts w:ascii="Arial" w:hAnsi="Arial" w:cs="Arial"/>
          <w:color w:val="000000" w:themeColor="text1"/>
          <w:sz w:val="22"/>
          <w:szCs w:val="22"/>
        </w:rPr>
        <w:t>. Families often experience both advantages and challenges</w:t>
      </w:r>
      <w:r w:rsidR="00ED5A90" w:rsidRPr="00BB2AEF">
        <w:rPr>
          <w:rFonts w:ascii="Arial" w:hAnsi="Arial" w:cs="Arial"/>
          <w:color w:val="000000" w:themeColor="text1"/>
          <w:sz w:val="22"/>
          <w:szCs w:val="22"/>
        </w:rPr>
        <w:t xml:space="preserve">, </w:t>
      </w:r>
      <w:r w:rsidRPr="00BB2AEF">
        <w:rPr>
          <w:rFonts w:ascii="Arial" w:hAnsi="Arial" w:cs="Arial"/>
          <w:color w:val="000000" w:themeColor="text1"/>
          <w:sz w:val="22"/>
          <w:szCs w:val="22"/>
        </w:rPr>
        <w:t xml:space="preserve">improved focus yet continuing concerns about side effects, emotional wellbeing, and delays in assessment. NHS waiting times for diagnosis frequently exceed </w:t>
      </w:r>
      <w:r w:rsidRPr="00BB2AEF">
        <w:rPr>
          <w:rStyle w:val="Strong"/>
          <w:rFonts w:ascii="Arial" w:eastAsiaTheme="majorEastAsia" w:hAnsi="Arial" w:cs="Arial"/>
          <w:b w:val="0"/>
          <w:bCs w:val="0"/>
          <w:color w:val="000000" w:themeColor="text1"/>
          <w:sz w:val="22"/>
          <w:szCs w:val="22"/>
        </w:rPr>
        <w:t>12–24 months</w:t>
      </w:r>
      <w:r w:rsidRPr="00BB2AEF">
        <w:rPr>
          <w:rFonts w:ascii="Arial" w:hAnsi="Arial" w:cs="Arial"/>
          <w:color w:val="000000" w:themeColor="text1"/>
          <w:sz w:val="22"/>
          <w:szCs w:val="22"/>
        </w:rPr>
        <w:t>, prompting some families to seek private assessments (NHS England, 2023). These trends highlight the continuing need for equitable, family-centred, and policy-driven ADHD services across the UK.</w:t>
      </w:r>
    </w:p>
    <w:p w14:paraId="03098C0C" w14:textId="77777777" w:rsidR="00BB5C79" w:rsidRDefault="00BB5C79"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p>
    <w:p w14:paraId="7B36DA9E" w14:textId="77777777" w:rsidR="00BB5C79" w:rsidRDefault="00BB5C79"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p>
    <w:p w14:paraId="668A67DD" w14:textId="77777777" w:rsidR="009529A1" w:rsidRDefault="009529A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p>
    <w:p w14:paraId="74E79F20" w14:textId="53C92482" w:rsidR="00EB29E6" w:rsidRPr="00BB2AEF" w:rsidRDefault="00EB29E6"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lastRenderedPageBreak/>
        <w:t>Rationale for Research</w:t>
      </w:r>
    </w:p>
    <w:p w14:paraId="74D07340" w14:textId="77777777" w:rsidR="00EB29E6" w:rsidRPr="00BB2AEF" w:rsidRDefault="00EB29E6"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research is motivated by the increasing diagnosis of Attention Deficit Hyperactivity Disorder (ADHD) among children in the United Kingdom and the growing reliance on medication as a central component of treatment. National prescribing data show a steady rise in the use of ADHD medication, reflecting wider trends in child mental health services and increasing pressure on clinical provision (NICE, 2018; NHS Digital, 2022). The NHS Long Term Plan further highlights child and adolescent mental health as a priority area, emphasising early intervention and improved outcomes for children and families (NHS England, 2019). While medication is widely recognised as effective in reducing core ADHD symptoms such as inattention and hyperactivity, concerns remain regarding its long-term effects on children’s wellbeing and family life (Cortese et al., 2018; MHRA, 2019).</w:t>
      </w:r>
    </w:p>
    <w:p w14:paraId="7BE25C5A" w14:textId="77777777" w:rsidR="00EB29E6" w:rsidRPr="00BB2AEF" w:rsidRDefault="00EB29E6"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Current research has largely focused on clinical effectiveness and symptom management, with comparatively limited attention paid to the wider emotional, social, and practical experiences of families supporting medicated children with ADHD. Evidence exploring parental stress, family relationships, and the everyday challenges associated with medication use remains underdeveloped, particularly within a UK policy and practice context (Daley et al., 2020). This represents an important gap, as contemporary health policy increasingly recognises the need for holistic, family-centred approaches rather than purely biomedical models of care (NICE, 2018; NHS England, 2019).</w:t>
      </w:r>
    </w:p>
    <w:p w14:paraId="1D4BB313" w14:textId="43B55E4D" w:rsidR="00262E89" w:rsidRPr="00F87302" w:rsidRDefault="00EB29E6" w:rsidP="00F87302">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study aims to address this gap by critically synthesising clinical evidence, safety data, and policy guidance to examine both the effectiveness and safety of ADHD medication and its broader impact on families. By adopting a secondary research approach, the study contributes to ongoing debates surrounding ethical prescribing, long-term outcomes, and integrated care pathways in child mental health services. Although secondary research presents limitations, it provides a robust and evidence-based foundation for understanding a significant public health issue and informing future policy and practice (Cohen, Manion and Morrison, 2018).</w:t>
      </w:r>
    </w:p>
    <w:p w14:paraId="327D2AF8" w14:textId="293B5F25" w:rsidR="00903AC9" w:rsidRPr="00BB2AEF" w:rsidRDefault="00903AC9" w:rsidP="00BB2AEF">
      <w:pPr>
        <w:pStyle w:val="NormalWeb"/>
        <w:spacing w:line="360" w:lineRule="auto"/>
        <w:rPr>
          <w:rFonts w:ascii="Arial" w:hAnsi="Arial" w:cs="Arial"/>
          <w:color w:val="000000" w:themeColor="text1"/>
          <w:sz w:val="22"/>
          <w:szCs w:val="22"/>
        </w:rPr>
      </w:pPr>
    </w:p>
    <w:p w14:paraId="060336D0" w14:textId="2DE5B047" w:rsidR="00CC14DF" w:rsidRPr="00BB2AEF" w:rsidRDefault="00CC14DF" w:rsidP="00BB2AEF">
      <w:pPr>
        <w:pStyle w:val="NormalWeb"/>
        <w:spacing w:line="360" w:lineRule="auto"/>
        <w:rPr>
          <w:rFonts w:ascii="Arial" w:hAnsi="Arial" w:cs="Arial"/>
          <w:color w:val="000000" w:themeColor="text1"/>
          <w:sz w:val="22"/>
          <w:szCs w:val="22"/>
        </w:rPr>
      </w:pPr>
      <w:r w:rsidRPr="00BB2AEF">
        <w:rPr>
          <w:rFonts w:ascii="Arial" w:hAnsi="Arial" w:cs="Arial"/>
          <w:noProof/>
          <w:color w:val="000000" w:themeColor="text1"/>
          <w:sz w:val="22"/>
          <w:szCs w:val="22"/>
        </w:rPr>
        <w:lastRenderedPageBreak/>
        <w:drawing>
          <wp:inline distT="0" distB="0" distL="0" distR="0" wp14:anchorId="380991F6" wp14:editId="08363630">
            <wp:extent cx="3737689" cy="2682910"/>
            <wp:effectExtent l="0" t="0" r="0" b="3175"/>
            <wp:docPr id="1561855414" name="Picture 1">
              <a:extLst xmlns:a="http://schemas.openxmlformats.org/drawingml/2006/main">
                <a:ext uri="{FF2B5EF4-FFF2-40B4-BE49-F238E27FC236}">
                  <a16:creationId xmlns:a16="http://schemas.microsoft.com/office/drawing/2014/main" id="{595B94A6-4A58-45ED-A941-98F5D48BBF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58956" cy="2698176"/>
                    </a:xfrm>
                    <a:prstGeom prst="rect">
                      <a:avLst/>
                    </a:prstGeom>
                    <a:noFill/>
                  </pic:spPr>
                </pic:pic>
              </a:graphicData>
            </a:graphic>
          </wp:inline>
        </w:drawing>
      </w:r>
    </w:p>
    <w:p w14:paraId="5F7B8ECB" w14:textId="4357439E" w:rsidR="00CC14DF" w:rsidRPr="000563BD" w:rsidRDefault="005B0196" w:rsidP="00BB2AEF">
      <w:pPr>
        <w:pStyle w:val="NormalWeb"/>
        <w:spacing w:line="360" w:lineRule="auto"/>
        <w:rPr>
          <w:rFonts w:ascii="Arial" w:hAnsi="Arial" w:cs="Arial"/>
          <w:color w:val="000000" w:themeColor="text1"/>
          <w:sz w:val="18"/>
          <w:szCs w:val="18"/>
        </w:rPr>
      </w:pPr>
      <w:r w:rsidRPr="000563BD">
        <w:rPr>
          <w:rStyle w:val="Strong"/>
          <w:rFonts w:ascii="Arial" w:eastAsiaTheme="majorEastAsia" w:hAnsi="Arial" w:cs="Arial"/>
          <w:color w:val="000000" w:themeColor="text1"/>
          <w:sz w:val="18"/>
          <w:szCs w:val="18"/>
        </w:rPr>
        <w:t>Figure 1: ADHD Prescription Rates in England (2019–2024)</w:t>
      </w:r>
      <w:r w:rsidRPr="000563BD">
        <w:rPr>
          <w:rFonts w:ascii="Arial" w:hAnsi="Arial" w:cs="Arial"/>
          <w:color w:val="000000" w:themeColor="text1"/>
          <w:sz w:val="18"/>
          <w:szCs w:val="18"/>
        </w:rPr>
        <w:br/>
      </w:r>
      <w:r w:rsidRPr="000563BD">
        <w:rPr>
          <w:rStyle w:val="Emphasis"/>
          <w:rFonts w:ascii="Arial" w:eastAsiaTheme="majorEastAsia" w:hAnsi="Arial" w:cs="Arial"/>
          <w:color w:val="000000" w:themeColor="text1"/>
          <w:sz w:val="18"/>
          <w:szCs w:val="18"/>
        </w:rPr>
        <w:t xml:space="preserve">Source: Adapted from NHS Digital </w:t>
      </w:r>
      <w:r w:rsidR="00E050E8" w:rsidRPr="000563BD">
        <w:rPr>
          <w:rFonts w:ascii="Arial" w:hAnsi="Arial" w:cs="Arial"/>
          <w:color w:val="000000" w:themeColor="text1"/>
          <w:sz w:val="18"/>
          <w:szCs w:val="18"/>
        </w:rPr>
        <w:t>(NHS Digital, 2024).</w:t>
      </w:r>
    </w:p>
    <w:p w14:paraId="1FD36E0F" w14:textId="77777777" w:rsidR="002D01E5" w:rsidRPr="00BB2AEF" w:rsidRDefault="002D01E5" w:rsidP="00BB2AEF">
      <w:pPr>
        <w:pStyle w:val="NormalWeb"/>
        <w:spacing w:line="360" w:lineRule="auto"/>
        <w:rPr>
          <w:rFonts w:ascii="Arial" w:hAnsi="Arial" w:cs="Arial"/>
          <w:color w:val="000000" w:themeColor="text1"/>
          <w:sz w:val="22"/>
          <w:szCs w:val="22"/>
        </w:rPr>
      </w:pPr>
    </w:p>
    <w:p w14:paraId="712AC520" w14:textId="77777777" w:rsidR="002D01E5" w:rsidRPr="00BB2AEF" w:rsidRDefault="002D01E5" w:rsidP="00BB2AEF">
      <w:pPr>
        <w:spacing w:before="100" w:beforeAutospacing="1" w:after="100" w:afterAutospacing="1" w:line="360" w:lineRule="auto"/>
        <w:outlineLvl w:val="1"/>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Aim and Objectives</w:t>
      </w:r>
    </w:p>
    <w:p w14:paraId="10D9418F" w14:textId="77777777" w:rsidR="002D01E5" w:rsidRPr="00BB2AEF" w:rsidRDefault="002D01E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Research Aim</w:t>
      </w:r>
    </w:p>
    <w:p w14:paraId="79B4C8C3" w14:textId="77777777" w:rsidR="002D01E5" w:rsidRPr="00BB2AEF" w:rsidRDefault="002D01E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The aim of this research is to critically assess the effectiveness and safety of Attention Deficit Hyperactivity Disorder (ADHD) medication in children in the United Kingdom, while also exploring its wider impact on families. ADHD medication is commonly used within UK child mental health services and is supported by national clinical guidance. However, concerns remain about long-term outcomes, side effects, and the social and emotional effects on children and their families. This study will bring together clinical evidence, safety information and policy guidance to support best practice in child mental health care.</w:t>
      </w:r>
    </w:p>
    <w:p w14:paraId="2786DB6D" w14:textId="77777777" w:rsidR="002D01E5" w:rsidRPr="00BB2AEF" w:rsidRDefault="002D01E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Research Objectives</w:t>
      </w:r>
    </w:p>
    <w:p w14:paraId="7B9C9E5D" w14:textId="77777777" w:rsidR="002D01E5" w:rsidRPr="00BB2AEF" w:rsidRDefault="002D01E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Objective 1:</w:t>
      </w:r>
      <w:r w:rsidRPr="00BB2AEF">
        <w:rPr>
          <w:rFonts w:ascii="Arial" w:eastAsia="Times New Roman" w:hAnsi="Arial" w:cs="Arial"/>
          <w:color w:val="000000" w:themeColor="text1"/>
          <w:kern w:val="0"/>
          <w:lang w:eastAsia="en-GB"/>
          <w14:ligatures w14:val="none"/>
        </w:rPr>
        <w:br/>
        <w:t>To explore the current use of ADHD medication in children in the UK, with reference to National Institute for Health and Care Excellence (NICE) guidance and national prescribing data (NICE, 2018; NHS Digital, 2022).</w:t>
      </w:r>
    </w:p>
    <w:p w14:paraId="427457B6" w14:textId="77777777" w:rsidR="002D01E5" w:rsidRPr="00BB2AEF" w:rsidRDefault="002D01E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Objective 2:</w:t>
      </w:r>
      <w:r w:rsidRPr="00BB2AEF">
        <w:rPr>
          <w:rFonts w:ascii="Arial" w:eastAsia="Times New Roman" w:hAnsi="Arial" w:cs="Arial"/>
          <w:color w:val="000000" w:themeColor="text1"/>
          <w:kern w:val="0"/>
          <w:lang w:eastAsia="en-GB"/>
          <w14:ligatures w14:val="none"/>
        </w:rPr>
        <w:br/>
        <w:t>To examine how effective commonly prescribed ADHD medications are in supporting children’s behavioural, academic and social outcomes.</w:t>
      </w:r>
    </w:p>
    <w:p w14:paraId="0455B9C3" w14:textId="77777777" w:rsidR="002D01E5" w:rsidRPr="00BB2AEF" w:rsidRDefault="002D01E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lastRenderedPageBreak/>
        <w:t>Objective 3:</w:t>
      </w:r>
      <w:r w:rsidRPr="00BB2AEF">
        <w:rPr>
          <w:rFonts w:ascii="Arial" w:eastAsia="Times New Roman" w:hAnsi="Arial" w:cs="Arial"/>
          <w:color w:val="000000" w:themeColor="text1"/>
          <w:kern w:val="0"/>
          <w:lang w:eastAsia="en-GB"/>
          <w14:ligatures w14:val="none"/>
        </w:rPr>
        <w:br/>
        <w:t>To assess the safety of ADHD medication by considering both short-term and long-term side effects and their potential impact on children’s health and wellbeing.</w:t>
      </w:r>
    </w:p>
    <w:p w14:paraId="67C41CBE" w14:textId="77777777" w:rsidR="002D01E5" w:rsidRPr="00BB2AEF" w:rsidRDefault="002D01E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Objective 4:</w:t>
      </w:r>
      <w:r w:rsidRPr="00BB2AEF">
        <w:rPr>
          <w:rFonts w:ascii="Arial" w:eastAsia="Times New Roman" w:hAnsi="Arial" w:cs="Arial"/>
          <w:color w:val="000000" w:themeColor="text1"/>
          <w:kern w:val="0"/>
          <w:lang w:eastAsia="en-GB"/>
          <w14:ligatures w14:val="none"/>
        </w:rPr>
        <w:br/>
        <w:t>To develop evidence-based recommendations for policy and practice to improve ADHD care pathways, ensuring that medication use is effective, safe and supportive of children and their families across the UK.</w:t>
      </w:r>
    </w:p>
    <w:p w14:paraId="31B10471" w14:textId="77777777" w:rsidR="008F18A4" w:rsidRDefault="008F18A4" w:rsidP="00BB2AEF">
      <w:pPr>
        <w:spacing w:line="360" w:lineRule="auto"/>
        <w:rPr>
          <w:rFonts w:ascii="Arial" w:hAnsi="Arial" w:cs="Arial"/>
          <w:color w:val="000000" w:themeColor="text1"/>
        </w:rPr>
      </w:pPr>
    </w:p>
    <w:p w14:paraId="0C091D66" w14:textId="1F71DF88" w:rsidR="008F18A4" w:rsidRPr="005243A9" w:rsidRDefault="008F18A4" w:rsidP="00BB2AEF">
      <w:pPr>
        <w:spacing w:line="360" w:lineRule="auto"/>
        <w:rPr>
          <w:rFonts w:ascii="Arial" w:hAnsi="Arial" w:cs="Arial"/>
          <w:b/>
          <w:bCs/>
          <w:color w:val="000000" w:themeColor="text1"/>
        </w:rPr>
      </w:pPr>
      <w:r w:rsidRPr="005243A9">
        <w:rPr>
          <w:rFonts w:ascii="Arial" w:hAnsi="Arial" w:cs="Arial"/>
          <w:b/>
          <w:bCs/>
          <w:color w:val="000000" w:themeColor="text1"/>
        </w:rPr>
        <w:t xml:space="preserve">Conclusion: </w:t>
      </w:r>
    </w:p>
    <w:p w14:paraId="7A1DC2AC" w14:textId="77777777" w:rsidR="00083DA8" w:rsidRPr="00BB2AEF" w:rsidRDefault="00083DA8"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This chapter has introduced the focus of the dissertation by outlining the increasing prevalence of Attention Deficit Hyperactivity Disorder (ADHD) among children in the United Kingdom and the growing use of medication as a key treatment approach. It has highlighted the importance of examining not only the effectiveness of ADHD medication, but also its safety and wider impact on children and their families. The chapter has clearly established the rationale for the study and set out the research aim and objectives, emphasising the need for a balanced, evidence-based and family-centred understanding of ADHD management within the UK context.</w:t>
      </w:r>
    </w:p>
    <w:p w14:paraId="62C228B5" w14:textId="77777777" w:rsidR="00083DA8" w:rsidRPr="00BB2AEF" w:rsidRDefault="00083DA8"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The next chapter will build on this foundation by reviewing relevant academic literature, national policies and clinical guidance related to ADHD. It will critically examine existing evidence on medication effectiveness, safety and family experiences, providing a theoretical and policy-based framework to inform the analysis presented in later chapters.</w:t>
      </w:r>
    </w:p>
    <w:p w14:paraId="5C615A3B" w14:textId="77777777" w:rsidR="00083DA8" w:rsidRPr="00BB2AEF" w:rsidRDefault="00083DA8" w:rsidP="00BB2AEF">
      <w:pPr>
        <w:spacing w:line="360" w:lineRule="auto"/>
        <w:rPr>
          <w:rFonts w:ascii="Arial" w:hAnsi="Arial" w:cs="Arial"/>
          <w:color w:val="000000" w:themeColor="text1"/>
        </w:rPr>
      </w:pPr>
    </w:p>
    <w:p w14:paraId="3DFA5C8F" w14:textId="6AEC5A79" w:rsidR="001B7382" w:rsidRPr="00D17F46" w:rsidRDefault="00940E7F" w:rsidP="009234ED">
      <w:pPr>
        <w:spacing w:before="100" w:beforeAutospacing="1" w:after="100" w:afterAutospacing="1" w:line="360" w:lineRule="auto"/>
        <w:rPr>
          <w:rFonts w:ascii="Arial" w:eastAsia="Times New Roman" w:hAnsi="Arial" w:cs="Arial"/>
          <w:b/>
          <w:bCs/>
          <w:color w:val="000000" w:themeColor="text1"/>
          <w:lang w:eastAsia="en-GB"/>
        </w:rPr>
      </w:pPr>
      <w:r w:rsidRPr="00D17F46">
        <w:rPr>
          <w:rFonts w:ascii="Arial" w:eastAsia="Times New Roman" w:hAnsi="Arial" w:cs="Arial"/>
          <w:b/>
          <w:bCs/>
          <w:color w:val="000000" w:themeColor="text1"/>
          <w:lang w:eastAsia="en-GB"/>
        </w:rPr>
        <w:t>Reference</w:t>
      </w:r>
      <w:r w:rsidR="00B62EB0" w:rsidRPr="00D17F46">
        <w:rPr>
          <w:rFonts w:ascii="Arial" w:eastAsia="Times New Roman" w:hAnsi="Arial" w:cs="Arial"/>
          <w:b/>
          <w:bCs/>
          <w:color w:val="000000" w:themeColor="text1"/>
          <w:lang w:eastAsia="en-GB"/>
        </w:rPr>
        <w:t xml:space="preserve"> </w:t>
      </w:r>
      <w:r w:rsidR="00303E34" w:rsidRPr="00D17F46">
        <w:rPr>
          <w:rFonts w:ascii="Arial" w:eastAsia="Times New Roman" w:hAnsi="Arial" w:cs="Arial"/>
          <w:b/>
          <w:bCs/>
          <w:color w:val="000000" w:themeColor="text1"/>
          <w:lang w:eastAsia="en-GB"/>
        </w:rPr>
        <w:t>List:</w:t>
      </w:r>
    </w:p>
    <w:p w14:paraId="1BDA8769" w14:textId="0ADBF042" w:rsidR="00A85B31" w:rsidRPr="00252683" w:rsidRDefault="00A85B31" w:rsidP="005E391F">
      <w:pPr>
        <w:pStyle w:val="NormalWeb"/>
        <w:spacing w:line="360" w:lineRule="auto"/>
        <w:rPr>
          <w:rFonts w:ascii="Arial" w:hAnsi="Arial" w:cs="Arial"/>
          <w:color w:val="000000" w:themeColor="text1"/>
          <w:sz w:val="22"/>
          <w:szCs w:val="22"/>
        </w:rPr>
      </w:pPr>
      <w:r w:rsidRPr="00252683">
        <w:rPr>
          <w:rStyle w:val="Strong"/>
          <w:rFonts w:ascii="Arial" w:eastAsiaTheme="majorEastAsia" w:hAnsi="Arial" w:cs="Arial"/>
          <w:b w:val="0"/>
          <w:bCs w:val="0"/>
          <w:color w:val="000000" w:themeColor="text1"/>
          <w:sz w:val="22"/>
          <w:szCs w:val="22"/>
        </w:rPr>
        <w:t>BBC News (2023</w:t>
      </w:r>
      <w:r w:rsidR="00802CDF" w:rsidRPr="00252683">
        <w:rPr>
          <w:rStyle w:val="Strong"/>
          <w:rFonts w:ascii="Arial" w:eastAsiaTheme="majorEastAsia" w:hAnsi="Arial" w:cs="Arial"/>
          <w:b w:val="0"/>
          <w:bCs w:val="0"/>
          <w:color w:val="000000" w:themeColor="text1"/>
          <w:sz w:val="22"/>
          <w:szCs w:val="22"/>
        </w:rPr>
        <w:t>a</w:t>
      </w:r>
      <w:r w:rsidRPr="00252683">
        <w:rPr>
          <w:rStyle w:val="Strong"/>
          <w:rFonts w:ascii="Arial" w:eastAsiaTheme="majorEastAsia" w:hAnsi="Arial" w:cs="Arial"/>
          <w:b w:val="0"/>
          <w:bCs w:val="0"/>
          <w:color w:val="000000" w:themeColor="text1"/>
          <w:sz w:val="22"/>
          <w:szCs w:val="22"/>
        </w:rPr>
        <w:t>).</w:t>
      </w:r>
      <w:r w:rsidR="005644DE" w:rsidRPr="00252683">
        <w:rPr>
          <w:rStyle w:val="Heading1Char"/>
          <w:rFonts w:ascii="Arial" w:hAnsi="Arial" w:cs="Arial"/>
          <w:sz w:val="22"/>
          <w:szCs w:val="22"/>
        </w:rPr>
        <w:t xml:space="preserve"> </w:t>
      </w:r>
      <w:r w:rsidR="005644DE" w:rsidRPr="00252683">
        <w:rPr>
          <w:rStyle w:val="Emphasis"/>
          <w:rFonts w:ascii="Arial" w:eastAsiaTheme="majorEastAsia" w:hAnsi="Arial" w:cs="Arial"/>
          <w:sz w:val="22"/>
          <w:szCs w:val="22"/>
        </w:rPr>
        <w:t>Private ADHD assessments surge amid long NHS waiting lists</w:t>
      </w:r>
      <w:r w:rsidR="005644DE" w:rsidRPr="00252683">
        <w:rPr>
          <w:rFonts w:ascii="Arial" w:hAnsi="Arial" w:cs="Arial"/>
          <w:sz w:val="22"/>
          <w:szCs w:val="22"/>
        </w:rPr>
        <w:t>. Available</w:t>
      </w:r>
      <w:r w:rsidR="005644DE" w:rsidRPr="00252683">
        <w:rPr>
          <w:rFonts w:ascii="Arial" w:hAnsi="Arial" w:cs="Arial"/>
          <w:color w:val="000000" w:themeColor="text1"/>
          <w:sz w:val="22"/>
          <w:szCs w:val="22"/>
        </w:rPr>
        <w:t>:</w:t>
      </w:r>
      <w:r w:rsidRPr="00252683">
        <w:rPr>
          <w:rFonts w:ascii="Arial" w:hAnsi="Arial" w:cs="Arial"/>
          <w:color w:val="000000" w:themeColor="text1"/>
          <w:sz w:val="22"/>
          <w:szCs w:val="22"/>
        </w:rPr>
        <w:t xml:space="preserve"> Available at: https://www.bbc.co.uk/news (Accessed: 2</w:t>
      </w:r>
      <w:r w:rsidR="00D568EC" w:rsidRPr="00252683">
        <w:rPr>
          <w:rFonts w:ascii="Arial" w:hAnsi="Arial" w:cs="Arial"/>
          <w:color w:val="000000" w:themeColor="text1"/>
          <w:sz w:val="22"/>
          <w:szCs w:val="22"/>
        </w:rPr>
        <w:t>1</w:t>
      </w:r>
      <w:r w:rsidRPr="00252683">
        <w:rPr>
          <w:rFonts w:ascii="Arial" w:hAnsi="Arial" w:cs="Arial"/>
          <w:color w:val="000000" w:themeColor="text1"/>
          <w:sz w:val="22"/>
          <w:szCs w:val="22"/>
        </w:rPr>
        <w:t xml:space="preserve"> October 2025).</w:t>
      </w:r>
    </w:p>
    <w:p w14:paraId="004DBB4A" w14:textId="3171FD50" w:rsidR="00627BE4" w:rsidRPr="00252683" w:rsidRDefault="00627BE4" w:rsidP="005E391F">
      <w:pPr>
        <w:pStyle w:val="NormalWeb"/>
        <w:spacing w:line="360" w:lineRule="auto"/>
        <w:rPr>
          <w:rFonts w:ascii="Arial" w:hAnsi="Arial" w:cs="Arial"/>
          <w:color w:val="000000" w:themeColor="text1"/>
          <w:sz w:val="22"/>
          <w:szCs w:val="22"/>
        </w:rPr>
      </w:pPr>
      <w:r w:rsidRPr="00252683">
        <w:rPr>
          <w:rFonts w:ascii="Arial" w:eastAsiaTheme="minorHAnsi" w:hAnsi="Arial" w:cs="Arial"/>
          <w:kern w:val="2"/>
          <w:sz w:val="22"/>
          <w:szCs w:val="22"/>
          <w:lang w:eastAsia="en-US"/>
          <w14:ligatures w14:val="standardContextual"/>
        </w:rPr>
        <w:t xml:space="preserve">BBC News (2023b) </w:t>
      </w:r>
      <w:r w:rsidRPr="00252683">
        <w:rPr>
          <w:rFonts w:ascii="Arial" w:eastAsiaTheme="minorHAnsi" w:hAnsi="Arial" w:cs="Arial"/>
          <w:i/>
          <w:iCs/>
          <w:kern w:val="2"/>
          <w:sz w:val="22"/>
          <w:szCs w:val="22"/>
          <w:lang w:eastAsia="en-US"/>
          <w14:ligatures w14:val="standardContextual"/>
        </w:rPr>
        <w:t>ADHD prescriptions in England rise sharply since the COVID-19 pandemic</w:t>
      </w:r>
      <w:r w:rsidRPr="00252683">
        <w:rPr>
          <w:rFonts w:ascii="Arial" w:eastAsiaTheme="minorHAnsi" w:hAnsi="Arial" w:cs="Arial"/>
          <w:kern w:val="2"/>
          <w:sz w:val="22"/>
          <w:szCs w:val="22"/>
          <w:lang w:eastAsia="en-US"/>
          <w14:ligatures w14:val="standardContextual"/>
        </w:rPr>
        <w:t xml:space="preserve">. London: BBC. Available at: </w:t>
      </w:r>
      <w:hyperlink r:id="rId21" w:tgtFrame="_new" w:history="1">
        <w:r w:rsidRPr="00252683">
          <w:rPr>
            <w:rFonts w:ascii="Arial" w:eastAsiaTheme="minorHAnsi" w:hAnsi="Arial" w:cs="Arial"/>
            <w:color w:val="0000FF"/>
            <w:kern w:val="2"/>
            <w:sz w:val="22"/>
            <w:szCs w:val="22"/>
            <w:u w:val="single"/>
            <w:lang w:eastAsia="en-US"/>
            <w14:ligatures w14:val="standardContextual"/>
          </w:rPr>
          <w:t>https://www.bbc.co.uk/news</w:t>
        </w:r>
      </w:hyperlink>
      <w:r w:rsidRPr="00252683">
        <w:rPr>
          <w:rFonts w:ascii="Arial" w:eastAsiaTheme="minorHAnsi" w:hAnsi="Arial" w:cs="Arial"/>
          <w:kern w:val="2"/>
          <w:sz w:val="22"/>
          <w:szCs w:val="22"/>
          <w:lang w:eastAsia="en-US"/>
          <w14:ligatures w14:val="standardContextual"/>
        </w:rPr>
        <w:t xml:space="preserve"> (Accessed: 21 October 2025).</w:t>
      </w:r>
    </w:p>
    <w:p w14:paraId="5AEB68DA" w14:textId="63CAB7CC" w:rsidR="00DE4254" w:rsidRPr="00252683" w:rsidRDefault="00A85B31" w:rsidP="005E391F">
      <w:pPr>
        <w:pStyle w:val="NormalWeb"/>
        <w:spacing w:line="360" w:lineRule="auto"/>
        <w:rPr>
          <w:rFonts w:ascii="Arial" w:hAnsi="Arial" w:cs="Arial"/>
          <w:color w:val="000000" w:themeColor="text1"/>
          <w:sz w:val="22"/>
          <w:szCs w:val="22"/>
        </w:rPr>
      </w:pPr>
      <w:r w:rsidRPr="00252683">
        <w:rPr>
          <w:rStyle w:val="Strong"/>
          <w:rFonts w:ascii="Arial" w:eastAsiaTheme="majorEastAsia" w:hAnsi="Arial" w:cs="Arial"/>
          <w:b w:val="0"/>
          <w:bCs w:val="0"/>
          <w:color w:val="000000" w:themeColor="text1"/>
          <w:sz w:val="22"/>
          <w:szCs w:val="22"/>
        </w:rPr>
        <w:lastRenderedPageBreak/>
        <w:t>NHS Business Services Authority (NHSBSA) (2024).</w:t>
      </w:r>
      <w:r w:rsidRPr="00252683">
        <w:rPr>
          <w:rFonts w:ascii="Arial" w:hAnsi="Arial" w:cs="Arial"/>
          <w:color w:val="000000" w:themeColor="text1"/>
          <w:sz w:val="22"/>
          <w:szCs w:val="22"/>
        </w:rPr>
        <w:t xml:space="preserve"> </w:t>
      </w:r>
      <w:r w:rsidRPr="00252683">
        <w:rPr>
          <w:rStyle w:val="Emphasis"/>
          <w:rFonts w:ascii="Arial" w:eastAsiaTheme="majorEastAsia" w:hAnsi="Arial" w:cs="Arial"/>
          <w:color w:val="000000" w:themeColor="text1"/>
          <w:sz w:val="22"/>
          <w:szCs w:val="22"/>
        </w:rPr>
        <w:t>Medicines used for attention deficit hyperactivity disorder (ADHD) in England – 2015/16 to 2023/24.</w:t>
      </w:r>
      <w:r w:rsidRPr="00252683">
        <w:rPr>
          <w:rFonts w:ascii="Arial" w:hAnsi="Arial" w:cs="Arial"/>
          <w:color w:val="000000" w:themeColor="text1"/>
          <w:sz w:val="22"/>
          <w:szCs w:val="22"/>
        </w:rPr>
        <w:t xml:space="preserve"> Leeds: NHSBSA. Available at: </w:t>
      </w:r>
      <w:hyperlink r:id="rId22" w:tgtFrame="_new" w:history="1">
        <w:r w:rsidRPr="00252683">
          <w:rPr>
            <w:rStyle w:val="Hyperlink"/>
            <w:rFonts w:ascii="Arial" w:eastAsiaTheme="majorEastAsia" w:hAnsi="Arial" w:cs="Arial"/>
            <w:color w:val="000000" w:themeColor="text1"/>
            <w:sz w:val="22"/>
            <w:szCs w:val="22"/>
          </w:rPr>
          <w:t>https://www.nhsbsa.nhs.uk</w:t>
        </w:r>
      </w:hyperlink>
      <w:r w:rsidRPr="00252683">
        <w:rPr>
          <w:rFonts w:ascii="Arial" w:hAnsi="Arial" w:cs="Arial"/>
          <w:color w:val="000000" w:themeColor="text1"/>
          <w:sz w:val="22"/>
          <w:szCs w:val="22"/>
        </w:rPr>
        <w:t xml:space="preserve"> (Accessed: </w:t>
      </w:r>
      <w:r w:rsidR="00D568EC" w:rsidRPr="00252683">
        <w:rPr>
          <w:rFonts w:ascii="Arial" w:hAnsi="Arial" w:cs="Arial"/>
          <w:color w:val="000000" w:themeColor="text1"/>
          <w:sz w:val="22"/>
          <w:szCs w:val="22"/>
        </w:rPr>
        <w:t>19</w:t>
      </w:r>
      <w:r w:rsidRPr="00252683">
        <w:rPr>
          <w:rFonts w:ascii="Arial" w:hAnsi="Arial" w:cs="Arial"/>
          <w:color w:val="000000" w:themeColor="text1"/>
          <w:sz w:val="22"/>
          <w:szCs w:val="22"/>
        </w:rPr>
        <w:t xml:space="preserve"> October 2025).</w:t>
      </w:r>
    </w:p>
    <w:p w14:paraId="5D72C7F3"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ADHD Foundation (2022) </w:t>
      </w:r>
      <w:r w:rsidRPr="0015356E">
        <w:rPr>
          <w:rFonts w:ascii="Arial" w:eastAsia="Times New Roman" w:hAnsi="Arial" w:cs="Arial"/>
          <w:i/>
          <w:iCs/>
          <w:kern w:val="0"/>
          <w:lang w:eastAsia="en-GB"/>
          <w14:ligatures w14:val="none"/>
        </w:rPr>
        <w:t>ADHD Foundation: The Neurodiversity Charity – Family Support and Services</w:t>
      </w:r>
      <w:r w:rsidRPr="0015356E">
        <w:rPr>
          <w:rFonts w:ascii="Arial" w:eastAsia="Times New Roman" w:hAnsi="Arial" w:cs="Arial"/>
          <w:kern w:val="0"/>
          <w:lang w:eastAsia="en-GB"/>
          <w14:ligatures w14:val="none"/>
        </w:rPr>
        <w:t xml:space="preserve">. Available at: </w:t>
      </w:r>
      <w:hyperlink r:id="rId23" w:tgtFrame="_new" w:history="1">
        <w:r w:rsidRPr="0015356E">
          <w:rPr>
            <w:rFonts w:ascii="Arial" w:eastAsia="Times New Roman" w:hAnsi="Arial" w:cs="Arial"/>
            <w:color w:val="0000FF"/>
            <w:kern w:val="0"/>
            <w:u w:val="single"/>
            <w:lang w:eastAsia="en-GB"/>
            <w14:ligatures w14:val="none"/>
          </w:rPr>
          <w:t>https://www.adhdfoundation.org.uk</w:t>
        </w:r>
      </w:hyperlink>
      <w:r w:rsidRPr="0015356E">
        <w:rPr>
          <w:rFonts w:ascii="Arial" w:eastAsia="Times New Roman" w:hAnsi="Arial" w:cs="Arial"/>
          <w:kern w:val="0"/>
          <w:lang w:eastAsia="en-GB"/>
          <w14:ligatures w14:val="none"/>
        </w:rPr>
        <w:t xml:space="preserve"> (Accessed: 19 October 2025).</w:t>
      </w:r>
    </w:p>
    <w:p w14:paraId="176D939D"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American Psychiatric Association (2013) </w:t>
      </w:r>
      <w:r w:rsidRPr="0015356E">
        <w:rPr>
          <w:rFonts w:ascii="Arial" w:eastAsia="Times New Roman" w:hAnsi="Arial" w:cs="Arial"/>
          <w:i/>
          <w:iCs/>
          <w:kern w:val="0"/>
          <w:lang w:eastAsia="en-GB"/>
          <w14:ligatures w14:val="none"/>
        </w:rPr>
        <w:t>Diagnostic and Statistical Manual of Mental Disorders (DSM-5)</w:t>
      </w:r>
      <w:r w:rsidRPr="0015356E">
        <w:rPr>
          <w:rFonts w:ascii="Arial" w:eastAsia="Times New Roman" w:hAnsi="Arial" w:cs="Arial"/>
          <w:kern w:val="0"/>
          <w:lang w:eastAsia="en-GB"/>
          <w14:ligatures w14:val="none"/>
        </w:rPr>
        <w:t xml:space="preserve">. 5th </w:t>
      </w:r>
      <w:proofErr w:type="spellStart"/>
      <w:r w:rsidRPr="0015356E">
        <w:rPr>
          <w:rFonts w:ascii="Arial" w:eastAsia="Times New Roman" w:hAnsi="Arial" w:cs="Arial"/>
          <w:kern w:val="0"/>
          <w:lang w:eastAsia="en-GB"/>
          <w14:ligatures w14:val="none"/>
        </w:rPr>
        <w:t>edn</w:t>
      </w:r>
      <w:proofErr w:type="spellEnd"/>
      <w:r w:rsidRPr="0015356E">
        <w:rPr>
          <w:rFonts w:ascii="Arial" w:eastAsia="Times New Roman" w:hAnsi="Arial" w:cs="Arial"/>
          <w:kern w:val="0"/>
          <w:lang w:eastAsia="en-GB"/>
          <w14:ligatures w14:val="none"/>
        </w:rPr>
        <w:t>. Arlington, VA: American Psychiatric Publishing.</w:t>
      </w:r>
    </w:p>
    <w:p w14:paraId="61C4BBCF"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BBC News (2023a) </w:t>
      </w:r>
      <w:r w:rsidRPr="0015356E">
        <w:rPr>
          <w:rFonts w:ascii="Arial" w:eastAsia="Times New Roman" w:hAnsi="Arial" w:cs="Arial"/>
          <w:i/>
          <w:iCs/>
          <w:kern w:val="0"/>
          <w:lang w:eastAsia="en-GB"/>
          <w14:ligatures w14:val="none"/>
        </w:rPr>
        <w:t>Private ADHD assessments surge amid long NHS waiting lists</w:t>
      </w:r>
      <w:r w:rsidRPr="0015356E">
        <w:rPr>
          <w:rFonts w:ascii="Arial" w:eastAsia="Times New Roman" w:hAnsi="Arial" w:cs="Arial"/>
          <w:kern w:val="0"/>
          <w:lang w:eastAsia="en-GB"/>
          <w14:ligatures w14:val="none"/>
        </w:rPr>
        <w:t xml:space="preserve">. Available at: </w:t>
      </w:r>
      <w:hyperlink r:id="rId24" w:tgtFrame="_new" w:history="1">
        <w:r w:rsidRPr="0015356E">
          <w:rPr>
            <w:rFonts w:ascii="Arial" w:eastAsia="Times New Roman" w:hAnsi="Arial" w:cs="Arial"/>
            <w:color w:val="0000FF"/>
            <w:kern w:val="0"/>
            <w:u w:val="single"/>
            <w:lang w:eastAsia="en-GB"/>
            <w14:ligatures w14:val="none"/>
          </w:rPr>
          <w:t>https://www.bbc.co.uk/news</w:t>
        </w:r>
      </w:hyperlink>
      <w:r w:rsidRPr="0015356E">
        <w:rPr>
          <w:rFonts w:ascii="Arial" w:eastAsia="Times New Roman" w:hAnsi="Arial" w:cs="Arial"/>
          <w:kern w:val="0"/>
          <w:lang w:eastAsia="en-GB"/>
          <w14:ligatures w14:val="none"/>
        </w:rPr>
        <w:t xml:space="preserve"> (Accessed: 21 October 2025).</w:t>
      </w:r>
    </w:p>
    <w:p w14:paraId="5365E2DE"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BBC News (2023b) </w:t>
      </w:r>
      <w:r w:rsidRPr="0015356E">
        <w:rPr>
          <w:rFonts w:ascii="Arial" w:eastAsia="Times New Roman" w:hAnsi="Arial" w:cs="Arial"/>
          <w:i/>
          <w:iCs/>
          <w:kern w:val="0"/>
          <w:lang w:eastAsia="en-GB"/>
          <w14:ligatures w14:val="none"/>
        </w:rPr>
        <w:t>ADHD prescriptions in England rise sharply since the COVID-19 pandemic</w:t>
      </w:r>
      <w:r w:rsidRPr="0015356E">
        <w:rPr>
          <w:rFonts w:ascii="Arial" w:eastAsia="Times New Roman" w:hAnsi="Arial" w:cs="Arial"/>
          <w:kern w:val="0"/>
          <w:lang w:eastAsia="en-GB"/>
          <w14:ligatures w14:val="none"/>
        </w:rPr>
        <w:t xml:space="preserve">. London: BBC. Available at: </w:t>
      </w:r>
      <w:hyperlink r:id="rId25" w:tgtFrame="_new" w:history="1">
        <w:r w:rsidRPr="0015356E">
          <w:rPr>
            <w:rFonts w:ascii="Arial" w:eastAsia="Times New Roman" w:hAnsi="Arial" w:cs="Arial"/>
            <w:color w:val="0000FF"/>
            <w:kern w:val="0"/>
            <w:u w:val="single"/>
            <w:lang w:eastAsia="en-GB"/>
            <w14:ligatures w14:val="none"/>
          </w:rPr>
          <w:t>https://www.bbc.co.uk/news</w:t>
        </w:r>
      </w:hyperlink>
      <w:r w:rsidRPr="0015356E">
        <w:rPr>
          <w:rFonts w:ascii="Arial" w:eastAsia="Times New Roman" w:hAnsi="Arial" w:cs="Arial"/>
          <w:kern w:val="0"/>
          <w:lang w:eastAsia="en-GB"/>
          <w14:ligatures w14:val="none"/>
        </w:rPr>
        <w:t xml:space="preserve"> (Accessed: 21 October 2025).</w:t>
      </w:r>
    </w:p>
    <w:p w14:paraId="06BD435B"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Children Act 1989 (UK Government) (1989) </w:t>
      </w:r>
      <w:r w:rsidRPr="0015356E">
        <w:rPr>
          <w:rFonts w:ascii="Arial" w:eastAsia="Times New Roman" w:hAnsi="Arial" w:cs="Arial"/>
          <w:i/>
          <w:iCs/>
          <w:kern w:val="0"/>
          <w:lang w:eastAsia="en-GB"/>
          <w14:ligatures w14:val="none"/>
        </w:rPr>
        <w:t>Children Act 1989</w:t>
      </w:r>
      <w:r w:rsidRPr="0015356E">
        <w:rPr>
          <w:rFonts w:ascii="Arial" w:eastAsia="Times New Roman" w:hAnsi="Arial" w:cs="Arial"/>
          <w:kern w:val="0"/>
          <w:lang w:eastAsia="en-GB"/>
          <w14:ligatures w14:val="none"/>
        </w:rPr>
        <w:t xml:space="preserve">. London: The Stationery Office. Available at: </w:t>
      </w:r>
      <w:hyperlink r:id="rId26" w:tgtFrame="_new" w:history="1">
        <w:r w:rsidRPr="0015356E">
          <w:rPr>
            <w:rFonts w:ascii="Arial" w:eastAsia="Times New Roman" w:hAnsi="Arial" w:cs="Arial"/>
            <w:color w:val="0000FF"/>
            <w:kern w:val="0"/>
            <w:u w:val="single"/>
            <w:lang w:eastAsia="en-GB"/>
            <w14:ligatures w14:val="none"/>
          </w:rPr>
          <w:t>https://www.legislation.gov.uk/ukpga/1989/41/contents</w:t>
        </w:r>
      </w:hyperlink>
      <w:r w:rsidRPr="0015356E">
        <w:rPr>
          <w:rFonts w:ascii="Arial" w:eastAsia="Times New Roman" w:hAnsi="Arial" w:cs="Arial"/>
          <w:kern w:val="0"/>
          <w:lang w:eastAsia="en-GB"/>
          <w14:ligatures w14:val="none"/>
        </w:rPr>
        <w:t xml:space="preserve"> (Accessed: 21 October 2025).</w:t>
      </w:r>
    </w:p>
    <w:p w14:paraId="25CDB255" w14:textId="60D7A07C"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Children and Families Act 2014 (UK Government) (2014) </w:t>
      </w:r>
      <w:r w:rsidRPr="0015356E">
        <w:rPr>
          <w:rFonts w:ascii="Arial" w:eastAsia="Times New Roman" w:hAnsi="Arial" w:cs="Arial"/>
          <w:i/>
          <w:iCs/>
          <w:kern w:val="0"/>
          <w:lang w:eastAsia="en-GB"/>
          <w14:ligatures w14:val="none"/>
        </w:rPr>
        <w:t>Children and Families Act 2014</w:t>
      </w:r>
      <w:r w:rsidRPr="0015356E">
        <w:rPr>
          <w:rFonts w:ascii="Arial" w:eastAsia="Times New Roman" w:hAnsi="Arial" w:cs="Arial"/>
          <w:kern w:val="0"/>
          <w:lang w:eastAsia="en-GB"/>
          <w14:ligatures w14:val="none"/>
        </w:rPr>
        <w:t xml:space="preserve">. London: The Stationery Office. Available at: </w:t>
      </w:r>
      <w:hyperlink r:id="rId27" w:tgtFrame="_new" w:history="1">
        <w:r w:rsidRPr="0015356E">
          <w:rPr>
            <w:rFonts w:ascii="Arial" w:eastAsia="Times New Roman" w:hAnsi="Arial" w:cs="Arial"/>
            <w:color w:val="0000FF"/>
            <w:kern w:val="0"/>
            <w:u w:val="single"/>
            <w:lang w:eastAsia="en-GB"/>
            <w14:ligatures w14:val="none"/>
          </w:rPr>
          <w:t>https://www.legislation.gov.uk/ukpga/2014/6/contents</w:t>
        </w:r>
      </w:hyperlink>
      <w:r w:rsidRPr="0015356E">
        <w:rPr>
          <w:rFonts w:ascii="Arial" w:eastAsia="Times New Roman" w:hAnsi="Arial" w:cs="Arial"/>
          <w:kern w:val="0"/>
          <w:lang w:eastAsia="en-GB"/>
          <w14:ligatures w14:val="none"/>
        </w:rPr>
        <w:t xml:space="preserve"> (Accessed: 21</w:t>
      </w:r>
      <w:r w:rsidR="00223DDE">
        <w:rPr>
          <w:rFonts w:ascii="Arial" w:eastAsia="Times New Roman" w:hAnsi="Arial" w:cs="Arial"/>
          <w:kern w:val="0"/>
          <w:lang w:eastAsia="en-GB"/>
          <w14:ligatures w14:val="none"/>
        </w:rPr>
        <w:t xml:space="preserve"> </w:t>
      </w:r>
      <w:r w:rsidRPr="0015356E">
        <w:rPr>
          <w:rFonts w:ascii="Arial" w:eastAsia="Times New Roman" w:hAnsi="Arial" w:cs="Arial"/>
          <w:kern w:val="0"/>
          <w:lang w:eastAsia="en-GB"/>
          <w14:ligatures w14:val="none"/>
        </w:rPr>
        <w:t>October 2025).</w:t>
      </w:r>
    </w:p>
    <w:p w14:paraId="5F3F2A2A"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Cohen, L., Manion, L. and Morrison, K. (2018) </w:t>
      </w:r>
      <w:r w:rsidRPr="0015356E">
        <w:rPr>
          <w:rFonts w:ascii="Arial" w:eastAsia="Times New Roman" w:hAnsi="Arial" w:cs="Arial"/>
          <w:i/>
          <w:iCs/>
          <w:kern w:val="0"/>
          <w:lang w:eastAsia="en-GB"/>
          <w14:ligatures w14:val="none"/>
        </w:rPr>
        <w:t>Research Methods in Education</w:t>
      </w:r>
      <w:r w:rsidRPr="0015356E">
        <w:rPr>
          <w:rFonts w:ascii="Arial" w:eastAsia="Times New Roman" w:hAnsi="Arial" w:cs="Arial"/>
          <w:kern w:val="0"/>
          <w:lang w:eastAsia="en-GB"/>
          <w14:ligatures w14:val="none"/>
        </w:rPr>
        <w:t xml:space="preserve">. 8th </w:t>
      </w:r>
      <w:proofErr w:type="spellStart"/>
      <w:r w:rsidRPr="0015356E">
        <w:rPr>
          <w:rFonts w:ascii="Arial" w:eastAsia="Times New Roman" w:hAnsi="Arial" w:cs="Arial"/>
          <w:kern w:val="0"/>
          <w:lang w:eastAsia="en-GB"/>
          <w14:ligatures w14:val="none"/>
        </w:rPr>
        <w:t>edn</w:t>
      </w:r>
      <w:proofErr w:type="spellEnd"/>
      <w:r w:rsidRPr="0015356E">
        <w:rPr>
          <w:rFonts w:ascii="Arial" w:eastAsia="Times New Roman" w:hAnsi="Arial" w:cs="Arial"/>
          <w:kern w:val="0"/>
          <w:lang w:eastAsia="en-GB"/>
          <w14:ligatures w14:val="none"/>
        </w:rPr>
        <w:t>. London: Routledge.</w:t>
      </w:r>
    </w:p>
    <w:p w14:paraId="15416B72"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Cortese, S., Adamo, N., Del Giovane, C., Mohr-Jensen, C., Hayes, A.J., Carucci, S., Atkinson, L.Z., Tessari, L., </w:t>
      </w:r>
      <w:proofErr w:type="spellStart"/>
      <w:r w:rsidRPr="0015356E">
        <w:rPr>
          <w:rFonts w:ascii="Arial" w:eastAsia="Times New Roman" w:hAnsi="Arial" w:cs="Arial"/>
          <w:kern w:val="0"/>
          <w:lang w:eastAsia="en-GB"/>
          <w14:ligatures w14:val="none"/>
        </w:rPr>
        <w:t>Banaschewski</w:t>
      </w:r>
      <w:proofErr w:type="spellEnd"/>
      <w:r w:rsidRPr="0015356E">
        <w:rPr>
          <w:rFonts w:ascii="Arial" w:eastAsia="Times New Roman" w:hAnsi="Arial" w:cs="Arial"/>
          <w:kern w:val="0"/>
          <w:lang w:eastAsia="en-GB"/>
          <w14:ligatures w14:val="none"/>
        </w:rPr>
        <w:t xml:space="preserve">, T., Coghill, D., Hollis, C., Simonoff, E., </w:t>
      </w:r>
      <w:proofErr w:type="spellStart"/>
      <w:r w:rsidRPr="0015356E">
        <w:rPr>
          <w:rFonts w:ascii="Arial" w:eastAsia="Times New Roman" w:hAnsi="Arial" w:cs="Arial"/>
          <w:kern w:val="0"/>
          <w:lang w:eastAsia="en-GB"/>
          <w14:ligatures w14:val="none"/>
        </w:rPr>
        <w:t>Zuddas</w:t>
      </w:r>
      <w:proofErr w:type="spellEnd"/>
      <w:r w:rsidRPr="0015356E">
        <w:rPr>
          <w:rFonts w:ascii="Arial" w:eastAsia="Times New Roman" w:hAnsi="Arial" w:cs="Arial"/>
          <w:kern w:val="0"/>
          <w:lang w:eastAsia="en-GB"/>
          <w14:ligatures w14:val="none"/>
        </w:rPr>
        <w:t xml:space="preserve">, A., </w:t>
      </w:r>
      <w:proofErr w:type="spellStart"/>
      <w:r w:rsidRPr="0015356E">
        <w:rPr>
          <w:rFonts w:ascii="Arial" w:eastAsia="Times New Roman" w:hAnsi="Arial" w:cs="Arial"/>
          <w:kern w:val="0"/>
          <w:lang w:eastAsia="en-GB"/>
          <w14:ligatures w14:val="none"/>
        </w:rPr>
        <w:t>Barbui</w:t>
      </w:r>
      <w:proofErr w:type="spellEnd"/>
      <w:r w:rsidRPr="0015356E">
        <w:rPr>
          <w:rFonts w:ascii="Arial" w:eastAsia="Times New Roman" w:hAnsi="Arial" w:cs="Arial"/>
          <w:kern w:val="0"/>
          <w:lang w:eastAsia="en-GB"/>
          <w14:ligatures w14:val="none"/>
        </w:rPr>
        <w:t xml:space="preserve">, C. and Cipriani, A. (2018) ‘Comparative efficacy and tolerability of medications for attention-deficit hyperactivity disorder in children, adolescents, and adults: a systematic review and network meta-analysis’, </w:t>
      </w:r>
      <w:r w:rsidRPr="0015356E">
        <w:rPr>
          <w:rFonts w:ascii="Arial" w:eastAsia="Times New Roman" w:hAnsi="Arial" w:cs="Arial"/>
          <w:i/>
          <w:iCs/>
          <w:kern w:val="0"/>
          <w:lang w:eastAsia="en-GB"/>
          <w14:ligatures w14:val="none"/>
        </w:rPr>
        <w:t>The Lancet Psychiatry</w:t>
      </w:r>
      <w:r w:rsidRPr="0015356E">
        <w:rPr>
          <w:rFonts w:ascii="Arial" w:eastAsia="Times New Roman" w:hAnsi="Arial" w:cs="Arial"/>
          <w:kern w:val="0"/>
          <w:lang w:eastAsia="en-GB"/>
          <w14:ligatures w14:val="none"/>
        </w:rPr>
        <w:t xml:space="preserve">, 5(9), pp. 727–738. Available at: </w:t>
      </w:r>
      <w:hyperlink r:id="rId28" w:tgtFrame="_new" w:history="1">
        <w:r w:rsidRPr="0015356E">
          <w:rPr>
            <w:rFonts w:ascii="Arial" w:eastAsia="Times New Roman" w:hAnsi="Arial" w:cs="Arial"/>
            <w:color w:val="0000FF"/>
            <w:kern w:val="0"/>
            <w:u w:val="single"/>
            <w:lang w:eastAsia="en-GB"/>
            <w14:ligatures w14:val="none"/>
          </w:rPr>
          <w:t>https://doi.org/10.1016/S2215-0366(18)30269-4</w:t>
        </w:r>
      </w:hyperlink>
      <w:r w:rsidRPr="0015356E">
        <w:rPr>
          <w:rFonts w:ascii="Arial" w:eastAsia="Times New Roman" w:hAnsi="Arial" w:cs="Arial"/>
          <w:kern w:val="0"/>
          <w:lang w:eastAsia="en-GB"/>
          <w14:ligatures w14:val="none"/>
        </w:rPr>
        <w:t>.</w:t>
      </w:r>
    </w:p>
    <w:p w14:paraId="09C3B442"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Daley, D., Van der Oord, S., Ferrin, M., </w:t>
      </w:r>
      <w:proofErr w:type="spellStart"/>
      <w:r w:rsidRPr="0015356E">
        <w:rPr>
          <w:rFonts w:ascii="Arial" w:eastAsia="Times New Roman" w:hAnsi="Arial" w:cs="Arial"/>
          <w:kern w:val="0"/>
          <w:lang w:eastAsia="en-GB"/>
          <w14:ligatures w14:val="none"/>
        </w:rPr>
        <w:t>Danckaerts</w:t>
      </w:r>
      <w:proofErr w:type="spellEnd"/>
      <w:r w:rsidRPr="0015356E">
        <w:rPr>
          <w:rFonts w:ascii="Arial" w:eastAsia="Times New Roman" w:hAnsi="Arial" w:cs="Arial"/>
          <w:kern w:val="0"/>
          <w:lang w:eastAsia="en-GB"/>
          <w14:ligatures w14:val="none"/>
        </w:rPr>
        <w:t xml:space="preserve">, M., </w:t>
      </w:r>
      <w:proofErr w:type="spellStart"/>
      <w:r w:rsidRPr="0015356E">
        <w:rPr>
          <w:rFonts w:ascii="Arial" w:eastAsia="Times New Roman" w:hAnsi="Arial" w:cs="Arial"/>
          <w:kern w:val="0"/>
          <w:lang w:eastAsia="en-GB"/>
          <w14:ligatures w14:val="none"/>
        </w:rPr>
        <w:t>Doepfner</w:t>
      </w:r>
      <w:proofErr w:type="spellEnd"/>
      <w:r w:rsidRPr="0015356E">
        <w:rPr>
          <w:rFonts w:ascii="Arial" w:eastAsia="Times New Roman" w:hAnsi="Arial" w:cs="Arial"/>
          <w:kern w:val="0"/>
          <w:lang w:eastAsia="en-GB"/>
          <w14:ligatures w14:val="none"/>
        </w:rPr>
        <w:t xml:space="preserve">, M., Cortese, S. and </w:t>
      </w:r>
      <w:proofErr w:type="spellStart"/>
      <w:r w:rsidRPr="0015356E">
        <w:rPr>
          <w:rFonts w:ascii="Arial" w:eastAsia="Times New Roman" w:hAnsi="Arial" w:cs="Arial"/>
          <w:kern w:val="0"/>
          <w:lang w:eastAsia="en-GB"/>
          <w14:ligatures w14:val="none"/>
        </w:rPr>
        <w:t>Sonuga</w:t>
      </w:r>
      <w:proofErr w:type="spellEnd"/>
      <w:r w:rsidRPr="0015356E">
        <w:rPr>
          <w:rFonts w:ascii="Arial" w:eastAsia="Times New Roman" w:hAnsi="Arial" w:cs="Arial"/>
          <w:kern w:val="0"/>
          <w:lang w:eastAsia="en-GB"/>
          <w14:ligatures w14:val="none"/>
        </w:rPr>
        <w:t xml:space="preserve">-Barke, E. (2020) ‘Behavioural interventions in attention-deficit/hyperactivity disorder: a meta-analysis of randomised controlled trials across multiple outcome domains’, </w:t>
      </w:r>
      <w:r w:rsidRPr="0015356E">
        <w:rPr>
          <w:rFonts w:ascii="Arial" w:eastAsia="Times New Roman" w:hAnsi="Arial" w:cs="Arial"/>
          <w:i/>
          <w:iCs/>
          <w:kern w:val="0"/>
          <w:lang w:eastAsia="en-GB"/>
          <w14:ligatures w14:val="none"/>
        </w:rPr>
        <w:t xml:space="preserve">Journal of </w:t>
      </w:r>
      <w:r w:rsidRPr="0015356E">
        <w:rPr>
          <w:rFonts w:ascii="Arial" w:eastAsia="Times New Roman" w:hAnsi="Arial" w:cs="Arial"/>
          <w:i/>
          <w:iCs/>
          <w:kern w:val="0"/>
          <w:lang w:eastAsia="en-GB"/>
          <w14:ligatures w14:val="none"/>
        </w:rPr>
        <w:lastRenderedPageBreak/>
        <w:t>the American Academy of Child &amp; Adolescent Psychiatry</w:t>
      </w:r>
      <w:r w:rsidRPr="0015356E">
        <w:rPr>
          <w:rFonts w:ascii="Arial" w:eastAsia="Times New Roman" w:hAnsi="Arial" w:cs="Arial"/>
          <w:kern w:val="0"/>
          <w:lang w:eastAsia="en-GB"/>
          <w14:ligatures w14:val="none"/>
        </w:rPr>
        <w:t xml:space="preserve">, 59(6), pp. 718–739. Available at: </w:t>
      </w:r>
      <w:hyperlink r:id="rId29" w:tgtFrame="_new" w:history="1">
        <w:r w:rsidRPr="0015356E">
          <w:rPr>
            <w:rFonts w:ascii="Arial" w:eastAsia="Times New Roman" w:hAnsi="Arial" w:cs="Arial"/>
            <w:color w:val="0000FF"/>
            <w:kern w:val="0"/>
            <w:u w:val="single"/>
            <w:lang w:eastAsia="en-GB"/>
            <w14:ligatures w14:val="none"/>
          </w:rPr>
          <w:t>https://doi.org/10.1016/j.jaac.2019.11.010</w:t>
        </w:r>
      </w:hyperlink>
      <w:r w:rsidRPr="0015356E">
        <w:rPr>
          <w:rFonts w:ascii="Arial" w:eastAsia="Times New Roman" w:hAnsi="Arial" w:cs="Arial"/>
          <w:kern w:val="0"/>
          <w:lang w:eastAsia="en-GB"/>
          <w14:ligatures w14:val="none"/>
        </w:rPr>
        <w:t>.</w:t>
      </w:r>
    </w:p>
    <w:p w14:paraId="33E6F22A" w14:textId="3DF8027F"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Department for Education (2022) </w:t>
      </w:r>
      <w:r w:rsidRPr="0015356E">
        <w:rPr>
          <w:rFonts w:ascii="Arial" w:eastAsia="Times New Roman" w:hAnsi="Arial" w:cs="Arial"/>
          <w:i/>
          <w:iCs/>
          <w:kern w:val="0"/>
          <w:lang w:eastAsia="en-GB"/>
          <w14:ligatures w14:val="none"/>
        </w:rPr>
        <w:t>Support for families of children with special educational needs and disabilities (SEND)</w:t>
      </w:r>
      <w:r w:rsidRPr="0015356E">
        <w:rPr>
          <w:rFonts w:ascii="Arial" w:eastAsia="Times New Roman" w:hAnsi="Arial" w:cs="Arial"/>
          <w:kern w:val="0"/>
          <w:lang w:eastAsia="en-GB"/>
          <w14:ligatures w14:val="none"/>
        </w:rPr>
        <w:t xml:space="preserve">. London: Department for Education. Available at: </w:t>
      </w:r>
      <w:hyperlink r:id="rId30" w:tgtFrame="_new" w:history="1">
        <w:r w:rsidRPr="0015356E">
          <w:rPr>
            <w:rFonts w:ascii="Arial" w:eastAsia="Times New Roman" w:hAnsi="Arial" w:cs="Arial"/>
            <w:color w:val="0000FF"/>
            <w:kern w:val="0"/>
            <w:u w:val="single"/>
            <w:lang w:eastAsia="en-GB"/>
            <w14:ligatures w14:val="none"/>
          </w:rPr>
          <w:t>https://www.gov.uk/government/organisations/department-for-education</w:t>
        </w:r>
      </w:hyperlink>
      <w:r w:rsidRPr="0015356E">
        <w:rPr>
          <w:rFonts w:ascii="Arial" w:eastAsia="Times New Roman" w:hAnsi="Arial" w:cs="Arial"/>
          <w:kern w:val="0"/>
          <w:lang w:eastAsia="en-GB"/>
          <w14:ligatures w14:val="none"/>
        </w:rPr>
        <w:t xml:space="preserve"> (Accessed: 2</w:t>
      </w:r>
      <w:r w:rsidR="00223DDE">
        <w:rPr>
          <w:rFonts w:ascii="Arial" w:eastAsia="Times New Roman" w:hAnsi="Arial" w:cs="Arial"/>
          <w:kern w:val="0"/>
          <w:lang w:eastAsia="en-GB"/>
          <w14:ligatures w14:val="none"/>
        </w:rPr>
        <w:t>2</w:t>
      </w:r>
      <w:r w:rsidRPr="0015356E">
        <w:rPr>
          <w:rFonts w:ascii="Arial" w:eastAsia="Times New Roman" w:hAnsi="Arial" w:cs="Arial"/>
          <w:kern w:val="0"/>
          <w:lang w:eastAsia="en-GB"/>
          <w14:ligatures w14:val="none"/>
        </w:rPr>
        <w:t xml:space="preserve"> October 2025).</w:t>
      </w:r>
    </w:p>
    <w:p w14:paraId="3DE4F2D9"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Department of Health and Social Care and NHS England (2019) </w:t>
      </w:r>
      <w:r w:rsidRPr="0015356E">
        <w:rPr>
          <w:rFonts w:ascii="Arial" w:eastAsia="Times New Roman" w:hAnsi="Arial" w:cs="Arial"/>
          <w:i/>
          <w:iCs/>
          <w:kern w:val="0"/>
          <w:lang w:eastAsia="en-GB"/>
          <w14:ligatures w14:val="none"/>
        </w:rPr>
        <w:t>The NHS Long Term Plan</w:t>
      </w:r>
      <w:r w:rsidRPr="0015356E">
        <w:rPr>
          <w:rFonts w:ascii="Arial" w:eastAsia="Times New Roman" w:hAnsi="Arial" w:cs="Arial"/>
          <w:kern w:val="0"/>
          <w:lang w:eastAsia="en-GB"/>
          <w14:ligatures w14:val="none"/>
        </w:rPr>
        <w:t xml:space="preserve">. London: NHS England. Available at: </w:t>
      </w:r>
      <w:hyperlink r:id="rId31" w:tgtFrame="_new" w:history="1">
        <w:r w:rsidRPr="0015356E">
          <w:rPr>
            <w:rFonts w:ascii="Arial" w:eastAsia="Times New Roman" w:hAnsi="Arial" w:cs="Arial"/>
            <w:color w:val="0000FF"/>
            <w:kern w:val="0"/>
            <w:u w:val="single"/>
            <w:lang w:eastAsia="en-GB"/>
            <w14:ligatures w14:val="none"/>
          </w:rPr>
          <w:t>https://www.longtermplan.nhs.uk/</w:t>
        </w:r>
      </w:hyperlink>
      <w:r w:rsidRPr="0015356E">
        <w:rPr>
          <w:rFonts w:ascii="Arial" w:eastAsia="Times New Roman" w:hAnsi="Arial" w:cs="Arial"/>
          <w:kern w:val="0"/>
          <w:lang w:eastAsia="en-GB"/>
          <w14:ligatures w14:val="none"/>
        </w:rPr>
        <w:t xml:space="preserve"> (Accessed: 20 October 2025).</w:t>
      </w:r>
    </w:p>
    <w:p w14:paraId="13455483"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Medicines and Healthcare products Regulatory Agency (MHRA) (2019a) </w:t>
      </w:r>
      <w:r w:rsidRPr="0015356E">
        <w:rPr>
          <w:rFonts w:ascii="Arial" w:eastAsia="Times New Roman" w:hAnsi="Arial" w:cs="Arial"/>
          <w:i/>
          <w:iCs/>
          <w:kern w:val="0"/>
          <w:lang w:eastAsia="en-GB"/>
          <w14:ligatures w14:val="none"/>
        </w:rPr>
        <w:t>Methylphenidate: reminder of advice on long-term safety and ongoing monitoring requirements</w:t>
      </w:r>
      <w:r w:rsidRPr="0015356E">
        <w:rPr>
          <w:rFonts w:ascii="Arial" w:eastAsia="Times New Roman" w:hAnsi="Arial" w:cs="Arial"/>
          <w:kern w:val="0"/>
          <w:lang w:eastAsia="en-GB"/>
          <w14:ligatures w14:val="none"/>
        </w:rPr>
        <w:t xml:space="preserve">. London: MHRA. Available at: </w:t>
      </w:r>
      <w:hyperlink r:id="rId32" w:tgtFrame="_new" w:history="1">
        <w:r w:rsidRPr="0015356E">
          <w:rPr>
            <w:rFonts w:ascii="Arial" w:eastAsia="Times New Roman" w:hAnsi="Arial" w:cs="Arial"/>
            <w:color w:val="0000FF"/>
            <w:kern w:val="0"/>
            <w:u w:val="single"/>
            <w:lang w:eastAsia="en-GB"/>
            <w14:ligatures w14:val="none"/>
          </w:rPr>
          <w:t>https://www.gov.uk/drug-safety-update/methylphenidate-reminder-of-advice-on-long-term-safety-and-ongoing-monitoring-requirements</w:t>
        </w:r>
      </w:hyperlink>
      <w:r w:rsidRPr="0015356E">
        <w:rPr>
          <w:rFonts w:ascii="Arial" w:eastAsia="Times New Roman" w:hAnsi="Arial" w:cs="Arial"/>
          <w:kern w:val="0"/>
          <w:lang w:eastAsia="en-GB"/>
          <w14:ligatures w14:val="none"/>
        </w:rPr>
        <w:t xml:space="preserve"> (Accessed: 5 February 2026).</w:t>
      </w:r>
    </w:p>
    <w:p w14:paraId="65C7EBB9"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Medicines and Healthcare products Regulatory Agency (MHRA) (2019b) </w:t>
      </w:r>
      <w:r w:rsidRPr="0015356E">
        <w:rPr>
          <w:rFonts w:ascii="Arial" w:eastAsia="Times New Roman" w:hAnsi="Arial" w:cs="Arial"/>
          <w:i/>
          <w:iCs/>
          <w:kern w:val="0"/>
          <w:lang w:eastAsia="en-GB"/>
          <w14:ligatures w14:val="none"/>
        </w:rPr>
        <w:t>Public Assessment Report: Safety of methylphenidate and atomoxetine in the treatment of Attention Deficit Hyperactivity Disorder (ADHD)</w:t>
      </w:r>
      <w:r w:rsidRPr="0015356E">
        <w:rPr>
          <w:rFonts w:ascii="Arial" w:eastAsia="Times New Roman" w:hAnsi="Arial" w:cs="Arial"/>
          <w:kern w:val="0"/>
          <w:lang w:eastAsia="en-GB"/>
          <w14:ligatures w14:val="none"/>
        </w:rPr>
        <w:t xml:space="preserve">. London: MHRA. Available at: </w:t>
      </w:r>
      <w:hyperlink r:id="rId33" w:tgtFrame="_new" w:history="1">
        <w:r w:rsidRPr="0015356E">
          <w:rPr>
            <w:rFonts w:ascii="Arial" w:eastAsia="Times New Roman" w:hAnsi="Arial" w:cs="Arial"/>
            <w:color w:val="0000FF"/>
            <w:kern w:val="0"/>
            <w:u w:val="single"/>
            <w:lang w:eastAsia="en-GB"/>
            <w14:ligatures w14:val="none"/>
          </w:rPr>
          <w:t>https://www.gov.uk/government/publications/mhra-safety-review-of-adhd-medicines</w:t>
        </w:r>
      </w:hyperlink>
      <w:r w:rsidRPr="0015356E">
        <w:rPr>
          <w:rFonts w:ascii="Arial" w:eastAsia="Times New Roman" w:hAnsi="Arial" w:cs="Arial"/>
          <w:kern w:val="0"/>
          <w:lang w:eastAsia="en-GB"/>
          <w14:ligatures w14:val="none"/>
        </w:rPr>
        <w:t xml:space="preserve"> (Accessed: 19 October 2025).</w:t>
      </w:r>
    </w:p>
    <w:p w14:paraId="41AAF2A5"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National Institute for Health and Care Excellence (NICE) (2018) </w:t>
      </w:r>
      <w:r w:rsidRPr="0015356E">
        <w:rPr>
          <w:rFonts w:ascii="Arial" w:eastAsia="Times New Roman" w:hAnsi="Arial" w:cs="Arial"/>
          <w:i/>
          <w:iCs/>
          <w:kern w:val="0"/>
          <w:lang w:eastAsia="en-GB"/>
          <w14:ligatures w14:val="none"/>
        </w:rPr>
        <w:t>Attention deficit hyperactivity disorder: diagnosis and management (NG87)</w:t>
      </w:r>
      <w:r w:rsidRPr="0015356E">
        <w:rPr>
          <w:rFonts w:ascii="Arial" w:eastAsia="Times New Roman" w:hAnsi="Arial" w:cs="Arial"/>
          <w:kern w:val="0"/>
          <w:lang w:eastAsia="en-GB"/>
          <w14:ligatures w14:val="none"/>
        </w:rPr>
        <w:t xml:space="preserve">. London: NICE. Available at: </w:t>
      </w:r>
      <w:hyperlink r:id="rId34" w:tgtFrame="_new" w:history="1">
        <w:r w:rsidRPr="0015356E">
          <w:rPr>
            <w:rFonts w:ascii="Arial" w:eastAsia="Times New Roman" w:hAnsi="Arial" w:cs="Arial"/>
            <w:color w:val="0000FF"/>
            <w:kern w:val="0"/>
            <w:u w:val="single"/>
            <w:lang w:eastAsia="en-GB"/>
            <w14:ligatures w14:val="none"/>
          </w:rPr>
          <w:t>https://www.nice.org.uk/guidance/ng87</w:t>
        </w:r>
      </w:hyperlink>
      <w:r w:rsidRPr="0015356E">
        <w:rPr>
          <w:rFonts w:ascii="Arial" w:eastAsia="Times New Roman" w:hAnsi="Arial" w:cs="Arial"/>
          <w:kern w:val="0"/>
          <w:lang w:eastAsia="en-GB"/>
          <w14:ligatures w14:val="none"/>
        </w:rPr>
        <w:t xml:space="preserve"> (Accessed: 22 October 2025).</w:t>
      </w:r>
    </w:p>
    <w:p w14:paraId="562B86FF" w14:textId="6E3F9B86"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NHS Business Services Authority (NHSBSA) (2024) </w:t>
      </w:r>
      <w:r w:rsidRPr="0015356E">
        <w:rPr>
          <w:rFonts w:ascii="Arial" w:eastAsia="Times New Roman" w:hAnsi="Arial" w:cs="Arial"/>
          <w:i/>
          <w:iCs/>
          <w:kern w:val="0"/>
          <w:lang w:eastAsia="en-GB"/>
          <w14:ligatures w14:val="none"/>
        </w:rPr>
        <w:t>Medicines used for attention deficit hyperactivity disorder (ADHD) in England – 2015/16 to 2023/24</w:t>
      </w:r>
      <w:r w:rsidRPr="0015356E">
        <w:rPr>
          <w:rFonts w:ascii="Arial" w:eastAsia="Times New Roman" w:hAnsi="Arial" w:cs="Arial"/>
          <w:kern w:val="0"/>
          <w:lang w:eastAsia="en-GB"/>
          <w14:ligatures w14:val="none"/>
        </w:rPr>
        <w:t xml:space="preserve">. Leeds: NHSBSA. Available at: </w:t>
      </w:r>
      <w:hyperlink r:id="rId35" w:tgtFrame="_new" w:history="1">
        <w:r w:rsidRPr="0015356E">
          <w:rPr>
            <w:rFonts w:ascii="Arial" w:eastAsia="Times New Roman" w:hAnsi="Arial" w:cs="Arial"/>
            <w:color w:val="0000FF"/>
            <w:kern w:val="0"/>
            <w:u w:val="single"/>
            <w:lang w:eastAsia="en-GB"/>
            <w14:ligatures w14:val="none"/>
          </w:rPr>
          <w:t>https://www.nhsbsa.nhs.uk</w:t>
        </w:r>
      </w:hyperlink>
      <w:r w:rsidRPr="0015356E">
        <w:rPr>
          <w:rFonts w:ascii="Arial" w:eastAsia="Times New Roman" w:hAnsi="Arial" w:cs="Arial"/>
          <w:kern w:val="0"/>
          <w:lang w:eastAsia="en-GB"/>
          <w14:ligatures w14:val="none"/>
        </w:rPr>
        <w:t xml:space="preserve"> (Accessed: 1</w:t>
      </w:r>
      <w:r w:rsidR="00756367">
        <w:rPr>
          <w:rFonts w:ascii="Arial" w:eastAsia="Times New Roman" w:hAnsi="Arial" w:cs="Arial"/>
          <w:kern w:val="0"/>
          <w:lang w:eastAsia="en-GB"/>
          <w14:ligatures w14:val="none"/>
        </w:rPr>
        <w:t>8</w:t>
      </w:r>
      <w:r w:rsidRPr="0015356E">
        <w:rPr>
          <w:rFonts w:ascii="Arial" w:eastAsia="Times New Roman" w:hAnsi="Arial" w:cs="Arial"/>
          <w:kern w:val="0"/>
          <w:lang w:eastAsia="en-GB"/>
          <w14:ligatures w14:val="none"/>
        </w:rPr>
        <w:t xml:space="preserve"> October 2025).</w:t>
      </w:r>
    </w:p>
    <w:p w14:paraId="5EE6C36B" w14:textId="04D63CF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NHS Digital (2024) </w:t>
      </w:r>
      <w:r w:rsidRPr="0015356E">
        <w:rPr>
          <w:rFonts w:ascii="Arial" w:eastAsia="Times New Roman" w:hAnsi="Arial" w:cs="Arial"/>
          <w:i/>
          <w:iCs/>
          <w:kern w:val="0"/>
          <w:lang w:eastAsia="en-GB"/>
          <w14:ligatures w14:val="none"/>
        </w:rPr>
        <w:t>Monthly prescribing data: ADHD medication items in England, 2019–2024</w:t>
      </w:r>
      <w:r w:rsidRPr="0015356E">
        <w:rPr>
          <w:rFonts w:ascii="Arial" w:eastAsia="Times New Roman" w:hAnsi="Arial" w:cs="Arial"/>
          <w:kern w:val="0"/>
          <w:lang w:eastAsia="en-GB"/>
          <w14:ligatures w14:val="none"/>
        </w:rPr>
        <w:t xml:space="preserve">. Leeds: NHS Digital. Available at: </w:t>
      </w:r>
      <w:hyperlink r:id="rId36" w:tgtFrame="_new" w:history="1">
        <w:r w:rsidRPr="0015356E">
          <w:rPr>
            <w:rFonts w:ascii="Arial" w:eastAsia="Times New Roman" w:hAnsi="Arial" w:cs="Arial"/>
            <w:color w:val="0000FF"/>
            <w:kern w:val="0"/>
            <w:u w:val="single"/>
            <w:lang w:eastAsia="en-GB"/>
            <w14:ligatures w14:val="none"/>
          </w:rPr>
          <w:t>https://digital.nhs.uk</w:t>
        </w:r>
      </w:hyperlink>
      <w:r w:rsidRPr="0015356E">
        <w:rPr>
          <w:rFonts w:ascii="Arial" w:eastAsia="Times New Roman" w:hAnsi="Arial" w:cs="Arial"/>
          <w:kern w:val="0"/>
          <w:lang w:eastAsia="en-GB"/>
          <w14:ligatures w14:val="none"/>
        </w:rPr>
        <w:t xml:space="preserve"> (Accessed: 1</w:t>
      </w:r>
      <w:r w:rsidR="00756367">
        <w:rPr>
          <w:rFonts w:ascii="Arial" w:eastAsia="Times New Roman" w:hAnsi="Arial" w:cs="Arial"/>
          <w:kern w:val="0"/>
          <w:lang w:eastAsia="en-GB"/>
          <w14:ligatures w14:val="none"/>
        </w:rPr>
        <w:t>8</w:t>
      </w:r>
      <w:r w:rsidRPr="0015356E">
        <w:rPr>
          <w:rFonts w:ascii="Arial" w:eastAsia="Times New Roman" w:hAnsi="Arial" w:cs="Arial"/>
          <w:kern w:val="0"/>
          <w:lang w:eastAsia="en-GB"/>
          <w14:ligatures w14:val="none"/>
        </w:rPr>
        <w:t xml:space="preserve"> October 2025).</w:t>
      </w:r>
    </w:p>
    <w:p w14:paraId="55E3D775"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t xml:space="preserve">NHS England (2023) </w:t>
      </w:r>
      <w:r w:rsidRPr="0015356E">
        <w:rPr>
          <w:rFonts w:ascii="Arial" w:eastAsia="Times New Roman" w:hAnsi="Arial" w:cs="Arial"/>
          <w:i/>
          <w:iCs/>
          <w:kern w:val="0"/>
          <w:lang w:eastAsia="en-GB"/>
          <w14:ligatures w14:val="none"/>
        </w:rPr>
        <w:t>ADHD assessment and treatment: NHS and independent sector guidance</w:t>
      </w:r>
      <w:r w:rsidRPr="0015356E">
        <w:rPr>
          <w:rFonts w:ascii="Arial" w:eastAsia="Times New Roman" w:hAnsi="Arial" w:cs="Arial"/>
          <w:kern w:val="0"/>
          <w:lang w:eastAsia="en-GB"/>
          <w14:ligatures w14:val="none"/>
        </w:rPr>
        <w:t xml:space="preserve">. London: NHS England. Available at: </w:t>
      </w:r>
      <w:hyperlink r:id="rId37" w:tgtFrame="_new" w:history="1">
        <w:r w:rsidRPr="0015356E">
          <w:rPr>
            <w:rFonts w:ascii="Arial" w:eastAsia="Times New Roman" w:hAnsi="Arial" w:cs="Arial"/>
            <w:color w:val="0000FF"/>
            <w:kern w:val="0"/>
            <w:u w:val="single"/>
            <w:lang w:eastAsia="en-GB"/>
            <w14:ligatures w14:val="none"/>
          </w:rPr>
          <w:t>https://www.england.nhs.uk</w:t>
        </w:r>
      </w:hyperlink>
      <w:r w:rsidRPr="0015356E">
        <w:rPr>
          <w:rFonts w:ascii="Arial" w:eastAsia="Times New Roman" w:hAnsi="Arial" w:cs="Arial"/>
          <w:kern w:val="0"/>
          <w:lang w:eastAsia="en-GB"/>
          <w14:ligatures w14:val="none"/>
        </w:rPr>
        <w:t xml:space="preserve"> (Accessed: 20 October 2025).</w:t>
      </w:r>
    </w:p>
    <w:p w14:paraId="20CD7973" w14:textId="77777777" w:rsidR="0015356E" w:rsidRPr="0015356E" w:rsidRDefault="0015356E" w:rsidP="005E391F">
      <w:pPr>
        <w:spacing w:before="100" w:beforeAutospacing="1" w:after="100" w:afterAutospacing="1" w:line="360" w:lineRule="auto"/>
        <w:rPr>
          <w:rFonts w:ascii="Arial" w:eastAsia="Times New Roman" w:hAnsi="Arial" w:cs="Arial"/>
          <w:kern w:val="0"/>
          <w:lang w:eastAsia="en-GB"/>
          <w14:ligatures w14:val="none"/>
        </w:rPr>
      </w:pPr>
      <w:r w:rsidRPr="0015356E">
        <w:rPr>
          <w:rFonts w:ascii="Arial" w:eastAsia="Times New Roman" w:hAnsi="Arial" w:cs="Arial"/>
          <w:kern w:val="0"/>
          <w:lang w:eastAsia="en-GB"/>
          <w14:ligatures w14:val="none"/>
        </w:rPr>
        <w:lastRenderedPageBreak/>
        <w:t xml:space="preserve">World Health Organization (2022) </w:t>
      </w:r>
      <w:r w:rsidRPr="0015356E">
        <w:rPr>
          <w:rFonts w:ascii="Arial" w:eastAsia="Times New Roman" w:hAnsi="Arial" w:cs="Arial"/>
          <w:i/>
          <w:iCs/>
          <w:kern w:val="0"/>
          <w:lang w:eastAsia="en-GB"/>
          <w14:ligatures w14:val="none"/>
        </w:rPr>
        <w:t>International Classification of Diseases, 11th Revision (ICD-11): Attention Deficit Hyperactivity Disorder</w:t>
      </w:r>
      <w:r w:rsidRPr="0015356E">
        <w:rPr>
          <w:rFonts w:ascii="Arial" w:eastAsia="Times New Roman" w:hAnsi="Arial" w:cs="Arial"/>
          <w:kern w:val="0"/>
          <w:lang w:eastAsia="en-GB"/>
          <w14:ligatures w14:val="none"/>
        </w:rPr>
        <w:t xml:space="preserve">. Geneva: WHO. Available at: </w:t>
      </w:r>
      <w:hyperlink r:id="rId38" w:anchor="/" w:tgtFrame="_new" w:history="1">
        <w:r w:rsidRPr="0015356E">
          <w:rPr>
            <w:rFonts w:ascii="Arial" w:eastAsia="Times New Roman" w:hAnsi="Arial" w:cs="Arial"/>
            <w:color w:val="0000FF"/>
            <w:kern w:val="0"/>
            <w:u w:val="single"/>
            <w:lang w:eastAsia="en-GB"/>
            <w14:ligatures w14:val="none"/>
          </w:rPr>
          <w:t>https://icd.who.int/browse11/l-m/en#/</w:t>
        </w:r>
      </w:hyperlink>
      <w:r w:rsidRPr="0015356E">
        <w:rPr>
          <w:rFonts w:ascii="Arial" w:eastAsia="Times New Roman" w:hAnsi="Arial" w:cs="Arial"/>
          <w:kern w:val="0"/>
          <w:lang w:eastAsia="en-GB"/>
          <w14:ligatures w14:val="none"/>
        </w:rPr>
        <w:t xml:space="preserve"> (Accessed: 21 October 2025).</w:t>
      </w:r>
    </w:p>
    <w:p w14:paraId="7223CE0A" w14:textId="77777777" w:rsidR="0015356E" w:rsidRPr="00252683" w:rsidRDefault="0015356E" w:rsidP="00BB2AEF">
      <w:pPr>
        <w:pStyle w:val="NormalWeb"/>
        <w:spacing w:line="360" w:lineRule="auto"/>
        <w:rPr>
          <w:rFonts w:ascii="Arial" w:hAnsi="Arial" w:cs="Arial"/>
          <w:color w:val="000000" w:themeColor="text1"/>
          <w:sz w:val="22"/>
          <w:szCs w:val="22"/>
        </w:rPr>
      </w:pPr>
    </w:p>
    <w:p w14:paraId="59BBC5CA" w14:textId="77777777" w:rsidR="00C8447C" w:rsidRPr="00BB2AEF" w:rsidRDefault="00C8447C" w:rsidP="00C726C0">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34134E42" w14:textId="466F1B1C" w:rsidR="00CC1A71" w:rsidRPr="00BB2AEF" w:rsidRDefault="00DE4254" w:rsidP="00BB2AEF">
      <w:pPr>
        <w:spacing w:before="100" w:beforeAutospacing="1" w:after="100" w:afterAutospacing="1" w:line="360" w:lineRule="auto"/>
        <w:jc w:val="center"/>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Chapter</w:t>
      </w:r>
      <w:r w:rsidR="009E6DE6" w:rsidRPr="00BB2AEF">
        <w:rPr>
          <w:rFonts w:ascii="Arial" w:eastAsia="Times New Roman" w:hAnsi="Arial" w:cs="Arial"/>
          <w:b/>
          <w:bCs/>
          <w:color w:val="000000" w:themeColor="text1"/>
          <w:kern w:val="0"/>
          <w:lang w:eastAsia="en-GB"/>
          <w14:ligatures w14:val="none"/>
        </w:rPr>
        <w:t>2:</w:t>
      </w:r>
      <w:r w:rsidR="00247A4E" w:rsidRPr="00BB2AEF">
        <w:rPr>
          <w:rFonts w:ascii="Arial" w:eastAsia="Times New Roman" w:hAnsi="Arial" w:cs="Arial"/>
          <w:b/>
          <w:bCs/>
          <w:color w:val="000000" w:themeColor="text1"/>
          <w:kern w:val="0"/>
          <w:lang w:eastAsia="en-GB"/>
          <w14:ligatures w14:val="none"/>
        </w:rPr>
        <w:t xml:space="preserve"> </w:t>
      </w:r>
      <w:r w:rsidR="00CC1A71" w:rsidRPr="00BB2AEF">
        <w:rPr>
          <w:rFonts w:ascii="Arial" w:eastAsia="Times New Roman" w:hAnsi="Arial" w:cs="Arial"/>
          <w:b/>
          <w:bCs/>
          <w:color w:val="000000" w:themeColor="text1"/>
          <w:kern w:val="0"/>
          <w:lang w:eastAsia="en-GB"/>
          <w14:ligatures w14:val="none"/>
        </w:rPr>
        <w:t>Background information and Analysis</w:t>
      </w:r>
    </w:p>
    <w:p w14:paraId="1806EFE5" w14:textId="77777777" w:rsidR="00D66902" w:rsidRPr="00BB2AEF" w:rsidRDefault="00247A4E" w:rsidP="00BB2AEF">
      <w:pPr>
        <w:pStyle w:val="NormalWeb"/>
        <w:spacing w:line="360" w:lineRule="auto"/>
        <w:rPr>
          <w:rFonts w:ascii="Arial" w:hAnsi="Arial" w:cs="Arial"/>
          <w:color w:val="000000" w:themeColor="text1"/>
          <w:sz w:val="22"/>
          <w:szCs w:val="22"/>
        </w:rPr>
      </w:pPr>
      <w:r w:rsidRPr="00BB2AEF">
        <w:rPr>
          <w:rFonts w:ascii="Arial" w:hAnsi="Arial" w:cs="Arial"/>
          <w:b/>
          <w:bCs/>
          <w:color w:val="000000" w:themeColor="text1"/>
          <w:sz w:val="22"/>
          <w:szCs w:val="22"/>
        </w:rPr>
        <w:t>Introduction:</w:t>
      </w:r>
      <w:r w:rsidR="00D66902" w:rsidRPr="00BB2AEF">
        <w:rPr>
          <w:rFonts w:ascii="Arial" w:hAnsi="Arial" w:cs="Arial"/>
          <w:b/>
          <w:bCs/>
          <w:color w:val="000000" w:themeColor="text1"/>
          <w:sz w:val="22"/>
          <w:szCs w:val="22"/>
        </w:rPr>
        <w:t xml:space="preserve"> </w:t>
      </w:r>
      <w:r w:rsidR="00D66902" w:rsidRPr="00BB2AEF">
        <w:rPr>
          <w:rFonts w:ascii="Arial" w:hAnsi="Arial" w:cs="Arial"/>
          <w:color w:val="000000" w:themeColor="text1"/>
          <w:sz w:val="22"/>
          <w:szCs w:val="22"/>
        </w:rPr>
        <w:t>The purpose of this background chapter is to provide a broad and foundational understanding of the impact of Attention Deficit Hyperactivity Disorder (ADHD) on medicated children and their families within the United Kingdom. It aims to set the context for the research by outlining the key factors that have shaped current understanding and practice.</w:t>
      </w:r>
    </w:p>
    <w:p w14:paraId="5D2DD079" w14:textId="77777777" w:rsidR="00D66902" w:rsidRPr="00BB2AEF" w:rsidRDefault="00D66902"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The chapter begins by tracing the </w:t>
      </w:r>
      <w:r w:rsidRPr="00BB2AEF">
        <w:rPr>
          <w:rStyle w:val="Strong"/>
          <w:rFonts w:ascii="Arial" w:eastAsiaTheme="majorEastAsia" w:hAnsi="Arial" w:cs="Arial"/>
          <w:b w:val="0"/>
          <w:bCs w:val="0"/>
          <w:color w:val="000000" w:themeColor="text1"/>
          <w:sz w:val="22"/>
          <w:szCs w:val="22"/>
        </w:rPr>
        <w:t>historical development</w:t>
      </w:r>
      <w:r w:rsidRPr="00BB2AEF">
        <w:rPr>
          <w:rFonts w:ascii="Arial" w:hAnsi="Arial" w:cs="Arial"/>
          <w:color w:val="000000" w:themeColor="text1"/>
          <w:sz w:val="22"/>
          <w:szCs w:val="22"/>
        </w:rPr>
        <w:t xml:space="preserve"> of ADHD, before examining the </w:t>
      </w:r>
      <w:r w:rsidRPr="00BB2AEF">
        <w:rPr>
          <w:rStyle w:val="Strong"/>
          <w:rFonts w:ascii="Arial" w:eastAsiaTheme="majorEastAsia" w:hAnsi="Arial" w:cs="Arial"/>
          <w:b w:val="0"/>
          <w:bCs w:val="0"/>
          <w:color w:val="000000" w:themeColor="text1"/>
          <w:sz w:val="22"/>
          <w:szCs w:val="22"/>
        </w:rPr>
        <w:t>theoretical frameworks</w:t>
      </w:r>
      <w:r w:rsidRPr="00BB2AEF">
        <w:rPr>
          <w:rFonts w:ascii="Arial" w:hAnsi="Arial" w:cs="Arial"/>
          <w:color w:val="000000" w:themeColor="text1"/>
          <w:sz w:val="22"/>
          <w:szCs w:val="22"/>
        </w:rPr>
        <w:t xml:space="preserve"> that inform its interpretation, including the Neurodevelopmental and Social Learning theories. It then explores the</w:t>
      </w:r>
      <w:r w:rsidRPr="00BB2AEF">
        <w:rPr>
          <w:rFonts w:ascii="Arial" w:hAnsi="Arial" w:cs="Arial"/>
          <w:b/>
          <w:bCs/>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international context</w:t>
      </w:r>
      <w:r w:rsidRPr="00BB2AEF">
        <w:rPr>
          <w:rFonts w:ascii="Arial" w:hAnsi="Arial" w:cs="Arial"/>
          <w:color w:val="000000" w:themeColor="text1"/>
          <w:sz w:val="22"/>
          <w:szCs w:val="22"/>
        </w:rPr>
        <w:t>, considering how ADHD is perceived and managed in different countries, before narrowing the focus to the</w:t>
      </w:r>
      <w:r w:rsidRPr="00BB2AEF">
        <w:rPr>
          <w:rFonts w:ascii="Arial" w:hAnsi="Arial" w:cs="Arial"/>
          <w:b/>
          <w:bCs/>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national and local UK context</w:t>
      </w:r>
      <w:r w:rsidRPr="00BB2AEF">
        <w:rPr>
          <w:rFonts w:ascii="Arial" w:hAnsi="Arial" w:cs="Arial"/>
          <w:color w:val="000000" w:themeColor="text1"/>
          <w:sz w:val="22"/>
          <w:szCs w:val="22"/>
        </w:rPr>
        <w:t>, with particular attention to England and Scotland.</w:t>
      </w:r>
    </w:p>
    <w:p w14:paraId="41A39935" w14:textId="77777777" w:rsidR="00D66902" w:rsidRPr="00BB2AEF" w:rsidRDefault="00D66902"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Collectively, these sections establish the necessary background to support the research and inform the </w:t>
      </w:r>
      <w:r w:rsidRPr="00BB2AEF">
        <w:rPr>
          <w:rStyle w:val="Emphasis"/>
          <w:rFonts w:ascii="Arial" w:eastAsiaTheme="majorEastAsia" w:hAnsi="Arial" w:cs="Arial"/>
          <w:i w:val="0"/>
          <w:iCs w:val="0"/>
          <w:color w:val="000000" w:themeColor="text1"/>
          <w:sz w:val="22"/>
          <w:szCs w:val="22"/>
        </w:rPr>
        <w:t>Methodology</w:t>
      </w:r>
      <w:r w:rsidRPr="00BB2AEF">
        <w:rPr>
          <w:rFonts w:ascii="Arial" w:hAnsi="Arial" w:cs="Arial"/>
          <w:i/>
          <w:iCs/>
          <w:color w:val="000000" w:themeColor="text1"/>
          <w:sz w:val="22"/>
          <w:szCs w:val="22"/>
        </w:rPr>
        <w:t xml:space="preserve"> </w:t>
      </w:r>
      <w:r w:rsidRPr="00BB2AEF">
        <w:rPr>
          <w:rFonts w:ascii="Arial" w:hAnsi="Arial" w:cs="Arial"/>
          <w:color w:val="000000" w:themeColor="text1"/>
          <w:sz w:val="22"/>
          <w:szCs w:val="22"/>
        </w:rPr>
        <w:t>chapter that follows.</w:t>
      </w:r>
    </w:p>
    <w:p w14:paraId="028FB457" w14:textId="3C396BA2" w:rsidR="00247A4E" w:rsidRPr="00BB2AEF" w:rsidRDefault="00247A4E"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3EFDD3A1" w14:textId="3B66DB85" w:rsidR="00DC4CC6" w:rsidRPr="00BB2AEF" w:rsidRDefault="00FE1480"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 xml:space="preserve">Historical </w:t>
      </w:r>
      <w:r w:rsidR="00C262F6" w:rsidRPr="00BB2AEF">
        <w:rPr>
          <w:rFonts w:ascii="Arial" w:eastAsia="Times New Roman" w:hAnsi="Arial" w:cs="Arial"/>
          <w:b/>
          <w:bCs/>
          <w:color w:val="000000" w:themeColor="text1"/>
          <w:kern w:val="0"/>
          <w:lang w:eastAsia="en-GB"/>
          <w14:ligatures w14:val="none"/>
        </w:rPr>
        <w:t>background:</w:t>
      </w:r>
      <w:r w:rsidR="00C262F6" w:rsidRPr="00BB2AEF">
        <w:rPr>
          <w:rFonts w:ascii="Arial" w:eastAsia="Times New Roman" w:hAnsi="Arial" w:cs="Arial"/>
          <w:color w:val="000000" w:themeColor="text1"/>
          <w:kern w:val="0"/>
          <w:lang w:eastAsia="en-GB"/>
          <w14:ligatures w14:val="none"/>
        </w:rPr>
        <w:t xml:space="preserve"> To</w:t>
      </w:r>
      <w:r w:rsidR="00DC4CC6" w:rsidRPr="00BB2AEF">
        <w:rPr>
          <w:rFonts w:ascii="Arial" w:eastAsia="Times New Roman" w:hAnsi="Arial" w:cs="Arial"/>
          <w:color w:val="000000" w:themeColor="text1"/>
          <w:kern w:val="0"/>
          <w:lang w:eastAsia="en-GB"/>
          <w14:ligatures w14:val="none"/>
        </w:rPr>
        <w:t xml:space="preserve"> understand current approaches to Attention Deficit Hyperactivity Disorder (ADHD) in the United Kingdom, it is important to consider how historical developments have shaped both clinical practice and public understanding. The earliest formal account of ADHD-like symptoms can be traced to the British paediatrician Sir George Still (1902), who described children with marked difficulties in attention, impulsivity, and behavioural control. At the time, these behaviours were interpreted as a “defect of moral control” rather than a medical issue. Still’s early work provided the foundation for later recognition that these traits were neurological in origin rather than moral or social failings (Still, 1902; Lange et al., 2010).</w:t>
      </w:r>
    </w:p>
    <w:p w14:paraId="2AAC9C9C" w14:textId="77777777" w:rsidR="00DC4CC6" w:rsidRPr="00BB2AEF" w:rsidRDefault="00DC4CC6"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By the mid-twentieth century, psychological and neurological research began linking hyperactivity and attention deficits to brain function. The term Minimal Brain</w:t>
      </w:r>
      <w:r w:rsidRPr="00BB2AEF">
        <w:rPr>
          <w:rFonts w:ascii="Arial" w:eastAsia="Times New Roman" w:hAnsi="Arial" w:cs="Arial"/>
          <w:i/>
          <w:iCs/>
          <w:color w:val="000000" w:themeColor="text1"/>
          <w:kern w:val="0"/>
          <w:lang w:eastAsia="en-GB"/>
          <w14:ligatures w14:val="none"/>
        </w:rPr>
        <w:t xml:space="preserve"> </w:t>
      </w:r>
      <w:r w:rsidRPr="00BB2AEF">
        <w:rPr>
          <w:rFonts w:ascii="Arial" w:eastAsia="Times New Roman" w:hAnsi="Arial" w:cs="Arial"/>
          <w:color w:val="000000" w:themeColor="text1"/>
          <w:kern w:val="0"/>
          <w:lang w:eastAsia="en-GB"/>
          <w14:ligatures w14:val="none"/>
        </w:rPr>
        <w:t xml:space="preserve">Dysfunction </w:t>
      </w:r>
      <w:r w:rsidRPr="00BB2AEF">
        <w:rPr>
          <w:rFonts w:ascii="Arial" w:eastAsia="Times New Roman" w:hAnsi="Arial" w:cs="Arial"/>
          <w:color w:val="000000" w:themeColor="text1"/>
          <w:kern w:val="0"/>
          <w:lang w:eastAsia="en-GB"/>
          <w14:ligatures w14:val="none"/>
        </w:rPr>
        <w:lastRenderedPageBreak/>
        <w:t>emerged in the 1950s, reflecting an early attempt to describe the biological basis of behavioural difficulties (Lange et al., 2010). During the 1960s and 1970s, stimulant medications such as methylphenidate and amphetamines were introduced, and controlled studies demonstrated improvements in attention, self-regulation, and academic performance (Rapoport et al., 1978). These developments marked a pivotal shift towards medical rather than disciplinary approaches to childhood behaviour.</w:t>
      </w:r>
    </w:p>
    <w:p w14:paraId="3F4A1BFB" w14:textId="7F0099F7" w:rsidR="00591AE5" w:rsidRPr="00BB2AEF" w:rsidRDefault="0031329A"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t xml:space="preserve">In the 1980s, the </w:t>
      </w:r>
      <w:r w:rsidRPr="00BB2AEF">
        <w:rPr>
          <w:rStyle w:val="Strong"/>
          <w:rFonts w:ascii="Arial" w:hAnsi="Arial" w:cs="Arial"/>
          <w:b w:val="0"/>
          <w:bCs w:val="0"/>
          <w:color w:val="000000" w:themeColor="text1"/>
        </w:rPr>
        <w:t>Diagnostic and Statistical Manual of Mental Disorders (DSM-III)</w:t>
      </w:r>
      <w:r w:rsidRPr="00BB2AEF">
        <w:rPr>
          <w:rFonts w:ascii="Arial" w:hAnsi="Arial" w:cs="Arial"/>
          <w:color w:val="000000" w:themeColor="text1"/>
        </w:rPr>
        <w:t xml:space="preserve"> formally identified </w:t>
      </w:r>
      <w:r w:rsidRPr="00BB2AEF">
        <w:rPr>
          <w:rStyle w:val="Emphasis"/>
          <w:rFonts w:ascii="Arial" w:hAnsi="Arial" w:cs="Arial"/>
          <w:i w:val="0"/>
          <w:iCs w:val="0"/>
          <w:color w:val="000000" w:themeColor="text1"/>
        </w:rPr>
        <w:t>Attention Deficit Disorder</w:t>
      </w:r>
      <w:r w:rsidRPr="00BB2AEF">
        <w:rPr>
          <w:rStyle w:val="Emphasis"/>
          <w:rFonts w:ascii="Arial" w:hAnsi="Arial" w:cs="Arial"/>
          <w:color w:val="000000" w:themeColor="text1"/>
        </w:rPr>
        <w:t xml:space="preserve"> (ADD)</w:t>
      </w:r>
      <w:r w:rsidRPr="00BB2AEF">
        <w:rPr>
          <w:rFonts w:ascii="Arial" w:hAnsi="Arial" w:cs="Arial"/>
          <w:color w:val="000000" w:themeColor="text1"/>
        </w:rPr>
        <w:t xml:space="preserve"> and its hyperactive subtype (</w:t>
      </w:r>
      <w:r w:rsidRPr="00BB2AEF">
        <w:rPr>
          <w:rStyle w:val="Strong"/>
          <w:rFonts w:ascii="Arial" w:hAnsi="Arial" w:cs="Arial"/>
          <w:b w:val="0"/>
          <w:bCs w:val="0"/>
          <w:color w:val="000000" w:themeColor="text1"/>
        </w:rPr>
        <w:t>American Psychiatric Association, 1980</w:t>
      </w:r>
      <w:r w:rsidRPr="00BB2AEF">
        <w:rPr>
          <w:rFonts w:ascii="Arial" w:hAnsi="Arial" w:cs="Arial"/>
          <w:color w:val="000000" w:themeColor="text1"/>
        </w:rPr>
        <w:t xml:space="preserve">). Subsequent editions reclassified the condition as </w:t>
      </w:r>
      <w:r w:rsidRPr="00BB2AEF">
        <w:rPr>
          <w:rStyle w:val="Emphasis"/>
          <w:rFonts w:ascii="Arial" w:hAnsi="Arial" w:cs="Arial"/>
          <w:i w:val="0"/>
          <w:iCs w:val="0"/>
          <w:color w:val="000000" w:themeColor="text1"/>
        </w:rPr>
        <w:t>Attention Deficit Hyperactivity Disorder</w:t>
      </w:r>
      <w:r w:rsidRPr="00BB2AEF">
        <w:rPr>
          <w:rStyle w:val="Emphasis"/>
          <w:rFonts w:ascii="Arial" w:hAnsi="Arial" w:cs="Arial"/>
          <w:color w:val="000000" w:themeColor="text1"/>
        </w:rPr>
        <w:t xml:space="preserve"> (ADHD)</w:t>
      </w:r>
      <w:r w:rsidRPr="00BB2AEF">
        <w:rPr>
          <w:rFonts w:ascii="Arial" w:hAnsi="Arial" w:cs="Arial"/>
          <w:color w:val="000000" w:themeColor="text1"/>
        </w:rPr>
        <w:t xml:space="preserve">, establishing it as a distinct neurodevelopmental disorder within psychiatry. Around the same time, the </w:t>
      </w:r>
      <w:r w:rsidRPr="00BB2AEF">
        <w:rPr>
          <w:rStyle w:val="Strong"/>
          <w:rFonts w:ascii="Arial" w:hAnsi="Arial" w:cs="Arial"/>
          <w:b w:val="0"/>
          <w:bCs w:val="0"/>
          <w:color w:val="000000" w:themeColor="text1"/>
        </w:rPr>
        <w:t>World Health Organization (1992)</w:t>
      </w:r>
      <w:r w:rsidRPr="00BB2AEF">
        <w:rPr>
          <w:rFonts w:ascii="Arial" w:hAnsi="Arial" w:cs="Arial"/>
          <w:color w:val="000000" w:themeColor="text1"/>
        </w:rPr>
        <w:t xml:space="preserve"> introduced </w:t>
      </w:r>
      <w:r w:rsidRPr="00BB2AEF">
        <w:rPr>
          <w:rStyle w:val="Emphasis"/>
          <w:rFonts w:ascii="Arial" w:hAnsi="Arial" w:cs="Arial"/>
          <w:color w:val="000000" w:themeColor="text1"/>
        </w:rPr>
        <w:t>Hyperkinetic Disorder</w:t>
      </w:r>
      <w:r w:rsidRPr="00BB2AEF">
        <w:rPr>
          <w:rFonts w:ascii="Arial" w:hAnsi="Arial" w:cs="Arial"/>
          <w:color w:val="000000" w:themeColor="text1"/>
        </w:rPr>
        <w:t xml:space="preserve"> within the </w:t>
      </w:r>
      <w:r w:rsidRPr="00BB2AEF">
        <w:rPr>
          <w:rStyle w:val="Strong"/>
          <w:rFonts w:ascii="Arial" w:hAnsi="Arial" w:cs="Arial"/>
          <w:b w:val="0"/>
          <w:bCs w:val="0"/>
          <w:color w:val="000000" w:themeColor="text1"/>
        </w:rPr>
        <w:t>International Classification of Diseases, Tenth Revision (ICD-10)</w:t>
      </w:r>
      <w:r w:rsidRPr="00BB2AEF">
        <w:rPr>
          <w:rFonts w:ascii="Arial" w:hAnsi="Arial" w:cs="Arial"/>
          <w:b/>
          <w:bCs/>
          <w:color w:val="000000" w:themeColor="text1"/>
        </w:rPr>
        <w:t>,</w:t>
      </w:r>
      <w:r w:rsidRPr="00BB2AEF">
        <w:rPr>
          <w:rFonts w:ascii="Arial" w:hAnsi="Arial" w:cs="Arial"/>
          <w:color w:val="000000" w:themeColor="text1"/>
        </w:rPr>
        <w:t xml:space="preserve"> providing an internationally recognised diagnostic framework that guided clinical practice in the United Kingdom for several decades. More recently, the </w:t>
      </w:r>
      <w:r w:rsidRPr="00BB2AEF">
        <w:rPr>
          <w:rStyle w:val="Strong"/>
          <w:rFonts w:ascii="Arial" w:hAnsi="Arial" w:cs="Arial"/>
          <w:b w:val="0"/>
          <w:bCs w:val="0"/>
          <w:color w:val="000000" w:themeColor="text1"/>
        </w:rPr>
        <w:t>Eleventh Revision (ICD-11)</w:t>
      </w:r>
      <w:r w:rsidRPr="00BB2AEF">
        <w:rPr>
          <w:rFonts w:ascii="Arial" w:hAnsi="Arial" w:cs="Arial"/>
          <w:color w:val="000000" w:themeColor="text1"/>
        </w:rPr>
        <w:t xml:space="preserve"> replaced this term with </w:t>
      </w:r>
      <w:r w:rsidRPr="00BB2AEF">
        <w:rPr>
          <w:rStyle w:val="Emphasis"/>
          <w:rFonts w:ascii="Arial" w:hAnsi="Arial" w:cs="Arial"/>
          <w:i w:val="0"/>
          <w:iCs w:val="0"/>
          <w:color w:val="000000" w:themeColor="text1"/>
        </w:rPr>
        <w:t>Attention Deficit Hyperactivity Disorder (ADHD)</w:t>
      </w:r>
      <w:r w:rsidRPr="00BB2AEF">
        <w:rPr>
          <w:rFonts w:ascii="Arial" w:hAnsi="Arial" w:cs="Arial"/>
          <w:color w:val="000000" w:themeColor="text1"/>
        </w:rPr>
        <w:t xml:space="preserve">, aligning global terminology and reflecting contemporary understanding of the condition as a lifelong neurodevelopmental disorder with diverse presentations across age groups </w:t>
      </w:r>
      <w:r w:rsidRPr="00BB2AEF">
        <w:rPr>
          <w:rFonts w:ascii="Arial" w:hAnsi="Arial" w:cs="Arial"/>
          <w:b/>
          <w:bCs/>
          <w:color w:val="000000" w:themeColor="text1"/>
        </w:rPr>
        <w:t>(</w:t>
      </w:r>
      <w:r w:rsidRPr="00BB2AEF">
        <w:rPr>
          <w:rStyle w:val="Strong"/>
          <w:rFonts w:ascii="Arial" w:hAnsi="Arial" w:cs="Arial"/>
          <w:b w:val="0"/>
          <w:bCs w:val="0"/>
          <w:color w:val="000000" w:themeColor="text1"/>
        </w:rPr>
        <w:t>World Health Organization, 2022</w:t>
      </w:r>
      <w:r w:rsidRPr="00BB2AEF">
        <w:rPr>
          <w:rFonts w:ascii="Arial" w:hAnsi="Arial" w:cs="Arial"/>
          <w:b/>
          <w:bCs/>
          <w:color w:val="000000" w:themeColor="text1"/>
        </w:rPr>
        <w:t>).</w:t>
      </w:r>
    </w:p>
    <w:p w14:paraId="28D22CB8" w14:textId="77777777" w:rsidR="00DC4CC6" w:rsidRPr="00BB2AEF" w:rsidRDefault="00DC4CC6"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A major milestone in the UK came with the formation of the National Institute for Health and Care Excellence (NICE) in 1999. The publication of national ADHD guidelines in 2008, and their revision in 2018, introduced evidence-based frameworks for assessment, medication, and behavioural support (NICE, 2018). These guidelines promoted a multidisciplinary approach, combining medical treatment with educational and psychosocial interventions.</w:t>
      </w:r>
    </w:p>
    <w:p w14:paraId="40D64592" w14:textId="4E91C139" w:rsidR="00FE1480" w:rsidRPr="00BB2AEF" w:rsidRDefault="00DC4CC6"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In the twenty-first century, research has expanded to explore long-term treatment outcomes and family experiences. Studies such as Cortese et al. (2018) and Daley et al. (2020) have enhanced understanding of medication safety and its psychosocial effects. Furthermore, the World Health Organization (2022) and Department of Health and Social Care (2023) have identified ADHD as a public health priority, reflecting increased recognition of its impact across the lifespan.</w:t>
      </w:r>
    </w:p>
    <w:p w14:paraId="3041D428" w14:textId="77777777" w:rsidR="00A1601E" w:rsidRDefault="00A1601E"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629C43B2" w14:textId="538D1E20" w:rsidR="00A1601E" w:rsidRPr="00BB2AEF" w:rsidRDefault="000C6535"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Theoretical Background:</w:t>
      </w:r>
    </w:p>
    <w:p w14:paraId="4BCA5DFA" w14:textId="77777777" w:rsidR="00F229B1" w:rsidRPr="00BB2AEF" w:rsidRDefault="00F229B1" w:rsidP="00BB2AEF">
      <w:pPr>
        <w:pStyle w:val="NormalWeb"/>
        <w:spacing w:line="360" w:lineRule="auto"/>
        <w:rPr>
          <w:rFonts w:ascii="Arial" w:hAnsi="Arial" w:cs="Arial"/>
          <w:b/>
          <w:bCs/>
          <w:color w:val="000000" w:themeColor="text1"/>
          <w:sz w:val="22"/>
          <w:szCs w:val="22"/>
        </w:rPr>
      </w:pPr>
      <w:r w:rsidRPr="00BB2AEF">
        <w:rPr>
          <w:rFonts w:ascii="Arial" w:hAnsi="Arial" w:cs="Arial"/>
          <w:color w:val="000000" w:themeColor="text1"/>
          <w:sz w:val="22"/>
          <w:szCs w:val="22"/>
        </w:rPr>
        <w:lastRenderedPageBreak/>
        <w:t>Theories provide structured frameworks that help to explain complex neurodevelopmental conditions such as Attention Deficit Hyperactivity Disorder (ADHD). They enable researchers and practitioners to interpret behaviour, evaluate treatment options, and develop evidence-based interventions (</w:t>
      </w:r>
      <w:r w:rsidRPr="00BB2AEF">
        <w:rPr>
          <w:rStyle w:val="Strong"/>
          <w:rFonts w:ascii="Arial" w:eastAsiaTheme="majorEastAsia" w:hAnsi="Arial" w:cs="Arial"/>
          <w:b w:val="0"/>
          <w:bCs w:val="0"/>
          <w:color w:val="000000" w:themeColor="text1"/>
          <w:sz w:val="22"/>
          <w:szCs w:val="22"/>
        </w:rPr>
        <w:t>Barkley, 1997; Bandura, 1977</w:t>
      </w:r>
      <w:r w:rsidRPr="00BB2AEF">
        <w:rPr>
          <w:rFonts w:ascii="Arial" w:hAnsi="Arial" w:cs="Arial"/>
          <w:color w:val="000000" w:themeColor="text1"/>
          <w:sz w:val="22"/>
          <w:szCs w:val="22"/>
        </w:rPr>
        <w:t xml:space="preserve">). In the United Kingdom, two central theoretical perspectives underpin the understanding and management of ADHD: the </w:t>
      </w:r>
      <w:r w:rsidRPr="00BB2AEF">
        <w:rPr>
          <w:rStyle w:val="Strong"/>
          <w:rFonts w:ascii="Arial" w:eastAsiaTheme="majorEastAsia" w:hAnsi="Arial" w:cs="Arial"/>
          <w:b w:val="0"/>
          <w:bCs w:val="0"/>
          <w:color w:val="000000" w:themeColor="text1"/>
          <w:sz w:val="22"/>
          <w:szCs w:val="22"/>
        </w:rPr>
        <w:t>Neurodevelopmental Theory</w:t>
      </w:r>
      <w:r w:rsidRPr="00BB2AEF">
        <w:rPr>
          <w:rFonts w:ascii="Arial" w:hAnsi="Arial" w:cs="Arial"/>
          <w:b/>
          <w:bCs/>
          <w:color w:val="000000" w:themeColor="text1"/>
          <w:sz w:val="22"/>
          <w:szCs w:val="22"/>
        </w:rPr>
        <w:t xml:space="preserve"> </w:t>
      </w:r>
      <w:r w:rsidRPr="00BB2AEF">
        <w:rPr>
          <w:rFonts w:ascii="Arial" w:hAnsi="Arial" w:cs="Arial"/>
          <w:color w:val="000000" w:themeColor="text1"/>
          <w:sz w:val="22"/>
          <w:szCs w:val="22"/>
        </w:rPr>
        <w:t>and</w:t>
      </w:r>
      <w:r w:rsidRPr="00BB2AEF">
        <w:rPr>
          <w:rFonts w:ascii="Arial" w:hAnsi="Arial" w:cs="Arial"/>
          <w:b/>
          <w:bCs/>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Social Learning Theory</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Both have been influential in shaping clinical research, </w:t>
      </w:r>
      <w:r w:rsidRPr="00BB2AEF">
        <w:rPr>
          <w:rStyle w:val="Strong"/>
          <w:rFonts w:ascii="Arial" w:eastAsiaTheme="majorEastAsia" w:hAnsi="Arial" w:cs="Arial"/>
          <w:b w:val="0"/>
          <w:bCs w:val="0"/>
          <w:color w:val="000000" w:themeColor="text1"/>
          <w:sz w:val="22"/>
          <w:szCs w:val="22"/>
        </w:rPr>
        <w:t>NHS</w:t>
      </w:r>
      <w:r w:rsidRPr="00BB2AEF">
        <w:rPr>
          <w:rFonts w:ascii="Arial" w:hAnsi="Arial" w:cs="Arial"/>
          <w:color w:val="000000" w:themeColor="text1"/>
          <w:sz w:val="22"/>
          <w:szCs w:val="22"/>
        </w:rPr>
        <w:t xml:space="preserve"> policy, and practical approaches to ADHD care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NICE, 2018; NHS England, 2023</w:t>
      </w:r>
      <w:r w:rsidRPr="00BB2AEF">
        <w:rPr>
          <w:rFonts w:ascii="Arial" w:hAnsi="Arial" w:cs="Arial"/>
          <w:b/>
          <w:bCs/>
          <w:color w:val="000000" w:themeColor="text1"/>
          <w:sz w:val="22"/>
          <w:szCs w:val="22"/>
        </w:rPr>
        <w:t>).</w:t>
      </w:r>
    </w:p>
    <w:p w14:paraId="2D842A38" w14:textId="77777777" w:rsidR="00F229B1" w:rsidRPr="00BB2AEF" w:rsidRDefault="00F229B1"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The </w:t>
      </w:r>
      <w:r w:rsidRPr="00BB2AEF">
        <w:rPr>
          <w:rStyle w:val="Strong"/>
          <w:rFonts w:ascii="Arial" w:eastAsiaTheme="majorEastAsia" w:hAnsi="Arial" w:cs="Arial"/>
          <w:b w:val="0"/>
          <w:bCs w:val="0"/>
          <w:color w:val="000000" w:themeColor="text1"/>
          <w:sz w:val="22"/>
          <w:szCs w:val="22"/>
        </w:rPr>
        <w:t>Neurodevelopmental Theory</w:t>
      </w:r>
      <w:r w:rsidRPr="00BB2AEF">
        <w:rPr>
          <w:rFonts w:ascii="Arial" w:hAnsi="Arial" w:cs="Arial"/>
          <w:color w:val="000000" w:themeColor="text1"/>
          <w:sz w:val="22"/>
          <w:szCs w:val="22"/>
        </w:rPr>
        <w:t xml:space="preserve"> proposes that ADHD results from atypical brain development that affects areas responsible for executive function, attention, and impulse control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Barkley, 1997; Cortese et al., 2018</w:t>
      </w:r>
      <w:r w:rsidRPr="00BB2AEF">
        <w:rPr>
          <w:rFonts w:ascii="Arial" w:hAnsi="Arial" w:cs="Arial"/>
          <w:color w:val="000000" w:themeColor="text1"/>
          <w:sz w:val="22"/>
          <w:szCs w:val="22"/>
        </w:rPr>
        <w:t xml:space="preserve">). Neuroimaging research identifies structural and functional differences in the prefrontal cortex and basal ganglia, alongside irregular dopamine and noradrenaline activity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Faraone et al., 2015; Shaw et al., 2012</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These biological findings support the conceptualisation of ADHD as a neurodevelopmental rather than behavioural condition (</w:t>
      </w:r>
      <w:r w:rsidRPr="00BB2AEF">
        <w:rPr>
          <w:rStyle w:val="Strong"/>
          <w:rFonts w:ascii="Arial" w:eastAsiaTheme="majorEastAsia" w:hAnsi="Arial" w:cs="Arial"/>
          <w:b w:val="0"/>
          <w:bCs w:val="0"/>
          <w:color w:val="000000" w:themeColor="text1"/>
          <w:sz w:val="22"/>
          <w:szCs w:val="22"/>
        </w:rPr>
        <w:t>Barkley, 1997; Faraone et al., 2015</w:t>
      </w:r>
      <w:r w:rsidRPr="00BB2AEF">
        <w:rPr>
          <w:rFonts w:ascii="Arial" w:hAnsi="Arial" w:cs="Arial"/>
          <w:color w:val="000000" w:themeColor="text1"/>
          <w:sz w:val="22"/>
          <w:szCs w:val="22"/>
        </w:rPr>
        <w:t xml:space="preserve">). The model provides the scientific foundation for the </w:t>
      </w:r>
      <w:r w:rsidRPr="00BB2AEF">
        <w:rPr>
          <w:rStyle w:val="Strong"/>
          <w:rFonts w:ascii="Arial" w:eastAsiaTheme="majorEastAsia" w:hAnsi="Arial" w:cs="Arial"/>
          <w:b w:val="0"/>
          <w:bCs w:val="0"/>
          <w:color w:val="000000" w:themeColor="text1"/>
          <w:sz w:val="22"/>
          <w:szCs w:val="22"/>
        </w:rPr>
        <w:t>National Institute for Health and Care Excellence (NICE, 2018)</w:t>
      </w:r>
      <w:r w:rsidRPr="00BB2AEF">
        <w:rPr>
          <w:rFonts w:ascii="Arial" w:hAnsi="Arial" w:cs="Arial"/>
          <w:color w:val="000000" w:themeColor="text1"/>
          <w:sz w:val="22"/>
          <w:szCs w:val="22"/>
        </w:rPr>
        <w:t xml:space="preserve"> guidelines, which recommend stimulant and non-stimulant medication as part of a comprehensive, multimodal treatment approach. Within the United Kingdom, these principles are applied through </w:t>
      </w:r>
      <w:r w:rsidRPr="00BB2AEF">
        <w:rPr>
          <w:rStyle w:val="Strong"/>
          <w:rFonts w:ascii="Arial" w:eastAsiaTheme="majorEastAsia" w:hAnsi="Arial" w:cs="Arial"/>
          <w:b w:val="0"/>
          <w:bCs w:val="0"/>
          <w:color w:val="000000" w:themeColor="text1"/>
          <w:sz w:val="22"/>
          <w:szCs w:val="22"/>
        </w:rPr>
        <w:t>NHS England’s (2023)</w:t>
      </w:r>
      <w:r w:rsidRPr="00BB2AEF">
        <w:rPr>
          <w:rFonts w:ascii="Arial" w:hAnsi="Arial" w:cs="Arial"/>
          <w:color w:val="000000" w:themeColor="text1"/>
          <w:sz w:val="22"/>
          <w:szCs w:val="22"/>
        </w:rPr>
        <w:t xml:space="preserve"> mental health pathways, where multidisciplinary teams assess children, initiate treatment, and provide long-term monitoring (</w:t>
      </w:r>
      <w:r w:rsidRPr="00BB2AEF">
        <w:rPr>
          <w:rStyle w:val="Strong"/>
          <w:rFonts w:ascii="Arial" w:eastAsiaTheme="majorEastAsia" w:hAnsi="Arial" w:cs="Arial"/>
          <w:b w:val="0"/>
          <w:bCs w:val="0"/>
          <w:color w:val="000000" w:themeColor="text1"/>
          <w:sz w:val="22"/>
          <w:szCs w:val="22"/>
        </w:rPr>
        <w:t>NHS England, 2023</w:t>
      </w:r>
      <w:r w:rsidRPr="00BB2AEF">
        <w:rPr>
          <w:rFonts w:ascii="Arial" w:hAnsi="Arial" w:cs="Arial"/>
          <w:color w:val="000000" w:themeColor="text1"/>
          <w:sz w:val="22"/>
          <w:szCs w:val="22"/>
        </w:rPr>
        <w:t>).</w:t>
      </w:r>
    </w:p>
    <w:p w14:paraId="7EA06EE9" w14:textId="4EDDAD45" w:rsidR="00D372E7" w:rsidRPr="00BB2AEF" w:rsidRDefault="00F229B1"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This theoretical model has guided major research evaluating medication safety and efficacy, such as the meta-analysis conducted </w:t>
      </w:r>
      <w:r w:rsidR="00F31078" w:rsidRPr="00BB2AEF">
        <w:rPr>
          <w:rFonts w:ascii="Arial" w:hAnsi="Arial" w:cs="Arial"/>
          <w:color w:val="000000" w:themeColor="text1"/>
          <w:sz w:val="22"/>
          <w:szCs w:val="22"/>
        </w:rPr>
        <w:t>by (</w:t>
      </w:r>
      <w:r w:rsidR="00756367" w:rsidRPr="00BB2AEF">
        <w:rPr>
          <w:rFonts w:ascii="Arial" w:hAnsi="Arial" w:cs="Arial"/>
          <w:color w:val="000000" w:themeColor="text1"/>
          <w:sz w:val="22"/>
          <w:szCs w:val="22"/>
        </w:rPr>
        <w:t>Cortese</w:t>
      </w:r>
      <w:r w:rsidRPr="00BB2AEF">
        <w:rPr>
          <w:rStyle w:val="Strong"/>
          <w:rFonts w:ascii="Arial" w:eastAsiaTheme="majorEastAsia" w:hAnsi="Arial" w:cs="Arial"/>
          <w:b w:val="0"/>
          <w:bCs w:val="0"/>
          <w:color w:val="000000" w:themeColor="text1"/>
          <w:sz w:val="22"/>
          <w:szCs w:val="22"/>
        </w:rPr>
        <w:t xml:space="preserve"> et a</w:t>
      </w:r>
      <w:r w:rsidR="00F31078">
        <w:rPr>
          <w:rStyle w:val="Strong"/>
          <w:rFonts w:ascii="Arial" w:eastAsiaTheme="majorEastAsia" w:hAnsi="Arial" w:cs="Arial"/>
          <w:b w:val="0"/>
          <w:bCs w:val="0"/>
          <w:color w:val="000000" w:themeColor="text1"/>
          <w:sz w:val="22"/>
          <w:szCs w:val="22"/>
        </w:rPr>
        <w:t>l.,</w:t>
      </w:r>
      <w:r w:rsidRPr="00BB2AEF">
        <w:rPr>
          <w:rStyle w:val="Strong"/>
          <w:rFonts w:ascii="Arial" w:eastAsiaTheme="majorEastAsia" w:hAnsi="Arial" w:cs="Arial"/>
          <w:b w:val="0"/>
          <w:bCs w:val="0"/>
          <w:color w:val="000000" w:themeColor="text1"/>
          <w:sz w:val="22"/>
          <w:szCs w:val="22"/>
        </w:rPr>
        <w:t>2018)</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which confirmed that stimulant medication significantly improves attention and behaviour in children with ADHD. However, critics such as </w:t>
      </w:r>
      <w:r w:rsidRPr="00BB2AEF">
        <w:rPr>
          <w:rStyle w:val="Strong"/>
          <w:rFonts w:ascii="Arial" w:eastAsiaTheme="majorEastAsia" w:hAnsi="Arial" w:cs="Arial"/>
          <w:b w:val="0"/>
          <w:bCs w:val="0"/>
          <w:color w:val="000000" w:themeColor="text1"/>
          <w:sz w:val="22"/>
          <w:szCs w:val="22"/>
        </w:rPr>
        <w:t>Singh (2011)</w:t>
      </w:r>
      <w:r w:rsidRPr="00BB2AEF">
        <w:rPr>
          <w:rFonts w:ascii="Arial" w:hAnsi="Arial" w:cs="Arial"/>
          <w:color w:val="000000" w:themeColor="text1"/>
          <w:sz w:val="22"/>
          <w:szCs w:val="22"/>
        </w:rPr>
        <w:t xml:space="preserve"> </w:t>
      </w:r>
      <w:r w:rsidR="00745D21" w:rsidRPr="00BB2AEF">
        <w:rPr>
          <w:rFonts w:ascii="Arial" w:hAnsi="Arial" w:cs="Arial"/>
          <w:color w:val="000000" w:themeColor="text1"/>
          <w:sz w:val="22"/>
          <w:szCs w:val="22"/>
        </w:rPr>
        <w:t>argue that</w:t>
      </w:r>
      <w:r w:rsidRPr="00BB2AEF">
        <w:rPr>
          <w:rFonts w:ascii="Arial" w:hAnsi="Arial" w:cs="Arial"/>
          <w:color w:val="000000" w:themeColor="text1"/>
          <w:sz w:val="22"/>
          <w:szCs w:val="22"/>
        </w:rPr>
        <w:t xml:space="preserve"> the neurodevelopmental framework risks oversimplifying ADHD by neglecting </w:t>
      </w:r>
    </w:p>
    <w:p w14:paraId="13F62A84" w14:textId="77777777" w:rsidR="004815C2" w:rsidRPr="00BB2AEF" w:rsidRDefault="004815C2" w:rsidP="00BB2AEF">
      <w:pPr>
        <w:pStyle w:val="NormalWeb"/>
        <w:spacing w:line="360" w:lineRule="auto"/>
        <w:rPr>
          <w:rFonts w:ascii="Arial" w:hAnsi="Arial" w:cs="Arial"/>
          <w:color w:val="000000" w:themeColor="text1"/>
          <w:sz w:val="22"/>
          <w:szCs w:val="22"/>
        </w:rPr>
      </w:pPr>
    </w:p>
    <w:p w14:paraId="42547D7C" w14:textId="677F2688" w:rsidR="00F229B1" w:rsidRPr="00BB2AEF" w:rsidRDefault="00F229B1"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environmental influences and the child’s lived experience. Although this theory strongly supports pharmacological treatment and diagnostic accuracy, its limitations highlight the need for more integrative approaches that also consider social and emotional contexts (</w:t>
      </w:r>
      <w:r w:rsidRPr="00BB2AEF">
        <w:rPr>
          <w:rStyle w:val="Strong"/>
          <w:rFonts w:ascii="Arial" w:eastAsiaTheme="majorEastAsia" w:hAnsi="Arial" w:cs="Arial"/>
          <w:b w:val="0"/>
          <w:bCs w:val="0"/>
          <w:color w:val="000000" w:themeColor="text1"/>
          <w:sz w:val="22"/>
          <w:szCs w:val="22"/>
        </w:rPr>
        <w:t>Singh, 2011</w:t>
      </w:r>
      <w:r w:rsidRPr="00BB2AEF">
        <w:rPr>
          <w:rFonts w:ascii="Arial" w:hAnsi="Arial" w:cs="Arial"/>
          <w:color w:val="000000" w:themeColor="text1"/>
          <w:sz w:val="22"/>
          <w:szCs w:val="22"/>
        </w:rPr>
        <w:t xml:space="preserve">). Despite such criticism, the neurodevelopmental perspective remains central to UK policy and clinical training in child mental health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NICE, 2018; NHS England, 2023</w:t>
      </w:r>
      <w:r w:rsidRPr="00BB2AEF">
        <w:rPr>
          <w:rFonts w:ascii="Arial" w:hAnsi="Arial" w:cs="Arial"/>
          <w:b/>
          <w:bCs/>
          <w:color w:val="000000" w:themeColor="text1"/>
          <w:sz w:val="22"/>
          <w:szCs w:val="22"/>
        </w:rPr>
        <w:t>).</w:t>
      </w:r>
    </w:p>
    <w:p w14:paraId="3E5EE167" w14:textId="615316EB" w:rsidR="00F229B1" w:rsidRPr="00BB2AEF" w:rsidRDefault="00F229B1"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lastRenderedPageBreak/>
        <w:t>Conversely</w:t>
      </w:r>
      <w:r w:rsidRPr="00BB2AEF">
        <w:rPr>
          <w:rFonts w:ascii="Arial" w:hAnsi="Arial" w:cs="Arial"/>
          <w:b/>
          <w:bCs/>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Social Learning Theory (Bandura, 1977)</w:t>
      </w:r>
      <w:r w:rsidRPr="00BB2AEF">
        <w:rPr>
          <w:rFonts w:ascii="Arial" w:hAnsi="Arial" w:cs="Arial"/>
          <w:color w:val="000000" w:themeColor="text1"/>
          <w:sz w:val="22"/>
          <w:szCs w:val="22"/>
        </w:rPr>
        <w:t xml:space="preserve"> provides an environmental and behavioural explanation, suggesting that children’s actions are learned through observation, imitation, and reinforcement within their surroundings. This theory has influenced behavioural interventions and parenting programmes across the UK, particularly those delivered through </w:t>
      </w:r>
      <w:r w:rsidRPr="00BB2AEF">
        <w:rPr>
          <w:rStyle w:val="Strong"/>
          <w:rFonts w:ascii="Arial" w:eastAsiaTheme="majorEastAsia" w:hAnsi="Arial" w:cs="Arial"/>
          <w:b w:val="0"/>
          <w:bCs w:val="0"/>
          <w:color w:val="000000" w:themeColor="text1"/>
          <w:sz w:val="22"/>
          <w:szCs w:val="22"/>
        </w:rPr>
        <w:t>NHS</w:t>
      </w:r>
      <w:r w:rsidRPr="00BB2AEF">
        <w:rPr>
          <w:rFonts w:ascii="Arial" w:hAnsi="Arial" w:cs="Arial"/>
          <w:color w:val="000000" w:themeColor="text1"/>
          <w:sz w:val="22"/>
          <w:szCs w:val="22"/>
        </w:rPr>
        <w:t xml:space="preserve"> community services and local authorities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Daley et al., 2018; Evans et al., 2018</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Empirical studies demonstrate that parent-training interventions grounded in social learning principles significantly improve child behaviour, reduce parental stress, and enhance family relationships (</w:t>
      </w:r>
      <w:r w:rsidRPr="00BB2AEF">
        <w:rPr>
          <w:rStyle w:val="Strong"/>
          <w:rFonts w:ascii="Arial" w:eastAsiaTheme="majorEastAsia" w:hAnsi="Arial" w:cs="Arial"/>
          <w:b w:val="0"/>
          <w:bCs w:val="0"/>
          <w:color w:val="000000" w:themeColor="text1"/>
          <w:sz w:val="22"/>
          <w:szCs w:val="22"/>
        </w:rPr>
        <w:t>Daley et al., 2018; Evans et al., 2018</w:t>
      </w:r>
      <w:r w:rsidRPr="00BB2AEF">
        <w:rPr>
          <w:rFonts w:ascii="Arial" w:hAnsi="Arial" w:cs="Arial"/>
          <w:color w:val="000000" w:themeColor="text1"/>
          <w:sz w:val="22"/>
          <w:szCs w:val="22"/>
        </w:rPr>
        <w:t xml:space="preserve">). These outcomes have informed UK policy frameworks, including the </w:t>
      </w:r>
      <w:r w:rsidRPr="00BB2AEF">
        <w:rPr>
          <w:rStyle w:val="Strong"/>
          <w:rFonts w:ascii="Arial" w:eastAsiaTheme="majorEastAsia" w:hAnsi="Arial" w:cs="Arial"/>
          <w:b w:val="0"/>
          <w:bCs w:val="0"/>
          <w:color w:val="000000" w:themeColor="text1"/>
          <w:sz w:val="22"/>
          <w:szCs w:val="22"/>
        </w:rPr>
        <w:t>Care Act 2014</w:t>
      </w:r>
      <w:r w:rsidRPr="00BB2AEF">
        <w:rPr>
          <w:rFonts w:ascii="Arial" w:hAnsi="Arial" w:cs="Arial"/>
          <w:color w:val="000000" w:themeColor="text1"/>
          <w:sz w:val="22"/>
          <w:szCs w:val="22"/>
        </w:rPr>
        <w:t xml:space="preserve"> and </w:t>
      </w:r>
      <w:r w:rsidRPr="00BB2AEF">
        <w:rPr>
          <w:rStyle w:val="Strong"/>
          <w:rFonts w:ascii="Arial" w:eastAsiaTheme="majorEastAsia" w:hAnsi="Arial" w:cs="Arial"/>
          <w:b w:val="0"/>
          <w:bCs w:val="0"/>
          <w:color w:val="000000" w:themeColor="text1"/>
          <w:sz w:val="22"/>
          <w:szCs w:val="22"/>
        </w:rPr>
        <w:t>NICE 2018</w:t>
      </w:r>
      <w:r w:rsidRPr="00BB2AEF">
        <w:rPr>
          <w:rFonts w:ascii="Arial" w:hAnsi="Arial" w:cs="Arial"/>
          <w:color w:val="000000" w:themeColor="text1"/>
          <w:sz w:val="22"/>
          <w:szCs w:val="22"/>
        </w:rPr>
        <w:t xml:space="preserve"> guidance, which both endorse family-centred and behavioural approaches to ADHD management. Critics contend that behavioural theories may underestimate biological factors; however, combining social learning and neurodevelopmental perspectives provides a more holistic framework for effective ADHD support (</w:t>
      </w:r>
      <w:proofErr w:type="spellStart"/>
      <w:r w:rsidRPr="00BB2AEF">
        <w:rPr>
          <w:rStyle w:val="Strong"/>
          <w:rFonts w:ascii="Arial" w:eastAsiaTheme="majorEastAsia" w:hAnsi="Arial" w:cs="Arial"/>
          <w:b w:val="0"/>
          <w:bCs w:val="0"/>
          <w:color w:val="000000" w:themeColor="text1"/>
          <w:sz w:val="22"/>
          <w:szCs w:val="22"/>
        </w:rPr>
        <w:t>Sonuga</w:t>
      </w:r>
      <w:proofErr w:type="spellEnd"/>
      <w:r w:rsidRPr="00BB2AEF">
        <w:rPr>
          <w:rStyle w:val="Strong"/>
          <w:rFonts w:ascii="Arial" w:eastAsiaTheme="majorEastAsia" w:hAnsi="Arial" w:cs="Arial"/>
          <w:b w:val="0"/>
          <w:bCs w:val="0"/>
          <w:color w:val="000000" w:themeColor="text1"/>
          <w:sz w:val="22"/>
          <w:szCs w:val="22"/>
        </w:rPr>
        <w:t>-Barke et al., 2013</w:t>
      </w:r>
      <w:r w:rsidRPr="00BB2AEF">
        <w:rPr>
          <w:rFonts w:ascii="Arial" w:hAnsi="Arial" w:cs="Arial"/>
          <w:b/>
          <w:bCs/>
          <w:color w:val="000000" w:themeColor="text1"/>
          <w:sz w:val="22"/>
          <w:szCs w:val="22"/>
        </w:rPr>
        <w:t>).</w:t>
      </w:r>
    </w:p>
    <w:p w14:paraId="3B3680E7" w14:textId="6CE782AC" w:rsidR="00321ED9" w:rsidRPr="00BB2AEF" w:rsidRDefault="00F229B1" w:rsidP="00BB2AEF">
      <w:pPr>
        <w:pStyle w:val="NormalWeb"/>
        <w:spacing w:line="360" w:lineRule="auto"/>
        <w:rPr>
          <w:rFonts w:ascii="Arial" w:hAnsi="Arial" w:cs="Arial"/>
          <w:b/>
          <w:bCs/>
          <w:color w:val="000000" w:themeColor="text1"/>
          <w:sz w:val="22"/>
          <w:szCs w:val="22"/>
        </w:rPr>
      </w:pPr>
      <w:r w:rsidRPr="00BB2AEF">
        <w:rPr>
          <w:rFonts w:ascii="Arial" w:hAnsi="Arial" w:cs="Arial"/>
          <w:color w:val="000000" w:themeColor="text1"/>
          <w:sz w:val="22"/>
          <w:szCs w:val="22"/>
        </w:rPr>
        <w:t xml:space="preserve">Together, these theories underpin an integrated, evidence-based approach to ADHD care in the United Kingdom. The </w:t>
      </w:r>
      <w:r w:rsidRPr="00BB2AEF">
        <w:rPr>
          <w:rStyle w:val="Strong"/>
          <w:rFonts w:ascii="Arial" w:eastAsiaTheme="majorEastAsia" w:hAnsi="Arial" w:cs="Arial"/>
          <w:b w:val="0"/>
          <w:bCs w:val="0"/>
          <w:color w:val="000000" w:themeColor="text1"/>
          <w:sz w:val="22"/>
          <w:szCs w:val="22"/>
        </w:rPr>
        <w:t>Neurodevelopmental Theory</w:t>
      </w:r>
      <w:r w:rsidRPr="00BB2AEF">
        <w:rPr>
          <w:rFonts w:ascii="Arial" w:hAnsi="Arial" w:cs="Arial"/>
          <w:color w:val="000000" w:themeColor="text1"/>
          <w:sz w:val="22"/>
          <w:szCs w:val="22"/>
        </w:rPr>
        <w:t xml:space="preserve"> informs diagnosis and medication protocols, while </w:t>
      </w:r>
      <w:r w:rsidRPr="00BB2AEF">
        <w:rPr>
          <w:rStyle w:val="Strong"/>
          <w:rFonts w:ascii="Arial" w:eastAsiaTheme="majorEastAsia" w:hAnsi="Arial" w:cs="Arial"/>
          <w:b w:val="0"/>
          <w:bCs w:val="0"/>
          <w:color w:val="000000" w:themeColor="text1"/>
          <w:sz w:val="22"/>
          <w:szCs w:val="22"/>
        </w:rPr>
        <w:t>Social Learning Theory</w:t>
      </w:r>
      <w:r w:rsidRPr="00BB2AEF">
        <w:rPr>
          <w:rFonts w:ascii="Arial" w:hAnsi="Arial" w:cs="Arial"/>
          <w:color w:val="000000" w:themeColor="text1"/>
          <w:sz w:val="22"/>
          <w:szCs w:val="22"/>
        </w:rPr>
        <w:t xml:space="preserve"> shapes behavioural and family interventions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NICE, 2018; NHS England, 2023</w:t>
      </w:r>
      <w:r w:rsidRPr="00BB2AEF">
        <w:rPr>
          <w:rFonts w:ascii="Arial" w:hAnsi="Arial" w:cs="Arial"/>
          <w:color w:val="000000" w:themeColor="text1"/>
          <w:sz w:val="22"/>
          <w:szCs w:val="22"/>
        </w:rPr>
        <w:t xml:space="preserve">). Their integration within national guidelines and educational practice ensures a balanced, person-centred approach that addresses both biological and environmental aspects of ADHD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Cortese et al., 2018; Daley et al., 2018</w:t>
      </w:r>
      <w:r w:rsidRPr="00BB2AEF">
        <w:rPr>
          <w:rFonts w:ascii="Arial" w:hAnsi="Arial" w:cs="Arial"/>
          <w:b/>
          <w:bCs/>
          <w:color w:val="000000" w:themeColor="text1"/>
          <w:sz w:val="22"/>
          <w:szCs w:val="22"/>
        </w:rPr>
        <w:t>).</w:t>
      </w:r>
    </w:p>
    <w:p w14:paraId="7A6C16B1" w14:textId="7693AACD" w:rsidR="007A599D" w:rsidRPr="00BB2AEF" w:rsidRDefault="007E49B7"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 xml:space="preserve">International Context </w:t>
      </w:r>
    </w:p>
    <w:p w14:paraId="671E20DD" w14:textId="77777777" w:rsidR="00F202F4" w:rsidRPr="00BB2AEF" w:rsidRDefault="00243BF0"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Attention Deficit Hyperactivity Disorder (ADHD) is recognised internationally as one of the most prevalent neurodevelopmental conditions, yet diagnosis and treatment approaches vary considerably across different regions of the world. According to the </w:t>
      </w:r>
      <w:r w:rsidRPr="00BB2AEF">
        <w:rPr>
          <w:rStyle w:val="Strong"/>
          <w:rFonts w:ascii="Arial" w:eastAsiaTheme="majorEastAsia" w:hAnsi="Arial" w:cs="Arial"/>
          <w:b w:val="0"/>
          <w:bCs w:val="0"/>
          <w:color w:val="000000" w:themeColor="text1"/>
          <w:sz w:val="22"/>
          <w:szCs w:val="22"/>
        </w:rPr>
        <w:t>World Health</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Organization (WHO, 2022)</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ADHD affects around 5% of children </w:t>
      </w:r>
    </w:p>
    <w:p w14:paraId="4AD67C84" w14:textId="6975CBF3" w:rsidR="00243BF0" w:rsidRPr="00BB2AEF" w:rsidRDefault="00243BF0" w:rsidP="00BB2AEF">
      <w:pPr>
        <w:pStyle w:val="NormalWeb"/>
        <w:spacing w:line="360" w:lineRule="auto"/>
        <w:rPr>
          <w:rFonts w:ascii="Arial" w:hAnsi="Arial" w:cs="Arial"/>
          <w:b/>
          <w:bCs/>
          <w:color w:val="000000" w:themeColor="text1"/>
          <w:sz w:val="22"/>
          <w:szCs w:val="22"/>
        </w:rPr>
      </w:pPr>
      <w:r w:rsidRPr="00BB2AEF">
        <w:rPr>
          <w:rFonts w:ascii="Arial" w:hAnsi="Arial" w:cs="Arial"/>
          <w:color w:val="000000" w:themeColor="text1"/>
          <w:sz w:val="22"/>
          <w:szCs w:val="22"/>
        </w:rPr>
        <w:t xml:space="preserve">globally, though prevalence rates differ due to variations in diagnostic criteria, healthcare accessibility, and cultural attitudes towards mental health. Research suggests that higher-income countries such as the United Kingdom, the United States, and Australia tend to report higher diagnosis rates compared with low- and middle-income countries, where underdiagnosis and stigma remain significant barriers to care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Russell et al., 2016; WHO, 2022</w:t>
      </w:r>
      <w:r w:rsidRPr="00BB2AEF">
        <w:rPr>
          <w:rFonts w:ascii="Arial" w:hAnsi="Arial" w:cs="Arial"/>
          <w:color w:val="000000" w:themeColor="text1"/>
          <w:sz w:val="22"/>
          <w:szCs w:val="22"/>
        </w:rPr>
        <w:t>).</w:t>
      </w:r>
    </w:p>
    <w:p w14:paraId="2173BB6E" w14:textId="7EE972C6" w:rsidR="00243BF0" w:rsidRPr="00BB2AEF" w:rsidRDefault="00243BF0"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In the </w:t>
      </w:r>
      <w:r w:rsidRPr="00BB2AEF">
        <w:rPr>
          <w:rStyle w:val="Strong"/>
          <w:rFonts w:ascii="Arial" w:eastAsiaTheme="majorEastAsia" w:hAnsi="Arial" w:cs="Arial"/>
          <w:b w:val="0"/>
          <w:bCs w:val="0"/>
          <w:color w:val="000000" w:themeColor="text1"/>
          <w:sz w:val="22"/>
          <w:szCs w:val="22"/>
        </w:rPr>
        <w:t>United States</w:t>
      </w:r>
      <w:r w:rsidRPr="00BB2AEF">
        <w:rPr>
          <w:rFonts w:ascii="Arial" w:hAnsi="Arial" w:cs="Arial"/>
          <w:color w:val="000000" w:themeColor="text1"/>
          <w:sz w:val="22"/>
          <w:szCs w:val="22"/>
        </w:rPr>
        <w:t xml:space="preserve">, ADHD is primarily conceptualised within a biomedical framework, with diagnosis often based on clinical interviews and standardised behavioural checklists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CDC, 2023</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The</w:t>
      </w:r>
      <w:r w:rsidRPr="00BB2AEF">
        <w:rPr>
          <w:rFonts w:ascii="Arial" w:hAnsi="Arial" w:cs="Arial"/>
          <w:b/>
          <w:bCs/>
          <w:color w:val="000000" w:themeColor="text1"/>
          <w:sz w:val="22"/>
          <w:szCs w:val="22"/>
        </w:rPr>
        <w:t xml:space="preserve"> </w:t>
      </w:r>
      <w:r w:rsidR="003E0EBC" w:rsidRPr="00BB2AEF">
        <w:rPr>
          <w:rStyle w:val="Strong"/>
          <w:rFonts w:ascii="Arial" w:eastAsiaTheme="majorEastAsia" w:hAnsi="Arial" w:cs="Arial"/>
          <w:b w:val="0"/>
          <w:bCs w:val="0"/>
          <w:color w:val="000000" w:themeColor="text1"/>
          <w:sz w:val="22"/>
          <w:szCs w:val="22"/>
        </w:rPr>
        <w:t>Centre’s</w:t>
      </w:r>
      <w:r w:rsidRPr="00BB2AEF">
        <w:rPr>
          <w:rStyle w:val="Strong"/>
          <w:rFonts w:ascii="Arial" w:eastAsiaTheme="majorEastAsia" w:hAnsi="Arial" w:cs="Arial"/>
          <w:b w:val="0"/>
          <w:bCs w:val="0"/>
          <w:color w:val="000000" w:themeColor="text1"/>
          <w:sz w:val="22"/>
          <w:szCs w:val="22"/>
        </w:rPr>
        <w:t xml:space="preserve"> for Disease Control and</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Prevention (2023)</w:t>
      </w:r>
      <w:r w:rsidRPr="00BB2AEF">
        <w:rPr>
          <w:rFonts w:ascii="Arial" w:hAnsi="Arial" w:cs="Arial"/>
          <w:color w:val="000000" w:themeColor="text1"/>
          <w:sz w:val="22"/>
          <w:szCs w:val="22"/>
        </w:rPr>
        <w:t xml:space="preserve"> reports that approximately </w:t>
      </w:r>
      <w:r w:rsidRPr="00BB2AEF">
        <w:rPr>
          <w:rFonts w:ascii="Arial" w:hAnsi="Arial" w:cs="Arial"/>
          <w:color w:val="000000" w:themeColor="text1"/>
          <w:sz w:val="22"/>
          <w:szCs w:val="22"/>
        </w:rPr>
        <w:lastRenderedPageBreak/>
        <w:t xml:space="preserve">10% of school-aged children have been diagnosed with ADHD, and over 60% of these children are prescribed stimulant medication. The </w:t>
      </w:r>
      <w:r w:rsidRPr="00BB2AEF">
        <w:rPr>
          <w:rStyle w:val="Strong"/>
          <w:rFonts w:ascii="Arial" w:eastAsiaTheme="majorEastAsia" w:hAnsi="Arial" w:cs="Arial"/>
          <w:b w:val="0"/>
          <w:bCs w:val="0"/>
          <w:color w:val="000000" w:themeColor="text1"/>
          <w:sz w:val="22"/>
          <w:szCs w:val="22"/>
        </w:rPr>
        <w:t xml:space="preserve">American Academy of </w:t>
      </w:r>
      <w:r w:rsidR="0033616B" w:rsidRPr="00BB2AEF">
        <w:rPr>
          <w:rStyle w:val="Strong"/>
          <w:rFonts w:ascii="Arial" w:eastAsiaTheme="majorEastAsia" w:hAnsi="Arial" w:cs="Arial"/>
          <w:b w:val="0"/>
          <w:bCs w:val="0"/>
          <w:color w:val="000000" w:themeColor="text1"/>
          <w:sz w:val="22"/>
          <w:szCs w:val="22"/>
        </w:rPr>
        <w:t>Paediatrics</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(AAP, 2019)</w:t>
      </w:r>
      <w:r w:rsidRPr="00BB2AEF">
        <w:rPr>
          <w:rFonts w:ascii="Arial" w:hAnsi="Arial" w:cs="Arial"/>
          <w:color w:val="000000" w:themeColor="text1"/>
          <w:sz w:val="22"/>
          <w:szCs w:val="22"/>
        </w:rPr>
        <w:t xml:space="preserve"> recommends a multimodal approach involving both behavioural therapy and pharmacological treatment. However, scholars such as </w:t>
      </w:r>
      <w:r w:rsidRPr="00BB2AEF">
        <w:rPr>
          <w:rStyle w:val="Strong"/>
          <w:rFonts w:ascii="Arial" w:eastAsiaTheme="majorEastAsia" w:hAnsi="Arial" w:cs="Arial"/>
          <w:b w:val="0"/>
          <w:bCs w:val="0"/>
          <w:color w:val="000000" w:themeColor="text1"/>
          <w:sz w:val="22"/>
          <w:szCs w:val="22"/>
        </w:rPr>
        <w:t>Singh (2011)</w:t>
      </w:r>
      <w:r w:rsidRPr="00BB2AEF">
        <w:rPr>
          <w:rFonts w:ascii="Arial" w:hAnsi="Arial" w:cs="Arial"/>
          <w:color w:val="000000" w:themeColor="text1"/>
          <w:sz w:val="22"/>
          <w:szCs w:val="22"/>
        </w:rPr>
        <w:t xml:space="preserve"> have criticised the American model for potentially promoting overdiagnosis and excessive reliance on medication, raising ethical questions regarding the medicalisation of childhood behaviour.</w:t>
      </w:r>
    </w:p>
    <w:p w14:paraId="6FEA3EE1" w14:textId="3D90CFA8" w:rsidR="00243BF0" w:rsidRPr="00BB2AEF" w:rsidRDefault="00243BF0"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Across </w:t>
      </w:r>
      <w:r w:rsidRPr="00BB2AEF">
        <w:rPr>
          <w:rStyle w:val="Strong"/>
          <w:rFonts w:ascii="Arial" w:eastAsiaTheme="majorEastAsia" w:hAnsi="Arial" w:cs="Arial"/>
          <w:b w:val="0"/>
          <w:bCs w:val="0"/>
          <w:color w:val="000000" w:themeColor="text1"/>
          <w:sz w:val="22"/>
          <w:szCs w:val="22"/>
        </w:rPr>
        <w:t>Europe</w:t>
      </w:r>
      <w:r w:rsidRPr="00BB2AEF">
        <w:rPr>
          <w:rFonts w:ascii="Arial" w:hAnsi="Arial" w:cs="Arial"/>
          <w:color w:val="000000" w:themeColor="text1"/>
          <w:sz w:val="22"/>
          <w:szCs w:val="22"/>
        </w:rPr>
        <w:t xml:space="preserve">, approaches to ADHD tend to be more conservative and socially contextualised. For example, in </w:t>
      </w:r>
      <w:r w:rsidRPr="00BB2AEF">
        <w:rPr>
          <w:rStyle w:val="Strong"/>
          <w:rFonts w:ascii="Arial" w:eastAsiaTheme="majorEastAsia" w:hAnsi="Arial" w:cs="Arial"/>
          <w:b w:val="0"/>
          <w:bCs w:val="0"/>
          <w:color w:val="000000" w:themeColor="text1"/>
          <w:sz w:val="22"/>
          <w:szCs w:val="22"/>
        </w:rPr>
        <w:t>Sweden</w:t>
      </w:r>
      <w:r w:rsidRPr="00BB2AEF">
        <w:rPr>
          <w:rFonts w:ascii="Arial" w:hAnsi="Arial" w:cs="Arial"/>
          <w:color w:val="000000" w:themeColor="text1"/>
          <w:sz w:val="22"/>
          <w:szCs w:val="22"/>
        </w:rPr>
        <w:t xml:space="preserve">, health authorities prioritise behavioural therapy and parent training as first-line interventions, with medication considered only when non-pharmacological options are insufficient </w:t>
      </w:r>
      <w:r w:rsidRPr="00BB2AEF">
        <w:rPr>
          <w:rFonts w:ascii="Arial" w:hAnsi="Arial" w:cs="Arial"/>
          <w:b/>
          <w:bCs/>
          <w:color w:val="000000" w:themeColor="text1"/>
          <w:sz w:val="22"/>
          <w:szCs w:val="22"/>
        </w:rPr>
        <w:t>(</w:t>
      </w:r>
      <w:r w:rsidR="004C2AF8" w:rsidRPr="00BB2AEF">
        <w:rPr>
          <w:rStyle w:val="Strong"/>
          <w:rFonts w:ascii="Arial" w:eastAsiaTheme="majorEastAsia" w:hAnsi="Arial" w:cs="Arial"/>
          <w:b w:val="0"/>
          <w:bCs w:val="0"/>
          <w:color w:val="000000" w:themeColor="text1"/>
          <w:sz w:val="22"/>
          <w:szCs w:val="22"/>
        </w:rPr>
        <w:t>Helmy</w:t>
      </w:r>
      <w:r w:rsidRPr="00BB2AEF">
        <w:rPr>
          <w:rStyle w:val="Strong"/>
          <w:rFonts w:ascii="Arial" w:eastAsiaTheme="majorEastAsia" w:hAnsi="Arial" w:cs="Arial"/>
          <w:b w:val="0"/>
          <w:bCs w:val="0"/>
          <w:color w:val="000000" w:themeColor="text1"/>
          <w:sz w:val="22"/>
          <w:szCs w:val="22"/>
        </w:rPr>
        <w:t xml:space="preserve"> et al., 2019</w:t>
      </w:r>
      <w:r w:rsidRPr="00BB2AEF">
        <w:rPr>
          <w:rFonts w:ascii="Arial" w:hAnsi="Arial" w:cs="Arial"/>
          <w:color w:val="000000" w:themeColor="text1"/>
          <w:sz w:val="22"/>
          <w:szCs w:val="22"/>
        </w:rPr>
        <w:t xml:space="preserve">). In </w:t>
      </w:r>
      <w:r w:rsidRPr="00BB2AEF">
        <w:rPr>
          <w:rStyle w:val="Strong"/>
          <w:rFonts w:ascii="Arial" w:eastAsiaTheme="majorEastAsia" w:hAnsi="Arial" w:cs="Arial"/>
          <w:b w:val="0"/>
          <w:bCs w:val="0"/>
          <w:color w:val="000000" w:themeColor="text1"/>
          <w:sz w:val="22"/>
          <w:szCs w:val="22"/>
        </w:rPr>
        <w:t>France</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cultural perceptions frame hyperactivity as a social and emotional issue rather than a medical disorder, leading to a preference for psychotherapy and family counselling instead of stimulant medication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Lange et al., 2010</w:t>
      </w:r>
      <w:r w:rsidRPr="00BB2AEF">
        <w:rPr>
          <w:rFonts w:ascii="Arial" w:hAnsi="Arial" w:cs="Arial"/>
          <w:b/>
          <w:bCs/>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Germany</w:t>
      </w:r>
      <w:r w:rsidRPr="00BB2AEF">
        <w:rPr>
          <w:rFonts w:ascii="Arial" w:hAnsi="Arial" w:cs="Arial"/>
          <w:color w:val="000000" w:themeColor="text1"/>
          <w:sz w:val="22"/>
          <w:szCs w:val="22"/>
        </w:rPr>
        <w:t xml:space="preserve"> similarly adopts a stepwise model, combining school-based interventions with medical treatment when required (</w:t>
      </w:r>
      <w:r w:rsidRPr="00BB2AEF">
        <w:rPr>
          <w:rStyle w:val="Strong"/>
          <w:rFonts w:ascii="Arial" w:eastAsiaTheme="majorEastAsia" w:hAnsi="Arial" w:cs="Arial"/>
          <w:b w:val="0"/>
          <w:bCs w:val="0"/>
          <w:color w:val="000000" w:themeColor="text1"/>
          <w:sz w:val="22"/>
          <w:szCs w:val="22"/>
        </w:rPr>
        <w:t>WHO</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2022</w:t>
      </w:r>
      <w:r w:rsidRPr="00BB2AEF">
        <w:rPr>
          <w:rFonts w:ascii="Arial" w:hAnsi="Arial" w:cs="Arial"/>
          <w:color w:val="000000" w:themeColor="text1"/>
          <w:sz w:val="22"/>
          <w:szCs w:val="22"/>
        </w:rPr>
        <w:t>). These approaches reflect broader European emphasis on psychosocial and educational support rather than pharmacological dependency.</w:t>
      </w:r>
    </w:p>
    <w:p w14:paraId="087B285D" w14:textId="77777777" w:rsidR="00243BF0" w:rsidRPr="00BB2AEF" w:rsidRDefault="00243BF0" w:rsidP="00BB2AEF">
      <w:pPr>
        <w:pStyle w:val="NormalWeb"/>
        <w:spacing w:line="360" w:lineRule="auto"/>
        <w:rPr>
          <w:rFonts w:ascii="Arial" w:hAnsi="Arial" w:cs="Arial"/>
          <w:b/>
          <w:bCs/>
          <w:color w:val="000000" w:themeColor="text1"/>
          <w:sz w:val="22"/>
          <w:szCs w:val="22"/>
        </w:rPr>
      </w:pPr>
      <w:r w:rsidRPr="00BB2AEF">
        <w:rPr>
          <w:rFonts w:ascii="Arial" w:hAnsi="Arial" w:cs="Arial"/>
          <w:color w:val="000000" w:themeColor="text1"/>
          <w:sz w:val="22"/>
          <w:szCs w:val="22"/>
        </w:rPr>
        <w:t xml:space="preserve">In contrast, </w:t>
      </w:r>
      <w:r w:rsidRPr="00BB2AEF">
        <w:rPr>
          <w:rStyle w:val="Strong"/>
          <w:rFonts w:ascii="Arial" w:eastAsiaTheme="majorEastAsia" w:hAnsi="Arial" w:cs="Arial"/>
          <w:b w:val="0"/>
          <w:bCs w:val="0"/>
          <w:color w:val="000000" w:themeColor="text1"/>
          <w:sz w:val="22"/>
          <w:szCs w:val="22"/>
        </w:rPr>
        <w:t>Australia</w:t>
      </w:r>
      <w:r w:rsidRPr="00BB2AEF">
        <w:rPr>
          <w:rFonts w:ascii="Arial" w:hAnsi="Arial" w:cs="Arial"/>
          <w:color w:val="000000" w:themeColor="text1"/>
          <w:sz w:val="22"/>
          <w:szCs w:val="22"/>
        </w:rPr>
        <w:t xml:space="preserve"> and </w:t>
      </w:r>
      <w:r w:rsidRPr="00BB2AEF">
        <w:rPr>
          <w:rStyle w:val="Strong"/>
          <w:rFonts w:ascii="Arial" w:eastAsiaTheme="majorEastAsia" w:hAnsi="Arial" w:cs="Arial"/>
          <w:b w:val="0"/>
          <w:bCs w:val="0"/>
          <w:color w:val="000000" w:themeColor="text1"/>
          <w:sz w:val="22"/>
          <w:szCs w:val="22"/>
        </w:rPr>
        <w:t>Canada</w:t>
      </w:r>
      <w:r w:rsidRPr="00BB2AEF">
        <w:rPr>
          <w:rFonts w:ascii="Arial" w:hAnsi="Arial" w:cs="Arial"/>
          <w:color w:val="000000" w:themeColor="text1"/>
          <w:sz w:val="22"/>
          <w:szCs w:val="22"/>
        </w:rPr>
        <w:t xml:space="preserve"> have adopted integrated frameworks that closely resemble the UK’s </w:t>
      </w:r>
      <w:r w:rsidRPr="00BB2AEF">
        <w:rPr>
          <w:rStyle w:val="Strong"/>
          <w:rFonts w:ascii="Arial" w:eastAsiaTheme="majorEastAsia" w:hAnsi="Arial" w:cs="Arial"/>
          <w:b w:val="0"/>
          <w:bCs w:val="0"/>
          <w:color w:val="000000" w:themeColor="text1"/>
          <w:sz w:val="22"/>
          <w:szCs w:val="22"/>
        </w:rPr>
        <w:t>NICE</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(2018)</w:t>
      </w:r>
      <w:r w:rsidRPr="00BB2AEF">
        <w:rPr>
          <w:rFonts w:ascii="Arial" w:hAnsi="Arial" w:cs="Arial"/>
          <w:color w:val="000000" w:themeColor="text1"/>
          <w:sz w:val="22"/>
          <w:szCs w:val="22"/>
        </w:rPr>
        <w:t xml:space="preserve"> model. Both nations emphasise multidisciplinary, family-centred care involving health, education, and community sectors. The </w:t>
      </w:r>
      <w:r w:rsidRPr="00BB2AEF">
        <w:rPr>
          <w:rStyle w:val="Strong"/>
          <w:rFonts w:ascii="Arial" w:eastAsiaTheme="majorEastAsia" w:hAnsi="Arial" w:cs="Arial"/>
          <w:b w:val="0"/>
          <w:bCs w:val="0"/>
          <w:color w:val="000000" w:themeColor="text1"/>
          <w:sz w:val="22"/>
          <w:szCs w:val="22"/>
        </w:rPr>
        <w:t>Australian Department of Health (2020)</w:t>
      </w:r>
      <w:r w:rsidRPr="00BB2AEF">
        <w:rPr>
          <w:rFonts w:ascii="Arial" w:hAnsi="Arial" w:cs="Arial"/>
          <w:color w:val="000000" w:themeColor="text1"/>
          <w:sz w:val="22"/>
          <w:szCs w:val="22"/>
        </w:rPr>
        <w:t xml:space="preserve"> and the </w:t>
      </w:r>
      <w:r w:rsidRPr="00BB2AEF">
        <w:rPr>
          <w:rStyle w:val="Strong"/>
          <w:rFonts w:ascii="Arial" w:eastAsiaTheme="majorEastAsia" w:hAnsi="Arial" w:cs="Arial"/>
          <w:b w:val="0"/>
          <w:bCs w:val="0"/>
          <w:color w:val="000000" w:themeColor="text1"/>
          <w:sz w:val="22"/>
          <w:szCs w:val="22"/>
        </w:rPr>
        <w:t>Canadian Paediatric Society (2021)</w:t>
      </w:r>
      <w:r w:rsidRPr="00BB2AEF">
        <w:rPr>
          <w:rFonts w:ascii="Arial" w:hAnsi="Arial" w:cs="Arial"/>
          <w:color w:val="000000" w:themeColor="text1"/>
          <w:sz w:val="22"/>
          <w:szCs w:val="22"/>
        </w:rPr>
        <w:t xml:space="preserve"> advocate for combined behavioural and medical interventions, supported by national policies that promote accessibility through public healthcare systems. Evaluations of these models indicate positive child outcomes when parents are actively involved in collaborative care (</w:t>
      </w:r>
      <w:r w:rsidRPr="00BB2AEF">
        <w:rPr>
          <w:rStyle w:val="Strong"/>
          <w:rFonts w:ascii="Arial" w:eastAsiaTheme="majorEastAsia" w:hAnsi="Arial" w:cs="Arial"/>
          <w:b w:val="0"/>
          <w:bCs w:val="0"/>
          <w:color w:val="000000" w:themeColor="text1"/>
          <w:sz w:val="22"/>
          <w:szCs w:val="22"/>
        </w:rPr>
        <w:t>Cortese et al., 2018; Daley et al., 2018</w:t>
      </w:r>
      <w:r w:rsidRPr="00BB2AEF">
        <w:rPr>
          <w:rFonts w:ascii="Arial" w:hAnsi="Arial" w:cs="Arial"/>
          <w:color w:val="000000" w:themeColor="text1"/>
          <w:sz w:val="22"/>
          <w:szCs w:val="22"/>
        </w:rPr>
        <w:t>).</w:t>
      </w:r>
    </w:p>
    <w:p w14:paraId="77C83D8A" w14:textId="75BFC305" w:rsidR="00243BF0" w:rsidRPr="00BB2AEF" w:rsidRDefault="00243BF0" w:rsidP="00BB2AEF">
      <w:pPr>
        <w:pStyle w:val="NormalWeb"/>
        <w:spacing w:line="360" w:lineRule="auto"/>
        <w:rPr>
          <w:rFonts w:ascii="Arial" w:hAnsi="Arial" w:cs="Arial"/>
          <w:b/>
          <w:bCs/>
          <w:color w:val="000000" w:themeColor="text1"/>
          <w:sz w:val="22"/>
          <w:szCs w:val="22"/>
        </w:rPr>
      </w:pPr>
      <w:r w:rsidRPr="00BB2AEF">
        <w:rPr>
          <w:rFonts w:ascii="Arial" w:hAnsi="Arial" w:cs="Arial"/>
          <w:color w:val="000000" w:themeColor="text1"/>
          <w:sz w:val="22"/>
          <w:szCs w:val="22"/>
        </w:rPr>
        <w:t xml:space="preserve">Globally, initiatives such as the </w:t>
      </w:r>
      <w:r w:rsidRPr="00BB2AEF">
        <w:rPr>
          <w:rStyle w:val="Strong"/>
          <w:rFonts w:ascii="Arial" w:eastAsiaTheme="majorEastAsia" w:hAnsi="Arial" w:cs="Arial"/>
          <w:b w:val="0"/>
          <w:bCs w:val="0"/>
          <w:color w:val="000000" w:themeColor="text1"/>
          <w:sz w:val="22"/>
          <w:szCs w:val="22"/>
        </w:rPr>
        <w:t>WHO Mental Health Gap Action Programme (</w:t>
      </w:r>
      <w:r w:rsidR="00F67143" w:rsidRPr="00BB2AEF">
        <w:rPr>
          <w:rStyle w:val="Strong"/>
          <w:rFonts w:ascii="Arial" w:eastAsiaTheme="majorEastAsia" w:hAnsi="Arial" w:cs="Arial"/>
          <w:b w:val="0"/>
          <w:bCs w:val="0"/>
          <w:color w:val="000000" w:themeColor="text1"/>
          <w:sz w:val="22"/>
          <w:szCs w:val="22"/>
        </w:rPr>
        <w:t>MH GAP</w:t>
      </w:r>
      <w:r w:rsidRPr="00BB2AEF">
        <w:rPr>
          <w:rStyle w:val="Strong"/>
          <w:rFonts w:ascii="Arial" w:eastAsiaTheme="majorEastAsia" w:hAnsi="Arial" w:cs="Arial"/>
          <w:b w:val="0"/>
          <w:bCs w:val="0"/>
          <w:color w:val="000000" w:themeColor="text1"/>
          <w:sz w:val="22"/>
          <w:szCs w:val="22"/>
        </w:rPr>
        <w:t>)</w:t>
      </w:r>
      <w:r w:rsidRPr="00BB2AEF">
        <w:rPr>
          <w:rFonts w:ascii="Arial" w:hAnsi="Arial" w:cs="Arial"/>
          <w:color w:val="000000" w:themeColor="text1"/>
          <w:sz w:val="22"/>
          <w:szCs w:val="22"/>
        </w:rPr>
        <w:t xml:space="preserve"> aim to expand access to ADHD and mental health services in low- and middle-income countries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WHO, 2022</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Nevertheless, disparities in diagnosis, cultural acceptance, and service provision remain widespread. Evidence suggests that children in resource-limited settings are less likely to receive timely assessment or evidence-based treatment, exacerbating social and educational inequalities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Russell et al., 2016; WHO, 2022</w:t>
      </w:r>
      <w:r w:rsidRPr="00BB2AEF">
        <w:rPr>
          <w:rFonts w:ascii="Arial" w:hAnsi="Arial" w:cs="Arial"/>
          <w:b/>
          <w:bCs/>
          <w:color w:val="000000" w:themeColor="text1"/>
          <w:sz w:val="22"/>
          <w:szCs w:val="22"/>
        </w:rPr>
        <w:t>).</w:t>
      </w:r>
    </w:p>
    <w:p w14:paraId="62D7A3A9" w14:textId="77777777" w:rsidR="007436F0" w:rsidRPr="00BB2AEF" w:rsidRDefault="00243BF0"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Overall, international trends demonstrate increasing recognition of ADHD as a legitimate neurodevelopmental condition. However, differences in healthcare systems, cultural attitudes, and resource availability continue to influence how children with ADHD are supported worldwide (</w:t>
      </w:r>
      <w:r w:rsidRPr="00BB2AEF">
        <w:rPr>
          <w:rStyle w:val="Strong"/>
          <w:rFonts w:ascii="Arial" w:eastAsiaTheme="majorEastAsia" w:hAnsi="Arial" w:cs="Arial"/>
          <w:b w:val="0"/>
          <w:bCs w:val="0"/>
          <w:color w:val="000000" w:themeColor="text1"/>
          <w:sz w:val="22"/>
          <w:szCs w:val="22"/>
        </w:rPr>
        <w:t>WHO, 2022; NICE, 2018</w:t>
      </w:r>
      <w:r w:rsidRPr="00BB2AEF">
        <w:rPr>
          <w:rFonts w:ascii="Arial" w:hAnsi="Arial" w:cs="Arial"/>
          <w:color w:val="000000" w:themeColor="text1"/>
          <w:sz w:val="22"/>
          <w:szCs w:val="22"/>
        </w:rPr>
        <w:t>).</w:t>
      </w:r>
    </w:p>
    <w:p w14:paraId="7189BBB9" w14:textId="10073878" w:rsidR="00054093" w:rsidRPr="00BB2AEF" w:rsidRDefault="007436F0" w:rsidP="00BB2AEF">
      <w:pPr>
        <w:pStyle w:val="NormalWeb"/>
        <w:spacing w:line="360" w:lineRule="auto"/>
        <w:rPr>
          <w:rFonts w:ascii="Arial" w:hAnsi="Arial" w:cs="Arial"/>
          <w:color w:val="000000" w:themeColor="text1"/>
          <w:sz w:val="22"/>
          <w:szCs w:val="22"/>
        </w:rPr>
      </w:pPr>
      <w:r w:rsidRPr="00BB2AEF">
        <w:rPr>
          <w:rFonts w:ascii="Arial" w:hAnsi="Arial" w:cs="Arial"/>
          <w:b/>
          <w:bCs/>
          <w:color w:val="000000" w:themeColor="text1"/>
          <w:sz w:val="22"/>
          <w:szCs w:val="22"/>
        </w:rPr>
        <w:lastRenderedPageBreak/>
        <w:t xml:space="preserve">     </w:t>
      </w:r>
      <w:r w:rsidR="00054093" w:rsidRPr="00BB2AEF">
        <w:rPr>
          <w:rFonts w:ascii="Arial" w:hAnsi="Arial" w:cs="Arial"/>
          <w:b/>
          <w:bCs/>
          <w:color w:val="000000" w:themeColor="text1"/>
          <w:sz w:val="22"/>
          <w:szCs w:val="22"/>
        </w:rPr>
        <w:t>Table 1. Comparison of International ADHD Approaches</w:t>
      </w:r>
    </w:p>
    <w:tbl>
      <w:tblPr>
        <w:tblpPr w:leftFromText="180" w:rightFromText="180" w:vertAnchor="text" w:tblpY="1"/>
        <w:tblOverlap w:val="never"/>
        <w:tblW w:w="817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5"/>
        <w:gridCol w:w="2640"/>
        <w:gridCol w:w="2390"/>
        <w:gridCol w:w="2015"/>
        <w:gridCol w:w="101"/>
      </w:tblGrid>
      <w:tr w:rsidR="00BB2AEF" w:rsidRPr="00BB2AEF" w14:paraId="3CC46AA3" w14:textId="77777777" w:rsidTr="004E3E9B">
        <w:trPr>
          <w:gridAfter w:val="1"/>
          <w:trHeight w:val="493"/>
          <w:tblHeader/>
          <w:tblCellSpacing w:w="15" w:type="dxa"/>
        </w:trPr>
        <w:tc>
          <w:tcPr>
            <w:tcW w:w="0" w:type="auto"/>
            <w:vAlign w:val="center"/>
            <w:hideMark/>
          </w:tcPr>
          <w:p w14:paraId="4BF39DCE" w14:textId="77777777" w:rsidR="00CE0163" w:rsidRPr="00BB2AEF" w:rsidRDefault="00CE0163" w:rsidP="00BB2AEF">
            <w:pPr>
              <w:spacing w:after="0" w:line="360" w:lineRule="auto"/>
              <w:jc w:val="center"/>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Region / Country</w:t>
            </w:r>
          </w:p>
        </w:tc>
        <w:tc>
          <w:tcPr>
            <w:tcW w:w="0" w:type="auto"/>
            <w:vAlign w:val="center"/>
            <w:hideMark/>
          </w:tcPr>
          <w:p w14:paraId="5BF9D827" w14:textId="77777777" w:rsidR="00CE0163" w:rsidRPr="00BB2AEF" w:rsidRDefault="00CE0163" w:rsidP="00BB2AEF">
            <w:pPr>
              <w:spacing w:after="0" w:line="360" w:lineRule="auto"/>
              <w:jc w:val="center"/>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Diagnosis &amp; Definition</w:t>
            </w:r>
          </w:p>
        </w:tc>
        <w:tc>
          <w:tcPr>
            <w:tcW w:w="0" w:type="auto"/>
            <w:vAlign w:val="center"/>
            <w:hideMark/>
          </w:tcPr>
          <w:p w14:paraId="1AE634B9" w14:textId="77777777" w:rsidR="00CE0163" w:rsidRPr="00BB2AEF" w:rsidRDefault="00CE0163" w:rsidP="00BB2AEF">
            <w:pPr>
              <w:spacing w:after="0" w:line="360" w:lineRule="auto"/>
              <w:jc w:val="center"/>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Treatment &amp; Policy Framework</w:t>
            </w:r>
          </w:p>
        </w:tc>
        <w:tc>
          <w:tcPr>
            <w:tcW w:w="0" w:type="auto"/>
            <w:vAlign w:val="center"/>
            <w:hideMark/>
          </w:tcPr>
          <w:p w14:paraId="0C816DE9" w14:textId="77777777" w:rsidR="00CE0163" w:rsidRPr="00BB2AEF" w:rsidRDefault="00CE0163" w:rsidP="00BB2AEF">
            <w:pPr>
              <w:spacing w:after="0" w:line="360" w:lineRule="auto"/>
              <w:jc w:val="center"/>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Key Characteristics / Issues</w:t>
            </w:r>
          </w:p>
        </w:tc>
      </w:tr>
      <w:tr w:rsidR="00BB2AEF" w:rsidRPr="00BB2AEF" w14:paraId="42D21F82" w14:textId="77777777" w:rsidTr="004E3E9B">
        <w:trPr>
          <w:gridAfter w:val="1"/>
          <w:trHeight w:val="1708"/>
          <w:tblCellSpacing w:w="15" w:type="dxa"/>
        </w:trPr>
        <w:tc>
          <w:tcPr>
            <w:tcW w:w="0" w:type="auto"/>
            <w:vAlign w:val="center"/>
            <w:hideMark/>
          </w:tcPr>
          <w:p w14:paraId="563BB619" w14:textId="77777777" w:rsidR="00CE0163" w:rsidRPr="00BB2AEF" w:rsidRDefault="00CE016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United Kingdom (UK)</w:t>
            </w:r>
          </w:p>
        </w:tc>
        <w:tc>
          <w:tcPr>
            <w:tcW w:w="0" w:type="auto"/>
            <w:vAlign w:val="center"/>
            <w:hideMark/>
          </w:tcPr>
          <w:p w14:paraId="4BC5B07A" w14:textId="77777777" w:rsidR="00CE0163" w:rsidRPr="00BB2AEF" w:rsidRDefault="00CE016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Defined as a neurodevelopmental disorder under ICD-11 and NICE (2018) guidelines. Multidisciplinary assessment via NHS pathways.</w:t>
            </w:r>
          </w:p>
        </w:tc>
        <w:tc>
          <w:tcPr>
            <w:tcW w:w="0" w:type="auto"/>
            <w:vAlign w:val="center"/>
            <w:hideMark/>
          </w:tcPr>
          <w:p w14:paraId="7A101886" w14:textId="77777777" w:rsidR="00CE0163" w:rsidRPr="00BB2AEF" w:rsidRDefault="00CE016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Combination of pharmacological (stimulant/non-stimulant) and behavioural therapy. Family support emphasised under Care Act 2014 and NHS England (2023</w:t>
            </w:r>
            <w:r w:rsidRPr="00BB2AEF">
              <w:rPr>
                <w:rFonts w:ascii="Arial" w:eastAsia="Times New Roman" w:hAnsi="Arial" w:cs="Arial"/>
                <w:b/>
                <w:bCs/>
                <w:color w:val="000000" w:themeColor="text1"/>
                <w:kern w:val="0"/>
                <w:lang w:eastAsia="en-GB"/>
                <w14:ligatures w14:val="none"/>
              </w:rPr>
              <w:t>)</w:t>
            </w:r>
            <w:r w:rsidRPr="00BB2AEF">
              <w:rPr>
                <w:rFonts w:ascii="Arial" w:eastAsia="Times New Roman" w:hAnsi="Arial" w:cs="Arial"/>
                <w:color w:val="000000" w:themeColor="text1"/>
                <w:kern w:val="0"/>
                <w:lang w:eastAsia="en-GB"/>
                <w14:ligatures w14:val="none"/>
              </w:rPr>
              <w:t>.</w:t>
            </w:r>
          </w:p>
        </w:tc>
        <w:tc>
          <w:tcPr>
            <w:tcW w:w="0" w:type="auto"/>
            <w:vAlign w:val="center"/>
            <w:hideMark/>
          </w:tcPr>
          <w:p w14:paraId="5689D593" w14:textId="77777777" w:rsidR="00CE0163" w:rsidRPr="00BB2AEF" w:rsidRDefault="00CE016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Evidence-based and holistic; moderate prescribing rates; long waiting times for assessment remain a challenge.</w:t>
            </w:r>
          </w:p>
        </w:tc>
      </w:tr>
      <w:tr w:rsidR="00BB2AEF" w:rsidRPr="00BB2AEF" w14:paraId="036DD37D" w14:textId="77777777" w:rsidTr="004E3E9B">
        <w:trPr>
          <w:gridAfter w:val="1"/>
          <w:trHeight w:val="1471"/>
          <w:tblCellSpacing w:w="15" w:type="dxa"/>
        </w:trPr>
        <w:tc>
          <w:tcPr>
            <w:tcW w:w="0" w:type="auto"/>
            <w:vAlign w:val="center"/>
            <w:hideMark/>
          </w:tcPr>
          <w:p w14:paraId="120F8D6E" w14:textId="77777777" w:rsidR="00CE0163" w:rsidRPr="00BB2AEF" w:rsidRDefault="00CE016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United States (USA)</w:t>
            </w:r>
          </w:p>
        </w:tc>
        <w:tc>
          <w:tcPr>
            <w:tcW w:w="0" w:type="auto"/>
            <w:vAlign w:val="center"/>
            <w:hideMark/>
          </w:tcPr>
          <w:p w14:paraId="79B173AC" w14:textId="77777777" w:rsidR="00CE0163" w:rsidRPr="00BB2AEF" w:rsidRDefault="00CE016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Diagnosis guided by DSM-5 criteria; strong biomedical model; high awareness among clinicians and educators.</w:t>
            </w:r>
          </w:p>
        </w:tc>
        <w:tc>
          <w:tcPr>
            <w:tcW w:w="0" w:type="auto"/>
            <w:vAlign w:val="center"/>
            <w:hideMark/>
          </w:tcPr>
          <w:p w14:paraId="27AF8EF6" w14:textId="5029C598" w:rsidR="00CE0163" w:rsidRPr="00BB2AEF" w:rsidRDefault="00CE016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Multimodal approach combining behavioural and medication management; heavy reliance on stimulants (60% medicated).</w:t>
            </w:r>
          </w:p>
        </w:tc>
        <w:tc>
          <w:tcPr>
            <w:tcW w:w="0" w:type="auto"/>
            <w:vAlign w:val="center"/>
            <w:hideMark/>
          </w:tcPr>
          <w:p w14:paraId="150C486A" w14:textId="77777777" w:rsidR="00CE0163" w:rsidRPr="00BB2AEF" w:rsidRDefault="00CE016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High diagnosis and medication rates; debates over over-medicalisation and long-term safety.</w:t>
            </w:r>
          </w:p>
        </w:tc>
      </w:tr>
      <w:tr w:rsidR="00BB2AEF" w:rsidRPr="00BB2AEF" w14:paraId="371F97B2" w14:textId="77777777" w:rsidTr="004E3E9B">
        <w:trPr>
          <w:trHeight w:val="1471"/>
          <w:tblCellSpacing w:w="15" w:type="dxa"/>
        </w:trPr>
        <w:tc>
          <w:tcPr>
            <w:tcW w:w="0" w:type="auto"/>
            <w:vAlign w:val="center"/>
            <w:hideMark/>
          </w:tcPr>
          <w:p w14:paraId="275718A9"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Sweden</w:t>
            </w:r>
          </w:p>
        </w:tc>
        <w:tc>
          <w:tcPr>
            <w:tcW w:w="0" w:type="auto"/>
            <w:vAlign w:val="center"/>
            <w:hideMark/>
          </w:tcPr>
          <w:p w14:paraId="5359D25A"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Uses ICD-11 diagnostic criteria within universal healthcare; early intervention prioritised.</w:t>
            </w:r>
          </w:p>
        </w:tc>
        <w:tc>
          <w:tcPr>
            <w:tcW w:w="0" w:type="auto"/>
            <w:vAlign w:val="center"/>
            <w:hideMark/>
          </w:tcPr>
          <w:p w14:paraId="37E7A10F"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Behavioural and parental training recommended before medication; medication only when behavioural support insufficient.</w:t>
            </w:r>
          </w:p>
        </w:tc>
        <w:tc>
          <w:tcPr>
            <w:tcW w:w="0" w:type="auto"/>
            <w:vAlign w:val="center"/>
            <w:hideMark/>
          </w:tcPr>
          <w:p w14:paraId="4C1A9889"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Strong public health focus; balanced medication use; well-funded family support.</w:t>
            </w:r>
          </w:p>
        </w:tc>
        <w:tc>
          <w:tcPr>
            <w:tcW w:w="0" w:type="auto"/>
            <w:vAlign w:val="center"/>
            <w:hideMark/>
          </w:tcPr>
          <w:p w14:paraId="335AA2AD" w14:textId="78F5A530"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p>
        </w:tc>
      </w:tr>
      <w:tr w:rsidR="00BB2AEF" w:rsidRPr="00BB2AEF" w14:paraId="4A2EA6E6" w14:textId="77777777" w:rsidTr="004E3E9B">
        <w:trPr>
          <w:trHeight w:val="731"/>
          <w:tblCellSpacing w:w="15" w:type="dxa"/>
        </w:trPr>
        <w:tc>
          <w:tcPr>
            <w:tcW w:w="0" w:type="auto"/>
            <w:vAlign w:val="center"/>
            <w:hideMark/>
          </w:tcPr>
          <w:p w14:paraId="520B6121"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Franc</w:t>
            </w:r>
            <w:r w:rsidRPr="00BB2AEF">
              <w:rPr>
                <w:rFonts w:ascii="Arial" w:eastAsia="Times New Roman" w:hAnsi="Arial" w:cs="Arial"/>
                <w:b/>
                <w:bCs/>
                <w:color w:val="000000" w:themeColor="text1"/>
                <w:kern w:val="0"/>
                <w:lang w:eastAsia="en-GB"/>
                <w14:ligatures w14:val="none"/>
              </w:rPr>
              <w:t>e</w:t>
            </w:r>
          </w:p>
        </w:tc>
        <w:tc>
          <w:tcPr>
            <w:tcW w:w="0" w:type="auto"/>
            <w:vAlign w:val="center"/>
            <w:hideMark/>
          </w:tcPr>
          <w:p w14:paraId="199A042F"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More psychosocial and family-oriented model; ADHD often viewed as behavioural rather than neurological.</w:t>
            </w:r>
          </w:p>
        </w:tc>
        <w:tc>
          <w:tcPr>
            <w:tcW w:w="0" w:type="auto"/>
            <w:vAlign w:val="center"/>
            <w:hideMark/>
          </w:tcPr>
          <w:p w14:paraId="449F46B5"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Psychotherapy and counselling prioritised; medication less commonly prescribed.</w:t>
            </w:r>
          </w:p>
        </w:tc>
        <w:tc>
          <w:tcPr>
            <w:tcW w:w="0" w:type="auto"/>
            <w:vAlign w:val="center"/>
            <w:hideMark/>
          </w:tcPr>
          <w:p w14:paraId="2D685A1B"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Cultural emphasis on social context; lower diagnosis rates; risk of under-treatment.</w:t>
            </w:r>
          </w:p>
        </w:tc>
        <w:tc>
          <w:tcPr>
            <w:tcW w:w="0" w:type="auto"/>
            <w:vAlign w:val="center"/>
            <w:hideMark/>
          </w:tcPr>
          <w:p w14:paraId="17559B2C" w14:textId="2D28C702"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p>
        </w:tc>
      </w:tr>
      <w:tr w:rsidR="00BB2AEF" w:rsidRPr="00BB2AEF" w14:paraId="61EEE79C" w14:textId="77777777" w:rsidTr="004E3E9B">
        <w:trPr>
          <w:trHeight w:val="1225"/>
          <w:tblCellSpacing w:w="15" w:type="dxa"/>
        </w:trPr>
        <w:tc>
          <w:tcPr>
            <w:tcW w:w="0" w:type="auto"/>
            <w:vAlign w:val="center"/>
            <w:hideMark/>
          </w:tcPr>
          <w:p w14:paraId="7AC59D11"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Australia / Canada</w:t>
            </w:r>
          </w:p>
        </w:tc>
        <w:tc>
          <w:tcPr>
            <w:tcW w:w="0" w:type="auto"/>
            <w:vAlign w:val="center"/>
            <w:hideMark/>
          </w:tcPr>
          <w:p w14:paraId="0A279B60"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Integrated health and education systems; definitions align with ICD-11 and NICE frameworks.</w:t>
            </w:r>
          </w:p>
        </w:tc>
        <w:tc>
          <w:tcPr>
            <w:tcW w:w="0" w:type="auto"/>
            <w:vAlign w:val="center"/>
            <w:hideMark/>
          </w:tcPr>
          <w:p w14:paraId="2C8071A4"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Multidisciplinary approach with behavioural therapy and medication; strong parental involvement </w:t>
            </w:r>
            <w:r w:rsidRPr="00BB2AEF">
              <w:rPr>
                <w:rFonts w:ascii="Arial" w:eastAsia="Times New Roman" w:hAnsi="Arial" w:cs="Arial"/>
                <w:color w:val="000000" w:themeColor="text1"/>
                <w:kern w:val="0"/>
                <w:lang w:eastAsia="en-GB"/>
                <w14:ligatures w14:val="none"/>
              </w:rPr>
              <w:lastRenderedPageBreak/>
              <w:t>and school partnerships.</w:t>
            </w:r>
          </w:p>
        </w:tc>
        <w:tc>
          <w:tcPr>
            <w:tcW w:w="0" w:type="auto"/>
            <w:vAlign w:val="center"/>
            <w:hideMark/>
          </w:tcPr>
          <w:p w14:paraId="56946A28" w14:textId="77777777"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lastRenderedPageBreak/>
              <w:t>Outcomes improve with coordinated care and universal health access.</w:t>
            </w:r>
          </w:p>
        </w:tc>
        <w:tc>
          <w:tcPr>
            <w:tcW w:w="0" w:type="auto"/>
            <w:vAlign w:val="center"/>
            <w:hideMark/>
          </w:tcPr>
          <w:p w14:paraId="16B9689C" w14:textId="4E79AE83" w:rsidR="00054093" w:rsidRPr="00BB2AEF" w:rsidRDefault="00054093" w:rsidP="00BB2AEF">
            <w:pPr>
              <w:spacing w:after="0" w:line="360" w:lineRule="auto"/>
              <w:rPr>
                <w:rFonts w:ascii="Arial" w:eastAsia="Times New Roman" w:hAnsi="Arial" w:cs="Arial"/>
                <w:color w:val="000000" w:themeColor="text1"/>
                <w:kern w:val="0"/>
                <w:lang w:eastAsia="en-GB"/>
                <w14:ligatures w14:val="none"/>
              </w:rPr>
            </w:pPr>
          </w:p>
        </w:tc>
      </w:tr>
    </w:tbl>
    <w:p w14:paraId="370FCF87" w14:textId="2B427744" w:rsidR="00054093" w:rsidRPr="00BB2AEF" w:rsidRDefault="00CE0163"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br w:type="textWrapping" w:clear="all"/>
      </w:r>
    </w:p>
    <w:p w14:paraId="4BCA7E7F" w14:textId="77777777" w:rsidR="00CA3A47" w:rsidRPr="00F50F39" w:rsidRDefault="00CA3A47" w:rsidP="00BB2AEF">
      <w:pPr>
        <w:pStyle w:val="NormalWeb"/>
        <w:spacing w:line="360" w:lineRule="auto"/>
        <w:rPr>
          <w:rFonts w:ascii="Arial" w:hAnsi="Arial" w:cs="Arial"/>
          <w:color w:val="000000" w:themeColor="text1"/>
          <w:sz w:val="18"/>
          <w:szCs w:val="18"/>
        </w:rPr>
      </w:pPr>
      <w:r w:rsidRPr="00F50F39">
        <w:rPr>
          <w:rStyle w:val="Strong"/>
          <w:rFonts w:ascii="Arial" w:eastAsiaTheme="majorEastAsia" w:hAnsi="Arial" w:cs="Arial"/>
          <w:b w:val="0"/>
          <w:bCs w:val="0"/>
          <w:color w:val="000000" w:themeColor="text1"/>
          <w:sz w:val="18"/>
          <w:szCs w:val="18"/>
        </w:rPr>
        <w:t>Table</w:t>
      </w:r>
      <w:r w:rsidRPr="00F50F39">
        <w:rPr>
          <w:rStyle w:val="Strong"/>
          <w:rFonts w:ascii="Arial" w:eastAsiaTheme="majorEastAsia" w:hAnsi="Arial" w:cs="Arial"/>
          <w:color w:val="000000" w:themeColor="text1"/>
          <w:sz w:val="18"/>
          <w:szCs w:val="18"/>
        </w:rPr>
        <w:t xml:space="preserve"> </w:t>
      </w:r>
      <w:r w:rsidRPr="00F50F39">
        <w:rPr>
          <w:rStyle w:val="Strong"/>
          <w:rFonts w:ascii="Arial" w:eastAsiaTheme="majorEastAsia" w:hAnsi="Arial" w:cs="Arial"/>
          <w:b w:val="0"/>
          <w:bCs w:val="0"/>
          <w:color w:val="000000" w:themeColor="text1"/>
          <w:sz w:val="18"/>
          <w:szCs w:val="18"/>
        </w:rPr>
        <w:t>1.</w:t>
      </w:r>
      <w:r w:rsidRPr="00F50F39">
        <w:rPr>
          <w:rFonts w:ascii="Arial" w:hAnsi="Arial" w:cs="Arial"/>
          <w:color w:val="000000" w:themeColor="text1"/>
          <w:sz w:val="18"/>
          <w:szCs w:val="18"/>
        </w:rPr>
        <w:t xml:space="preserve"> Comparison of international ADHD approaches </w:t>
      </w:r>
      <w:r w:rsidRPr="00F50F39">
        <w:rPr>
          <w:rStyle w:val="Emphasis"/>
          <w:rFonts w:ascii="Arial" w:eastAsiaTheme="majorEastAsia" w:hAnsi="Arial" w:cs="Arial"/>
          <w:color w:val="000000" w:themeColor="text1"/>
          <w:sz w:val="18"/>
          <w:szCs w:val="18"/>
        </w:rPr>
        <w:t xml:space="preserve">(adapted from NICE, 2018; </w:t>
      </w:r>
      <w:r w:rsidRPr="00F50F39">
        <w:rPr>
          <w:rStyle w:val="Emphasis"/>
          <w:rFonts w:ascii="Arial" w:eastAsiaTheme="majorEastAsia" w:hAnsi="Arial" w:cs="Arial"/>
          <w:i w:val="0"/>
          <w:iCs w:val="0"/>
          <w:color w:val="000000" w:themeColor="text1"/>
          <w:sz w:val="18"/>
          <w:szCs w:val="18"/>
        </w:rPr>
        <w:t>CDC, 2023; WHO, 2022; Australian Department of Health, 2020; Lange et al., 2010; Canadian Paediatric Society</w:t>
      </w:r>
      <w:r w:rsidRPr="00F50F39">
        <w:rPr>
          <w:rStyle w:val="Emphasis"/>
          <w:rFonts w:ascii="Arial" w:eastAsiaTheme="majorEastAsia" w:hAnsi="Arial" w:cs="Arial"/>
          <w:color w:val="000000" w:themeColor="text1"/>
          <w:sz w:val="18"/>
          <w:szCs w:val="18"/>
        </w:rPr>
        <w:t xml:space="preserve">, </w:t>
      </w:r>
      <w:r w:rsidRPr="00F50F39">
        <w:rPr>
          <w:rStyle w:val="Emphasis"/>
          <w:rFonts w:ascii="Arial" w:eastAsiaTheme="majorEastAsia" w:hAnsi="Arial" w:cs="Arial"/>
          <w:i w:val="0"/>
          <w:iCs w:val="0"/>
          <w:color w:val="000000" w:themeColor="text1"/>
          <w:sz w:val="18"/>
          <w:szCs w:val="18"/>
        </w:rPr>
        <w:t>2021)</w:t>
      </w:r>
    </w:p>
    <w:p w14:paraId="2BCDA3C2" w14:textId="77777777" w:rsidR="000D61E4" w:rsidRPr="00BB2AEF" w:rsidRDefault="000D61E4"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1F9B3474" w14:textId="0AC41CB5" w:rsidR="004827D7" w:rsidRPr="00BB2AEF" w:rsidRDefault="00B663A9"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 xml:space="preserve">National Local Uk Context </w:t>
      </w:r>
    </w:p>
    <w:p w14:paraId="539C33CE" w14:textId="77777777" w:rsidR="006A0D06" w:rsidRPr="00BB2AEF" w:rsidRDefault="006A0D06" w:rsidP="00BB2AEF">
      <w:pPr>
        <w:pStyle w:val="NormalWeb"/>
        <w:spacing w:line="360" w:lineRule="auto"/>
        <w:rPr>
          <w:rFonts w:ascii="Arial" w:hAnsi="Arial" w:cs="Arial"/>
          <w:b/>
          <w:bCs/>
          <w:color w:val="000000" w:themeColor="text1"/>
          <w:sz w:val="22"/>
          <w:szCs w:val="22"/>
        </w:rPr>
      </w:pPr>
      <w:r w:rsidRPr="00BB2AEF">
        <w:rPr>
          <w:rFonts w:ascii="Arial" w:hAnsi="Arial" w:cs="Arial"/>
          <w:color w:val="000000" w:themeColor="text1"/>
          <w:sz w:val="22"/>
          <w:szCs w:val="22"/>
        </w:rPr>
        <w:t xml:space="preserve">In the United Kingdom, Attention Deficit Hyperactivity Disorder (ADHD) is recognised as a significant public health and educational concern, affecting approximately 3–5% of school-aged children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NICE, 2018; NHS England, 2023</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It is viewed as a neurodevelopmental condition that requires a coordinated response across health, education, and social care sectors. Over the past decade, increasing awareness, improved diagnostic practices, and evolving policy frameworks have led to a marked rise in ADHD diagnoses and prescriptions for medication (</w:t>
      </w:r>
      <w:r w:rsidRPr="00BB2AEF">
        <w:rPr>
          <w:rStyle w:val="Strong"/>
          <w:rFonts w:ascii="Arial" w:eastAsiaTheme="majorEastAsia" w:hAnsi="Arial" w:cs="Arial"/>
          <w:b w:val="0"/>
          <w:bCs w:val="0"/>
          <w:color w:val="000000" w:themeColor="text1"/>
          <w:sz w:val="22"/>
          <w:szCs w:val="22"/>
        </w:rPr>
        <w:t>NHS Digital, 2024; BBC News, 2024</w:t>
      </w:r>
      <w:r w:rsidRPr="00BB2AEF">
        <w:rPr>
          <w:rFonts w:ascii="Arial" w:hAnsi="Arial" w:cs="Arial"/>
          <w:b/>
          <w:bCs/>
          <w:color w:val="000000" w:themeColor="text1"/>
          <w:sz w:val="22"/>
          <w:szCs w:val="22"/>
        </w:rPr>
        <w:t>).</w:t>
      </w:r>
    </w:p>
    <w:p w14:paraId="2A7C394F" w14:textId="77777777" w:rsidR="006A0D06" w:rsidRPr="00BB2AEF" w:rsidRDefault="006A0D06" w:rsidP="00BB2AEF">
      <w:pPr>
        <w:pStyle w:val="NormalWeb"/>
        <w:spacing w:line="360" w:lineRule="auto"/>
        <w:rPr>
          <w:rFonts w:ascii="Arial" w:hAnsi="Arial" w:cs="Arial"/>
          <w:b/>
          <w:bCs/>
          <w:color w:val="000000" w:themeColor="text1"/>
          <w:sz w:val="22"/>
          <w:szCs w:val="22"/>
        </w:rPr>
      </w:pPr>
      <w:r w:rsidRPr="00BB2AEF">
        <w:rPr>
          <w:rFonts w:ascii="Arial" w:hAnsi="Arial" w:cs="Arial"/>
          <w:color w:val="000000" w:themeColor="text1"/>
          <w:sz w:val="22"/>
          <w:szCs w:val="22"/>
        </w:rPr>
        <w:t xml:space="preserve">At the national level, ADHD management is shaped by a comprehensive policy and legislative framework. The </w:t>
      </w:r>
      <w:r w:rsidRPr="00BB2AEF">
        <w:rPr>
          <w:rStyle w:val="Strong"/>
          <w:rFonts w:ascii="Arial" w:eastAsiaTheme="majorEastAsia" w:hAnsi="Arial" w:cs="Arial"/>
          <w:b w:val="0"/>
          <w:bCs w:val="0"/>
          <w:color w:val="000000" w:themeColor="text1"/>
          <w:sz w:val="22"/>
          <w:szCs w:val="22"/>
        </w:rPr>
        <w:t>National Institute for Health and Care Excellence (NICE)</w:t>
      </w:r>
      <w:r w:rsidRPr="00BB2AEF">
        <w:rPr>
          <w:rFonts w:ascii="Arial" w:hAnsi="Arial" w:cs="Arial"/>
          <w:color w:val="000000" w:themeColor="text1"/>
          <w:sz w:val="22"/>
          <w:szCs w:val="22"/>
        </w:rPr>
        <w:t xml:space="preserve"> provides clinical guidance (NG87), advocating a multimodal approach that combines behavioural interventions with medication when appropriate (</w:t>
      </w:r>
      <w:r w:rsidRPr="00BB2AEF">
        <w:rPr>
          <w:rStyle w:val="Strong"/>
          <w:rFonts w:ascii="Arial" w:eastAsiaTheme="majorEastAsia" w:hAnsi="Arial" w:cs="Arial"/>
          <w:b w:val="0"/>
          <w:bCs w:val="0"/>
          <w:color w:val="000000" w:themeColor="text1"/>
          <w:sz w:val="22"/>
          <w:szCs w:val="22"/>
        </w:rPr>
        <w:t>NICE, 2018</w:t>
      </w:r>
      <w:r w:rsidRPr="00BB2AEF">
        <w:rPr>
          <w:rFonts w:ascii="Arial" w:hAnsi="Arial" w:cs="Arial"/>
          <w:color w:val="000000" w:themeColor="text1"/>
          <w:sz w:val="22"/>
          <w:szCs w:val="22"/>
        </w:rPr>
        <w:t xml:space="preserve">). These recommendations are implemented across </w:t>
      </w:r>
      <w:r w:rsidRPr="00BB2AEF">
        <w:rPr>
          <w:rStyle w:val="Strong"/>
          <w:rFonts w:ascii="Arial" w:eastAsiaTheme="majorEastAsia" w:hAnsi="Arial" w:cs="Arial"/>
          <w:b w:val="0"/>
          <w:bCs w:val="0"/>
          <w:color w:val="000000" w:themeColor="text1"/>
          <w:sz w:val="22"/>
          <w:szCs w:val="22"/>
        </w:rPr>
        <w:t>NHS England’s</w:t>
      </w:r>
      <w:r w:rsidRPr="00BB2AEF">
        <w:rPr>
          <w:rFonts w:ascii="Arial" w:hAnsi="Arial" w:cs="Arial"/>
          <w:color w:val="000000" w:themeColor="text1"/>
          <w:sz w:val="22"/>
          <w:szCs w:val="22"/>
        </w:rPr>
        <w:t xml:space="preserve"> mental health improvement plan, which promotes family-centred and evidence-based care (</w:t>
      </w:r>
      <w:r w:rsidRPr="00BB2AEF">
        <w:rPr>
          <w:rStyle w:val="Strong"/>
          <w:rFonts w:ascii="Arial" w:eastAsiaTheme="majorEastAsia" w:hAnsi="Arial" w:cs="Arial"/>
          <w:b w:val="0"/>
          <w:bCs w:val="0"/>
          <w:color w:val="000000" w:themeColor="text1"/>
          <w:sz w:val="22"/>
          <w:szCs w:val="22"/>
        </w:rPr>
        <w:t>NHS England, 2023</w:t>
      </w:r>
      <w:r w:rsidRPr="00BB2AEF">
        <w:rPr>
          <w:rFonts w:ascii="Arial" w:hAnsi="Arial" w:cs="Arial"/>
          <w:color w:val="000000" w:themeColor="text1"/>
          <w:sz w:val="22"/>
          <w:szCs w:val="22"/>
        </w:rPr>
        <w:t xml:space="preserve">). The </w:t>
      </w:r>
      <w:r w:rsidRPr="00BB2AEF">
        <w:rPr>
          <w:rStyle w:val="Strong"/>
          <w:rFonts w:ascii="Arial" w:eastAsiaTheme="majorEastAsia" w:hAnsi="Arial" w:cs="Arial"/>
          <w:b w:val="0"/>
          <w:bCs w:val="0"/>
          <w:color w:val="000000" w:themeColor="text1"/>
          <w:sz w:val="22"/>
          <w:szCs w:val="22"/>
        </w:rPr>
        <w:t>Health and Care Act (2022)</w:t>
      </w:r>
      <w:r w:rsidRPr="00BB2AEF">
        <w:rPr>
          <w:rFonts w:ascii="Arial" w:hAnsi="Arial" w:cs="Arial"/>
          <w:b/>
          <w:bCs/>
          <w:color w:val="000000" w:themeColor="text1"/>
          <w:sz w:val="22"/>
          <w:szCs w:val="22"/>
        </w:rPr>
        <w:t xml:space="preserve"> </w:t>
      </w:r>
      <w:r w:rsidRPr="00BB2AEF">
        <w:rPr>
          <w:rFonts w:ascii="Arial" w:hAnsi="Arial" w:cs="Arial"/>
          <w:color w:val="000000" w:themeColor="text1"/>
          <w:sz w:val="22"/>
          <w:szCs w:val="22"/>
        </w:rPr>
        <w:t>and</w:t>
      </w:r>
      <w:r w:rsidRPr="00BB2AEF">
        <w:rPr>
          <w:rFonts w:ascii="Arial" w:hAnsi="Arial" w:cs="Arial"/>
          <w:b/>
          <w:bCs/>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Care Act (2014)</w:t>
      </w:r>
      <w:r w:rsidRPr="00BB2AEF">
        <w:rPr>
          <w:rFonts w:ascii="Arial" w:hAnsi="Arial" w:cs="Arial"/>
          <w:b/>
          <w:bCs/>
          <w:color w:val="000000" w:themeColor="text1"/>
          <w:sz w:val="22"/>
          <w:szCs w:val="22"/>
        </w:rPr>
        <w:t xml:space="preserve"> </w:t>
      </w:r>
      <w:r w:rsidRPr="00BB2AEF">
        <w:rPr>
          <w:rFonts w:ascii="Arial" w:hAnsi="Arial" w:cs="Arial"/>
          <w:color w:val="000000" w:themeColor="text1"/>
          <w:sz w:val="22"/>
          <w:szCs w:val="22"/>
        </w:rPr>
        <w:t xml:space="preserve">establish the statutory basis for integrated services, ensuring local authorities support children and families living with ADHD. Furthermore, the </w:t>
      </w:r>
      <w:r w:rsidRPr="00BB2AEF">
        <w:rPr>
          <w:rStyle w:val="Strong"/>
          <w:rFonts w:ascii="Arial" w:eastAsiaTheme="majorEastAsia" w:hAnsi="Arial" w:cs="Arial"/>
          <w:b w:val="0"/>
          <w:bCs w:val="0"/>
          <w:color w:val="000000" w:themeColor="text1"/>
          <w:sz w:val="22"/>
          <w:szCs w:val="22"/>
        </w:rPr>
        <w:t>Department for Education’s (2022)</w:t>
      </w:r>
      <w:r w:rsidRPr="00BB2AEF">
        <w:rPr>
          <w:rFonts w:ascii="Arial" w:hAnsi="Arial" w:cs="Arial"/>
          <w:color w:val="000000" w:themeColor="text1"/>
          <w:sz w:val="22"/>
          <w:szCs w:val="22"/>
        </w:rPr>
        <w:t xml:space="preserve"> </w:t>
      </w:r>
      <w:r w:rsidRPr="00BB2AEF">
        <w:rPr>
          <w:rStyle w:val="Emphasis"/>
          <w:rFonts w:ascii="Arial" w:eastAsiaTheme="majorEastAsia" w:hAnsi="Arial" w:cs="Arial"/>
          <w:color w:val="000000" w:themeColor="text1"/>
          <w:sz w:val="22"/>
          <w:szCs w:val="22"/>
        </w:rPr>
        <w:t>Special Educational Needs and Disabilities (SEND) Code of Practice</w:t>
      </w:r>
      <w:r w:rsidRPr="00BB2AEF">
        <w:rPr>
          <w:rFonts w:ascii="Arial" w:hAnsi="Arial" w:cs="Arial"/>
          <w:color w:val="000000" w:themeColor="text1"/>
          <w:sz w:val="22"/>
          <w:szCs w:val="22"/>
        </w:rPr>
        <w:t xml:space="preserve"> mandates inclusive educational support tailored to individual needs. However, despite this strong framework, regional inequalities persist, with some families waiting over 18 months for diagnosis due to workforce shortages and increasing demand (</w:t>
      </w:r>
      <w:r w:rsidRPr="00BB2AEF">
        <w:rPr>
          <w:rStyle w:val="Strong"/>
          <w:rFonts w:ascii="Arial" w:eastAsiaTheme="majorEastAsia" w:hAnsi="Arial" w:cs="Arial"/>
          <w:b w:val="0"/>
          <w:bCs w:val="0"/>
          <w:color w:val="000000" w:themeColor="text1"/>
          <w:sz w:val="22"/>
          <w:szCs w:val="22"/>
        </w:rPr>
        <w:t>DHSC, 2023; CQC, 2024</w:t>
      </w:r>
      <w:r w:rsidRPr="00BB2AEF">
        <w:rPr>
          <w:rFonts w:ascii="Arial" w:hAnsi="Arial" w:cs="Arial"/>
          <w:b/>
          <w:bCs/>
          <w:color w:val="000000" w:themeColor="text1"/>
          <w:sz w:val="22"/>
          <w:szCs w:val="22"/>
        </w:rPr>
        <w:t>).</w:t>
      </w:r>
    </w:p>
    <w:p w14:paraId="7AAF4C82" w14:textId="77777777" w:rsidR="006A0D06" w:rsidRPr="00BB2AEF" w:rsidRDefault="006A0D06"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In Scotland, ADHD services follow the </w:t>
      </w:r>
      <w:r w:rsidRPr="00BB2AEF">
        <w:rPr>
          <w:rStyle w:val="Strong"/>
          <w:rFonts w:ascii="Arial" w:eastAsiaTheme="majorEastAsia" w:hAnsi="Arial" w:cs="Arial"/>
          <w:b w:val="0"/>
          <w:bCs w:val="0"/>
          <w:color w:val="000000" w:themeColor="text1"/>
          <w:sz w:val="22"/>
          <w:szCs w:val="22"/>
        </w:rPr>
        <w:t>Scottish Intercollegiate Guidelines Network (SIGN 145, 2017)</w:t>
      </w:r>
      <w:r w:rsidRPr="00BB2AEF">
        <w:rPr>
          <w:rFonts w:ascii="Arial" w:hAnsi="Arial" w:cs="Arial"/>
          <w:b/>
          <w:bCs/>
          <w:color w:val="000000" w:themeColor="text1"/>
          <w:sz w:val="22"/>
          <w:szCs w:val="22"/>
        </w:rPr>
        <w:t>,</w:t>
      </w:r>
      <w:r w:rsidRPr="00BB2AEF">
        <w:rPr>
          <w:rFonts w:ascii="Arial" w:hAnsi="Arial" w:cs="Arial"/>
          <w:color w:val="000000" w:themeColor="text1"/>
          <w:sz w:val="22"/>
          <w:szCs w:val="22"/>
        </w:rPr>
        <w:t xml:space="preserve"> which reflect NICE standards but adapt them to Scotland’s devolved healthcare </w:t>
      </w:r>
      <w:r w:rsidRPr="00BB2AEF">
        <w:rPr>
          <w:rFonts w:ascii="Arial" w:hAnsi="Arial" w:cs="Arial"/>
          <w:color w:val="000000" w:themeColor="text1"/>
          <w:sz w:val="22"/>
          <w:szCs w:val="22"/>
        </w:rPr>
        <w:lastRenderedPageBreak/>
        <w:t xml:space="preserve">model. The Scottish approach prioritises early identification, family partnership, and community-based interventions delivered through </w:t>
      </w:r>
      <w:r w:rsidRPr="00BB2AEF">
        <w:rPr>
          <w:rStyle w:val="Emphasis"/>
          <w:rFonts w:ascii="Arial" w:eastAsiaTheme="majorEastAsia" w:hAnsi="Arial" w:cs="Arial"/>
          <w:color w:val="000000" w:themeColor="text1"/>
          <w:sz w:val="22"/>
          <w:szCs w:val="22"/>
        </w:rPr>
        <w:t xml:space="preserve">Child and </w:t>
      </w:r>
      <w:r w:rsidRPr="00BB2AEF">
        <w:rPr>
          <w:rStyle w:val="Emphasis"/>
          <w:rFonts w:ascii="Arial" w:eastAsiaTheme="majorEastAsia" w:hAnsi="Arial" w:cs="Arial"/>
          <w:i w:val="0"/>
          <w:iCs w:val="0"/>
          <w:color w:val="000000" w:themeColor="text1"/>
          <w:sz w:val="22"/>
          <w:szCs w:val="22"/>
        </w:rPr>
        <w:t>Adolescent Mental Health Services (CAMHS)</w:t>
      </w:r>
      <w:r w:rsidRPr="00BB2AEF">
        <w:rPr>
          <w:rFonts w:ascii="Arial" w:hAnsi="Arial" w:cs="Arial"/>
          <w:color w:val="000000" w:themeColor="text1"/>
          <w:sz w:val="22"/>
          <w:szCs w:val="22"/>
        </w:rPr>
        <w:t xml:space="preserve">. The </w:t>
      </w:r>
      <w:r w:rsidRPr="00BB2AEF">
        <w:rPr>
          <w:rStyle w:val="Emphasis"/>
          <w:rFonts w:ascii="Arial" w:eastAsiaTheme="majorEastAsia" w:hAnsi="Arial" w:cs="Arial"/>
          <w:i w:val="0"/>
          <w:iCs w:val="0"/>
          <w:color w:val="000000" w:themeColor="text1"/>
          <w:sz w:val="22"/>
          <w:szCs w:val="22"/>
        </w:rPr>
        <w:t>Mental Health Strategy</w:t>
      </w:r>
      <w:r w:rsidRPr="00BB2AEF">
        <w:rPr>
          <w:rStyle w:val="Emphasis"/>
          <w:rFonts w:ascii="Arial" w:eastAsiaTheme="majorEastAsia" w:hAnsi="Arial" w:cs="Arial"/>
          <w:color w:val="000000" w:themeColor="text1"/>
          <w:sz w:val="22"/>
          <w:szCs w:val="22"/>
        </w:rPr>
        <w:t xml:space="preserve"> </w:t>
      </w:r>
      <w:r w:rsidRPr="00BB2AEF">
        <w:rPr>
          <w:rStyle w:val="Emphasis"/>
          <w:rFonts w:ascii="Arial" w:eastAsiaTheme="majorEastAsia" w:hAnsi="Arial" w:cs="Arial"/>
          <w:i w:val="0"/>
          <w:iCs w:val="0"/>
          <w:color w:val="000000" w:themeColor="text1"/>
          <w:sz w:val="22"/>
          <w:szCs w:val="22"/>
        </w:rPr>
        <w:t>2017</w:t>
      </w:r>
      <w:r w:rsidRPr="00BB2AEF">
        <w:rPr>
          <w:rStyle w:val="Emphasis"/>
          <w:rFonts w:ascii="Arial" w:eastAsiaTheme="majorEastAsia" w:hAnsi="Arial" w:cs="Arial"/>
          <w:color w:val="000000" w:themeColor="text1"/>
          <w:sz w:val="22"/>
          <w:szCs w:val="22"/>
        </w:rPr>
        <w:t>–</w:t>
      </w:r>
      <w:r w:rsidRPr="00BB2AEF">
        <w:rPr>
          <w:rStyle w:val="Emphasis"/>
          <w:rFonts w:ascii="Arial" w:eastAsiaTheme="majorEastAsia" w:hAnsi="Arial" w:cs="Arial"/>
          <w:i w:val="0"/>
          <w:iCs w:val="0"/>
          <w:color w:val="000000" w:themeColor="text1"/>
          <w:sz w:val="22"/>
          <w:szCs w:val="22"/>
        </w:rPr>
        <w:t>2027</w:t>
      </w:r>
      <w:r w:rsidRPr="00BB2AEF">
        <w:rPr>
          <w:rFonts w:ascii="Arial" w:hAnsi="Arial" w:cs="Arial"/>
          <w:color w:val="000000" w:themeColor="text1"/>
          <w:sz w:val="22"/>
          <w:szCs w:val="22"/>
        </w:rPr>
        <w:t xml:space="preserve"> aims to address diagnostic inequalities and strengthen family and school-based support (</w:t>
      </w:r>
      <w:r w:rsidRPr="00BB2AEF">
        <w:rPr>
          <w:rStyle w:val="Strong"/>
          <w:rFonts w:ascii="Arial" w:eastAsiaTheme="majorEastAsia" w:hAnsi="Arial" w:cs="Arial"/>
          <w:b w:val="0"/>
          <w:bCs w:val="0"/>
          <w:color w:val="000000" w:themeColor="text1"/>
          <w:sz w:val="22"/>
          <w:szCs w:val="22"/>
        </w:rPr>
        <w:t>Scottish Government, 2023</w:t>
      </w:r>
      <w:r w:rsidRPr="00BB2AEF">
        <w:rPr>
          <w:rFonts w:ascii="Arial" w:hAnsi="Arial" w:cs="Arial"/>
          <w:color w:val="000000" w:themeColor="text1"/>
          <w:sz w:val="22"/>
          <w:szCs w:val="22"/>
        </w:rPr>
        <w:t xml:space="preserve">). Evidence suggests that Scotland’s smaller population and integrated health structure allow for more locally coordinated and preventative approaches, improving family engagement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SIGN, 2017; Public Health Scotland, 2024</w:t>
      </w:r>
      <w:r w:rsidRPr="00BB2AEF">
        <w:rPr>
          <w:rFonts w:ascii="Arial" w:hAnsi="Arial" w:cs="Arial"/>
          <w:color w:val="000000" w:themeColor="text1"/>
          <w:sz w:val="22"/>
          <w:szCs w:val="22"/>
        </w:rPr>
        <w:t xml:space="preserve">). Nonetheless, disparities remain between rural and urban regions, with children in remote areas such as the Highlands facing longer waiting times than those in major cities like Glasgow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Public Health Scotland, 2024</w:t>
      </w:r>
      <w:r w:rsidRPr="00BB2AEF">
        <w:rPr>
          <w:rFonts w:ascii="Arial" w:hAnsi="Arial" w:cs="Arial"/>
          <w:color w:val="000000" w:themeColor="text1"/>
          <w:sz w:val="22"/>
          <w:szCs w:val="22"/>
        </w:rPr>
        <w:t>).</w:t>
      </w:r>
    </w:p>
    <w:p w14:paraId="54663779" w14:textId="2D3E381F" w:rsidR="00907B60" w:rsidRPr="00BB2AEF" w:rsidRDefault="006A0D06"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When comparing the two systems, Scotland’s devolved framework offers greater flexibility, community engagement, and earlier intervention, fostering more consistent family-centred care (</w:t>
      </w:r>
      <w:r w:rsidRPr="00BB2AEF">
        <w:rPr>
          <w:rStyle w:val="Strong"/>
          <w:rFonts w:ascii="Arial" w:eastAsiaTheme="majorEastAsia" w:hAnsi="Arial" w:cs="Arial"/>
          <w:b w:val="0"/>
          <w:bCs w:val="0"/>
          <w:color w:val="000000" w:themeColor="text1"/>
          <w:sz w:val="22"/>
          <w:szCs w:val="22"/>
        </w:rPr>
        <w:t>Scottish Government, 2023; SIGN, 2017</w:t>
      </w:r>
      <w:r w:rsidRPr="00BB2AEF">
        <w:rPr>
          <w:rFonts w:ascii="Arial" w:hAnsi="Arial" w:cs="Arial"/>
          <w:color w:val="000000" w:themeColor="text1"/>
          <w:sz w:val="22"/>
          <w:szCs w:val="22"/>
        </w:rPr>
        <w:t>). In contrast, England’s national NHS structure provides wider access to specialist services and research-led practice but is constrained by system pressure and regional inequity (</w:t>
      </w:r>
      <w:r w:rsidRPr="00BB2AEF">
        <w:rPr>
          <w:rStyle w:val="Strong"/>
          <w:rFonts w:ascii="Arial" w:eastAsiaTheme="majorEastAsia" w:hAnsi="Arial" w:cs="Arial"/>
          <w:b w:val="0"/>
          <w:bCs w:val="0"/>
          <w:color w:val="000000" w:themeColor="text1"/>
          <w:sz w:val="22"/>
          <w:szCs w:val="22"/>
        </w:rPr>
        <w:t>NHS England, 2023; DHSC, 2023</w:t>
      </w:r>
      <w:r w:rsidRPr="00BB2AEF">
        <w:rPr>
          <w:rFonts w:ascii="Arial" w:hAnsi="Arial" w:cs="Arial"/>
          <w:color w:val="000000" w:themeColor="text1"/>
          <w:sz w:val="22"/>
          <w:szCs w:val="22"/>
        </w:rPr>
        <w:t>). Overall, Scotland’s approach delivers more accessible, relationship-based care, while England’s larger-scale model ensures specialist provision but faces challenges in timely access and consistency.</w:t>
      </w:r>
    </w:p>
    <w:p w14:paraId="54F4C5FA" w14:textId="37376BA8" w:rsidR="00907B60" w:rsidRPr="00BB2AEF" w:rsidRDefault="005351CE"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Conclusion:</w:t>
      </w:r>
    </w:p>
    <w:p w14:paraId="3312396B" w14:textId="77777777" w:rsidR="005351CE" w:rsidRPr="00BB2AEF" w:rsidRDefault="005351CE"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This chapter has provided a detailed overview of the historical, theoretical, international, and national contexts that inform the understanding of Attention Deficit Hyperactivity Disorder (ADHD). Historically, the condition has progressed from being regarded as a moral or behavioural problem to being recognised as a complex neurodevelopmental disorder. Developments in neuroscience and psychiatry have been instrumental in shaping modern diagnostic frameworks and evidence-based treatment approaches (</w:t>
      </w:r>
      <w:r w:rsidRPr="00BB2AEF">
        <w:rPr>
          <w:rStyle w:val="Strong"/>
          <w:rFonts w:ascii="Arial" w:eastAsiaTheme="majorEastAsia" w:hAnsi="Arial" w:cs="Arial"/>
          <w:b w:val="0"/>
          <w:bCs w:val="0"/>
          <w:color w:val="000000" w:themeColor="text1"/>
          <w:sz w:val="22"/>
          <w:szCs w:val="22"/>
        </w:rPr>
        <w:t>Still, 1902; NICE, 2018</w:t>
      </w:r>
      <w:r w:rsidRPr="00BB2AEF">
        <w:rPr>
          <w:rFonts w:ascii="Arial" w:hAnsi="Arial" w:cs="Arial"/>
          <w:color w:val="000000" w:themeColor="text1"/>
          <w:sz w:val="22"/>
          <w:szCs w:val="22"/>
        </w:rPr>
        <w:t>).</w:t>
      </w:r>
    </w:p>
    <w:p w14:paraId="5D319DDA" w14:textId="77777777" w:rsidR="005351CE" w:rsidRPr="00BB2AEF" w:rsidRDefault="005351CE"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The theoretical background highlighted two principal perspectives: the </w:t>
      </w:r>
      <w:r w:rsidRPr="00BB2AEF">
        <w:rPr>
          <w:rStyle w:val="Strong"/>
          <w:rFonts w:ascii="Arial" w:eastAsiaTheme="majorEastAsia" w:hAnsi="Arial" w:cs="Arial"/>
          <w:b w:val="0"/>
          <w:bCs w:val="0"/>
          <w:color w:val="000000" w:themeColor="text1"/>
          <w:sz w:val="22"/>
          <w:szCs w:val="22"/>
        </w:rPr>
        <w:t>Neurodevelopmental Theory</w:t>
      </w:r>
      <w:r w:rsidRPr="00BB2AEF">
        <w:rPr>
          <w:rFonts w:ascii="Arial" w:hAnsi="Arial" w:cs="Arial"/>
          <w:color w:val="000000" w:themeColor="text1"/>
          <w:sz w:val="22"/>
          <w:szCs w:val="22"/>
        </w:rPr>
        <w:t xml:space="preserve">, which attributes ADHD to differences in brain structure and function, and </w:t>
      </w:r>
      <w:r w:rsidRPr="00BB2AEF">
        <w:rPr>
          <w:rStyle w:val="Strong"/>
          <w:rFonts w:ascii="Arial" w:eastAsiaTheme="majorEastAsia" w:hAnsi="Arial" w:cs="Arial"/>
          <w:b w:val="0"/>
          <w:bCs w:val="0"/>
          <w:color w:val="000000" w:themeColor="text1"/>
          <w:sz w:val="22"/>
          <w:szCs w:val="22"/>
        </w:rPr>
        <w:t>Social Learning Theory</w:t>
      </w:r>
      <w:r w:rsidRPr="00BB2AEF">
        <w:rPr>
          <w:rFonts w:ascii="Arial" w:hAnsi="Arial" w:cs="Arial"/>
          <w:color w:val="000000" w:themeColor="text1"/>
          <w:sz w:val="22"/>
          <w:szCs w:val="22"/>
        </w:rPr>
        <w:t xml:space="preserve">, which focuses on behavioural and environmental influences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Barkley, 1997; Bandura, 1977</w:t>
      </w:r>
      <w:r w:rsidRPr="00BB2AEF">
        <w:rPr>
          <w:rFonts w:ascii="Arial" w:hAnsi="Arial" w:cs="Arial"/>
          <w:color w:val="000000" w:themeColor="text1"/>
          <w:sz w:val="22"/>
          <w:szCs w:val="22"/>
        </w:rPr>
        <w:t xml:space="preserve">). Together, these models underpin contemporary UK practice, which integrates medical, behavioural, and educational interventions to support both children and their families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NICE, 2018; NHS England, 2023</w:t>
      </w:r>
      <w:r w:rsidRPr="00BB2AEF">
        <w:rPr>
          <w:rFonts w:ascii="Arial" w:hAnsi="Arial" w:cs="Arial"/>
          <w:color w:val="000000" w:themeColor="text1"/>
          <w:sz w:val="22"/>
          <w:szCs w:val="22"/>
        </w:rPr>
        <w:t>).</w:t>
      </w:r>
    </w:p>
    <w:p w14:paraId="5381A82F" w14:textId="005B4FC9" w:rsidR="005351CE" w:rsidRPr="00BB2AEF" w:rsidRDefault="005351CE"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Internationally, ADHD is recognised as a widespread condition, though diagnostic and treatment practices differ considerably. While the United States tends to favour pharmacological interventions, many European nations emphasise behavioural and </w:t>
      </w:r>
      <w:r w:rsidRPr="00BB2AEF">
        <w:rPr>
          <w:rFonts w:ascii="Arial" w:hAnsi="Arial" w:cs="Arial"/>
          <w:color w:val="000000" w:themeColor="text1"/>
          <w:sz w:val="22"/>
          <w:szCs w:val="22"/>
        </w:rPr>
        <w:lastRenderedPageBreak/>
        <w:t xml:space="preserve">psychosocial strategies </w:t>
      </w:r>
      <w:r w:rsidRPr="00BB2AEF">
        <w:rPr>
          <w:rFonts w:ascii="Arial" w:hAnsi="Arial" w:cs="Arial"/>
          <w:b/>
          <w:bCs/>
          <w:color w:val="000000" w:themeColor="text1"/>
          <w:sz w:val="22"/>
          <w:szCs w:val="22"/>
        </w:rPr>
        <w:t>(</w:t>
      </w:r>
      <w:r w:rsidRPr="00BB2AEF">
        <w:rPr>
          <w:rStyle w:val="Strong"/>
          <w:rFonts w:ascii="Arial" w:eastAsiaTheme="majorEastAsia" w:hAnsi="Arial" w:cs="Arial"/>
          <w:b w:val="0"/>
          <w:bCs w:val="0"/>
          <w:color w:val="000000" w:themeColor="text1"/>
          <w:sz w:val="22"/>
          <w:szCs w:val="22"/>
        </w:rPr>
        <w:t xml:space="preserve">WHO, 2022; </w:t>
      </w:r>
      <w:r w:rsidR="00E21D9A" w:rsidRPr="00BB2AEF">
        <w:rPr>
          <w:rStyle w:val="Strong"/>
          <w:rFonts w:ascii="Arial" w:eastAsiaTheme="majorEastAsia" w:hAnsi="Arial" w:cs="Arial"/>
          <w:b w:val="0"/>
          <w:bCs w:val="0"/>
          <w:color w:val="000000" w:themeColor="text1"/>
          <w:sz w:val="22"/>
          <w:szCs w:val="22"/>
        </w:rPr>
        <w:t>Hamley</w:t>
      </w:r>
      <w:r w:rsidRPr="00BB2AEF">
        <w:rPr>
          <w:rStyle w:val="Strong"/>
          <w:rFonts w:ascii="Arial" w:eastAsiaTheme="majorEastAsia" w:hAnsi="Arial" w:cs="Arial"/>
          <w:b w:val="0"/>
          <w:bCs w:val="0"/>
          <w:color w:val="000000" w:themeColor="text1"/>
          <w:sz w:val="22"/>
          <w:szCs w:val="22"/>
        </w:rPr>
        <w:t xml:space="preserve"> et al., 2019</w:t>
      </w:r>
      <w:r w:rsidRPr="00BB2AEF">
        <w:rPr>
          <w:rFonts w:ascii="Arial" w:hAnsi="Arial" w:cs="Arial"/>
          <w:color w:val="000000" w:themeColor="text1"/>
          <w:sz w:val="22"/>
          <w:szCs w:val="22"/>
        </w:rPr>
        <w:t>). The UK adopts a balanced, multidisciplinary approach guided by NICE recommendations.</w:t>
      </w:r>
    </w:p>
    <w:p w14:paraId="301DF3CF" w14:textId="77777777" w:rsidR="005351CE" w:rsidRPr="00BB2AEF" w:rsidRDefault="005351CE"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Within the United Kingdom, England and Scotland have implemented robust yet distinct systems of ADHD care. England benefits from a wider clinical infrastructure, whereas Scotland’s devolved framework facilitates earlier intervention and greater community involvement (</w:t>
      </w:r>
      <w:r w:rsidRPr="00BB2AEF">
        <w:rPr>
          <w:rStyle w:val="Strong"/>
          <w:rFonts w:ascii="Arial" w:eastAsiaTheme="majorEastAsia" w:hAnsi="Arial" w:cs="Arial"/>
          <w:b w:val="0"/>
          <w:bCs w:val="0"/>
          <w:color w:val="000000" w:themeColor="text1"/>
          <w:sz w:val="22"/>
          <w:szCs w:val="22"/>
        </w:rPr>
        <w:t>NHS Digital, 2024; Scottish Government, 2023</w:t>
      </w:r>
      <w:r w:rsidRPr="00BB2AEF">
        <w:rPr>
          <w:rFonts w:ascii="Arial" w:hAnsi="Arial" w:cs="Arial"/>
          <w:color w:val="000000" w:themeColor="text1"/>
          <w:sz w:val="22"/>
          <w:szCs w:val="22"/>
        </w:rPr>
        <w:t>).</w:t>
      </w:r>
    </w:p>
    <w:p w14:paraId="081F12C9" w14:textId="755F66D2" w:rsidR="005351CE" w:rsidRPr="00BB2AEF" w:rsidRDefault="005351CE"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The contextual understanding established in this chapter provides a foundation for the next stage of this research. The forthcoming</w:t>
      </w:r>
      <w:r w:rsidR="00DF3B5C" w:rsidRPr="00BB2AEF">
        <w:rPr>
          <w:rFonts w:ascii="Arial" w:hAnsi="Arial" w:cs="Arial"/>
          <w:b/>
          <w:bCs/>
          <w:color w:val="000000" w:themeColor="text1"/>
          <w:sz w:val="22"/>
          <w:szCs w:val="22"/>
        </w:rPr>
        <w:t xml:space="preserve"> </w:t>
      </w:r>
      <w:r w:rsidR="00DF3B5C" w:rsidRPr="00BB2AEF">
        <w:rPr>
          <w:rFonts w:ascii="Arial" w:hAnsi="Arial" w:cs="Arial"/>
          <w:color w:val="000000" w:themeColor="text1"/>
          <w:sz w:val="22"/>
          <w:szCs w:val="22"/>
        </w:rPr>
        <w:t>Methods and Search Strategy Chapter3</w:t>
      </w:r>
      <w:r w:rsidRPr="00BB2AEF">
        <w:rPr>
          <w:rFonts w:ascii="Arial" w:hAnsi="Arial" w:cs="Arial"/>
          <w:color w:val="000000" w:themeColor="text1"/>
          <w:sz w:val="22"/>
          <w:szCs w:val="22"/>
        </w:rPr>
        <w:t xml:space="preserve"> will outline the research design, data sources, and analytical methods used to examine the impact of ADHD medication on children and their families in the UK.</w:t>
      </w:r>
    </w:p>
    <w:p w14:paraId="4364358D" w14:textId="77777777" w:rsidR="00EB56FA" w:rsidRPr="00BB2AEF" w:rsidRDefault="00EB56FA"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2C4539A9" w14:textId="77777777" w:rsidR="00ED1211" w:rsidRDefault="00ED1211"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5851A90C" w14:textId="421149B3" w:rsidR="00907B60" w:rsidRPr="00BB2AEF" w:rsidRDefault="008400F0"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Reference</w:t>
      </w:r>
      <w:r w:rsidR="009C165F" w:rsidRPr="00BB2AEF">
        <w:rPr>
          <w:rFonts w:ascii="Arial" w:eastAsia="Times New Roman" w:hAnsi="Arial" w:cs="Arial"/>
          <w:b/>
          <w:bCs/>
          <w:color w:val="000000" w:themeColor="text1"/>
          <w:kern w:val="0"/>
          <w:lang w:eastAsia="en-GB"/>
          <w14:ligatures w14:val="none"/>
        </w:rPr>
        <w:t xml:space="preserve"> </w:t>
      </w:r>
      <w:r w:rsidR="0098576B" w:rsidRPr="00BB2AEF">
        <w:rPr>
          <w:rFonts w:ascii="Arial" w:eastAsia="Times New Roman" w:hAnsi="Arial" w:cs="Arial"/>
          <w:b/>
          <w:bCs/>
          <w:color w:val="000000" w:themeColor="text1"/>
          <w:kern w:val="0"/>
          <w:lang w:eastAsia="en-GB"/>
          <w14:ligatures w14:val="none"/>
        </w:rPr>
        <w:t>List:</w:t>
      </w:r>
    </w:p>
    <w:p w14:paraId="311ED08F"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American Academy of </w:t>
      </w:r>
      <w:proofErr w:type="spellStart"/>
      <w:r w:rsidRPr="00EF6746">
        <w:rPr>
          <w:rFonts w:ascii="Arial" w:eastAsia="Times New Roman" w:hAnsi="Arial" w:cs="Arial"/>
          <w:kern w:val="0"/>
          <w:lang w:eastAsia="en-GB"/>
          <w14:ligatures w14:val="none"/>
        </w:rPr>
        <w:t>Pediatrics</w:t>
      </w:r>
      <w:proofErr w:type="spellEnd"/>
      <w:r w:rsidRPr="00EF6746">
        <w:rPr>
          <w:rFonts w:ascii="Arial" w:eastAsia="Times New Roman" w:hAnsi="Arial" w:cs="Arial"/>
          <w:kern w:val="0"/>
          <w:lang w:eastAsia="en-GB"/>
          <w14:ligatures w14:val="none"/>
        </w:rPr>
        <w:t xml:space="preserve"> (AAP) (2019) ‘Clinical practice guideline for the diagnosis, evaluation, and treatment of attention-deficit/hyperactivity disorder in children and adolescents’, </w:t>
      </w:r>
      <w:proofErr w:type="spellStart"/>
      <w:r w:rsidRPr="00EF6746">
        <w:rPr>
          <w:rFonts w:ascii="Arial" w:eastAsia="Times New Roman" w:hAnsi="Arial" w:cs="Arial"/>
          <w:i/>
          <w:iCs/>
          <w:kern w:val="0"/>
          <w:lang w:eastAsia="en-GB"/>
          <w14:ligatures w14:val="none"/>
        </w:rPr>
        <w:t>Pediatrics</w:t>
      </w:r>
      <w:proofErr w:type="spellEnd"/>
      <w:r w:rsidRPr="00EF6746">
        <w:rPr>
          <w:rFonts w:ascii="Arial" w:eastAsia="Times New Roman" w:hAnsi="Arial" w:cs="Arial"/>
          <w:kern w:val="0"/>
          <w:lang w:eastAsia="en-GB"/>
          <w14:ligatures w14:val="none"/>
        </w:rPr>
        <w:t xml:space="preserve">, 144(4), e20192528. Available at: </w:t>
      </w:r>
      <w:hyperlink r:id="rId39" w:tgtFrame="_new" w:history="1">
        <w:r w:rsidRPr="00EF6746">
          <w:rPr>
            <w:rFonts w:ascii="Arial" w:eastAsia="Times New Roman" w:hAnsi="Arial" w:cs="Arial"/>
            <w:color w:val="0000FF"/>
            <w:kern w:val="0"/>
            <w:u w:val="single"/>
            <w:lang w:eastAsia="en-GB"/>
            <w14:ligatures w14:val="none"/>
          </w:rPr>
          <w:t>https://doi.org/10.1542/peds.2019-2528</w:t>
        </w:r>
      </w:hyperlink>
      <w:r w:rsidRPr="00EF6746">
        <w:rPr>
          <w:rFonts w:ascii="Arial" w:eastAsia="Times New Roman" w:hAnsi="Arial" w:cs="Arial"/>
          <w:kern w:val="0"/>
          <w:lang w:eastAsia="en-GB"/>
          <w14:ligatures w14:val="none"/>
        </w:rPr>
        <w:t>.</w:t>
      </w:r>
    </w:p>
    <w:p w14:paraId="0633C0F0"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American Psychiatric Association (1980) </w:t>
      </w:r>
      <w:r w:rsidRPr="00EF6746">
        <w:rPr>
          <w:rFonts w:ascii="Arial" w:eastAsia="Times New Roman" w:hAnsi="Arial" w:cs="Arial"/>
          <w:i/>
          <w:iCs/>
          <w:kern w:val="0"/>
          <w:lang w:eastAsia="en-GB"/>
          <w14:ligatures w14:val="none"/>
        </w:rPr>
        <w:t>Diagnostic and Statistical Manual of Mental Disorders (DSM-III)</w:t>
      </w:r>
      <w:r w:rsidRPr="00EF6746">
        <w:rPr>
          <w:rFonts w:ascii="Arial" w:eastAsia="Times New Roman" w:hAnsi="Arial" w:cs="Arial"/>
          <w:kern w:val="0"/>
          <w:lang w:eastAsia="en-GB"/>
          <w14:ligatures w14:val="none"/>
        </w:rPr>
        <w:t xml:space="preserve">. 3rd </w:t>
      </w:r>
      <w:proofErr w:type="spellStart"/>
      <w:r w:rsidRPr="00EF6746">
        <w:rPr>
          <w:rFonts w:ascii="Arial" w:eastAsia="Times New Roman" w:hAnsi="Arial" w:cs="Arial"/>
          <w:kern w:val="0"/>
          <w:lang w:eastAsia="en-GB"/>
          <w14:ligatures w14:val="none"/>
        </w:rPr>
        <w:t>edn</w:t>
      </w:r>
      <w:proofErr w:type="spellEnd"/>
      <w:r w:rsidRPr="00EF6746">
        <w:rPr>
          <w:rFonts w:ascii="Arial" w:eastAsia="Times New Roman" w:hAnsi="Arial" w:cs="Arial"/>
          <w:kern w:val="0"/>
          <w:lang w:eastAsia="en-GB"/>
          <w14:ligatures w14:val="none"/>
        </w:rPr>
        <w:t>. Washington, DC: American Psychiatric Association.</w:t>
      </w:r>
    </w:p>
    <w:p w14:paraId="0A7D7981"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Australian Department of Health (2020) </w:t>
      </w:r>
      <w:r w:rsidRPr="00EF6746">
        <w:rPr>
          <w:rFonts w:ascii="Arial" w:eastAsia="Times New Roman" w:hAnsi="Arial" w:cs="Arial"/>
          <w:i/>
          <w:iCs/>
          <w:kern w:val="0"/>
          <w:lang w:eastAsia="en-GB"/>
          <w14:ligatures w14:val="none"/>
        </w:rPr>
        <w:t>Attention Deficit Hyperactivity Disorder (ADHD): National framework for treatment and support</w:t>
      </w:r>
      <w:r w:rsidRPr="00EF6746">
        <w:rPr>
          <w:rFonts w:ascii="Arial" w:eastAsia="Times New Roman" w:hAnsi="Arial" w:cs="Arial"/>
          <w:kern w:val="0"/>
          <w:lang w:eastAsia="en-GB"/>
          <w14:ligatures w14:val="none"/>
        </w:rPr>
        <w:t xml:space="preserve">. Canberra: Australian Government Department of Health. Available at: </w:t>
      </w:r>
      <w:hyperlink r:id="rId40" w:tgtFrame="_new" w:history="1">
        <w:r w:rsidRPr="00EF6746">
          <w:rPr>
            <w:rFonts w:ascii="Arial" w:eastAsia="Times New Roman" w:hAnsi="Arial" w:cs="Arial"/>
            <w:color w:val="0000FF"/>
            <w:kern w:val="0"/>
            <w:u w:val="single"/>
            <w:lang w:eastAsia="en-GB"/>
            <w14:ligatures w14:val="none"/>
          </w:rPr>
          <w:t>https://www.health.gov.au</w:t>
        </w:r>
      </w:hyperlink>
      <w:r w:rsidRPr="00EF6746">
        <w:rPr>
          <w:rFonts w:ascii="Arial" w:eastAsia="Times New Roman" w:hAnsi="Arial" w:cs="Arial"/>
          <w:kern w:val="0"/>
          <w:lang w:eastAsia="en-GB"/>
          <w14:ligatures w14:val="none"/>
        </w:rPr>
        <w:t xml:space="preserve"> (Accessed: 24 October 2025).</w:t>
      </w:r>
    </w:p>
    <w:p w14:paraId="0AAAF3D4"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Bandura, A. (1977) </w:t>
      </w:r>
      <w:r w:rsidRPr="00EF6746">
        <w:rPr>
          <w:rFonts w:ascii="Arial" w:eastAsia="Times New Roman" w:hAnsi="Arial" w:cs="Arial"/>
          <w:i/>
          <w:iCs/>
          <w:kern w:val="0"/>
          <w:lang w:eastAsia="en-GB"/>
          <w14:ligatures w14:val="none"/>
        </w:rPr>
        <w:t>Social Learning Theory</w:t>
      </w:r>
      <w:r w:rsidRPr="00EF6746">
        <w:rPr>
          <w:rFonts w:ascii="Arial" w:eastAsia="Times New Roman" w:hAnsi="Arial" w:cs="Arial"/>
          <w:kern w:val="0"/>
          <w:lang w:eastAsia="en-GB"/>
          <w14:ligatures w14:val="none"/>
        </w:rPr>
        <w:t>. Englewood Cliffs, NJ: Prentice Hall.</w:t>
      </w:r>
    </w:p>
    <w:p w14:paraId="5B58B4B3"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Barkley, R.A. (1997) ‘Behavioural inhibition, sustained attention, and executive functions: constructing a unifying theory of ADHD’, </w:t>
      </w:r>
      <w:r w:rsidRPr="00EF6746">
        <w:rPr>
          <w:rFonts w:ascii="Arial" w:eastAsia="Times New Roman" w:hAnsi="Arial" w:cs="Arial"/>
          <w:i/>
          <w:iCs/>
          <w:kern w:val="0"/>
          <w:lang w:eastAsia="en-GB"/>
          <w14:ligatures w14:val="none"/>
        </w:rPr>
        <w:t>Psychological Bulletin</w:t>
      </w:r>
      <w:r w:rsidRPr="00EF6746">
        <w:rPr>
          <w:rFonts w:ascii="Arial" w:eastAsia="Times New Roman" w:hAnsi="Arial" w:cs="Arial"/>
          <w:kern w:val="0"/>
          <w:lang w:eastAsia="en-GB"/>
          <w14:ligatures w14:val="none"/>
        </w:rPr>
        <w:t>, 121(1), pp. 65–94.</w:t>
      </w:r>
    </w:p>
    <w:p w14:paraId="75192911"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BBC News (2024) </w:t>
      </w:r>
      <w:r w:rsidRPr="00EF6746">
        <w:rPr>
          <w:rFonts w:ascii="Arial" w:eastAsia="Times New Roman" w:hAnsi="Arial" w:cs="Arial"/>
          <w:i/>
          <w:iCs/>
          <w:kern w:val="0"/>
          <w:lang w:eastAsia="en-GB"/>
          <w14:ligatures w14:val="none"/>
        </w:rPr>
        <w:t>Families face long waits for ADHD diagnosis across England</w:t>
      </w:r>
      <w:r w:rsidRPr="00EF6746">
        <w:rPr>
          <w:rFonts w:ascii="Arial" w:eastAsia="Times New Roman" w:hAnsi="Arial" w:cs="Arial"/>
          <w:kern w:val="0"/>
          <w:lang w:eastAsia="en-GB"/>
          <w14:ligatures w14:val="none"/>
        </w:rPr>
        <w:t xml:space="preserve">. London: BBC. Available at: </w:t>
      </w:r>
      <w:hyperlink r:id="rId41" w:tgtFrame="_new" w:history="1">
        <w:r w:rsidRPr="00EF6746">
          <w:rPr>
            <w:rFonts w:ascii="Arial" w:eastAsia="Times New Roman" w:hAnsi="Arial" w:cs="Arial"/>
            <w:color w:val="0000FF"/>
            <w:kern w:val="0"/>
            <w:u w:val="single"/>
            <w:lang w:eastAsia="en-GB"/>
            <w14:ligatures w14:val="none"/>
          </w:rPr>
          <w:t>https://www.bbc.co.uk/news/health</w:t>
        </w:r>
      </w:hyperlink>
      <w:r w:rsidRPr="00EF6746">
        <w:rPr>
          <w:rFonts w:ascii="Arial" w:eastAsia="Times New Roman" w:hAnsi="Arial" w:cs="Arial"/>
          <w:kern w:val="0"/>
          <w:lang w:eastAsia="en-GB"/>
          <w14:ligatures w14:val="none"/>
        </w:rPr>
        <w:t xml:space="preserve"> (Accessed: 25 October 2025).</w:t>
      </w:r>
    </w:p>
    <w:p w14:paraId="61495C8C"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lastRenderedPageBreak/>
        <w:t xml:space="preserve">Canadian Paediatric Society (2021) </w:t>
      </w:r>
      <w:r w:rsidRPr="00EF6746">
        <w:rPr>
          <w:rFonts w:ascii="Arial" w:eastAsia="Times New Roman" w:hAnsi="Arial" w:cs="Arial"/>
          <w:i/>
          <w:iCs/>
          <w:kern w:val="0"/>
          <w:lang w:eastAsia="en-GB"/>
          <w14:ligatures w14:val="none"/>
        </w:rPr>
        <w:t>ADHD in children and youth: Part 2 – treatment and monitoring</w:t>
      </w:r>
      <w:r w:rsidRPr="00EF6746">
        <w:rPr>
          <w:rFonts w:ascii="Arial" w:eastAsia="Times New Roman" w:hAnsi="Arial" w:cs="Arial"/>
          <w:kern w:val="0"/>
          <w:lang w:eastAsia="en-GB"/>
          <w14:ligatures w14:val="none"/>
        </w:rPr>
        <w:t xml:space="preserve">. Ottawa: CPS. Available at: </w:t>
      </w:r>
      <w:hyperlink r:id="rId42" w:tgtFrame="_new" w:history="1">
        <w:r w:rsidRPr="00EF6746">
          <w:rPr>
            <w:rFonts w:ascii="Arial" w:eastAsia="Times New Roman" w:hAnsi="Arial" w:cs="Arial"/>
            <w:color w:val="0000FF"/>
            <w:kern w:val="0"/>
            <w:u w:val="single"/>
            <w:lang w:eastAsia="en-GB"/>
            <w14:ligatures w14:val="none"/>
          </w:rPr>
          <w:t>https://www.cps.ca</w:t>
        </w:r>
      </w:hyperlink>
      <w:r w:rsidRPr="00EF6746">
        <w:rPr>
          <w:rFonts w:ascii="Arial" w:eastAsia="Times New Roman" w:hAnsi="Arial" w:cs="Arial"/>
          <w:kern w:val="0"/>
          <w:lang w:eastAsia="en-GB"/>
          <w14:ligatures w14:val="none"/>
        </w:rPr>
        <w:t xml:space="preserve"> (Accessed: 26 October 2025).</w:t>
      </w:r>
    </w:p>
    <w:p w14:paraId="56704BF0"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Care Quality Commission (CQC) (2024) </w:t>
      </w:r>
      <w:r w:rsidRPr="00EF6746">
        <w:rPr>
          <w:rFonts w:ascii="Arial" w:eastAsia="Times New Roman" w:hAnsi="Arial" w:cs="Arial"/>
          <w:i/>
          <w:iCs/>
          <w:kern w:val="0"/>
          <w:lang w:eastAsia="en-GB"/>
          <w14:ligatures w14:val="none"/>
        </w:rPr>
        <w:t>State of care in mental health services 2023/24</w:t>
      </w:r>
      <w:r w:rsidRPr="00EF6746">
        <w:rPr>
          <w:rFonts w:ascii="Arial" w:eastAsia="Times New Roman" w:hAnsi="Arial" w:cs="Arial"/>
          <w:kern w:val="0"/>
          <w:lang w:eastAsia="en-GB"/>
          <w14:ligatures w14:val="none"/>
        </w:rPr>
        <w:t>. London: CQC.</w:t>
      </w:r>
    </w:p>
    <w:p w14:paraId="2D1E114D"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proofErr w:type="spellStart"/>
      <w:r w:rsidRPr="00EF6746">
        <w:rPr>
          <w:rFonts w:ascii="Arial" w:eastAsia="Times New Roman" w:hAnsi="Arial" w:cs="Arial"/>
          <w:kern w:val="0"/>
          <w:lang w:eastAsia="en-GB"/>
          <w14:ligatures w14:val="none"/>
        </w:rPr>
        <w:t>Centers</w:t>
      </w:r>
      <w:proofErr w:type="spellEnd"/>
      <w:r w:rsidRPr="00EF6746">
        <w:rPr>
          <w:rFonts w:ascii="Arial" w:eastAsia="Times New Roman" w:hAnsi="Arial" w:cs="Arial"/>
          <w:kern w:val="0"/>
          <w:lang w:eastAsia="en-GB"/>
          <w14:ligatures w14:val="none"/>
        </w:rPr>
        <w:t xml:space="preserve"> for Disease Control and Prevention (CDC) (2023) </w:t>
      </w:r>
      <w:r w:rsidRPr="00EF6746">
        <w:rPr>
          <w:rFonts w:ascii="Arial" w:eastAsia="Times New Roman" w:hAnsi="Arial" w:cs="Arial"/>
          <w:i/>
          <w:iCs/>
          <w:kern w:val="0"/>
          <w:lang w:eastAsia="en-GB"/>
          <w14:ligatures w14:val="none"/>
        </w:rPr>
        <w:t>Data and statistics on children with ADHD in the United States</w:t>
      </w:r>
      <w:r w:rsidRPr="00EF6746">
        <w:rPr>
          <w:rFonts w:ascii="Arial" w:eastAsia="Times New Roman" w:hAnsi="Arial" w:cs="Arial"/>
          <w:kern w:val="0"/>
          <w:lang w:eastAsia="en-GB"/>
          <w14:ligatures w14:val="none"/>
        </w:rPr>
        <w:t xml:space="preserve">. Atlanta, GA: CDC. Available at: </w:t>
      </w:r>
      <w:hyperlink r:id="rId43" w:tgtFrame="_new" w:history="1">
        <w:r w:rsidRPr="00EF6746">
          <w:rPr>
            <w:rFonts w:ascii="Arial" w:eastAsia="Times New Roman" w:hAnsi="Arial" w:cs="Arial"/>
            <w:color w:val="0000FF"/>
            <w:kern w:val="0"/>
            <w:u w:val="single"/>
            <w:lang w:eastAsia="en-GB"/>
            <w14:ligatures w14:val="none"/>
          </w:rPr>
          <w:t>https://www.cdc.gov/ncbddd/adhd/data.html</w:t>
        </w:r>
      </w:hyperlink>
      <w:r w:rsidRPr="00EF6746">
        <w:rPr>
          <w:rFonts w:ascii="Arial" w:eastAsia="Times New Roman" w:hAnsi="Arial" w:cs="Arial"/>
          <w:kern w:val="0"/>
          <w:lang w:eastAsia="en-GB"/>
          <w14:ligatures w14:val="none"/>
        </w:rPr>
        <w:t xml:space="preserve"> (Accessed: 24 October 2025).</w:t>
      </w:r>
    </w:p>
    <w:p w14:paraId="758A8C03"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Cohen, L., Manion, L. and Morrison, K. (2018) </w:t>
      </w:r>
      <w:r w:rsidRPr="00EF6746">
        <w:rPr>
          <w:rFonts w:ascii="Arial" w:eastAsia="Times New Roman" w:hAnsi="Arial" w:cs="Arial"/>
          <w:i/>
          <w:iCs/>
          <w:kern w:val="0"/>
          <w:lang w:eastAsia="en-GB"/>
          <w14:ligatures w14:val="none"/>
        </w:rPr>
        <w:t>Research Methods in Education</w:t>
      </w:r>
      <w:r w:rsidRPr="00EF6746">
        <w:rPr>
          <w:rFonts w:ascii="Arial" w:eastAsia="Times New Roman" w:hAnsi="Arial" w:cs="Arial"/>
          <w:kern w:val="0"/>
          <w:lang w:eastAsia="en-GB"/>
          <w14:ligatures w14:val="none"/>
        </w:rPr>
        <w:t xml:space="preserve">. 8th </w:t>
      </w:r>
      <w:proofErr w:type="spellStart"/>
      <w:r w:rsidRPr="00EF6746">
        <w:rPr>
          <w:rFonts w:ascii="Arial" w:eastAsia="Times New Roman" w:hAnsi="Arial" w:cs="Arial"/>
          <w:kern w:val="0"/>
          <w:lang w:eastAsia="en-GB"/>
          <w14:ligatures w14:val="none"/>
        </w:rPr>
        <w:t>edn</w:t>
      </w:r>
      <w:proofErr w:type="spellEnd"/>
      <w:r w:rsidRPr="00EF6746">
        <w:rPr>
          <w:rFonts w:ascii="Arial" w:eastAsia="Times New Roman" w:hAnsi="Arial" w:cs="Arial"/>
          <w:kern w:val="0"/>
          <w:lang w:eastAsia="en-GB"/>
          <w14:ligatures w14:val="none"/>
        </w:rPr>
        <w:t>. London: Routledge.</w:t>
      </w:r>
    </w:p>
    <w:p w14:paraId="5F2A5582"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Cortese, S., Adamo, N., Del Giovane, C., Mohr-Jensen, C., Hayes, A.J., Carucci, S., Atkinson, L.Z., Tessari, L., </w:t>
      </w:r>
      <w:proofErr w:type="spellStart"/>
      <w:r w:rsidRPr="00EF6746">
        <w:rPr>
          <w:rFonts w:ascii="Arial" w:eastAsia="Times New Roman" w:hAnsi="Arial" w:cs="Arial"/>
          <w:kern w:val="0"/>
          <w:lang w:eastAsia="en-GB"/>
          <w14:ligatures w14:val="none"/>
        </w:rPr>
        <w:t>Banaschewski</w:t>
      </w:r>
      <w:proofErr w:type="spellEnd"/>
      <w:r w:rsidRPr="00EF6746">
        <w:rPr>
          <w:rFonts w:ascii="Arial" w:eastAsia="Times New Roman" w:hAnsi="Arial" w:cs="Arial"/>
          <w:kern w:val="0"/>
          <w:lang w:eastAsia="en-GB"/>
          <w14:ligatures w14:val="none"/>
        </w:rPr>
        <w:t xml:space="preserve">, T., Coghill, D., Hollis, C., Simonoff, E., </w:t>
      </w:r>
      <w:proofErr w:type="spellStart"/>
      <w:r w:rsidRPr="00EF6746">
        <w:rPr>
          <w:rFonts w:ascii="Arial" w:eastAsia="Times New Roman" w:hAnsi="Arial" w:cs="Arial"/>
          <w:kern w:val="0"/>
          <w:lang w:eastAsia="en-GB"/>
          <w14:ligatures w14:val="none"/>
        </w:rPr>
        <w:t>Zuddas</w:t>
      </w:r>
      <w:proofErr w:type="spellEnd"/>
      <w:r w:rsidRPr="00EF6746">
        <w:rPr>
          <w:rFonts w:ascii="Arial" w:eastAsia="Times New Roman" w:hAnsi="Arial" w:cs="Arial"/>
          <w:kern w:val="0"/>
          <w:lang w:eastAsia="en-GB"/>
          <w14:ligatures w14:val="none"/>
        </w:rPr>
        <w:t xml:space="preserve">, A., </w:t>
      </w:r>
      <w:proofErr w:type="spellStart"/>
      <w:r w:rsidRPr="00EF6746">
        <w:rPr>
          <w:rFonts w:ascii="Arial" w:eastAsia="Times New Roman" w:hAnsi="Arial" w:cs="Arial"/>
          <w:kern w:val="0"/>
          <w:lang w:eastAsia="en-GB"/>
          <w14:ligatures w14:val="none"/>
        </w:rPr>
        <w:t>Barbui</w:t>
      </w:r>
      <w:proofErr w:type="spellEnd"/>
      <w:r w:rsidRPr="00EF6746">
        <w:rPr>
          <w:rFonts w:ascii="Arial" w:eastAsia="Times New Roman" w:hAnsi="Arial" w:cs="Arial"/>
          <w:kern w:val="0"/>
          <w:lang w:eastAsia="en-GB"/>
          <w14:ligatures w14:val="none"/>
        </w:rPr>
        <w:t xml:space="preserve">, C. and Cipriani, A. (2018) ‘Comparative efficacy and tolerability of medications for attention-deficit hyperactivity disorder in children, adolescents, and adults: a systematic review and network meta-analysis’, </w:t>
      </w:r>
      <w:r w:rsidRPr="00EF6746">
        <w:rPr>
          <w:rFonts w:ascii="Arial" w:eastAsia="Times New Roman" w:hAnsi="Arial" w:cs="Arial"/>
          <w:i/>
          <w:iCs/>
          <w:kern w:val="0"/>
          <w:lang w:eastAsia="en-GB"/>
          <w14:ligatures w14:val="none"/>
        </w:rPr>
        <w:t>The Lancet Psychiatry</w:t>
      </w:r>
      <w:r w:rsidRPr="00EF6746">
        <w:rPr>
          <w:rFonts w:ascii="Arial" w:eastAsia="Times New Roman" w:hAnsi="Arial" w:cs="Arial"/>
          <w:kern w:val="0"/>
          <w:lang w:eastAsia="en-GB"/>
          <w14:ligatures w14:val="none"/>
        </w:rPr>
        <w:t xml:space="preserve">, 5(9), pp. 727–738. Available at: </w:t>
      </w:r>
      <w:hyperlink r:id="rId44" w:tgtFrame="_new" w:history="1">
        <w:r w:rsidRPr="00EF6746">
          <w:rPr>
            <w:rFonts w:ascii="Arial" w:eastAsia="Times New Roman" w:hAnsi="Arial" w:cs="Arial"/>
            <w:color w:val="0000FF"/>
            <w:kern w:val="0"/>
            <w:u w:val="single"/>
            <w:lang w:eastAsia="en-GB"/>
            <w14:ligatures w14:val="none"/>
          </w:rPr>
          <w:t>https://doi.org/10.1016/S2215-0366(18)30269-4</w:t>
        </w:r>
      </w:hyperlink>
      <w:r w:rsidRPr="00EF6746">
        <w:rPr>
          <w:rFonts w:ascii="Arial" w:eastAsia="Times New Roman" w:hAnsi="Arial" w:cs="Arial"/>
          <w:kern w:val="0"/>
          <w:lang w:eastAsia="en-GB"/>
          <w14:ligatures w14:val="none"/>
        </w:rPr>
        <w:t>.</w:t>
      </w:r>
    </w:p>
    <w:p w14:paraId="761F5755"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Daley, D., Van der Oord, S., Ferrin, M., </w:t>
      </w:r>
      <w:proofErr w:type="spellStart"/>
      <w:r w:rsidRPr="00EF6746">
        <w:rPr>
          <w:rFonts w:ascii="Arial" w:eastAsia="Times New Roman" w:hAnsi="Arial" w:cs="Arial"/>
          <w:kern w:val="0"/>
          <w:lang w:eastAsia="en-GB"/>
          <w14:ligatures w14:val="none"/>
        </w:rPr>
        <w:t>Danckaerts</w:t>
      </w:r>
      <w:proofErr w:type="spellEnd"/>
      <w:r w:rsidRPr="00EF6746">
        <w:rPr>
          <w:rFonts w:ascii="Arial" w:eastAsia="Times New Roman" w:hAnsi="Arial" w:cs="Arial"/>
          <w:kern w:val="0"/>
          <w:lang w:eastAsia="en-GB"/>
          <w14:ligatures w14:val="none"/>
        </w:rPr>
        <w:t xml:space="preserve">, M., </w:t>
      </w:r>
      <w:proofErr w:type="spellStart"/>
      <w:r w:rsidRPr="00EF6746">
        <w:rPr>
          <w:rFonts w:ascii="Arial" w:eastAsia="Times New Roman" w:hAnsi="Arial" w:cs="Arial"/>
          <w:kern w:val="0"/>
          <w:lang w:eastAsia="en-GB"/>
          <w14:ligatures w14:val="none"/>
        </w:rPr>
        <w:t>Doepfner</w:t>
      </w:r>
      <w:proofErr w:type="spellEnd"/>
      <w:r w:rsidRPr="00EF6746">
        <w:rPr>
          <w:rFonts w:ascii="Arial" w:eastAsia="Times New Roman" w:hAnsi="Arial" w:cs="Arial"/>
          <w:kern w:val="0"/>
          <w:lang w:eastAsia="en-GB"/>
          <w14:ligatures w14:val="none"/>
        </w:rPr>
        <w:t xml:space="preserve">, M., Cortese, S., </w:t>
      </w:r>
      <w:proofErr w:type="spellStart"/>
      <w:r w:rsidRPr="00EF6746">
        <w:rPr>
          <w:rFonts w:ascii="Arial" w:eastAsia="Times New Roman" w:hAnsi="Arial" w:cs="Arial"/>
          <w:kern w:val="0"/>
          <w:lang w:eastAsia="en-GB"/>
          <w14:ligatures w14:val="none"/>
        </w:rPr>
        <w:t>Sonuga</w:t>
      </w:r>
      <w:proofErr w:type="spellEnd"/>
      <w:r w:rsidRPr="00EF6746">
        <w:rPr>
          <w:rFonts w:ascii="Arial" w:eastAsia="Times New Roman" w:hAnsi="Arial" w:cs="Arial"/>
          <w:kern w:val="0"/>
          <w:lang w:eastAsia="en-GB"/>
          <w14:ligatures w14:val="none"/>
        </w:rPr>
        <w:t xml:space="preserve">-Barke, E.J.S. and the European ADHD Guidelines Group (2018) ‘Practitioner review: current best practice in the use of parent training and behavioural management for children with ADHD’, </w:t>
      </w:r>
      <w:r w:rsidRPr="00EF6746">
        <w:rPr>
          <w:rFonts w:ascii="Arial" w:eastAsia="Times New Roman" w:hAnsi="Arial" w:cs="Arial"/>
          <w:i/>
          <w:iCs/>
          <w:kern w:val="0"/>
          <w:lang w:eastAsia="en-GB"/>
          <w14:ligatures w14:val="none"/>
        </w:rPr>
        <w:t>Journal of Child Psychology and Psychiatry</w:t>
      </w:r>
      <w:r w:rsidRPr="00EF6746">
        <w:rPr>
          <w:rFonts w:ascii="Arial" w:eastAsia="Times New Roman" w:hAnsi="Arial" w:cs="Arial"/>
          <w:kern w:val="0"/>
          <w:lang w:eastAsia="en-GB"/>
          <w14:ligatures w14:val="none"/>
        </w:rPr>
        <w:t xml:space="preserve">, 59(9), pp. 932–947. Available at: </w:t>
      </w:r>
      <w:hyperlink r:id="rId45" w:tgtFrame="_new" w:history="1">
        <w:r w:rsidRPr="00EF6746">
          <w:rPr>
            <w:rFonts w:ascii="Arial" w:eastAsia="Times New Roman" w:hAnsi="Arial" w:cs="Arial"/>
            <w:color w:val="0000FF"/>
            <w:kern w:val="0"/>
            <w:u w:val="single"/>
            <w:lang w:eastAsia="en-GB"/>
            <w14:ligatures w14:val="none"/>
          </w:rPr>
          <w:t>https://doi.org/10.1111/jcpp.12825</w:t>
        </w:r>
      </w:hyperlink>
      <w:r w:rsidRPr="00EF6746">
        <w:rPr>
          <w:rFonts w:ascii="Arial" w:eastAsia="Times New Roman" w:hAnsi="Arial" w:cs="Arial"/>
          <w:kern w:val="0"/>
          <w:lang w:eastAsia="en-GB"/>
          <w14:ligatures w14:val="none"/>
        </w:rPr>
        <w:t>.</w:t>
      </w:r>
    </w:p>
    <w:p w14:paraId="2B66426E"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Daley, D., Van der Oord, S., Ferrin, M., </w:t>
      </w:r>
      <w:proofErr w:type="spellStart"/>
      <w:r w:rsidRPr="00EF6746">
        <w:rPr>
          <w:rFonts w:ascii="Arial" w:eastAsia="Times New Roman" w:hAnsi="Arial" w:cs="Arial"/>
          <w:kern w:val="0"/>
          <w:lang w:eastAsia="en-GB"/>
          <w14:ligatures w14:val="none"/>
        </w:rPr>
        <w:t>Danckaerts</w:t>
      </w:r>
      <w:proofErr w:type="spellEnd"/>
      <w:r w:rsidRPr="00EF6746">
        <w:rPr>
          <w:rFonts w:ascii="Arial" w:eastAsia="Times New Roman" w:hAnsi="Arial" w:cs="Arial"/>
          <w:kern w:val="0"/>
          <w:lang w:eastAsia="en-GB"/>
          <w14:ligatures w14:val="none"/>
        </w:rPr>
        <w:t xml:space="preserve">, M., </w:t>
      </w:r>
      <w:proofErr w:type="spellStart"/>
      <w:r w:rsidRPr="00EF6746">
        <w:rPr>
          <w:rFonts w:ascii="Arial" w:eastAsia="Times New Roman" w:hAnsi="Arial" w:cs="Arial"/>
          <w:kern w:val="0"/>
          <w:lang w:eastAsia="en-GB"/>
          <w14:ligatures w14:val="none"/>
        </w:rPr>
        <w:t>Doepfner</w:t>
      </w:r>
      <w:proofErr w:type="spellEnd"/>
      <w:r w:rsidRPr="00EF6746">
        <w:rPr>
          <w:rFonts w:ascii="Arial" w:eastAsia="Times New Roman" w:hAnsi="Arial" w:cs="Arial"/>
          <w:kern w:val="0"/>
          <w:lang w:eastAsia="en-GB"/>
          <w14:ligatures w14:val="none"/>
        </w:rPr>
        <w:t xml:space="preserve">, M., Cortese, S., </w:t>
      </w:r>
      <w:proofErr w:type="spellStart"/>
      <w:r w:rsidRPr="00EF6746">
        <w:rPr>
          <w:rFonts w:ascii="Arial" w:eastAsia="Times New Roman" w:hAnsi="Arial" w:cs="Arial"/>
          <w:kern w:val="0"/>
          <w:lang w:eastAsia="en-GB"/>
          <w14:ligatures w14:val="none"/>
        </w:rPr>
        <w:t>Sonuga</w:t>
      </w:r>
      <w:proofErr w:type="spellEnd"/>
      <w:r w:rsidRPr="00EF6746">
        <w:rPr>
          <w:rFonts w:ascii="Arial" w:eastAsia="Times New Roman" w:hAnsi="Arial" w:cs="Arial"/>
          <w:kern w:val="0"/>
          <w:lang w:eastAsia="en-GB"/>
          <w14:ligatures w14:val="none"/>
        </w:rPr>
        <w:t xml:space="preserve">-Barke, E.J.S. and the European ADHD Guidelines Group (2020) ‘Behavioural interventions in attention-deficit/hyperactivity disorder: a meta-analysis of randomised controlled trials’, </w:t>
      </w:r>
      <w:r w:rsidRPr="00EF6746">
        <w:rPr>
          <w:rFonts w:ascii="Arial" w:eastAsia="Times New Roman" w:hAnsi="Arial" w:cs="Arial"/>
          <w:i/>
          <w:iCs/>
          <w:kern w:val="0"/>
          <w:lang w:eastAsia="en-GB"/>
          <w14:ligatures w14:val="none"/>
        </w:rPr>
        <w:t>Journal of the American Academy of Child &amp; Adolescent Psychiatry</w:t>
      </w:r>
      <w:r w:rsidRPr="00EF6746">
        <w:rPr>
          <w:rFonts w:ascii="Arial" w:eastAsia="Times New Roman" w:hAnsi="Arial" w:cs="Arial"/>
          <w:kern w:val="0"/>
          <w:lang w:eastAsia="en-GB"/>
          <w14:ligatures w14:val="none"/>
        </w:rPr>
        <w:t xml:space="preserve">, 59(6), pp. 718–739. Available at: </w:t>
      </w:r>
      <w:hyperlink r:id="rId46" w:tgtFrame="_new" w:history="1">
        <w:r w:rsidRPr="00EF6746">
          <w:rPr>
            <w:rFonts w:ascii="Arial" w:eastAsia="Times New Roman" w:hAnsi="Arial" w:cs="Arial"/>
            <w:color w:val="0000FF"/>
            <w:kern w:val="0"/>
            <w:u w:val="single"/>
            <w:lang w:eastAsia="en-GB"/>
            <w14:ligatures w14:val="none"/>
          </w:rPr>
          <w:t>https://doi.org/10.1016/j.jaac.2019.11.010</w:t>
        </w:r>
      </w:hyperlink>
      <w:r w:rsidRPr="00EF6746">
        <w:rPr>
          <w:rFonts w:ascii="Arial" w:eastAsia="Times New Roman" w:hAnsi="Arial" w:cs="Arial"/>
          <w:kern w:val="0"/>
          <w:lang w:eastAsia="en-GB"/>
          <w14:ligatures w14:val="none"/>
        </w:rPr>
        <w:t>.</w:t>
      </w:r>
    </w:p>
    <w:p w14:paraId="0D0F34D4"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Department for Education (2022) </w:t>
      </w:r>
      <w:r w:rsidRPr="00EF6746">
        <w:rPr>
          <w:rFonts w:ascii="Arial" w:eastAsia="Times New Roman" w:hAnsi="Arial" w:cs="Arial"/>
          <w:i/>
          <w:iCs/>
          <w:kern w:val="0"/>
          <w:lang w:eastAsia="en-GB"/>
          <w14:ligatures w14:val="none"/>
        </w:rPr>
        <w:t>Special Educational Needs and Disabilities (SEND) Code of Practice: 0–25 years</w:t>
      </w:r>
      <w:r w:rsidRPr="00EF6746">
        <w:rPr>
          <w:rFonts w:ascii="Arial" w:eastAsia="Times New Roman" w:hAnsi="Arial" w:cs="Arial"/>
          <w:kern w:val="0"/>
          <w:lang w:eastAsia="en-GB"/>
          <w14:ligatures w14:val="none"/>
        </w:rPr>
        <w:t>. London: DfE.</w:t>
      </w:r>
    </w:p>
    <w:p w14:paraId="1B6A6BB4"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Department of Health and Social Care (2023) </w:t>
      </w:r>
      <w:r w:rsidRPr="00EF6746">
        <w:rPr>
          <w:rFonts w:ascii="Arial" w:eastAsia="Times New Roman" w:hAnsi="Arial" w:cs="Arial"/>
          <w:i/>
          <w:iCs/>
          <w:kern w:val="0"/>
          <w:lang w:eastAsia="en-GB"/>
          <w14:ligatures w14:val="none"/>
        </w:rPr>
        <w:t>Transforming children and young people’s mental health provision: progress and next steps</w:t>
      </w:r>
      <w:r w:rsidRPr="00EF6746">
        <w:rPr>
          <w:rFonts w:ascii="Arial" w:eastAsia="Times New Roman" w:hAnsi="Arial" w:cs="Arial"/>
          <w:kern w:val="0"/>
          <w:lang w:eastAsia="en-GB"/>
          <w14:ligatures w14:val="none"/>
        </w:rPr>
        <w:t xml:space="preserve">. London: DHSC. Available at: </w:t>
      </w:r>
      <w:hyperlink r:id="rId47" w:tgtFrame="_new" w:history="1">
        <w:r w:rsidRPr="00EF6746">
          <w:rPr>
            <w:rFonts w:ascii="Arial" w:eastAsia="Times New Roman" w:hAnsi="Arial" w:cs="Arial"/>
            <w:color w:val="0000FF"/>
            <w:kern w:val="0"/>
            <w:u w:val="single"/>
            <w:lang w:eastAsia="en-GB"/>
            <w14:ligatures w14:val="none"/>
          </w:rPr>
          <w:t>https://www.gov.uk</w:t>
        </w:r>
      </w:hyperlink>
      <w:r w:rsidRPr="00EF6746">
        <w:rPr>
          <w:rFonts w:ascii="Arial" w:eastAsia="Times New Roman" w:hAnsi="Arial" w:cs="Arial"/>
          <w:kern w:val="0"/>
          <w:lang w:eastAsia="en-GB"/>
          <w14:ligatures w14:val="none"/>
        </w:rPr>
        <w:t xml:space="preserve"> (Accessed: 23 October 2025).</w:t>
      </w:r>
    </w:p>
    <w:p w14:paraId="5CB2A531"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lastRenderedPageBreak/>
        <w:t xml:space="preserve">Department of Health and Social Care (DHSC) (2023) </w:t>
      </w:r>
      <w:r w:rsidRPr="00EF6746">
        <w:rPr>
          <w:rFonts w:ascii="Arial" w:eastAsia="Times New Roman" w:hAnsi="Arial" w:cs="Arial"/>
          <w:i/>
          <w:iCs/>
          <w:kern w:val="0"/>
          <w:lang w:eastAsia="en-GB"/>
          <w14:ligatures w14:val="none"/>
        </w:rPr>
        <w:t>NHS workforce plan and waiting time reforms</w:t>
      </w:r>
      <w:r w:rsidRPr="00EF6746">
        <w:rPr>
          <w:rFonts w:ascii="Arial" w:eastAsia="Times New Roman" w:hAnsi="Arial" w:cs="Arial"/>
          <w:kern w:val="0"/>
          <w:lang w:eastAsia="en-GB"/>
          <w14:ligatures w14:val="none"/>
        </w:rPr>
        <w:t>. London: DHSC.</w:t>
      </w:r>
    </w:p>
    <w:p w14:paraId="4C78299C"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Evans, S.W., Owens, J.S. and Bunford, N. (2018) ‘Evidence-based psychosocial treatments for children and adolescents with ADHD’, </w:t>
      </w:r>
      <w:r w:rsidRPr="00EF6746">
        <w:rPr>
          <w:rFonts w:ascii="Arial" w:eastAsia="Times New Roman" w:hAnsi="Arial" w:cs="Arial"/>
          <w:i/>
          <w:iCs/>
          <w:kern w:val="0"/>
          <w:lang w:eastAsia="en-GB"/>
          <w14:ligatures w14:val="none"/>
        </w:rPr>
        <w:t>Journal of Clinical Child &amp; Adolescent Psychology</w:t>
      </w:r>
      <w:r w:rsidRPr="00EF6746">
        <w:rPr>
          <w:rFonts w:ascii="Arial" w:eastAsia="Times New Roman" w:hAnsi="Arial" w:cs="Arial"/>
          <w:kern w:val="0"/>
          <w:lang w:eastAsia="en-GB"/>
          <w14:ligatures w14:val="none"/>
        </w:rPr>
        <w:t xml:space="preserve">, 43(4), pp. 527–551. Available at: </w:t>
      </w:r>
      <w:hyperlink r:id="rId48" w:tgtFrame="_new" w:history="1">
        <w:r w:rsidRPr="00EF6746">
          <w:rPr>
            <w:rFonts w:ascii="Arial" w:eastAsia="Times New Roman" w:hAnsi="Arial" w:cs="Arial"/>
            <w:color w:val="0000FF"/>
            <w:kern w:val="0"/>
            <w:u w:val="single"/>
            <w:lang w:eastAsia="en-GB"/>
            <w14:ligatures w14:val="none"/>
          </w:rPr>
          <w:t>https://doi.org/10.1080/15374416.2013.850700</w:t>
        </w:r>
      </w:hyperlink>
      <w:r w:rsidRPr="00EF6746">
        <w:rPr>
          <w:rFonts w:ascii="Arial" w:eastAsia="Times New Roman" w:hAnsi="Arial" w:cs="Arial"/>
          <w:kern w:val="0"/>
          <w:lang w:eastAsia="en-GB"/>
          <w14:ligatures w14:val="none"/>
        </w:rPr>
        <w:t>.</w:t>
      </w:r>
    </w:p>
    <w:p w14:paraId="38E11339"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Faraone, S.V., Asherson, P., </w:t>
      </w:r>
      <w:proofErr w:type="spellStart"/>
      <w:r w:rsidRPr="00EF6746">
        <w:rPr>
          <w:rFonts w:ascii="Arial" w:eastAsia="Times New Roman" w:hAnsi="Arial" w:cs="Arial"/>
          <w:kern w:val="0"/>
          <w:lang w:eastAsia="en-GB"/>
          <w14:ligatures w14:val="none"/>
        </w:rPr>
        <w:t>Banaschewski</w:t>
      </w:r>
      <w:proofErr w:type="spellEnd"/>
      <w:r w:rsidRPr="00EF6746">
        <w:rPr>
          <w:rFonts w:ascii="Arial" w:eastAsia="Times New Roman" w:hAnsi="Arial" w:cs="Arial"/>
          <w:kern w:val="0"/>
          <w:lang w:eastAsia="en-GB"/>
          <w14:ligatures w14:val="none"/>
        </w:rPr>
        <w:t xml:space="preserve">, T., Biederman, J., </w:t>
      </w:r>
      <w:proofErr w:type="spellStart"/>
      <w:r w:rsidRPr="00EF6746">
        <w:rPr>
          <w:rFonts w:ascii="Arial" w:eastAsia="Times New Roman" w:hAnsi="Arial" w:cs="Arial"/>
          <w:kern w:val="0"/>
          <w:lang w:eastAsia="en-GB"/>
          <w14:ligatures w14:val="none"/>
        </w:rPr>
        <w:t>Buitelaar</w:t>
      </w:r>
      <w:proofErr w:type="spellEnd"/>
      <w:r w:rsidRPr="00EF6746">
        <w:rPr>
          <w:rFonts w:ascii="Arial" w:eastAsia="Times New Roman" w:hAnsi="Arial" w:cs="Arial"/>
          <w:kern w:val="0"/>
          <w:lang w:eastAsia="en-GB"/>
          <w14:ligatures w14:val="none"/>
        </w:rPr>
        <w:t xml:space="preserve">, J.K., Ramos-Quiroga, J.A., Rohde, L.A., </w:t>
      </w:r>
      <w:proofErr w:type="spellStart"/>
      <w:r w:rsidRPr="00EF6746">
        <w:rPr>
          <w:rFonts w:ascii="Arial" w:eastAsia="Times New Roman" w:hAnsi="Arial" w:cs="Arial"/>
          <w:kern w:val="0"/>
          <w:lang w:eastAsia="en-GB"/>
          <w14:ligatures w14:val="none"/>
        </w:rPr>
        <w:t>Sonuga</w:t>
      </w:r>
      <w:proofErr w:type="spellEnd"/>
      <w:r w:rsidRPr="00EF6746">
        <w:rPr>
          <w:rFonts w:ascii="Arial" w:eastAsia="Times New Roman" w:hAnsi="Arial" w:cs="Arial"/>
          <w:kern w:val="0"/>
          <w:lang w:eastAsia="en-GB"/>
          <w14:ligatures w14:val="none"/>
        </w:rPr>
        <w:t xml:space="preserve">-Barke, E.J.S., Tannock, R. and Franke, B. (2015) ‘The neurobiology of attention-deficit/hyperactivity disorder’, </w:t>
      </w:r>
      <w:r w:rsidRPr="00EF6746">
        <w:rPr>
          <w:rFonts w:ascii="Arial" w:eastAsia="Times New Roman" w:hAnsi="Arial" w:cs="Arial"/>
          <w:i/>
          <w:iCs/>
          <w:kern w:val="0"/>
          <w:lang w:eastAsia="en-GB"/>
          <w14:ligatures w14:val="none"/>
        </w:rPr>
        <w:t>Biological Psychiatry</w:t>
      </w:r>
      <w:r w:rsidRPr="00EF6746">
        <w:rPr>
          <w:rFonts w:ascii="Arial" w:eastAsia="Times New Roman" w:hAnsi="Arial" w:cs="Arial"/>
          <w:kern w:val="0"/>
          <w:lang w:eastAsia="en-GB"/>
          <w14:ligatures w14:val="none"/>
        </w:rPr>
        <w:t xml:space="preserve">, 57(11), pp. 1313–1323. Available at: </w:t>
      </w:r>
      <w:hyperlink r:id="rId49" w:tgtFrame="_new" w:history="1">
        <w:r w:rsidRPr="00EF6746">
          <w:rPr>
            <w:rFonts w:ascii="Arial" w:eastAsia="Times New Roman" w:hAnsi="Arial" w:cs="Arial"/>
            <w:color w:val="0000FF"/>
            <w:kern w:val="0"/>
            <w:u w:val="single"/>
            <w:lang w:eastAsia="en-GB"/>
            <w14:ligatures w14:val="none"/>
          </w:rPr>
          <w:t>https://doi.org/10.1016/j.biopsych.2009.02.013</w:t>
        </w:r>
      </w:hyperlink>
      <w:r w:rsidRPr="00EF6746">
        <w:rPr>
          <w:rFonts w:ascii="Arial" w:eastAsia="Times New Roman" w:hAnsi="Arial" w:cs="Arial"/>
          <w:kern w:val="0"/>
          <w:lang w:eastAsia="en-GB"/>
          <w14:ligatures w14:val="none"/>
        </w:rPr>
        <w:t>.</w:t>
      </w:r>
    </w:p>
    <w:p w14:paraId="2DAB4B79"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proofErr w:type="spellStart"/>
      <w:r w:rsidRPr="00EF6746">
        <w:rPr>
          <w:rFonts w:ascii="Arial" w:eastAsia="Times New Roman" w:hAnsi="Arial" w:cs="Arial"/>
          <w:kern w:val="0"/>
          <w:lang w:eastAsia="en-GB"/>
          <w14:ligatures w14:val="none"/>
        </w:rPr>
        <w:t>Halmøy</w:t>
      </w:r>
      <w:proofErr w:type="spellEnd"/>
      <w:r w:rsidRPr="00EF6746">
        <w:rPr>
          <w:rFonts w:ascii="Arial" w:eastAsia="Times New Roman" w:hAnsi="Arial" w:cs="Arial"/>
          <w:kern w:val="0"/>
          <w:lang w:eastAsia="en-GB"/>
          <w14:ligatures w14:val="none"/>
        </w:rPr>
        <w:t xml:space="preserve">, A., Fasmer, O.B., Gillberg, C. and Haavik, J. (2019) ‘Occupational outcome in adult ADHD: impact of symptom profile, comorbid psychiatric problems, and treatment’, </w:t>
      </w:r>
      <w:r w:rsidRPr="00EF6746">
        <w:rPr>
          <w:rFonts w:ascii="Arial" w:eastAsia="Times New Roman" w:hAnsi="Arial" w:cs="Arial"/>
          <w:i/>
          <w:iCs/>
          <w:kern w:val="0"/>
          <w:lang w:eastAsia="en-GB"/>
          <w14:ligatures w14:val="none"/>
        </w:rPr>
        <w:t>European Archives of Psychiatry and Clinical Neuroscience</w:t>
      </w:r>
      <w:r w:rsidRPr="00EF6746">
        <w:rPr>
          <w:rFonts w:ascii="Arial" w:eastAsia="Times New Roman" w:hAnsi="Arial" w:cs="Arial"/>
          <w:kern w:val="0"/>
          <w:lang w:eastAsia="en-GB"/>
          <w14:ligatures w14:val="none"/>
        </w:rPr>
        <w:t xml:space="preserve">, 269(1), pp. 23–33. Available at: </w:t>
      </w:r>
      <w:hyperlink r:id="rId50" w:tgtFrame="_new" w:history="1">
        <w:r w:rsidRPr="00EF6746">
          <w:rPr>
            <w:rFonts w:ascii="Arial" w:eastAsia="Times New Roman" w:hAnsi="Arial" w:cs="Arial"/>
            <w:color w:val="0000FF"/>
            <w:kern w:val="0"/>
            <w:u w:val="single"/>
            <w:lang w:eastAsia="en-GB"/>
            <w14:ligatures w14:val="none"/>
          </w:rPr>
          <w:t>https://doi.org/10.1007/s00406-018-0891-1</w:t>
        </w:r>
      </w:hyperlink>
      <w:r w:rsidRPr="00EF6746">
        <w:rPr>
          <w:rFonts w:ascii="Arial" w:eastAsia="Times New Roman" w:hAnsi="Arial" w:cs="Arial"/>
          <w:kern w:val="0"/>
          <w:lang w:eastAsia="en-GB"/>
          <w14:ligatures w14:val="none"/>
        </w:rPr>
        <w:t>.</w:t>
      </w:r>
    </w:p>
    <w:p w14:paraId="1F7B2BAA"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Health and Care Act (2022) </w:t>
      </w:r>
      <w:r w:rsidRPr="00EF6746">
        <w:rPr>
          <w:rFonts w:ascii="Arial" w:eastAsia="Times New Roman" w:hAnsi="Arial" w:cs="Arial"/>
          <w:i/>
          <w:iCs/>
          <w:kern w:val="0"/>
          <w:lang w:eastAsia="en-GB"/>
          <w14:ligatures w14:val="none"/>
        </w:rPr>
        <w:t>Health and Care Act 2022</w:t>
      </w:r>
      <w:r w:rsidRPr="00EF6746">
        <w:rPr>
          <w:rFonts w:ascii="Arial" w:eastAsia="Times New Roman" w:hAnsi="Arial" w:cs="Arial"/>
          <w:kern w:val="0"/>
          <w:lang w:eastAsia="en-GB"/>
          <w14:ligatures w14:val="none"/>
        </w:rPr>
        <w:t>. London: The Stationery Office.</w:t>
      </w:r>
    </w:p>
    <w:p w14:paraId="5346CFE7"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Lange, K.W., Reichl, S., Lange, K.M., </w:t>
      </w:r>
      <w:proofErr w:type="spellStart"/>
      <w:r w:rsidRPr="00EF6746">
        <w:rPr>
          <w:rFonts w:ascii="Arial" w:eastAsia="Times New Roman" w:hAnsi="Arial" w:cs="Arial"/>
          <w:kern w:val="0"/>
          <w:lang w:eastAsia="en-GB"/>
          <w14:ligatures w14:val="none"/>
        </w:rPr>
        <w:t>Tucha</w:t>
      </w:r>
      <w:proofErr w:type="spellEnd"/>
      <w:r w:rsidRPr="00EF6746">
        <w:rPr>
          <w:rFonts w:ascii="Arial" w:eastAsia="Times New Roman" w:hAnsi="Arial" w:cs="Arial"/>
          <w:kern w:val="0"/>
          <w:lang w:eastAsia="en-GB"/>
          <w14:ligatures w14:val="none"/>
        </w:rPr>
        <w:t xml:space="preserve">, L. and </w:t>
      </w:r>
      <w:proofErr w:type="spellStart"/>
      <w:r w:rsidRPr="00EF6746">
        <w:rPr>
          <w:rFonts w:ascii="Arial" w:eastAsia="Times New Roman" w:hAnsi="Arial" w:cs="Arial"/>
          <w:kern w:val="0"/>
          <w:lang w:eastAsia="en-GB"/>
          <w14:ligatures w14:val="none"/>
        </w:rPr>
        <w:t>Tucha</w:t>
      </w:r>
      <w:proofErr w:type="spellEnd"/>
      <w:r w:rsidRPr="00EF6746">
        <w:rPr>
          <w:rFonts w:ascii="Arial" w:eastAsia="Times New Roman" w:hAnsi="Arial" w:cs="Arial"/>
          <w:kern w:val="0"/>
          <w:lang w:eastAsia="en-GB"/>
          <w14:ligatures w14:val="none"/>
        </w:rPr>
        <w:t xml:space="preserve">, O. (2010) ‘The history of attention deficit hyperactivity disorder’, </w:t>
      </w:r>
      <w:r w:rsidRPr="00EF6746">
        <w:rPr>
          <w:rFonts w:ascii="Arial" w:eastAsia="Times New Roman" w:hAnsi="Arial" w:cs="Arial"/>
          <w:i/>
          <w:iCs/>
          <w:kern w:val="0"/>
          <w:lang w:eastAsia="en-GB"/>
          <w14:ligatures w14:val="none"/>
        </w:rPr>
        <w:t>Attention Deficit and Hyperactivity Disorders</w:t>
      </w:r>
      <w:r w:rsidRPr="00EF6746">
        <w:rPr>
          <w:rFonts w:ascii="Arial" w:eastAsia="Times New Roman" w:hAnsi="Arial" w:cs="Arial"/>
          <w:kern w:val="0"/>
          <w:lang w:eastAsia="en-GB"/>
          <w14:ligatures w14:val="none"/>
        </w:rPr>
        <w:t xml:space="preserve">, 2(4), pp. 241–255. Available at: </w:t>
      </w:r>
      <w:hyperlink r:id="rId51" w:tgtFrame="_new" w:history="1">
        <w:r w:rsidRPr="00EF6746">
          <w:rPr>
            <w:rFonts w:ascii="Arial" w:eastAsia="Times New Roman" w:hAnsi="Arial" w:cs="Arial"/>
            <w:color w:val="0000FF"/>
            <w:kern w:val="0"/>
            <w:u w:val="single"/>
            <w:lang w:eastAsia="en-GB"/>
            <w14:ligatures w14:val="none"/>
          </w:rPr>
          <w:t>https://doi.org/10.1007/s12402-010-0045-8</w:t>
        </w:r>
      </w:hyperlink>
      <w:r w:rsidRPr="00EF6746">
        <w:rPr>
          <w:rFonts w:ascii="Arial" w:eastAsia="Times New Roman" w:hAnsi="Arial" w:cs="Arial"/>
          <w:kern w:val="0"/>
          <w:lang w:eastAsia="en-GB"/>
          <w14:ligatures w14:val="none"/>
        </w:rPr>
        <w:t>.</w:t>
      </w:r>
    </w:p>
    <w:p w14:paraId="5EA2C521"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National Institute for Health and Care Excellence (NICE) (2018) </w:t>
      </w:r>
      <w:r w:rsidRPr="00EF6746">
        <w:rPr>
          <w:rFonts w:ascii="Arial" w:eastAsia="Times New Roman" w:hAnsi="Arial" w:cs="Arial"/>
          <w:i/>
          <w:iCs/>
          <w:kern w:val="0"/>
          <w:lang w:eastAsia="en-GB"/>
          <w14:ligatures w14:val="none"/>
        </w:rPr>
        <w:t>Attention deficit hyperactivity disorder: diagnosis and management (NG87)</w:t>
      </w:r>
      <w:r w:rsidRPr="00EF6746">
        <w:rPr>
          <w:rFonts w:ascii="Arial" w:eastAsia="Times New Roman" w:hAnsi="Arial" w:cs="Arial"/>
          <w:kern w:val="0"/>
          <w:lang w:eastAsia="en-GB"/>
          <w14:ligatures w14:val="none"/>
        </w:rPr>
        <w:t xml:space="preserve">. London: NICE. Available at: </w:t>
      </w:r>
      <w:hyperlink r:id="rId52" w:tgtFrame="_new" w:history="1">
        <w:r w:rsidRPr="00EF6746">
          <w:rPr>
            <w:rFonts w:ascii="Arial" w:eastAsia="Times New Roman" w:hAnsi="Arial" w:cs="Arial"/>
            <w:color w:val="0000FF"/>
            <w:kern w:val="0"/>
            <w:u w:val="single"/>
            <w:lang w:eastAsia="en-GB"/>
            <w14:ligatures w14:val="none"/>
          </w:rPr>
          <w:t>https://www.nice.org.uk/guidance/ng87</w:t>
        </w:r>
      </w:hyperlink>
      <w:r w:rsidRPr="00EF6746">
        <w:rPr>
          <w:rFonts w:ascii="Arial" w:eastAsia="Times New Roman" w:hAnsi="Arial" w:cs="Arial"/>
          <w:kern w:val="0"/>
          <w:lang w:eastAsia="en-GB"/>
          <w14:ligatures w14:val="none"/>
        </w:rPr>
        <w:t xml:space="preserve"> (Accessed: 27 October 2025).</w:t>
      </w:r>
    </w:p>
    <w:p w14:paraId="257178A1"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NHS Digital (2024) </w:t>
      </w:r>
      <w:r w:rsidRPr="00EF6746">
        <w:rPr>
          <w:rFonts w:ascii="Arial" w:eastAsia="Times New Roman" w:hAnsi="Arial" w:cs="Arial"/>
          <w:i/>
          <w:iCs/>
          <w:kern w:val="0"/>
          <w:lang w:eastAsia="en-GB"/>
          <w14:ligatures w14:val="none"/>
        </w:rPr>
        <w:t>Prescribing for ADHD in England 2019–2024</w:t>
      </w:r>
      <w:r w:rsidRPr="00EF6746">
        <w:rPr>
          <w:rFonts w:ascii="Arial" w:eastAsia="Times New Roman" w:hAnsi="Arial" w:cs="Arial"/>
          <w:kern w:val="0"/>
          <w:lang w:eastAsia="en-GB"/>
          <w14:ligatures w14:val="none"/>
        </w:rPr>
        <w:t>. Leeds: NHS Digital.</w:t>
      </w:r>
    </w:p>
    <w:p w14:paraId="0D2D72B6"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NHS England (2023) </w:t>
      </w:r>
      <w:r w:rsidRPr="00EF6746">
        <w:rPr>
          <w:rFonts w:ascii="Arial" w:eastAsia="Times New Roman" w:hAnsi="Arial" w:cs="Arial"/>
          <w:i/>
          <w:iCs/>
          <w:kern w:val="0"/>
          <w:lang w:eastAsia="en-GB"/>
          <w14:ligatures w14:val="none"/>
        </w:rPr>
        <w:t>ADHD and children’s mental health services: national improvement plan</w:t>
      </w:r>
      <w:r w:rsidRPr="00EF6746">
        <w:rPr>
          <w:rFonts w:ascii="Arial" w:eastAsia="Times New Roman" w:hAnsi="Arial" w:cs="Arial"/>
          <w:kern w:val="0"/>
          <w:lang w:eastAsia="en-GB"/>
          <w14:ligatures w14:val="none"/>
        </w:rPr>
        <w:t>. London: NHS England.</w:t>
      </w:r>
    </w:p>
    <w:p w14:paraId="239668C4"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Public Health Scotland (2024) </w:t>
      </w:r>
      <w:r w:rsidRPr="00EF6746">
        <w:rPr>
          <w:rFonts w:ascii="Arial" w:eastAsia="Times New Roman" w:hAnsi="Arial" w:cs="Arial"/>
          <w:i/>
          <w:iCs/>
          <w:kern w:val="0"/>
          <w:lang w:eastAsia="en-GB"/>
          <w14:ligatures w14:val="none"/>
        </w:rPr>
        <w:t>Child and Adolescent Mental Health Services (CAMHS) waiting times report 2024</w:t>
      </w:r>
      <w:r w:rsidRPr="00EF6746">
        <w:rPr>
          <w:rFonts w:ascii="Arial" w:eastAsia="Times New Roman" w:hAnsi="Arial" w:cs="Arial"/>
          <w:kern w:val="0"/>
          <w:lang w:eastAsia="en-GB"/>
          <w14:ligatures w14:val="none"/>
        </w:rPr>
        <w:t>. Edinburgh: Public Health Scotland.</w:t>
      </w:r>
    </w:p>
    <w:p w14:paraId="5C3DE6F7"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Rapoport, J.L., Buchsbaum, M.S., Zahn, T.P., Weingartner, H., Ludlow, C. and Mikkelsen, E.J. (1978) ‘Dextroamphetamine: cognitive and behavioural effects in normal prepubertal boys’, </w:t>
      </w:r>
      <w:r w:rsidRPr="00EF6746">
        <w:rPr>
          <w:rFonts w:ascii="Arial" w:eastAsia="Times New Roman" w:hAnsi="Arial" w:cs="Arial"/>
          <w:i/>
          <w:iCs/>
          <w:kern w:val="0"/>
          <w:lang w:eastAsia="en-GB"/>
          <w14:ligatures w14:val="none"/>
        </w:rPr>
        <w:t>Science</w:t>
      </w:r>
      <w:r w:rsidRPr="00EF6746">
        <w:rPr>
          <w:rFonts w:ascii="Arial" w:eastAsia="Times New Roman" w:hAnsi="Arial" w:cs="Arial"/>
          <w:kern w:val="0"/>
          <w:lang w:eastAsia="en-GB"/>
          <w14:ligatures w14:val="none"/>
        </w:rPr>
        <w:t xml:space="preserve">, 199(4328), pp. 560–563. Available at: </w:t>
      </w:r>
      <w:hyperlink r:id="rId53" w:tgtFrame="_new" w:history="1">
        <w:r w:rsidRPr="00EF6746">
          <w:rPr>
            <w:rFonts w:ascii="Arial" w:eastAsia="Times New Roman" w:hAnsi="Arial" w:cs="Arial"/>
            <w:color w:val="0000FF"/>
            <w:kern w:val="0"/>
            <w:u w:val="single"/>
            <w:lang w:eastAsia="en-GB"/>
            <w14:ligatures w14:val="none"/>
          </w:rPr>
          <w:t>https://doi.org/10.1126/science.341313</w:t>
        </w:r>
      </w:hyperlink>
      <w:r w:rsidRPr="00EF6746">
        <w:rPr>
          <w:rFonts w:ascii="Arial" w:eastAsia="Times New Roman" w:hAnsi="Arial" w:cs="Arial"/>
          <w:kern w:val="0"/>
          <w:lang w:eastAsia="en-GB"/>
          <w14:ligatures w14:val="none"/>
        </w:rPr>
        <w:t>.</w:t>
      </w:r>
    </w:p>
    <w:p w14:paraId="4DD281AC"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lastRenderedPageBreak/>
        <w:t xml:space="preserve">Russell, A.E., Ford, T., Williams, R. and Russell, G. (2016) ‘The association between socioeconomic disadvantage and ADHD: a systematic review’, </w:t>
      </w:r>
      <w:r w:rsidRPr="00EF6746">
        <w:rPr>
          <w:rFonts w:ascii="Arial" w:eastAsia="Times New Roman" w:hAnsi="Arial" w:cs="Arial"/>
          <w:i/>
          <w:iCs/>
          <w:kern w:val="0"/>
          <w:lang w:eastAsia="en-GB"/>
          <w14:ligatures w14:val="none"/>
        </w:rPr>
        <w:t>Child Psychiatry &amp; Human Development</w:t>
      </w:r>
      <w:r w:rsidRPr="00EF6746">
        <w:rPr>
          <w:rFonts w:ascii="Arial" w:eastAsia="Times New Roman" w:hAnsi="Arial" w:cs="Arial"/>
          <w:kern w:val="0"/>
          <w:lang w:eastAsia="en-GB"/>
          <w14:ligatures w14:val="none"/>
        </w:rPr>
        <w:t xml:space="preserve">, 47(3), pp. 440–458. Available at: </w:t>
      </w:r>
      <w:hyperlink r:id="rId54" w:tgtFrame="_new" w:history="1">
        <w:r w:rsidRPr="00EF6746">
          <w:rPr>
            <w:rFonts w:ascii="Arial" w:eastAsia="Times New Roman" w:hAnsi="Arial" w:cs="Arial"/>
            <w:color w:val="0000FF"/>
            <w:kern w:val="0"/>
            <w:u w:val="single"/>
            <w:lang w:eastAsia="en-GB"/>
            <w14:ligatures w14:val="none"/>
          </w:rPr>
          <w:t>https://doi.org/10.1007/s10578-015-0578-3</w:t>
        </w:r>
      </w:hyperlink>
      <w:r w:rsidRPr="00EF6746">
        <w:rPr>
          <w:rFonts w:ascii="Arial" w:eastAsia="Times New Roman" w:hAnsi="Arial" w:cs="Arial"/>
          <w:kern w:val="0"/>
          <w:lang w:eastAsia="en-GB"/>
          <w14:ligatures w14:val="none"/>
        </w:rPr>
        <w:t>.</w:t>
      </w:r>
    </w:p>
    <w:p w14:paraId="1FC58B90"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Scottish Government (2023) </w:t>
      </w:r>
      <w:r w:rsidRPr="00EF6746">
        <w:rPr>
          <w:rFonts w:ascii="Arial" w:eastAsia="Times New Roman" w:hAnsi="Arial" w:cs="Arial"/>
          <w:i/>
          <w:iCs/>
          <w:kern w:val="0"/>
          <w:lang w:eastAsia="en-GB"/>
          <w14:ligatures w14:val="none"/>
        </w:rPr>
        <w:t>Mental Health Strategy 2017–2027: progress report</w:t>
      </w:r>
      <w:r w:rsidRPr="00EF6746">
        <w:rPr>
          <w:rFonts w:ascii="Arial" w:eastAsia="Times New Roman" w:hAnsi="Arial" w:cs="Arial"/>
          <w:kern w:val="0"/>
          <w:lang w:eastAsia="en-GB"/>
          <w14:ligatures w14:val="none"/>
        </w:rPr>
        <w:t>. Edinburgh: Scottish Government.</w:t>
      </w:r>
    </w:p>
    <w:p w14:paraId="7887D240"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Scottish Intercollegiate Guidelines Network (SIGN) (2017) </w:t>
      </w:r>
      <w:r w:rsidRPr="00EF6746">
        <w:rPr>
          <w:rFonts w:ascii="Arial" w:eastAsia="Times New Roman" w:hAnsi="Arial" w:cs="Arial"/>
          <w:i/>
          <w:iCs/>
          <w:kern w:val="0"/>
          <w:lang w:eastAsia="en-GB"/>
          <w14:ligatures w14:val="none"/>
        </w:rPr>
        <w:t>SIGN 145: assessment, diagnosis and interventions for ADHD</w:t>
      </w:r>
      <w:r w:rsidRPr="00EF6746">
        <w:rPr>
          <w:rFonts w:ascii="Arial" w:eastAsia="Times New Roman" w:hAnsi="Arial" w:cs="Arial"/>
          <w:kern w:val="0"/>
          <w:lang w:eastAsia="en-GB"/>
          <w14:ligatures w14:val="none"/>
        </w:rPr>
        <w:t>. Edinburgh: SIGN.</w:t>
      </w:r>
    </w:p>
    <w:p w14:paraId="0D99D145"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Singh, I. (2011) ‘A disorder of anger and aggression: children’s perspectives on attention deficit/hyperactivity disorder in the UK’, </w:t>
      </w:r>
      <w:r w:rsidRPr="00EF6746">
        <w:rPr>
          <w:rFonts w:ascii="Arial" w:eastAsia="Times New Roman" w:hAnsi="Arial" w:cs="Arial"/>
          <w:i/>
          <w:iCs/>
          <w:kern w:val="0"/>
          <w:lang w:eastAsia="en-GB"/>
          <w14:ligatures w14:val="none"/>
        </w:rPr>
        <w:t>Social Science &amp; Medicine</w:t>
      </w:r>
      <w:r w:rsidRPr="00EF6746">
        <w:rPr>
          <w:rFonts w:ascii="Arial" w:eastAsia="Times New Roman" w:hAnsi="Arial" w:cs="Arial"/>
          <w:kern w:val="0"/>
          <w:lang w:eastAsia="en-GB"/>
          <w14:ligatures w14:val="none"/>
        </w:rPr>
        <w:t xml:space="preserve">, 73(6), pp. 889–896. Available at: </w:t>
      </w:r>
      <w:hyperlink r:id="rId55" w:tgtFrame="_new" w:history="1">
        <w:r w:rsidRPr="00EF6746">
          <w:rPr>
            <w:rFonts w:ascii="Arial" w:eastAsia="Times New Roman" w:hAnsi="Arial" w:cs="Arial"/>
            <w:color w:val="0000FF"/>
            <w:kern w:val="0"/>
            <w:u w:val="single"/>
            <w:lang w:eastAsia="en-GB"/>
            <w14:ligatures w14:val="none"/>
          </w:rPr>
          <w:t>https://doi.org/10.1016/j.socscimed.2011.03.049</w:t>
        </w:r>
      </w:hyperlink>
      <w:r w:rsidRPr="00EF6746">
        <w:rPr>
          <w:rFonts w:ascii="Arial" w:eastAsia="Times New Roman" w:hAnsi="Arial" w:cs="Arial"/>
          <w:kern w:val="0"/>
          <w:lang w:eastAsia="en-GB"/>
          <w14:ligatures w14:val="none"/>
        </w:rPr>
        <w:t>.</w:t>
      </w:r>
    </w:p>
    <w:p w14:paraId="60FE0CD2"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Still, G.F. (1902) ‘The </w:t>
      </w:r>
      <w:proofErr w:type="spellStart"/>
      <w:r w:rsidRPr="00EF6746">
        <w:rPr>
          <w:rFonts w:ascii="Arial" w:eastAsia="Times New Roman" w:hAnsi="Arial" w:cs="Arial"/>
          <w:kern w:val="0"/>
          <w:lang w:eastAsia="en-GB"/>
          <w14:ligatures w14:val="none"/>
        </w:rPr>
        <w:t>Goulstonian</w:t>
      </w:r>
      <w:proofErr w:type="spellEnd"/>
      <w:r w:rsidRPr="00EF6746">
        <w:rPr>
          <w:rFonts w:ascii="Arial" w:eastAsia="Times New Roman" w:hAnsi="Arial" w:cs="Arial"/>
          <w:kern w:val="0"/>
          <w:lang w:eastAsia="en-GB"/>
          <w14:ligatures w14:val="none"/>
        </w:rPr>
        <w:t xml:space="preserve"> lectures: on some abnormal psychical conditions in children’, </w:t>
      </w:r>
      <w:r w:rsidRPr="00EF6746">
        <w:rPr>
          <w:rFonts w:ascii="Arial" w:eastAsia="Times New Roman" w:hAnsi="Arial" w:cs="Arial"/>
          <w:i/>
          <w:iCs/>
          <w:kern w:val="0"/>
          <w:lang w:eastAsia="en-GB"/>
          <w14:ligatures w14:val="none"/>
        </w:rPr>
        <w:t>The Lancet</w:t>
      </w:r>
      <w:r w:rsidRPr="00EF6746">
        <w:rPr>
          <w:rFonts w:ascii="Arial" w:eastAsia="Times New Roman" w:hAnsi="Arial" w:cs="Arial"/>
          <w:kern w:val="0"/>
          <w:lang w:eastAsia="en-GB"/>
          <w14:ligatures w14:val="none"/>
        </w:rPr>
        <w:t xml:space="preserve">, 159(4102), pp. 1008–1012. Available at: </w:t>
      </w:r>
      <w:hyperlink r:id="rId56" w:tgtFrame="_new" w:history="1">
        <w:r w:rsidRPr="00EF6746">
          <w:rPr>
            <w:rFonts w:ascii="Arial" w:eastAsia="Times New Roman" w:hAnsi="Arial" w:cs="Arial"/>
            <w:color w:val="0000FF"/>
            <w:kern w:val="0"/>
            <w:u w:val="single"/>
            <w:lang w:eastAsia="en-GB"/>
            <w14:ligatures w14:val="none"/>
          </w:rPr>
          <w:t>https://doi.org/10.1016/S0140-6736(01)12115-1</w:t>
        </w:r>
      </w:hyperlink>
      <w:r w:rsidRPr="00EF6746">
        <w:rPr>
          <w:rFonts w:ascii="Arial" w:eastAsia="Times New Roman" w:hAnsi="Arial" w:cs="Arial"/>
          <w:kern w:val="0"/>
          <w:lang w:eastAsia="en-GB"/>
          <w14:ligatures w14:val="none"/>
        </w:rPr>
        <w:t>.</w:t>
      </w:r>
    </w:p>
    <w:p w14:paraId="0D3EBC71"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World Health Organization (1992) </w:t>
      </w:r>
      <w:r w:rsidRPr="00EF6746">
        <w:rPr>
          <w:rFonts w:ascii="Arial" w:eastAsia="Times New Roman" w:hAnsi="Arial" w:cs="Arial"/>
          <w:i/>
          <w:iCs/>
          <w:kern w:val="0"/>
          <w:lang w:eastAsia="en-GB"/>
          <w14:ligatures w14:val="none"/>
        </w:rPr>
        <w:t>International Classification of Diseases, Tenth Revision (ICD-10): classification of mental and behavioural disorders</w:t>
      </w:r>
      <w:r w:rsidRPr="00EF6746">
        <w:rPr>
          <w:rFonts w:ascii="Arial" w:eastAsia="Times New Roman" w:hAnsi="Arial" w:cs="Arial"/>
          <w:kern w:val="0"/>
          <w:lang w:eastAsia="en-GB"/>
          <w14:ligatures w14:val="none"/>
        </w:rPr>
        <w:t>. Geneva: WHO.</w:t>
      </w:r>
    </w:p>
    <w:p w14:paraId="3AD000F6" w14:textId="77777777" w:rsidR="00EF6746" w:rsidRPr="00EF6746" w:rsidRDefault="00EF6746" w:rsidP="00EF6746">
      <w:pPr>
        <w:spacing w:before="100" w:beforeAutospacing="1" w:after="100" w:afterAutospacing="1" w:line="360" w:lineRule="auto"/>
        <w:rPr>
          <w:rFonts w:ascii="Arial" w:eastAsia="Times New Roman" w:hAnsi="Arial" w:cs="Arial"/>
          <w:kern w:val="0"/>
          <w:lang w:eastAsia="en-GB"/>
          <w14:ligatures w14:val="none"/>
        </w:rPr>
      </w:pPr>
      <w:r w:rsidRPr="00EF6746">
        <w:rPr>
          <w:rFonts w:ascii="Arial" w:eastAsia="Times New Roman" w:hAnsi="Arial" w:cs="Arial"/>
          <w:kern w:val="0"/>
          <w:lang w:eastAsia="en-GB"/>
          <w14:ligatures w14:val="none"/>
        </w:rPr>
        <w:t xml:space="preserve">World Health Organization (2022) </w:t>
      </w:r>
      <w:r w:rsidRPr="00EF6746">
        <w:rPr>
          <w:rFonts w:ascii="Arial" w:eastAsia="Times New Roman" w:hAnsi="Arial" w:cs="Arial"/>
          <w:i/>
          <w:iCs/>
          <w:kern w:val="0"/>
          <w:lang w:eastAsia="en-GB"/>
          <w14:ligatures w14:val="none"/>
        </w:rPr>
        <w:t>International Classification of Diseases, Eleventh Revision (ICD-11): Attention Deficit Hyperactivity Disorder</w:t>
      </w:r>
      <w:r w:rsidRPr="00EF6746">
        <w:rPr>
          <w:rFonts w:ascii="Arial" w:eastAsia="Times New Roman" w:hAnsi="Arial" w:cs="Arial"/>
          <w:kern w:val="0"/>
          <w:lang w:eastAsia="en-GB"/>
          <w14:ligatures w14:val="none"/>
        </w:rPr>
        <w:t xml:space="preserve">. Geneva: WHO. Available at: </w:t>
      </w:r>
      <w:hyperlink r:id="rId57" w:anchor="/" w:tgtFrame="_new" w:history="1">
        <w:r w:rsidRPr="00EF6746">
          <w:rPr>
            <w:rFonts w:ascii="Arial" w:eastAsia="Times New Roman" w:hAnsi="Arial" w:cs="Arial"/>
            <w:color w:val="0000FF"/>
            <w:kern w:val="0"/>
            <w:u w:val="single"/>
            <w:lang w:eastAsia="en-GB"/>
            <w14:ligatures w14:val="none"/>
          </w:rPr>
          <w:t>https://icd.who.int/browse11/l-m/en#/</w:t>
        </w:r>
      </w:hyperlink>
      <w:r w:rsidRPr="00EF6746">
        <w:rPr>
          <w:rFonts w:ascii="Arial" w:eastAsia="Times New Roman" w:hAnsi="Arial" w:cs="Arial"/>
          <w:kern w:val="0"/>
          <w:lang w:eastAsia="en-GB"/>
          <w14:ligatures w14:val="none"/>
        </w:rPr>
        <w:t xml:space="preserve"> (Accessed: 24 October 2025).</w:t>
      </w:r>
    </w:p>
    <w:p w14:paraId="341930EC" w14:textId="77777777" w:rsidR="0099487B" w:rsidRDefault="0099487B"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727DB5CA" w14:textId="77777777" w:rsidR="0099487B" w:rsidRDefault="0099487B"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7FA27F91" w14:textId="77777777" w:rsidR="00427761" w:rsidRDefault="0042776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0E02EF97" w14:textId="77777777" w:rsidR="00427761" w:rsidRDefault="0042776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30786171" w14:textId="77777777" w:rsidR="00427761" w:rsidRDefault="0042776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2B2E4BE5" w14:textId="77777777" w:rsidR="00427761" w:rsidRDefault="0042776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00E0D968" w14:textId="77777777" w:rsidR="00427761" w:rsidRDefault="0042776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6305F5B6" w14:textId="77777777" w:rsidR="009529A1" w:rsidRDefault="009529A1"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48933BF4" w14:textId="49D3F25F" w:rsidR="00905EAF" w:rsidRPr="00BB2AEF" w:rsidRDefault="00E95FFC"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lastRenderedPageBreak/>
        <w:t xml:space="preserve"> </w:t>
      </w:r>
      <w:r w:rsidR="00D20F6F" w:rsidRPr="00BB2AEF">
        <w:rPr>
          <w:rFonts w:ascii="Arial" w:hAnsi="Arial" w:cs="Arial"/>
          <w:b/>
          <w:bCs/>
          <w:color w:val="000000" w:themeColor="text1"/>
          <w:kern w:val="0"/>
          <w14:ligatures w14:val="none"/>
        </w:rPr>
        <w:t xml:space="preserve">Methods and Search Strategy </w:t>
      </w:r>
      <w:r w:rsidR="00907E31" w:rsidRPr="00BB2AEF">
        <w:rPr>
          <w:rFonts w:ascii="Arial" w:eastAsia="Times New Roman" w:hAnsi="Arial" w:cs="Arial"/>
          <w:b/>
          <w:bCs/>
          <w:color w:val="000000" w:themeColor="text1"/>
          <w:kern w:val="0"/>
          <w:lang w:eastAsia="en-GB"/>
          <w14:ligatures w14:val="none"/>
        </w:rPr>
        <w:t>Chapter3</w:t>
      </w:r>
      <w:r w:rsidR="00D20F6F" w:rsidRPr="00BB2AEF">
        <w:rPr>
          <w:rFonts w:ascii="Arial" w:eastAsia="Times New Roman" w:hAnsi="Arial" w:cs="Arial"/>
          <w:b/>
          <w:bCs/>
          <w:color w:val="000000" w:themeColor="text1"/>
          <w:kern w:val="0"/>
          <w:lang w:eastAsia="en-GB"/>
          <w14:ligatures w14:val="none"/>
        </w:rPr>
        <w:tab/>
      </w:r>
    </w:p>
    <w:p w14:paraId="077C7996" w14:textId="3FFA591E" w:rsidR="00A05FB3" w:rsidRDefault="006270E9" w:rsidP="00BB2AEF">
      <w:pPr>
        <w:tabs>
          <w:tab w:val="left" w:pos="5472"/>
        </w:tabs>
        <w:spacing w:before="100" w:beforeAutospacing="1" w:after="100" w:afterAutospacing="1" w:line="360" w:lineRule="auto"/>
        <w:rPr>
          <w:rFonts w:ascii="Arial" w:hAnsi="Arial" w:cs="Arial"/>
          <w:b/>
          <w:bCs/>
          <w:color w:val="000000" w:themeColor="text1"/>
        </w:rPr>
      </w:pPr>
      <w:r w:rsidRPr="00BB2AEF">
        <w:rPr>
          <w:rFonts w:ascii="Arial" w:hAnsi="Arial" w:cs="Arial"/>
          <w:b/>
          <w:bCs/>
          <w:color w:val="000000" w:themeColor="text1"/>
        </w:rPr>
        <w:t>Appendix</w:t>
      </w:r>
      <w:r w:rsidR="0003467A" w:rsidRPr="00BB2AEF">
        <w:rPr>
          <w:rFonts w:ascii="Arial" w:hAnsi="Arial" w:cs="Arial"/>
          <w:b/>
          <w:bCs/>
          <w:color w:val="000000" w:themeColor="text1"/>
        </w:rPr>
        <w:t xml:space="preserve"> </w:t>
      </w:r>
      <w:r w:rsidRPr="00BB2AEF">
        <w:rPr>
          <w:rFonts w:ascii="Arial" w:hAnsi="Arial" w:cs="Arial"/>
          <w:b/>
          <w:bCs/>
          <w:color w:val="000000" w:themeColor="text1"/>
        </w:rPr>
        <w:t>A</w:t>
      </w:r>
      <w:r w:rsidR="0003467A" w:rsidRPr="00BB2AEF">
        <w:rPr>
          <w:rFonts w:ascii="Arial" w:hAnsi="Arial" w:cs="Arial"/>
          <w:b/>
          <w:bCs/>
          <w:color w:val="000000" w:themeColor="text1"/>
        </w:rPr>
        <w:t>:</w:t>
      </w:r>
      <w:r w:rsidR="00905EAF" w:rsidRPr="00BB2AEF">
        <w:rPr>
          <w:rFonts w:ascii="Arial" w:hAnsi="Arial" w:cs="Arial"/>
          <w:b/>
          <w:bCs/>
          <w:color w:val="000000" w:themeColor="text1"/>
        </w:rPr>
        <w:t xml:space="preserve"> Source Tracking Table </w:t>
      </w:r>
    </w:p>
    <w:p w14:paraId="4E42B8E4" w14:textId="77777777" w:rsidR="00427761" w:rsidRPr="00BB2AEF" w:rsidRDefault="00427761" w:rsidP="00427761">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hAnsi="Arial" w:cs="Arial"/>
          <w:color w:val="000000" w:themeColor="text1"/>
        </w:rPr>
        <w:t>A source tracking table was used to record search terms, summaries and quality checks for each source, supporting transparency and reliability (Appendix A).</w:t>
      </w:r>
    </w:p>
    <w:p w14:paraId="4AB771A8" w14:textId="77777777" w:rsidR="00427761" w:rsidRPr="00BB2AEF" w:rsidRDefault="00427761" w:rsidP="00427761">
      <w:pPr>
        <w:tabs>
          <w:tab w:val="left" w:pos="5472"/>
        </w:tabs>
        <w:spacing w:before="100" w:beforeAutospacing="1" w:after="100" w:afterAutospacing="1" w:line="360" w:lineRule="auto"/>
        <w:rPr>
          <w:rFonts w:ascii="Arial" w:hAnsi="Arial" w:cs="Arial"/>
          <w:b/>
          <w:bCs/>
          <w:color w:val="000000" w:themeColor="text1"/>
        </w:rPr>
      </w:pPr>
    </w:p>
    <w:tbl>
      <w:tblPr>
        <w:tblStyle w:val="TableGrid"/>
        <w:tblW w:w="10632" w:type="dxa"/>
        <w:tblInd w:w="-714" w:type="dxa"/>
        <w:tblLayout w:type="fixed"/>
        <w:tblLook w:val="04A0" w:firstRow="1" w:lastRow="0" w:firstColumn="1" w:lastColumn="0" w:noHBand="0" w:noVBand="1"/>
      </w:tblPr>
      <w:tblGrid>
        <w:gridCol w:w="851"/>
        <w:gridCol w:w="1134"/>
        <w:gridCol w:w="2268"/>
        <w:gridCol w:w="1843"/>
        <w:gridCol w:w="2126"/>
        <w:gridCol w:w="2410"/>
      </w:tblGrid>
      <w:tr w:rsidR="00BB2AEF" w:rsidRPr="00BB2AEF" w14:paraId="55A2C456" w14:textId="77777777" w:rsidTr="007C077C">
        <w:tc>
          <w:tcPr>
            <w:tcW w:w="851" w:type="dxa"/>
          </w:tcPr>
          <w:p w14:paraId="4F8E9961" w14:textId="145B888B" w:rsidR="00344306" w:rsidRPr="00BB2AEF" w:rsidRDefault="00344306"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Saved</w:t>
            </w:r>
          </w:p>
        </w:tc>
        <w:tc>
          <w:tcPr>
            <w:tcW w:w="1134" w:type="dxa"/>
          </w:tcPr>
          <w:p w14:paraId="2C9F0C29" w14:textId="5033E9A6" w:rsidR="00344306" w:rsidRPr="00BB2AEF" w:rsidRDefault="00344306"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Author</w:t>
            </w:r>
            <w:r w:rsidR="001B4A6B" w:rsidRPr="00BB2AEF">
              <w:rPr>
                <w:rFonts w:ascii="Arial" w:eastAsia="Times New Roman" w:hAnsi="Arial" w:cs="Arial"/>
                <w:b/>
                <w:bCs/>
                <w:color w:val="000000" w:themeColor="text1"/>
                <w:kern w:val="0"/>
                <w:lang w:eastAsia="en-GB"/>
                <w14:ligatures w14:val="none"/>
              </w:rPr>
              <w:t xml:space="preserve"> and year</w:t>
            </w:r>
          </w:p>
        </w:tc>
        <w:tc>
          <w:tcPr>
            <w:tcW w:w="2268" w:type="dxa"/>
          </w:tcPr>
          <w:p w14:paraId="6CA24647" w14:textId="21D3BA2C" w:rsidR="00344306" w:rsidRPr="00BB2AEF" w:rsidRDefault="001B4A6B"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Title</w:t>
            </w:r>
          </w:p>
        </w:tc>
        <w:tc>
          <w:tcPr>
            <w:tcW w:w="1843" w:type="dxa"/>
          </w:tcPr>
          <w:p w14:paraId="286EF347" w14:textId="79D88DE9" w:rsidR="00344306" w:rsidRPr="00BB2AEF" w:rsidRDefault="001B4A6B"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Summary</w:t>
            </w:r>
          </w:p>
        </w:tc>
        <w:tc>
          <w:tcPr>
            <w:tcW w:w="2126" w:type="dxa"/>
          </w:tcPr>
          <w:p w14:paraId="4377AA68" w14:textId="290CAC0D" w:rsidR="00344306" w:rsidRPr="00BB2AEF" w:rsidRDefault="00FA48BF"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CRAAP Notes</w:t>
            </w:r>
          </w:p>
        </w:tc>
        <w:tc>
          <w:tcPr>
            <w:tcW w:w="2410" w:type="dxa"/>
          </w:tcPr>
          <w:p w14:paraId="60D139C9" w14:textId="399ED2F4" w:rsidR="00344306" w:rsidRPr="00BB2AEF" w:rsidRDefault="00FA48BF"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File name, Link to source</w:t>
            </w:r>
          </w:p>
        </w:tc>
      </w:tr>
      <w:tr w:rsidR="00BB2AEF" w:rsidRPr="00BB2AEF" w14:paraId="344DF976" w14:textId="77777777" w:rsidTr="007C077C">
        <w:trPr>
          <w:trHeight w:val="3757"/>
        </w:trPr>
        <w:tc>
          <w:tcPr>
            <w:tcW w:w="851" w:type="dxa"/>
          </w:tcPr>
          <w:p w14:paraId="6052FBCB" w14:textId="63A28F5D" w:rsidR="00344306" w:rsidRPr="00BB2AEF" w:rsidRDefault="006C05FB"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Core</w:t>
            </w:r>
          </w:p>
        </w:tc>
        <w:tc>
          <w:tcPr>
            <w:tcW w:w="1134" w:type="dxa"/>
          </w:tcPr>
          <w:p w14:paraId="6A9291CE" w14:textId="3EC291D9" w:rsidR="00344306" w:rsidRPr="00BB2AEF" w:rsidRDefault="00F84E18"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NICE (2018)</w:t>
            </w:r>
          </w:p>
        </w:tc>
        <w:tc>
          <w:tcPr>
            <w:tcW w:w="2268" w:type="dxa"/>
          </w:tcPr>
          <w:p w14:paraId="13F07DBB" w14:textId="7E014E5B" w:rsidR="00344306" w:rsidRPr="00BB2AEF" w:rsidRDefault="003B298D"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t>Attention deficit hyperactivity disorder: diagnosis and management (NG87).</w:t>
            </w:r>
          </w:p>
        </w:tc>
        <w:tc>
          <w:tcPr>
            <w:tcW w:w="1843" w:type="dxa"/>
          </w:tcPr>
          <w:p w14:paraId="0C142602" w14:textId="4B2CBC77" w:rsidR="00344306" w:rsidRPr="00BB2AEF" w:rsidRDefault="0037027C" w:rsidP="00BB2AEF">
            <w:pPr>
              <w:spacing w:line="360" w:lineRule="auto"/>
              <w:rPr>
                <w:rFonts w:ascii="Arial" w:hAnsi="Arial" w:cs="Arial"/>
                <w:color w:val="000000" w:themeColor="text1"/>
              </w:rPr>
            </w:pPr>
            <w:r w:rsidRPr="00BB2AEF">
              <w:rPr>
                <w:rFonts w:ascii="Arial" w:hAnsi="Arial" w:cs="Arial"/>
                <w:color w:val="000000" w:themeColor="text1"/>
              </w:rPr>
              <w:t>Provides a national framework for diagnosing and managing ADHD, combining medication with behavioural and educational support.</w:t>
            </w:r>
          </w:p>
        </w:tc>
        <w:tc>
          <w:tcPr>
            <w:tcW w:w="2126" w:type="dxa"/>
          </w:tcPr>
          <w:p w14:paraId="2AA371FC" w14:textId="77777777" w:rsidR="00E7676B" w:rsidRPr="00BB2AEF" w:rsidRDefault="00E7676B" w:rsidP="00BB2AEF">
            <w:pPr>
              <w:spacing w:line="360" w:lineRule="auto"/>
              <w:rPr>
                <w:rFonts w:ascii="Arial" w:hAnsi="Arial" w:cs="Arial"/>
                <w:color w:val="000000" w:themeColor="text1"/>
              </w:rPr>
            </w:pPr>
            <w:r w:rsidRPr="00BB2AEF">
              <w:rPr>
                <w:rFonts w:ascii="Arial" w:hAnsi="Arial" w:cs="Arial"/>
                <w:color w:val="000000" w:themeColor="text1"/>
              </w:rPr>
              <w:t>Currency: 2018. Relevance: Core national guidance. Authority: NICE. Accuracy: Evidence-based. Purpose: Clinical and policy reference.</w:t>
            </w:r>
          </w:p>
          <w:p w14:paraId="7C02E19B"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p>
        </w:tc>
        <w:tc>
          <w:tcPr>
            <w:tcW w:w="2410" w:type="dxa"/>
          </w:tcPr>
          <w:p w14:paraId="1595F112" w14:textId="01896BE3" w:rsidR="00344306" w:rsidRPr="00BB2AEF" w:rsidRDefault="00C90314"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NICE_ADHD_Guideline.pdf – </w:t>
            </w:r>
            <w:hyperlink r:id="rId58" w:history="1">
              <w:r w:rsidR="004361F2" w:rsidRPr="00BB2AEF">
                <w:rPr>
                  <w:rStyle w:val="Hyperlink"/>
                  <w:rFonts w:ascii="Arial" w:eastAsia="Times New Roman" w:hAnsi="Arial" w:cs="Arial"/>
                  <w:color w:val="000000" w:themeColor="text1"/>
                  <w:kern w:val="0"/>
                  <w:lang w:eastAsia="en-GB"/>
                  <w14:ligatures w14:val="none"/>
                </w:rPr>
                <w:t>https://www.nice.org.uk/guidance/ng87</w:t>
              </w:r>
            </w:hyperlink>
          </w:p>
        </w:tc>
      </w:tr>
      <w:tr w:rsidR="00BB2AEF" w:rsidRPr="00BB2AEF" w14:paraId="2DE3EB41" w14:textId="77777777" w:rsidTr="007C077C">
        <w:trPr>
          <w:trHeight w:val="3757"/>
        </w:trPr>
        <w:tc>
          <w:tcPr>
            <w:tcW w:w="851" w:type="dxa"/>
          </w:tcPr>
          <w:p w14:paraId="506B598B" w14:textId="77777777" w:rsidR="00C61A5B" w:rsidRPr="00BB2AEF" w:rsidRDefault="00C61A5B"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1134" w:type="dxa"/>
          </w:tcPr>
          <w:p w14:paraId="4156F938" w14:textId="77777777" w:rsidR="00C61A5B" w:rsidRPr="00BB2AEF" w:rsidRDefault="00C61A5B"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268" w:type="dxa"/>
          </w:tcPr>
          <w:p w14:paraId="40A3BD60" w14:textId="77777777" w:rsidR="00C61A5B" w:rsidRPr="00BB2AEF" w:rsidRDefault="00C61A5B" w:rsidP="00BB2AEF">
            <w:pPr>
              <w:tabs>
                <w:tab w:val="left" w:pos="5472"/>
              </w:tabs>
              <w:spacing w:before="100" w:beforeAutospacing="1" w:after="100" w:afterAutospacing="1" w:line="360" w:lineRule="auto"/>
              <w:rPr>
                <w:rFonts w:ascii="Arial" w:hAnsi="Arial" w:cs="Arial"/>
                <w:color w:val="000000" w:themeColor="text1"/>
              </w:rPr>
            </w:pPr>
          </w:p>
        </w:tc>
        <w:tc>
          <w:tcPr>
            <w:tcW w:w="1843" w:type="dxa"/>
          </w:tcPr>
          <w:p w14:paraId="64A4D228" w14:textId="77777777" w:rsidR="00C61A5B" w:rsidRPr="00BB2AEF" w:rsidRDefault="00C61A5B" w:rsidP="00BB2AEF">
            <w:pPr>
              <w:spacing w:line="360" w:lineRule="auto"/>
              <w:rPr>
                <w:rFonts w:ascii="Arial" w:hAnsi="Arial" w:cs="Arial"/>
                <w:color w:val="000000" w:themeColor="text1"/>
              </w:rPr>
            </w:pPr>
          </w:p>
        </w:tc>
        <w:tc>
          <w:tcPr>
            <w:tcW w:w="2126" w:type="dxa"/>
          </w:tcPr>
          <w:p w14:paraId="221F30E9" w14:textId="77777777" w:rsidR="00C61A5B" w:rsidRPr="00BB2AEF" w:rsidRDefault="00C61A5B" w:rsidP="00BB2AEF">
            <w:pPr>
              <w:spacing w:line="360" w:lineRule="auto"/>
              <w:rPr>
                <w:rFonts w:ascii="Arial" w:hAnsi="Arial" w:cs="Arial"/>
                <w:color w:val="000000" w:themeColor="text1"/>
              </w:rPr>
            </w:pPr>
          </w:p>
        </w:tc>
        <w:tc>
          <w:tcPr>
            <w:tcW w:w="2410" w:type="dxa"/>
          </w:tcPr>
          <w:p w14:paraId="21A40F19" w14:textId="77777777" w:rsidR="00C61A5B" w:rsidRPr="00BB2AEF" w:rsidRDefault="00C61A5B"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r>
      <w:tr w:rsidR="00BB2AEF" w:rsidRPr="00BB2AEF" w14:paraId="0F977020" w14:textId="77777777" w:rsidTr="007C077C">
        <w:tc>
          <w:tcPr>
            <w:tcW w:w="851" w:type="dxa"/>
          </w:tcPr>
          <w:p w14:paraId="2E67E701" w14:textId="356E2183" w:rsidR="00344306" w:rsidRPr="00BB2AEF" w:rsidRDefault="00681CBF"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Core </w:t>
            </w:r>
          </w:p>
        </w:tc>
        <w:tc>
          <w:tcPr>
            <w:tcW w:w="1134" w:type="dxa"/>
          </w:tcPr>
          <w:p w14:paraId="6315E19C" w14:textId="035779AA" w:rsidR="00344306" w:rsidRPr="00BB2AEF" w:rsidRDefault="00063DF8"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NHS England (2023)</w:t>
            </w:r>
          </w:p>
        </w:tc>
        <w:tc>
          <w:tcPr>
            <w:tcW w:w="2268" w:type="dxa"/>
          </w:tcPr>
          <w:p w14:paraId="2F50445E" w14:textId="77777777" w:rsidR="008A1B74" w:rsidRPr="00BB2AEF" w:rsidRDefault="008A1B74" w:rsidP="00BB2AEF">
            <w:pPr>
              <w:spacing w:line="360" w:lineRule="auto"/>
              <w:rPr>
                <w:rFonts w:ascii="Arial" w:hAnsi="Arial" w:cs="Arial"/>
                <w:color w:val="000000" w:themeColor="text1"/>
              </w:rPr>
            </w:pPr>
            <w:r w:rsidRPr="00BB2AEF">
              <w:rPr>
                <w:rFonts w:ascii="Arial" w:hAnsi="Arial" w:cs="Arial"/>
                <w:color w:val="000000" w:themeColor="text1"/>
              </w:rPr>
              <w:t>Mental health: ADHD care and support pathways.</w:t>
            </w:r>
          </w:p>
          <w:p w14:paraId="597D0C1D"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p>
        </w:tc>
        <w:tc>
          <w:tcPr>
            <w:tcW w:w="1843" w:type="dxa"/>
          </w:tcPr>
          <w:p w14:paraId="2D46AAB3" w14:textId="34F73DC7" w:rsidR="00344306" w:rsidRPr="00BB2AEF" w:rsidRDefault="00950424"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t xml:space="preserve">Explains multidisciplinary delivery of ADHD care across NHS </w:t>
            </w:r>
            <w:r w:rsidRPr="00BB2AEF">
              <w:rPr>
                <w:rFonts w:ascii="Arial" w:hAnsi="Arial" w:cs="Arial"/>
                <w:color w:val="000000" w:themeColor="text1"/>
              </w:rPr>
              <w:lastRenderedPageBreak/>
              <w:t>England, promoting family-centred approaches</w:t>
            </w:r>
          </w:p>
        </w:tc>
        <w:tc>
          <w:tcPr>
            <w:tcW w:w="2126" w:type="dxa"/>
          </w:tcPr>
          <w:p w14:paraId="0B0F59AA" w14:textId="797B8314" w:rsidR="00344306" w:rsidRPr="00BB2AEF" w:rsidRDefault="006C1297"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lastRenderedPageBreak/>
              <w:t xml:space="preserve">Currency: 2023. Relevance: National service. Authority: NHS England. Accuracy: </w:t>
            </w:r>
            <w:r w:rsidRPr="00BB2AEF">
              <w:rPr>
                <w:rFonts w:ascii="Arial" w:hAnsi="Arial" w:cs="Arial"/>
                <w:color w:val="000000" w:themeColor="text1"/>
              </w:rPr>
              <w:lastRenderedPageBreak/>
              <w:t>Policy-based. Purpose: Improve clinical practice.</w:t>
            </w:r>
          </w:p>
        </w:tc>
        <w:tc>
          <w:tcPr>
            <w:tcW w:w="2410" w:type="dxa"/>
          </w:tcPr>
          <w:p w14:paraId="66EF90EB" w14:textId="1EF6B3ED" w:rsidR="00344306" w:rsidRPr="00BB2AEF" w:rsidRDefault="009041A9"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Cambria" w:hAnsi="Arial" w:cs="Arial"/>
                <w:color w:val="000000" w:themeColor="text1"/>
              </w:rPr>
              <w:lastRenderedPageBreak/>
              <w:t>NHSE_ADHD_Pathways.pdf – https://www.england.nhs.uk/mental-health/dementia/</w:t>
            </w:r>
          </w:p>
        </w:tc>
      </w:tr>
      <w:tr w:rsidR="00BB2AEF" w:rsidRPr="00BB2AEF" w14:paraId="728A3C88" w14:textId="77777777" w:rsidTr="007C077C">
        <w:tc>
          <w:tcPr>
            <w:tcW w:w="851" w:type="dxa"/>
          </w:tcPr>
          <w:p w14:paraId="3FB52C8E" w14:textId="23391FCE" w:rsidR="00344306" w:rsidRPr="00BB2AEF" w:rsidRDefault="004071E3"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lastRenderedPageBreak/>
              <w:t xml:space="preserve">Core </w:t>
            </w:r>
          </w:p>
        </w:tc>
        <w:tc>
          <w:tcPr>
            <w:tcW w:w="1134" w:type="dxa"/>
          </w:tcPr>
          <w:p w14:paraId="2FAA8E6E" w14:textId="77777777" w:rsidR="00682B8E" w:rsidRPr="00BB2AEF" w:rsidRDefault="00682B8E" w:rsidP="00BB2AEF">
            <w:pPr>
              <w:spacing w:line="360" w:lineRule="auto"/>
              <w:rPr>
                <w:rFonts w:ascii="Arial" w:hAnsi="Arial" w:cs="Arial"/>
                <w:color w:val="000000" w:themeColor="text1"/>
              </w:rPr>
            </w:pPr>
            <w:bookmarkStart w:id="0" w:name="_Hlk213970156"/>
            <w:r w:rsidRPr="00BB2AEF">
              <w:rPr>
                <w:rFonts w:ascii="Arial" w:hAnsi="Arial" w:cs="Arial"/>
                <w:color w:val="000000" w:themeColor="text1"/>
              </w:rPr>
              <w:t>Cortese et al. (2018)</w:t>
            </w:r>
          </w:p>
          <w:bookmarkEnd w:id="0"/>
          <w:p w14:paraId="247B0E84"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268" w:type="dxa"/>
          </w:tcPr>
          <w:p w14:paraId="101AE6C3" w14:textId="77777777" w:rsidR="0001120D" w:rsidRPr="00BB2AEF" w:rsidRDefault="0001120D" w:rsidP="00BB2AEF">
            <w:pPr>
              <w:spacing w:line="360" w:lineRule="auto"/>
              <w:rPr>
                <w:rFonts w:ascii="Arial" w:hAnsi="Arial" w:cs="Arial"/>
                <w:color w:val="000000" w:themeColor="text1"/>
              </w:rPr>
            </w:pPr>
            <w:r w:rsidRPr="00BB2AEF">
              <w:rPr>
                <w:rFonts w:ascii="Arial" w:hAnsi="Arial" w:cs="Arial"/>
                <w:color w:val="000000" w:themeColor="text1"/>
              </w:rPr>
              <w:t>Comparative efficacy and tolerability of medications for ADHD.</w:t>
            </w:r>
          </w:p>
          <w:p w14:paraId="1FE8AA02"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1843" w:type="dxa"/>
          </w:tcPr>
          <w:p w14:paraId="607938B6" w14:textId="77777777" w:rsidR="00767A5D" w:rsidRPr="00BB2AEF" w:rsidRDefault="00767A5D" w:rsidP="00BB2AEF">
            <w:pPr>
              <w:spacing w:line="360" w:lineRule="auto"/>
              <w:rPr>
                <w:rFonts w:ascii="Arial" w:hAnsi="Arial" w:cs="Arial"/>
                <w:color w:val="000000" w:themeColor="text1"/>
              </w:rPr>
            </w:pPr>
            <w:r w:rsidRPr="00BB2AEF">
              <w:rPr>
                <w:rFonts w:ascii="Arial" w:hAnsi="Arial" w:cs="Arial"/>
                <w:color w:val="000000" w:themeColor="text1"/>
              </w:rPr>
              <w:t>A large-scale meta-analysis on ADHD medication effectiveness and safety, underpinning NICE guidance.</w:t>
            </w:r>
          </w:p>
          <w:p w14:paraId="3BCED037"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126" w:type="dxa"/>
          </w:tcPr>
          <w:p w14:paraId="7F4B1E78" w14:textId="77777777" w:rsidR="00707BD2" w:rsidRPr="00BB2AEF" w:rsidRDefault="00707BD2" w:rsidP="00BB2AEF">
            <w:pPr>
              <w:spacing w:line="360" w:lineRule="auto"/>
              <w:rPr>
                <w:rFonts w:ascii="Arial" w:hAnsi="Arial" w:cs="Arial"/>
                <w:color w:val="000000" w:themeColor="text1"/>
              </w:rPr>
            </w:pPr>
            <w:r w:rsidRPr="00BB2AEF">
              <w:rPr>
                <w:rFonts w:ascii="Arial" w:hAnsi="Arial" w:cs="Arial"/>
                <w:color w:val="000000" w:themeColor="text1"/>
              </w:rPr>
              <w:t>Currency: 2018. Relevance: Clinical evidence. Authority: The Lancet Psychiatry. Accuracy: Peer-reviewed. Purpose: Evaluate medication outcomes.</w:t>
            </w:r>
          </w:p>
          <w:p w14:paraId="08169E62"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410" w:type="dxa"/>
          </w:tcPr>
          <w:p w14:paraId="3F7AC866" w14:textId="77777777" w:rsidR="008622A6" w:rsidRPr="00BB2AEF" w:rsidRDefault="008622A6" w:rsidP="00BB2AEF">
            <w:pPr>
              <w:spacing w:line="360" w:lineRule="auto"/>
              <w:rPr>
                <w:rFonts w:ascii="Arial" w:hAnsi="Arial" w:cs="Arial"/>
                <w:color w:val="000000" w:themeColor="text1"/>
              </w:rPr>
            </w:pPr>
            <w:r w:rsidRPr="00BB2AEF">
              <w:rPr>
                <w:rFonts w:ascii="Arial" w:hAnsi="Arial" w:cs="Arial"/>
                <w:color w:val="000000" w:themeColor="text1"/>
              </w:rPr>
              <w:t>Cortese2018_MetaAnalysis.pdf – https://doi.org/10.1016/S2215-0366(18)30269-4</w:t>
            </w:r>
          </w:p>
          <w:p w14:paraId="66C6C541"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r>
      <w:tr w:rsidR="00BB2AEF" w:rsidRPr="00BB2AEF" w14:paraId="54F6D820" w14:textId="77777777" w:rsidTr="007C077C">
        <w:tc>
          <w:tcPr>
            <w:tcW w:w="851" w:type="dxa"/>
          </w:tcPr>
          <w:p w14:paraId="3C411927" w14:textId="0609FDC9" w:rsidR="00344306" w:rsidRPr="00BB2AEF" w:rsidRDefault="006945B2"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Core</w:t>
            </w:r>
          </w:p>
        </w:tc>
        <w:tc>
          <w:tcPr>
            <w:tcW w:w="1134" w:type="dxa"/>
          </w:tcPr>
          <w:p w14:paraId="79806F03" w14:textId="77777777" w:rsidR="004A2667" w:rsidRPr="00BB2AEF" w:rsidRDefault="004A2667" w:rsidP="00BB2AEF">
            <w:pPr>
              <w:spacing w:line="360" w:lineRule="auto"/>
              <w:rPr>
                <w:rFonts w:ascii="Arial" w:hAnsi="Arial" w:cs="Arial"/>
                <w:color w:val="000000" w:themeColor="text1"/>
              </w:rPr>
            </w:pPr>
            <w:r w:rsidRPr="00BB2AEF">
              <w:rPr>
                <w:rFonts w:ascii="Arial" w:hAnsi="Arial" w:cs="Arial"/>
                <w:color w:val="000000" w:themeColor="text1"/>
              </w:rPr>
              <w:t>Barkley (1997)</w:t>
            </w:r>
          </w:p>
          <w:p w14:paraId="286ECECD"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268" w:type="dxa"/>
          </w:tcPr>
          <w:p w14:paraId="3D225996" w14:textId="77777777" w:rsidR="00A4296C" w:rsidRPr="00BB2AEF" w:rsidRDefault="00A4296C" w:rsidP="00BB2AEF">
            <w:pPr>
              <w:spacing w:line="360" w:lineRule="auto"/>
              <w:rPr>
                <w:rFonts w:ascii="Arial" w:hAnsi="Arial" w:cs="Arial"/>
                <w:color w:val="000000" w:themeColor="text1"/>
              </w:rPr>
            </w:pPr>
            <w:r w:rsidRPr="00BB2AEF">
              <w:rPr>
                <w:rFonts w:ascii="Arial" w:hAnsi="Arial" w:cs="Arial"/>
                <w:color w:val="000000" w:themeColor="text1"/>
              </w:rPr>
              <w:t>ADHD and the Nature of Self-Control.</w:t>
            </w:r>
          </w:p>
          <w:p w14:paraId="3E005BF3"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1843" w:type="dxa"/>
          </w:tcPr>
          <w:p w14:paraId="46FF4456" w14:textId="77777777" w:rsidR="00CF0FA5" w:rsidRPr="00BB2AEF" w:rsidRDefault="00CF0FA5" w:rsidP="00BB2AEF">
            <w:pPr>
              <w:spacing w:line="360" w:lineRule="auto"/>
              <w:rPr>
                <w:rFonts w:ascii="Arial" w:hAnsi="Arial" w:cs="Arial"/>
                <w:color w:val="000000" w:themeColor="text1"/>
              </w:rPr>
            </w:pPr>
            <w:r w:rsidRPr="00BB2AEF">
              <w:rPr>
                <w:rFonts w:ascii="Arial" w:hAnsi="Arial" w:cs="Arial"/>
                <w:color w:val="000000" w:themeColor="text1"/>
              </w:rPr>
              <w:t>Introduces neurodevelopmental theory, framing ADHD as impaired executive functioning and self-regulation.</w:t>
            </w:r>
          </w:p>
          <w:p w14:paraId="2ED44C13"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126" w:type="dxa"/>
          </w:tcPr>
          <w:p w14:paraId="626DBEA9" w14:textId="77777777" w:rsidR="006A2E6C" w:rsidRPr="00BB2AEF" w:rsidRDefault="006A2E6C" w:rsidP="00BB2AEF">
            <w:pPr>
              <w:spacing w:line="360" w:lineRule="auto"/>
              <w:rPr>
                <w:rFonts w:ascii="Arial" w:hAnsi="Arial" w:cs="Arial"/>
                <w:color w:val="000000" w:themeColor="text1"/>
              </w:rPr>
            </w:pPr>
            <w:r w:rsidRPr="00BB2AEF">
              <w:rPr>
                <w:rFonts w:ascii="Arial" w:hAnsi="Arial" w:cs="Arial"/>
                <w:color w:val="000000" w:themeColor="text1"/>
              </w:rPr>
              <w:t>Currency: 1997. Relevance: Core theory. Authority: Barkley. Accuracy: Highly cited. Purpose: Theoretical foundation.</w:t>
            </w:r>
          </w:p>
          <w:p w14:paraId="217743BB"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410" w:type="dxa"/>
          </w:tcPr>
          <w:p w14:paraId="40C55284" w14:textId="77777777" w:rsidR="00AC2881" w:rsidRPr="00BB2AEF" w:rsidRDefault="00AC2881" w:rsidP="00BB2AEF">
            <w:pPr>
              <w:spacing w:line="360" w:lineRule="auto"/>
              <w:rPr>
                <w:rFonts w:ascii="Arial" w:hAnsi="Arial" w:cs="Arial"/>
                <w:color w:val="000000" w:themeColor="text1"/>
              </w:rPr>
            </w:pPr>
            <w:r w:rsidRPr="00BB2AEF">
              <w:rPr>
                <w:rFonts w:ascii="Arial" w:hAnsi="Arial" w:cs="Arial"/>
                <w:color w:val="000000" w:themeColor="text1"/>
              </w:rPr>
              <w:t>Barkley_ADHD_SelfControl.pdf – Library copy</w:t>
            </w:r>
          </w:p>
          <w:p w14:paraId="776E13B4"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r>
      <w:tr w:rsidR="00BB2AEF" w:rsidRPr="00BB2AEF" w14:paraId="79BDADDF" w14:textId="77777777" w:rsidTr="007C077C">
        <w:tc>
          <w:tcPr>
            <w:tcW w:w="851" w:type="dxa"/>
          </w:tcPr>
          <w:p w14:paraId="1CCE27A8" w14:textId="50429AC1" w:rsidR="00344306" w:rsidRPr="00BB2AEF" w:rsidRDefault="00EC2B3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w:t>
            </w:r>
            <w:r w:rsidR="009904B3" w:rsidRPr="00BB2AEF">
              <w:rPr>
                <w:rFonts w:ascii="Arial" w:eastAsia="Times New Roman" w:hAnsi="Arial" w:cs="Arial"/>
                <w:color w:val="000000" w:themeColor="text1"/>
                <w:kern w:val="0"/>
                <w:lang w:eastAsia="en-GB"/>
                <w14:ligatures w14:val="none"/>
              </w:rPr>
              <w:t>ore</w:t>
            </w:r>
          </w:p>
        </w:tc>
        <w:tc>
          <w:tcPr>
            <w:tcW w:w="1134" w:type="dxa"/>
          </w:tcPr>
          <w:p w14:paraId="65E0497C" w14:textId="0BA75D45" w:rsidR="009904B3" w:rsidRPr="00BB2AEF" w:rsidRDefault="009904B3" w:rsidP="00BB2AEF">
            <w:pPr>
              <w:spacing w:line="360" w:lineRule="auto"/>
              <w:rPr>
                <w:rFonts w:ascii="Arial" w:hAnsi="Arial" w:cs="Arial"/>
                <w:color w:val="000000" w:themeColor="text1"/>
              </w:rPr>
            </w:pPr>
            <w:r w:rsidRPr="00BB2AEF">
              <w:rPr>
                <w:rFonts w:ascii="Arial" w:hAnsi="Arial" w:cs="Arial"/>
                <w:color w:val="000000" w:themeColor="text1"/>
              </w:rPr>
              <w:t>Bandura (1977</w:t>
            </w:r>
            <w:r w:rsidR="007B4517" w:rsidRPr="00BB2AEF">
              <w:rPr>
                <w:rFonts w:ascii="Arial" w:hAnsi="Arial" w:cs="Arial"/>
                <w:color w:val="000000" w:themeColor="text1"/>
              </w:rPr>
              <w:t>);</w:t>
            </w:r>
            <w:r w:rsidR="00EF1803" w:rsidRPr="00BB2AEF">
              <w:rPr>
                <w:rFonts w:ascii="Arial" w:hAnsi="Arial" w:cs="Arial"/>
                <w:color w:val="000000" w:themeColor="text1"/>
              </w:rPr>
              <w:t xml:space="preserve"> Patterson and Yoerger, 2022</w:t>
            </w:r>
          </w:p>
          <w:p w14:paraId="2BD41E51"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268" w:type="dxa"/>
          </w:tcPr>
          <w:p w14:paraId="5DE3DA3D" w14:textId="77777777" w:rsidR="000055F7" w:rsidRPr="00BB2AEF" w:rsidRDefault="000055F7" w:rsidP="00BB2AEF">
            <w:pPr>
              <w:spacing w:line="360" w:lineRule="auto"/>
              <w:rPr>
                <w:rFonts w:ascii="Arial" w:hAnsi="Arial" w:cs="Arial"/>
                <w:color w:val="000000" w:themeColor="text1"/>
              </w:rPr>
            </w:pPr>
            <w:r w:rsidRPr="00BB2AEF">
              <w:rPr>
                <w:rFonts w:ascii="Arial" w:hAnsi="Arial" w:cs="Arial"/>
                <w:color w:val="000000" w:themeColor="text1"/>
              </w:rPr>
              <w:t>Social Learning Theory.</w:t>
            </w:r>
          </w:p>
          <w:p w14:paraId="039BCB71"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1843" w:type="dxa"/>
          </w:tcPr>
          <w:p w14:paraId="7F8379BF" w14:textId="77777777" w:rsidR="00600407" w:rsidRPr="00BB2AEF" w:rsidRDefault="00600407" w:rsidP="00BB2AEF">
            <w:pPr>
              <w:spacing w:line="360" w:lineRule="auto"/>
              <w:rPr>
                <w:rFonts w:ascii="Arial" w:hAnsi="Arial" w:cs="Arial"/>
                <w:color w:val="000000" w:themeColor="text1"/>
              </w:rPr>
            </w:pPr>
            <w:r w:rsidRPr="00BB2AEF">
              <w:rPr>
                <w:rFonts w:ascii="Arial" w:hAnsi="Arial" w:cs="Arial"/>
                <w:color w:val="000000" w:themeColor="text1"/>
              </w:rPr>
              <w:t>Explains learning through observation and reinforcement, basis of behavioural and parenting ADHD interventions.</w:t>
            </w:r>
          </w:p>
          <w:p w14:paraId="0AD86281"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126" w:type="dxa"/>
          </w:tcPr>
          <w:p w14:paraId="06A2EE70" w14:textId="77777777" w:rsidR="00AD3CC1" w:rsidRPr="00BB2AEF" w:rsidRDefault="00AD3CC1" w:rsidP="00BB2AEF">
            <w:pPr>
              <w:spacing w:line="360" w:lineRule="auto"/>
              <w:rPr>
                <w:rFonts w:ascii="Arial" w:hAnsi="Arial" w:cs="Arial"/>
                <w:color w:val="000000" w:themeColor="text1"/>
              </w:rPr>
            </w:pPr>
            <w:r w:rsidRPr="00BB2AEF">
              <w:rPr>
                <w:rFonts w:ascii="Arial" w:hAnsi="Arial" w:cs="Arial"/>
                <w:color w:val="000000" w:themeColor="text1"/>
              </w:rPr>
              <w:t>Currency: 1977. Relevance: Behavioural framework. Authority: Bandura. Accuracy: Classic theory. Purpose: Behavioural model.</w:t>
            </w:r>
          </w:p>
          <w:p w14:paraId="2A47A809"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410" w:type="dxa"/>
          </w:tcPr>
          <w:p w14:paraId="6D874D69" w14:textId="77777777" w:rsidR="00466A25" w:rsidRPr="00BB2AEF" w:rsidRDefault="00466A25" w:rsidP="00BB2AEF">
            <w:pPr>
              <w:spacing w:line="360" w:lineRule="auto"/>
              <w:rPr>
                <w:rFonts w:ascii="Arial" w:hAnsi="Arial" w:cs="Arial"/>
                <w:color w:val="000000" w:themeColor="text1"/>
              </w:rPr>
            </w:pPr>
            <w:r w:rsidRPr="00BB2AEF">
              <w:rPr>
                <w:rFonts w:ascii="Arial" w:hAnsi="Arial" w:cs="Arial"/>
                <w:color w:val="000000" w:themeColor="text1"/>
              </w:rPr>
              <w:t>Bandura_SocialLearningTheory.pdf – Library copy</w:t>
            </w:r>
          </w:p>
          <w:p w14:paraId="1A062B74"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r>
      <w:tr w:rsidR="00BB2AEF" w:rsidRPr="00BB2AEF" w14:paraId="215ACCA9" w14:textId="77777777" w:rsidTr="007C077C">
        <w:trPr>
          <w:trHeight w:val="274"/>
        </w:trPr>
        <w:tc>
          <w:tcPr>
            <w:tcW w:w="851" w:type="dxa"/>
          </w:tcPr>
          <w:p w14:paraId="7CC42EB5" w14:textId="504E7278" w:rsidR="00344306" w:rsidRPr="00BB2AEF" w:rsidRDefault="0021568F"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lastRenderedPageBreak/>
              <w:t xml:space="preserve">Core </w:t>
            </w:r>
          </w:p>
        </w:tc>
        <w:tc>
          <w:tcPr>
            <w:tcW w:w="1134" w:type="dxa"/>
          </w:tcPr>
          <w:p w14:paraId="605C2C1C" w14:textId="77777777" w:rsidR="0021568F" w:rsidRPr="00BB2AEF" w:rsidRDefault="0021568F" w:rsidP="00BB2AEF">
            <w:pPr>
              <w:spacing w:line="360" w:lineRule="auto"/>
              <w:rPr>
                <w:rFonts w:ascii="Arial" w:hAnsi="Arial" w:cs="Arial"/>
                <w:color w:val="000000" w:themeColor="text1"/>
              </w:rPr>
            </w:pPr>
            <w:bookmarkStart w:id="1" w:name="_Hlk213970774"/>
            <w:r w:rsidRPr="00BB2AEF">
              <w:rPr>
                <w:rFonts w:ascii="Arial" w:hAnsi="Arial" w:cs="Arial"/>
                <w:color w:val="000000" w:themeColor="text1"/>
              </w:rPr>
              <w:t>World Health Organization (2022)</w:t>
            </w:r>
          </w:p>
          <w:bookmarkEnd w:id="1"/>
          <w:p w14:paraId="0D40C8C6"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268" w:type="dxa"/>
          </w:tcPr>
          <w:p w14:paraId="444F2340" w14:textId="77777777" w:rsidR="00D733C9" w:rsidRPr="00BB2AEF" w:rsidRDefault="00D733C9" w:rsidP="00BB2AEF">
            <w:pPr>
              <w:spacing w:line="360" w:lineRule="auto"/>
              <w:rPr>
                <w:rFonts w:ascii="Arial" w:hAnsi="Arial" w:cs="Arial"/>
                <w:color w:val="000000" w:themeColor="text1"/>
              </w:rPr>
            </w:pPr>
            <w:r w:rsidRPr="00BB2AEF">
              <w:rPr>
                <w:rFonts w:ascii="Arial" w:hAnsi="Arial" w:cs="Arial"/>
                <w:color w:val="000000" w:themeColor="text1"/>
              </w:rPr>
              <w:t>Global status report on the public health response to neurodevelopmental disorders.</w:t>
            </w:r>
          </w:p>
          <w:p w14:paraId="09630084"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1843" w:type="dxa"/>
          </w:tcPr>
          <w:p w14:paraId="6DACCA8F" w14:textId="77777777" w:rsidR="00C16F48" w:rsidRPr="00BB2AEF" w:rsidRDefault="00C16F48" w:rsidP="00BB2AEF">
            <w:pPr>
              <w:spacing w:line="360" w:lineRule="auto"/>
              <w:rPr>
                <w:rFonts w:ascii="Arial" w:hAnsi="Arial" w:cs="Arial"/>
                <w:color w:val="000000" w:themeColor="text1"/>
              </w:rPr>
            </w:pPr>
            <w:r w:rsidRPr="00BB2AEF">
              <w:rPr>
                <w:rFonts w:ascii="Arial" w:hAnsi="Arial" w:cs="Arial"/>
                <w:color w:val="000000" w:themeColor="text1"/>
              </w:rPr>
              <w:t>Highlights ADHD as a global disorder under ICD-11, stressing need for accessible diagnosis and treatment.</w:t>
            </w:r>
          </w:p>
          <w:p w14:paraId="36177E5A"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126" w:type="dxa"/>
          </w:tcPr>
          <w:p w14:paraId="3F48C70B" w14:textId="77777777" w:rsidR="001803CD" w:rsidRPr="00BB2AEF" w:rsidRDefault="001803CD" w:rsidP="00BB2AEF">
            <w:pPr>
              <w:spacing w:line="360" w:lineRule="auto"/>
              <w:rPr>
                <w:rFonts w:ascii="Arial" w:hAnsi="Arial" w:cs="Arial"/>
                <w:color w:val="000000" w:themeColor="text1"/>
              </w:rPr>
            </w:pPr>
            <w:r w:rsidRPr="00BB2AEF">
              <w:rPr>
                <w:rFonts w:ascii="Arial" w:hAnsi="Arial" w:cs="Arial"/>
                <w:color w:val="000000" w:themeColor="text1"/>
              </w:rPr>
              <w:t>Currency: 2022. Relevance: Global context. Authority: WHO. Accuracy: Data-driven. Purpose: Global overview.</w:t>
            </w:r>
          </w:p>
          <w:p w14:paraId="3E571797"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410" w:type="dxa"/>
          </w:tcPr>
          <w:p w14:paraId="3AF95F13" w14:textId="77777777" w:rsidR="00426EC7" w:rsidRPr="00BB2AEF" w:rsidRDefault="00426EC7" w:rsidP="00BB2AEF">
            <w:pPr>
              <w:spacing w:line="360" w:lineRule="auto"/>
              <w:rPr>
                <w:rFonts w:ascii="Arial" w:hAnsi="Arial" w:cs="Arial"/>
                <w:color w:val="000000" w:themeColor="text1"/>
              </w:rPr>
            </w:pPr>
            <w:r w:rsidRPr="00BB2AEF">
              <w:rPr>
                <w:rFonts w:ascii="Arial" w:hAnsi="Arial" w:cs="Arial"/>
                <w:color w:val="000000" w:themeColor="text1"/>
              </w:rPr>
              <w:t>WHO_Global_ADHD2022.pdf – https://www.who.int/publications</w:t>
            </w:r>
          </w:p>
          <w:p w14:paraId="2E30CDFA"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r>
      <w:tr w:rsidR="00BB2AEF" w:rsidRPr="00BB2AEF" w14:paraId="3A90E432" w14:textId="77777777" w:rsidTr="007C077C">
        <w:tc>
          <w:tcPr>
            <w:tcW w:w="851" w:type="dxa"/>
          </w:tcPr>
          <w:p w14:paraId="336A24E5" w14:textId="31A277EE" w:rsidR="00344306" w:rsidRPr="00BB2AEF" w:rsidRDefault="004F7EAE"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Supporting </w:t>
            </w:r>
          </w:p>
        </w:tc>
        <w:tc>
          <w:tcPr>
            <w:tcW w:w="1134" w:type="dxa"/>
          </w:tcPr>
          <w:p w14:paraId="0A163332" w14:textId="063DF592" w:rsidR="00344306" w:rsidRPr="00BB2AEF" w:rsidRDefault="007B5F3F"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bookmarkStart w:id="2" w:name="_Hlk213970862"/>
            <w:r w:rsidRPr="00BB2AEF">
              <w:rPr>
                <w:rFonts w:ascii="Arial" w:hAnsi="Arial" w:cs="Arial"/>
                <w:color w:val="000000" w:themeColor="text1"/>
              </w:rPr>
              <w:t>Daley et al. (2018)</w:t>
            </w:r>
            <w:bookmarkEnd w:id="2"/>
          </w:p>
        </w:tc>
        <w:tc>
          <w:tcPr>
            <w:tcW w:w="2268" w:type="dxa"/>
          </w:tcPr>
          <w:p w14:paraId="10B6BC04" w14:textId="234D3D01" w:rsidR="00344306" w:rsidRPr="00BB2AEF" w:rsidRDefault="00450F78"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t>Parent training for ADHD: meta-analysis and outcomes</w:t>
            </w:r>
          </w:p>
        </w:tc>
        <w:tc>
          <w:tcPr>
            <w:tcW w:w="1843" w:type="dxa"/>
          </w:tcPr>
          <w:p w14:paraId="35AE5873" w14:textId="77777777" w:rsidR="00CA7BD6" w:rsidRPr="00BB2AEF" w:rsidRDefault="00CA7BD6" w:rsidP="00BB2AEF">
            <w:pPr>
              <w:spacing w:line="360" w:lineRule="auto"/>
              <w:rPr>
                <w:rFonts w:ascii="Arial" w:hAnsi="Arial" w:cs="Arial"/>
                <w:color w:val="000000" w:themeColor="text1"/>
              </w:rPr>
            </w:pPr>
            <w:r w:rsidRPr="00BB2AEF">
              <w:rPr>
                <w:rFonts w:ascii="Arial" w:hAnsi="Arial" w:cs="Arial"/>
                <w:color w:val="000000" w:themeColor="text1"/>
              </w:rPr>
              <w:t>Shows that parent-training improves child behaviour, reduces parental stress, and supports family relationships.</w:t>
            </w:r>
          </w:p>
          <w:p w14:paraId="4D57976E"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p>
        </w:tc>
        <w:tc>
          <w:tcPr>
            <w:tcW w:w="2126" w:type="dxa"/>
          </w:tcPr>
          <w:p w14:paraId="39EB0A91" w14:textId="77777777" w:rsidR="00435922" w:rsidRPr="00BB2AEF" w:rsidRDefault="00435922" w:rsidP="00BB2AEF">
            <w:pPr>
              <w:spacing w:line="360" w:lineRule="auto"/>
              <w:rPr>
                <w:rFonts w:ascii="Arial" w:hAnsi="Arial" w:cs="Arial"/>
                <w:color w:val="000000" w:themeColor="text1"/>
              </w:rPr>
            </w:pPr>
            <w:r w:rsidRPr="00BB2AEF">
              <w:rPr>
                <w:rFonts w:ascii="Arial" w:hAnsi="Arial" w:cs="Arial"/>
                <w:color w:val="000000" w:themeColor="text1"/>
              </w:rPr>
              <w:t>Currency: 2018. Relevance: Intervention evidence. Authority: Peer-reviewed. Accuracy: Empirical. Purpose: Evaluate outcomes.</w:t>
            </w:r>
          </w:p>
          <w:p w14:paraId="345936B8"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p>
        </w:tc>
        <w:tc>
          <w:tcPr>
            <w:tcW w:w="2410" w:type="dxa"/>
          </w:tcPr>
          <w:p w14:paraId="50BB7252" w14:textId="77777777" w:rsidR="00464763" w:rsidRPr="00BB2AEF" w:rsidRDefault="00464763" w:rsidP="00BB2AEF">
            <w:pPr>
              <w:spacing w:line="360" w:lineRule="auto"/>
              <w:rPr>
                <w:rFonts w:ascii="Arial" w:hAnsi="Arial" w:cs="Arial"/>
                <w:color w:val="000000" w:themeColor="text1"/>
              </w:rPr>
            </w:pPr>
            <w:r w:rsidRPr="00BB2AEF">
              <w:rPr>
                <w:rFonts w:ascii="Arial" w:hAnsi="Arial" w:cs="Arial"/>
                <w:color w:val="000000" w:themeColor="text1"/>
              </w:rPr>
              <w:t>Daley2018_ParentTraining.pdf – https://doi.org/10.1016/j.jaac.2018.05.002</w:t>
            </w:r>
          </w:p>
          <w:p w14:paraId="5D950FED"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p>
        </w:tc>
      </w:tr>
      <w:tr w:rsidR="00BB2AEF" w:rsidRPr="00BB2AEF" w14:paraId="1B0ADA34" w14:textId="77777777" w:rsidTr="007C077C">
        <w:tc>
          <w:tcPr>
            <w:tcW w:w="851" w:type="dxa"/>
          </w:tcPr>
          <w:p w14:paraId="638F179F" w14:textId="69C0CFE9" w:rsidR="00344306" w:rsidRPr="00BB2AEF" w:rsidRDefault="00464763"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Supporting </w:t>
            </w:r>
          </w:p>
        </w:tc>
        <w:tc>
          <w:tcPr>
            <w:tcW w:w="1134" w:type="dxa"/>
          </w:tcPr>
          <w:p w14:paraId="04445B2F" w14:textId="77777777" w:rsidR="007E0DB1" w:rsidRPr="00BB2AEF" w:rsidRDefault="007E0DB1" w:rsidP="00BB2AEF">
            <w:pPr>
              <w:spacing w:line="360" w:lineRule="auto"/>
              <w:rPr>
                <w:rFonts w:ascii="Arial" w:hAnsi="Arial" w:cs="Arial"/>
                <w:color w:val="000000" w:themeColor="text1"/>
              </w:rPr>
            </w:pPr>
            <w:r w:rsidRPr="00BB2AEF">
              <w:rPr>
                <w:rFonts w:ascii="Arial" w:hAnsi="Arial" w:cs="Arial"/>
                <w:color w:val="000000" w:themeColor="text1"/>
              </w:rPr>
              <w:t>Singh (2011)</w:t>
            </w:r>
          </w:p>
          <w:p w14:paraId="038A1737"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268" w:type="dxa"/>
          </w:tcPr>
          <w:p w14:paraId="2C64A6B6" w14:textId="77777777" w:rsidR="00346547" w:rsidRPr="00BB2AEF" w:rsidRDefault="00346547" w:rsidP="00BB2AEF">
            <w:pPr>
              <w:spacing w:line="360" w:lineRule="auto"/>
              <w:rPr>
                <w:rFonts w:ascii="Arial" w:hAnsi="Arial" w:cs="Arial"/>
                <w:color w:val="000000" w:themeColor="text1"/>
              </w:rPr>
            </w:pPr>
            <w:r w:rsidRPr="00BB2AEF">
              <w:rPr>
                <w:rFonts w:ascii="Arial" w:hAnsi="Arial" w:cs="Arial"/>
                <w:color w:val="000000" w:themeColor="text1"/>
              </w:rPr>
              <w:t>A disorder of anger and morality: ADHD and the politics of childhood.</w:t>
            </w:r>
          </w:p>
          <w:p w14:paraId="63A95466"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1843" w:type="dxa"/>
          </w:tcPr>
          <w:p w14:paraId="04F0200C" w14:textId="77777777" w:rsidR="00D14C78" w:rsidRPr="00BB2AEF" w:rsidRDefault="00D14C78" w:rsidP="00BB2AEF">
            <w:pPr>
              <w:spacing w:line="360" w:lineRule="auto"/>
              <w:rPr>
                <w:rFonts w:ascii="Arial" w:hAnsi="Arial" w:cs="Arial"/>
                <w:color w:val="000000" w:themeColor="text1"/>
              </w:rPr>
            </w:pPr>
            <w:r w:rsidRPr="00BB2AEF">
              <w:rPr>
                <w:rFonts w:ascii="Arial" w:hAnsi="Arial" w:cs="Arial"/>
                <w:color w:val="000000" w:themeColor="text1"/>
              </w:rPr>
              <w:t>Critiques ADHD as a social construct, questioning the moral and political dimensions of medicalisation.</w:t>
            </w:r>
          </w:p>
          <w:p w14:paraId="7217A877"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126" w:type="dxa"/>
          </w:tcPr>
          <w:p w14:paraId="4C6EFFBB" w14:textId="77777777" w:rsidR="007D4EC2" w:rsidRPr="00BB2AEF" w:rsidRDefault="007D4EC2" w:rsidP="00BB2AEF">
            <w:pPr>
              <w:spacing w:line="360" w:lineRule="auto"/>
              <w:rPr>
                <w:rFonts w:ascii="Arial" w:hAnsi="Arial" w:cs="Arial"/>
                <w:color w:val="000000" w:themeColor="text1"/>
              </w:rPr>
            </w:pPr>
            <w:r w:rsidRPr="00BB2AEF">
              <w:rPr>
                <w:rFonts w:ascii="Arial" w:hAnsi="Arial" w:cs="Arial"/>
                <w:color w:val="000000" w:themeColor="text1"/>
              </w:rPr>
              <w:t>Currency: 2011. Relevance: Ethical critique. Authority: Academic. Accuracy: Analytical. Purpose: Critical discussion.</w:t>
            </w:r>
          </w:p>
          <w:p w14:paraId="10A6CE27"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410" w:type="dxa"/>
          </w:tcPr>
          <w:p w14:paraId="3D2250E7" w14:textId="77777777" w:rsidR="000B238B" w:rsidRPr="00BB2AEF" w:rsidRDefault="000B238B" w:rsidP="00BB2AEF">
            <w:pPr>
              <w:spacing w:line="360" w:lineRule="auto"/>
              <w:rPr>
                <w:rFonts w:ascii="Arial" w:hAnsi="Arial" w:cs="Arial"/>
                <w:color w:val="000000" w:themeColor="text1"/>
              </w:rPr>
            </w:pPr>
            <w:r w:rsidRPr="00BB2AEF">
              <w:rPr>
                <w:rFonts w:ascii="Arial" w:hAnsi="Arial" w:cs="Arial"/>
                <w:color w:val="000000" w:themeColor="text1"/>
              </w:rPr>
              <w:t>Singh2011_ADHDEthics.pdf – https://jme.bmj.com/content/37/10/632</w:t>
            </w:r>
          </w:p>
          <w:p w14:paraId="6A3F5774"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r>
      <w:tr w:rsidR="00BB2AEF" w:rsidRPr="00BB2AEF" w14:paraId="364D50B1" w14:textId="77777777" w:rsidTr="007C077C">
        <w:tc>
          <w:tcPr>
            <w:tcW w:w="851" w:type="dxa"/>
          </w:tcPr>
          <w:p w14:paraId="0A61C74C" w14:textId="1AD68783" w:rsidR="00344306" w:rsidRPr="00BB2AEF" w:rsidRDefault="005574B9"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Supporting </w:t>
            </w:r>
          </w:p>
        </w:tc>
        <w:tc>
          <w:tcPr>
            <w:tcW w:w="1134" w:type="dxa"/>
          </w:tcPr>
          <w:p w14:paraId="4657D176" w14:textId="77777777" w:rsidR="00E640AE" w:rsidRPr="00BB2AEF" w:rsidRDefault="00E640AE" w:rsidP="00BB2AEF">
            <w:pPr>
              <w:spacing w:line="360" w:lineRule="auto"/>
              <w:rPr>
                <w:rFonts w:ascii="Arial" w:hAnsi="Arial" w:cs="Arial"/>
                <w:color w:val="000000" w:themeColor="text1"/>
              </w:rPr>
            </w:pPr>
            <w:r w:rsidRPr="00BB2AEF">
              <w:rPr>
                <w:rFonts w:ascii="Arial" w:hAnsi="Arial" w:cs="Arial"/>
                <w:color w:val="000000" w:themeColor="text1"/>
              </w:rPr>
              <w:t>Lange et al. (2010)</w:t>
            </w:r>
          </w:p>
          <w:p w14:paraId="6427703F"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268" w:type="dxa"/>
          </w:tcPr>
          <w:p w14:paraId="7A9151F1" w14:textId="77777777" w:rsidR="00E83464" w:rsidRPr="00BB2AEF" w:rsidRDefault="00E83464" w:rsidP="00BB2AEF">
            <w:pPr>
              <w:spacing w:line="360" w:lineRule="auto"/>
              <w:rPr>
                <w:rFonts w:ascii="Arial" w:hAnsi="Arial" w:cs="Arial"/>
                <w:color w:val="000000" w:themeColor="text1"/>
              </w:rPr>
            </w:pPr>
            <w:r w:rsidRPr="00BB2AEF">
              <w:rPr>
                <w:rFonts w:ascii="Arial" w:hAnsi="Arial" w:cs="Arial"/>
                <w:color w:val="000000" w:themeColor="text1"/>
              </w:rPr>
              <w:t>The history of attention deficit hyperactivity disorder.</w:t>
            </w:r>
          </w:p>
          <w:p w14:paraId="5809FF38"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1843" w:type="dxa"/>
          </w:tcPr>
          <w:p w14:paraId="4313A095" w14:textId="77777777" w:rsidR="0046289A" w:rsidRPr="00BB2AEF" w:rsidRDefault="0046289A" w:rsidP="00BB2AEF">
            <w:pPr>
              <w:spacing w:line="360" w:lineRule="auto"/>
              <w:rPr>
                <w:rFonts w:ascii="Arial" w:hAnsi="Arial" w:cs="Arial"/>
                <w:color w:val="000000" w:themeColor="text1"/>
              </w:rPr>
            </w:pPr>
            <w:r w:rsidRPr="00BB2AEF">
              <w:rPr>
                <w:rFonts w:ascii="Arial" w:hAnsi="Arial" w:cs="Arial"/>
                <w:color w:val="000000" w:themeColor="text1"/>
              </w:rPr>
              <w:lastRenderedPageBreak/>
              <w:t xml:space="preserve">Traces the evolution of ADHD from moral explanations to </w:t>
            </w:r>
            <w:r w:rsidRPr="00BB2AEF">
              <w:rPr>
                <w:rFonts w:ascii="Arial" w:hAnsi="Arial" w:cs="Arial"/>
                <w:color w:val="000000" w:themeColor="text1"/>
              </w:rPr>
              <w:lastRenderedPageBreak/>
              <w:t>modern neurobiological understanding.</w:t>
            </w:r>
          </w:p>
          <w:p w14:paraId="1290FB7C"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126" w:type="dxa"/>
          </w:tcPr>
          <w:p w14:paraId="153B3138" w14:textId="77777777" w:rsidR="00CC16D2" w:rsidRPr="00BB2AEF" w:rsidRDefault="00CC16D2" w:rsidP="00BB2AEF">
            <w:pPr>
              <w:spacing w:line="360" w:lineRule="auto"/>
              <w:rPr>
                <w:rFonts w:ascii="Arial" w:hAnsi="Arial" w:cs="Arial"/>
                <w:color w:val="000000" w:themeColor="text1"/>
              </w:rPr>
            </w:pPr>
            <w:r w:rsidRPr="00BB2AEF">
              <w:rPr>
                <w:rFonts w:ascii="Arial" w:hAnsi="Arial" w:cs="Arial"/>
                <w:color w:val="000000" w:themeColor="text1"/>
              </w:rPr>
              <w:lastRenderedPageBreak/>
              <w:t xml:space="preserve">Currency: 2010. Relevance: Historical context. Authority: Academic. </w:t>
            </w:r>
            <w:r w:rsidRPr="00BB2AEF">
              <w:rPr>
                <w:rFonts w:ascii="Arial" w:hAnsi="Arial" w:cs="Arial"/>
                <w:color w:val="000000" w:themeColor="text1"/>
              </w:rPr>
              <w:lastRenderedPageBreak/>
              <w:t>Accuracy: Peer-reviewed. Purpose: Historical foundation.</w:t>
            </w:r>
          </w:p>
          <w:p w14:paraId="5F0C8C5A"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410" w:type="dxa"/>
          </w:tcPr>
          <w:p w14:paraId="40D88FF2" w14:textId="77777777" w:rsidR="00C44DF9" w:rsidRPr="00BB2AEF" w:rsidRDefault="00C44DF9" w:rsidP="00BB2AEF">
            <w:pPr>
              <w:spacing w:line="360" w:lineRule="auto"/>
              <w:rPr>
                <w:rFonts w:ascii="Arial" w:hAnsi="Arial" w:cs="Arial"/>
                <w:color w:val="000000" w:themeColor="text1"/>
              </w:rPr>
            </w:pPr>
            <w:r w:rsidRPr="00BB2AEF">
              <w:rPr>
                <w:rFonts w:ascii="Arial" w:hAnsi="Arial" w:cs="Arial"/>
                <w:color w:val="000000" w:themeColor="text1"/>
              </w:rPr>
              <w:lastRenderedPageBreak/>
              <w:t>Lange2010_ADHDHistory.pdf – https://doi.org/10.1177/0957154X10369260</w:t>
            </w:r>
          </w:p>
          <w:p w14:paraId="7F713D65"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r>
      <w:tr w:rsidR="00BB2AEF" w:rsidRPr="00BB2AEF" w14:paraId="07330D6E" w14:textId="77777777" w:rsidTr="007C077C">
        <w:tc>
          <w:tcPr>
            <w:tcW w:w="851" w:type="dxa"/>
          </w:tcPr>
          <w:p w14:paraId="4F1D59A9" w14:textId="06D88E64" w:rsidR="00344306" w:rsidRPr="00BB2AEF" w:rsidRDefault="00C44DF9"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lastRenderedPageBreak/>
              <w:t xml:space="preserve">Supporting </w:t>
            </w:r>
          </w:p>
        </w:tc>
        <w:tc>
          <w:tcPr>
            <w:tcW w:w="1134" w:type="dxa"/>
          </w:tcPr>
          <w:p w14:paraId="1ECC0AAB" w14:textId="77777777" w:rsidR="00C955BF" w:rsidRPr="00BB2AEF" w:rsidRDefault="00C955BF" w:rsidP="00BB2AEF">
            <w:pPr>
              <w:spacing w:line="360" w:lineRule="auto"/>
              <w:rPr>
                <w:rFonts w:ascii="Arial" w:hAnsi="Arial" w:cs="Arial"/>
                <w:color w:val="000000" w:themeColor="text1"/>
              </w:rPr>
            </w:pPr>
            <w:r w:rsidRPr="00BB2AEF">
              <w:rPr>
                <w:rFonts w:ascii="Arial" w:hAnsi="Arial" w:cs="Arial"/>
                <w:color w:val="000000" w:themeColor="text1"/>
              </w:rPr>
              <w:t>Scottish Government (2023)</w:t>
            </w:r>
          </w:p>
          <w:p w14:paraId="34058D8C"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268" w:type="dxa"/>
          </w:tcPr>
          <w:p w14:paraId="422999E9" w14:textId="77777777" w:rsidR="009D2053" w:rsidRPr="00BB2AEF" w:rsidRDefault="009D2053" w:rsidP="00BB2AEF">
            <w:pPr>
              <w:spacing w:line="360" w:lineRule="auto"/>
              <w:rPr>
                <w:rFonts w:ascii="Arial" w:hAnsi="Arial" w:cs="Arial"/>
                <w:color w:val="000000" w:themeColor="text1"/>
              </w:rPr>
            </w:pPr>
            <w:r w:rsidRPr="00BB2AEF">
              <w:rPr>
                <w:rFonts w:ascii="Arial" w:hAnsi="Arial" w:cs="Arial"/>
                <w:color w:val="000000" w:themeColor="text1"/>
              </w:rPr>
              <w:t>Mental Health Strategy 2017–2027 Progress Report.</w:t>
            </w:r>
          </w:p>
          <w:p w14:paraId="541415F1"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1843" w:type="dxa"/>
          </w:tcPr>
          <w:p w14:paraId="59A768E4" w14:textId="77777777" w:rsidR="002F4BF2" w:rsidRPr="00BB2AEF" w:rsidRDefault="002F4BF2" w:rsidP="00BB2AEF">
            <w:pPr>
              <w:spacing w:line="360" w:lineRule="auto"/>
              <w:rPr>
                <w:rFonts w:ascii="Arial" w:hAnsi="Arial" w:cs="Arial"/>
                <w:color w:val="000000" w:themeColor="text1"/>
              </w:rPr>
            </w:pPr>
            <w:r w:rsidRPr="00BB2AEF">
              <w:rPr>
                <w:rFonts w:ascii="Arial" w:hAnsi="Arial" w:cs="Arial"/>
                <w:color w:val="000000" w:themeColor="text1"/>
              </w:rPr>
              <w:t>Reports progress in Scotland’s community-based ADHD services and early intervention initiatives.</w:t>
            </w:r>
          </w:p>
          <w:p w14:paraId="219A8F7A"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126" w:type="dxa"/>
          </w:tcPr>
          <w:p w14:paraId="52AFC28D" w14:textId="77777777" w:rsidR="00CB3CCB" w:rsidRPr="00BB2AEF" w:rsidRDefault="00CB3CCB" w:rsidP="00BB2AEF">
            <w:pPr>
              <w:spacing w:line="360" w:lineRule="auto"/>
              <w:rPr>
                <w:rFonts w:ascii="Arial" w:hAnsi="Arial" w:cs="Arial"/>
                <w:color w:val="000000" w:themeColor="text1"/>
              </w:rPr>
            </w:pPr>
            <w:r w:rsidRPr="00BB2AEF">
              <w:rPr>
                <w:rFonts w:ascii="Arial" w:hAnsi="Arial" w:cs="Arial"/>
                <w:color w:val="000000" w:themeColor="text1"/>
              </w:rPr>
              <w:t>Currency: 2023. Relevance: Regional policy. Authority: Scottish Government. Accuracy: Official document. Purpose: Illustrate devolved policy.</w:t>
            </w:r>
          </w:p>
          <w:p w14:paraId="417EF564"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c>
          <w:tcPr>
            <w:tcW w:w="2410" w:type="dxa"/>
          </w:tcPr>
          <w:p w14:paraId="3ADF8565" w14:textId="77777777" w:rsidR="00117801" w:rsidRPr="00BB2AEF" w:rsidRDefault="00117801" w:rsidP="00BB2AEF">
            <w:pPr>
              <w:spacing w:line="360" w:lineRule="auto"/>
              <w:rPr>
                <w:rFonts w:ascii="Arial" w:hAnsi="Arial" w:cs="Arial"/>
                <w:color w:val="000000" w:themeColor="text1"/>
              </w:rPr>
            </w:pPr>
            <w:r w:rsidRPr="00BB2AEF">
              <w:rPr>
                <w:rFonts w:ascii="Arial" w:hAnsi="Arial" w:cs="Arial"/>
                <w:color w:val="000000" w:themeColor="text1"/>
              </w:rPr>
              <w:t>ScotGov_MHStrategy2023.pdf – https://www.gov.scot/publications</w:t>
            </w:r>
          </w:p>
          <w:p w14:paraId="3E98CE67" w14:textId="77777777" w:rsidR="00344306" w:rsidRPr="00BB2AEF" w:rsidRDefault="00344306" w:rsidP="00BB2AEF">
            <w:pPr>
              <w:tabs>
                <w:tab w:val="left" w:pos="5472"/>
              </w:tabs>
              <w:spacing w:before="100" w:beforeAutospacing="1" w:after="100" w:afterAutospacing="1" w:line="360" w:lineRule="auto"/>
              <w:rPr>
                <w:rFonts w:ascii="Arial" w:eastAsia="Times New Roman" w:hAnsi="Arial" w:cs="Arial"/>
                <w:color w:val="000000" w:themeColor="text1"/>
                <w:kern w:val="0"/>
                <w:lang w:eastAsia="en-GB"/>
                <w14:ligatures w14:val="none"/>
              </w:rPr>
            </w:pPr>
          </w:p>
        </w:tc>
      </w:tr>
    </w:tbl>
    <w:p w14:paraId="143B13E2" w14:textId="77777777" w:rsidR="00D20F6F" w:rsidRPr="00BB2AEF" w:rsidRDefault="00D20F6F" w:rsidP="00BB2AEF">
      <w:pPr>
        <w:tabs>
          <w:tab w:val="left" w:pos="5472"/>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7DBBEB3E" w14:textId="77777777" w:rsidR="00D20F6F" w:rsidRPr="00BB2AEF" w:rsidRDefault="00D20F6F"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1F8FB330" w14:textId="77777777" w:rsidR="00F02E6B" w:rsidRPr="00BB2AEF" w:rsidRDefault="00F02E6B" w:rsidP="00BB2AEF">
      <w:pPr>
        <w:spacing w:before="100" w:beforeAutospacing="1" w:after="100" w:afterAutospacing="1" w:line="360" w:lineRule="auto"/>
        <w:rPr>
          <w:rFonts w:ascii="Arial" w:hAnsi="Arial" w:cs="Arial"/>
          <w:color w:val="000000" w:themeColor="text1"/>
        </w:rPr>
      </w:pPr>
    </w:p>
    <w:p w14:paraId="058B615D" w14:textId="72DEC9EF" w:rsidR="009C01D8" w:rsidRPr="00BB2AEF" w:rsidRDefault="00A559BC" w:rsidP="00BB2AEF">
      <w:pPr>
        <w:spacing w:before="100" w:beforeAutospacing="1" w:after="100" w:afterAutospacing="1" w:line="360" w:lineRule="auto"/>
        <w:rPr>
          <w:rFonts w:ascii="Arial" w:hAnsi="Arial" w:cs="Arial"/>
          <w:b/>
          <w:bCs/>
          <w:color w:val="000000" w:themeColor="text1"/>
        </w:rPr>
      </w:pPr>
      <w:r w:rsidRPr="00BB2AEF">
        <w:rPr>
          <w:rFonts w:ascii="Arial" w:hAnsi="Arial" w:cs="Arial"/>
          <w:b/>
          <w:bCs/>
          <w:color w:val="000000" w:themeColor="text1"/>
        </w:rPr>
        <w:t>Appendix</w:t>
      </w:r>
      <w:r w:rsidR="00DD7FDF" w:rsidRPr="00BB2AEF">
        <w:rPr>
          <w:rFonts w:ascii="Arial" w:hAnsi="Arial" w:cs="Arial"/>
          <w:b/>
          <w:bCs/>
          <w:color w:val="000000" w:themeColor="text1"/>
        </w:rPr>
        <w:t xml:space="preserve"> B</w:t>
      </w:r>
      <w:r w:rsidRPr="00BB2AEF">
        <w:rPr>
          <w:rFonts w:ascii="Arial" w:hAnsi="Arial" w:cs="Arial"/>
          <w:b/>
          <w:bCs/>
          <w:color w:val="000000" w:themeColor="text1"/>
        </w:rPr>
        <w:t>:</w:t>
      </w:r>
      <w:r w:rsidR="009C01D8" w:rsidRPr="00BB2AEF">
        <w:rPr>
          <w:rFonts w:ascii="Arial" w:hAnsi="Arial" w:cs="Arial"/>
          <w:b/>
          <w:bCs/>
          <w:color w:val="000000" w:themeColor="text1"/>
        </w:rPr>
        <w:t xml:space="preserve"> Summary </w:t>
      </w:r>
      <w:r w:rsidR="00AD5595" w:rsidRPr="00BB2AEF">
        <w:rPr>
          <w:rFonts w:ascii="Arial" w:hAnsi="Arial" w:cs="Arial"/>
          <w:b/>
          <w:bCs/>
          <w:color w:val="000000" w:themeColor="text1"/>
        </w:rPr>
        <w:t>of Tracking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9"/>
        <w:gridCol w:w="4021"/>
      </w:tblGrid>
      <w:tr w:rsidR="00BB2AEF" w:rsidRPr="00BB2AEF" w14:paraId="4D8C2DC0" w14:textId="77777777" w:rsidTr="009F4CD9">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4B38A7" w14:textId="77777777" w:rsidR="009F4CD9" w:rsidRPr="00BB2AEF" w:rsidRDefault="009F4CD9" w:rsidP="00BB2AEF">
            <w:pPr>
              <w:spacing w:after="0"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Source Type</w:t>
            </w:r>
          </w:p>
        </w:tc>
        <w:tc>
          <w:tcPr>
            <w:tcW w:w="0" w:type="auto"/>
            <w:tcBorders>
              <w:top w:val="single" w:sz="4" w:space="0" w:color="auto"/>
              <w:left w:val="single" w:sz="4" w:space="0" w:color="auto"/>
              <w:bottom w:val="single" w:sz="4" w:space="0" w:color="auto"/>
              <w:right w:val="single" w:sz="4" w:space="0" w:color="auto"/>
            </w:tcBorders>
            <w:vAlign w:val="center"/>
            <w:hideMark/>
          </w:tcPr>
          <w:p w14:paraId="1DC945EC" w14:textId="77777777" w:rsidR="009F4CD9" w:rsidRPr="00BB2AEF" w:rsidRDefault="009F4CD9" w:rsidP="00BB2AEF">
            <w:pPr>
              <w:spacing w:after="0" w:line="360" w:lineRule="auto"/>
              <w:jc w:val="center"/>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Examples</w:t>
            </w:r>
          </w:p>
        </w:tc>
      </w:tr>
      <w:tr w:rsidR="00BB2AEF" w:rsidRPr="00BB2AEF" w14:paraId="0B0E55E2" w14:textId="77777777" w:rsidTr="009F4C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C3EF60" w14:textId="77777777" w:rsidR="009F4CD9" w:rsidRPr="00BB2AEF" w:rsidRDefault="009F4CD9"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Clinical Guidelines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8C2FA70" w14:textId="77777777" w:rsidR="009F4CD9" w:rsidRPr="00BB2AEF" w:rsidRDefault="009F4CD9"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NICE (2018); NHS England (2023)</w:t>
            </w:r>
          </w:p>
        </w:tc>
      </w:tr>
      <w:tr w:rsidR="00BB2AEF" w:rsidRPr="00BB2AEF" w14:paraId="72D7D74D" w14:textId="77777777" w:rsidTr="009F4C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001859C" w14:textId="77777777" w:rsidR="009F4CD9" w:rsidRPr="00BB2AEF" w:rsidRDefault="009F4CD9"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Peer-reviewed Studies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56F8897" w14:textId="77777777" w:rsidR="009F4CD9" w:rsidRPr="00BB2AEF" w:rsidRDefault="009F4CD9"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Cortese et al. (2018); Daley et al. (2020)</w:t>
            </w:r>
          </w:p>
        </w:tc>
      </w:tr>
      <w:tr w:rsidR="00BB2AEF" w:rsidRPr="00BB2AEF" w14:paraId="78EBD9FF" w14:textId="77777777" w:rsidTr="009F4C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D6BABFE" w14:textId="77777777" w:rsidR="009F4CD9" w:rsidRPr="00BB2AEF" w:rsidRDefault="009F4CD9"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Policy &amp; Public Health</w:t>
            </w:r>
          </w:p>
        </w:tc>
        <w:tc>
          <w:tcPr>
            <w:tcW w:w="0" w:type="auto"/>
            <w:tcBorders>
              <w:top w:val="single" w:sz="4" w:space="0" w:color="auto"/>
              <w:left w:val="single" w:sz="4" w:space="0" w:color="auto"/>
              <w:bottom w:val="single" w:sz="4" w:space="0" w:color="auto"/>
              <w:right w:val="single" w:sz="4" w:space="0" w:color="auto"/>
            </w:tcBorders>
            <w:vAlign w:val="center"/>
            <w:hideMark/>
          </w:tcPr>
          <w:p w14:paraId="06B21568" w14:textId="77777777" w:rsidR="009F4CD9" w:rsidRPr="00BB2AEF" w:rsidRDefault="009F4CD9"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NHS Digital (2024); WHO (2022)</w:t>
            </w:r>
          </w:p>
        </w:tc>
      </w:tr>
      <w:tr w:rsidR="00BB2AEF" w:rsidRPr="00BB2AEF" w14:paraId="628542C2" w14:textId="77777777" w:rsidTr="009F4C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16F3B7" w14:textId="77777777" w:rsidR="009F4CD9" w:rsidRPr="00BB2AEF" w:rsidRDefault="009F4CD9"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Theory</w:t>
            </w:r>
          </w:p>
        </w:tc>
        <w:tc>
          <w:tcPr>
            <w:tcW w:w="0" w:type="auto"/>
            <w:tcBorders>
              <w:top w:val="single" w:sz="4" w:space="0" w:color="auto"/>
              <w:left w:val="single" w:sz="4" w:space="0" w:color="auto"/>
              <w:bottom w:val="single" w:sz="4" w:space="0" w:color="auto"/>
              <w:right w:val="single" w:sz="4" w:space="0" w:color="auto"/>
            </w:tcBorders>
            <w:vAlign w:val="center"/>
            <w:hideMark/>
          </w:tcPr>
          <w:p w14:paraId="0A907280" w14:textId="77777777" w:rsidR="009F4CD9" w:rsidRPr="00BB2AEF" w:rsidRDefault="009F4CD9"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Barkley (1997); Bandura (1977)</w:t>
            </w:r>
          </w:p>
        </w:tc>
      </w:tr>
    </w:tbl>
    <w:p w14:paraId="2609D07B" w14:textId="77777777" w:rsidR="00067C8F" w:rsidRDefault="00067C8F" w:rsidP="00BB2AEF">
      <w:pPr>
        <w:spacing w:before="100" w:beforeAutospacing="1" w:after="100" w:afterAutospacing="1" w:line="360" w:lineRule="auto"/>
        <w:rPr>
          <w:rFonts w:ascii="Arial" w:hAnsi="Arial" w:cs="Arial"/>
          <w:b/>
          <w:bCs/>
          <w:color w:val="000000" w:themeColor="text1"/>
          <w:kern w:val="0"/>
          <w14:ligatures w14:val="none"/>
        </w:rPr>
      </w:pPr>
    </w:p>
    <w:p w14:paraId="2F0F8BEE" w14:textId="7640910F" w:rsidR="008A2CC9" w:rsidRPr="00BB2AEF" w:rsidRDefault="008A2CC9"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 xml:space="preserve">Introduction: </w:t>
      </w:r>
    </w:p>
    <w:p w14:paraId="4E045699" w14:textId="34A2D0E1" w:rsidR="008A2CC9" w:rsidRPr="00BB2AEF" w:rsidRDefault="00D25234" w:rsidP="00BB2AEF">
      <w:pPr>
        <w:spacing w:before="100" w:beforeAutospacing="1" w:after="100" w:afterAutospacing="1" w:line="360" w:lineRule="auto"/>
        <w:rPr>
          <w:rFonts w:ascii="Arial" w:hAnsi="Arial" w:cs="Arial"/>
          <w:color w:val="000000" w:themeColor="text1"/>
        </w:rPr>
      </w:pPr>
      <w:r w:rsidRPr="00BB2AEF">
        <w:rPr>
          <w:rFonts w:ascii="Arial" w:hAnsi="Arial" w:cs="Arial"/>
          <w:color w:val="000000" w:themeColor="text1"/>
        </w:rPr>
        <w:t xml:space="preserve">This chapter outlines the secondary, literature-based approach adopted for this study, expanding on the academic methodology poster by providing a detailed explanation of how </w:t>
      </w:r>
      <w:r w:rsidRPr="00BB2AEF">
        <w:rPr>
          <w:rFonts w:ascii="Arial" w:hAnsi="Arial" w:cs="Arial"/>
          <w:color w:val="000000" w:themeColor="text1"/>
        </w:rPr>
        <w:lastRenderedPageBreak/>
        <w:t>relevant sources were identified, selected, and analysed. It describes the search strategy, inclusion and exclusion criteria, and evaluation of source reliability to ensure methodological rigour. The research methods presented here are essential in identifying and critically analysing academic evidence that underpins the thematic findings discussed in Chapter Four. By doing so, this chapter ensures a transparent and systematic foundation for understanding the effectiveness and impact of ADHD medication on children and their families in the United Kingdom.</w:t>
      </w:r>
    </w:p>
    <w:p w14:paraId="230D6B38" w14:textId="26A02759" w:rsidR="00D25234" w:rsidRPr="00BB2AEF" w:rsidRDefault="007F393F" w:rsidP="00BB2AEF">
      <w:pPr>
        <w:spacing w:before="100" w:beforeAutospacing="1" w:after="100" w:afterAutospacing="1" w:line="360" w:lineRule="auto"/>
        <w:rPr>
          <w:rFonts w:ascii="Arial" w:hAnsi="Arial" w:cs="Arial"/>
          <w:b/>
          <w:bCs/>
          <w:color w:val="000000" w:themeColor="text1"/>
        </w:rPr>
      </w:pPr>
      <w:r w:rsidRPr="00BB2AEF">
        <w:rPr>
          <w:rFonts w:ascii="Arial" w:hAnsi="Arial" w:cs="Arial"/>
          <w:b/>
          <w:bCs/>
          <w:color w:val="000000" w:themeColor="text1"/>
        </w:rPr>
        <w:t>Search Strategy:</w:t>
      </w:r>
    </w:p>
    <w:p w14:paraId="5679DFF1" w14:textId="43DCAE86" w:rsidR="00D25234" w:rsidRPr="00BB2AEF" w:rsidRDefault="00A72EE3" w:rsidP="00BB2AEF">
      <w:pPr>
        <w:spacing w:before="100" w:beforeAutospacing="1" w:after="100" w:afterAutospacing="1" w:line="360" w:lineRule="auto"/>
        <w:rPr>
          <w:rFonts w:ascii="Arial" w:hAnsi="Arial" w:cs="Arial"/>
          <w:color w:val="000000" w:themeColor="text1"/>
        </w:rPr>
      </w:pPr>
      <w:r w:rsidRPr="00BB2AEF">
        <w:rPr>
          <w:rFonts w:ascii="Arial" w:hAnsi="Arial" w:cs="Arial"/>
          <w:color w:val="000000" w:themeColor="text1"/>
        </w:rPr>
        <w:t xml:space="preserve">The search strategy was developed using key terms drawn from the research title, including </w:t>
      </w:r>
      <w:r w:rsidRPr="00BB2AEF">
        <w:rPr>
          <w:rStyle w:val="Emphasis"/>
          <w:rFonts w:ascii="Arial" w:hAnsi="Arial" w:cs="Arial"/>
          <w:i w:val="0"/>
          <w:iCs w:val="0"/>
          <w:color w:val="000000" w:themeColor="text1"/>
        </w:rPr>
        <w:t>“ADHD,”</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“children,” “medication,” “treatment effectiveness</w:t>
      </w:r>
      <w:r w:rsidRPr="00BB2AEF">
        <w:rPr>
          <w:rStyle w:val="Emphasis"/>
          <w:rFonts w:ascii="Arial" w:hAnsi="Arial" w:cs="Arial"/>
          <w:color w:val="000000" w:themeColor="text1"/>
        </w:rPr>
        <w:t>,”</w:t>
      </w:r>
      <w:r w:rsidRPr="00BB2AEF">
        <w:rPr>
          <w:rFonts w:ascii="Arial" w:hAnsi="Arial" w:cs="Arial"/>
          <w:color w:val="000000" w:themeColor="text1"/>
        </w:rPr>
        <w:t xml:space="preserve"> and </w:t>
      </w:r>
      <w:r w:rsidRPr="00BB2AEF">
        <w:rPr>
          <w:rStyle w:val="Emphasis"/>
          <w:rFonts w:ascii="Arial" w:hAnsi="Arial" w:cs="Arial"/>
          <w:color w:val="000000" w:themeColor="text1"/>
        </w:rPr>
        <w:t>“</w:t>
      </w:r>
      <w:r w:rsidRPr="00BB2AEF">
        <w:rPr>
          <w:rStyle w:val="Emphasis"/>
          <w:rFonts w:ascii="Arial" w:hAnsi="Arial" w:cs="Arial"/>
          <w:i w:val="0"/>
          <w:iCs w:val="0"/>
          <w:color w:val="000000" w:themeColor="text1"/>
        </w:rPr>
        <w:t>family</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impact</w:t>
      </w:r>
      <w:r w:rsidRPr="00BB2AEF">
        <w:rPr>
          <w:rStyle w:val="Emphasis"/>
          <w:rFonts w:ascii="Arial" w:hAnsi="Arial" w:cs="Arial"/>
          <w:color w:val="000000" w:themeColor="text1"/>
        </w:rPr>
        <w:t>.”</w:t>
      </w:r>
      <w:r w:rsidRPr="00BB2AEF">
        <w:rPr>
          <w:rFonts w:ascii="Arial" w:hAnsi="Arial" w:cs="Arial"/>
          <w:color w:val="000000" w:themeColor="text1"/>
        </w:rPr>
        <w:t xml:space="preserve"> Professional and technical synonyms such as </w:t>
      </w:r>
      <w:r w:rsidRPr="00BB2AEF">
        <w:rPr>
          <w:rStyle w:val="Emphasis"/>
          <w:rFonts w:ascii="Arial" w:hAnsi="Arial" w:cs="Arial"/>
          <w:i w:val="0"/>
          <w:iCs w:val="0"/>
          <w:color w:val="000000" w:themeColor="text1"/>
        </w:rPr>
        <w:t>“Attention Deficit</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Hyperactivity Disorder,”</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pharmacological</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treatment</w:t>
      </w:r>
      <w:r w:rsidRPr="00BB2AEF">
        <w:rPr>
          <w:rStyle w:val="Emphasis"/>
          <w:rFonts w:ascii="Arial" w:hAnsi="Arial" w:cs="Arial"/>
          <w:color w:val="000000" w:themeColor="text1"/>
        </w:rPr>
        <w:t>,”</w:t>
      </w:r>
      <w:r w:rsidRPr="00BB2AEF">
        <w:rPr>
          <w:rFonts w:ascii="Arial" w:hAnsi="Arial" w:cs="Arial"/>
          <w:color w:val="000000" w:themeColor="text1"/>
        </w:rPr>
        <w:t xml:space="preserve"> and </w:t>
      </w:r>
      <w:r w:rsidRPr="00BB2AEF">
        <w:rPr>
          <w:rStyle w:val="Emphasis"/>
          <w:rFonts w:ascii="Arial" w:hAnsi="Arial" w:cs="Arial"/>
          <w:color w:val="000000" w:themeColor="text1"/>
        </w:rPr>
        <w:t>“</w:t>
      </w:r>
      <w:r w:rsidRPr="00BB2AEF">
        <w:rPr>
          <w:rStyle w:val="Emphasis"/>
          <w:rFonts w:ascii="Arial" w:hAnsi="Arial" w:cs="Arial"/>
          <w:i w:val="0"/>
          <w:iCs w:val="0"/>
          <w:color w:val="000000" w:themeColor="text1"/>
        </w:rPr>
        <w:t>stimulant</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therapy</w:t>
      </w:r>
      <w:r w:rsidRPr="00BB2AEF">
        <w:rPr>
          <w:rStyle w:val="Emphasis"/>
          <w:rFonts w:ascii="Arial" w:hAnsi="Arial" w:cs="Arial"/>
          <w:color w:val="000000" w:themeColor="text1"/>
        </w:rPr>
        <w:t>”</w:t>
      </w:r>
      <w:r w:rsidRPr="00BB2AEF">
        <w:rPr>
          <w:rFonts w:ascii="Arial" w:hAnsi="Arial" w:cs="Arial"/>
          <w:color w:val="000000" w:themeColor="text1"/>
        </w:rPr>
        <w:t xml:space="preserve"> were also incorporated to capture a wider range of literature. Boolean operators were applied to refine searches, for example </w:t>
      </w:r>
      <w:r w:rsidRPr="00BB2AEF">
        <w:rPr>
          <w:rStyle w:val="Emphasis"/>
          <w:rFonts w:ascii="Arial" w:hAnsi="Arial" w:cs="Arial"/>
          <w:i w:val="0"/>
          <w:iCs w:val="0"/>
          <w:color w:val="000000" w:themeColor="text1"/>
        </w:rPr>
        <w:t>ADHD</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AND</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medication</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AND</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children</w:t>
      </w:r>
      <w:r w:rsidRPr="00BB2AEF">
        <w:rPr>
          <w:rFonts w:ascii="Arial" w:hAnsi="Arial" w:cs="Arial"/>
          <w:color w:val="000000" w:themeColor="text1"/>
        </w:rPr>
        <w:t xml:space="preserve"> and </w:t>
      </w:r>
      <w:r w:rsidRPr="00BB2AEF">
        <w:rPr>
          <w:rStyle w:val="Emphasis"/>
          <w:rFonts w:ascii="Arial" w:hAnsi="Arial" w:cs="Arial"/>
          <w:i w:val="0"/>
          <w:iCs w:val="0"/>
          <w:color w:val="000000" w:themeColor="text1"/>
        </w:rPr>
        <w:t>ADHD</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OR</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Attention Deficit Hyperactivity Disorder</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NOT</w:t>
      </w:r>
      <w:r w:rsidRPr="00BB2AEF">
        <w:rPr>
          <w:rStyle w:val="Emphasis"/>
          <w:rFonts w:ascii="Arial" w:hAnsi="Arial" w:cs="Arial"/>
          <w:color w:val="000000" w:themeColor="text1"/>
        </w:rPr>
        <w:t xml:space="preserve"> </w:t>
      </w:r>
      <w:r w:rsidRPr="00BB2AEF">
        <w:rPr>
          <w:rStyle w:val="Emphasis"/>
          <w:rFonts w:ascii="Arial" w:hAnsi="Arial" w:cs="Arial"/>
          <w:i w:val="0"/>
          <w:iCs w:val="0"/>
          <w:color w:val="000000" w:themeColor="text1"/>
        </w:rPr>
        <w:t>adults</w:t>
      </w:r>
      <w:r w:rsidRPr="00BB2AEF">
        <w:rPr>
          <w:rFonts w:ascii="Arial" w:hAnsi="Arial" w:cs="Arial"/>
          <w:i/>
          <w:iCs/>
          <w:color w:val="000000" w:themeColor="text1"/>
        </w:rPr>
        <w:t>.</w:t>
      </w:r>
      <w:r w:rsidRPr="00BB2AEF">
        <w:rPr>
          <w:rFonts w:ascii="Arial" w:hAnsi="Arial" w:cs="Arial"/>
          <w:color w:val="000000" w:themeColor="text1"/>
        </w:rPr>
        <w:t xml:space="preserve"> Searches were conducted through academic databases including </w:t>
      </w:r>
      <w:r w:rsidRPr="00BB2AEF">
        <w:rPr>
          <w:rStyle w:val="Strong"/>
          <w:rFonts w:ascii="Arial" w:hAnsi="Arial" w:cs="Arial"/>
          <w:b w:val="0"/>
          <w:bCs w:val="0"/>
          <w:color w:val="000000" w:themeColor="text1"/>
        </w:rPr>
        <w:t>PubMed</w:t>
      </w:r>
      <w:r w:rsidRPr="00BB2AEF">
        <w:rPr>
          <w:rFonts w:ascii="Arial" w:hAnsi="Arial" w:cs="Arial"/>
          <w:color w:val="000000" w:themeColor="text1"/>
        </w:rPr>
        <w:t xml:space="preserve">, </w:t>
      </w:r>
      <w:r w:rsidRPr="00BB2AEF">
        <w:rPr>
          <w:rStyle w:val="Strong"/>
          <w:rFonts w:ascii="Arial" w:hAnsi="Arial" w:cs="Arial"/>
          <w:b w:val="0"/>
          <w:bCs w:val="0"/>
          <w:color w:val="000000" w:themeColor="text1"/>
        </w:rPr>
        <w:t>PsycINFO</w:t>
      </w:r>
      <w:r w:rsidRPr="00BB2AEF">
        <w:rPr>
          <w:rFonts w:ascii="Arial" w:hAnsi="Arial" w:cs="Arial"/>
          <w:color w:val="000000" w:themeColor="text1"/>
        </w:rPr>
        <w:t xml:space="preserve">, and </w:t>
      </w:r>
      <w:r w:rsidRPr="00BB2AEF">
        <w:rPr>
          <w:rStyle w:val="Strong"/>
          <w:rFonts w:ascii="Arial" w:hAnsi="Arial" w:cs="Arial"/>
          <w:b w:val="0"/>
          <w:bCs w:val="0"/>
          <w:color w:val="000000" w:themeColor="text1"/>
        </w:rPr>
        <w:t>Google</w:t>
      </w:r>
      <w:r w:rsidRPr="00BB2AEF">
        <w:rPr>
          <w:rStyle w:val="Strong"/>
          <w:rFonts w:ascii="Arial" w:hAnsi="Arial" w:cs="Arial"/>
          <w:color w:val="000000" w:themeColor="text1"/>
        </w:rPr>
        <w:t xml:space="preserve"> </w:t>
      </w:r>
      <w:r w:rsidRPr="00BB2AEF">
        <w:rPr>
          <w:rStyle w:val="Strong"/>
          <w:rFonts w:ascii="Arial" w:hAnsi="Arial" w:cs="Arial"/>
          <w:b w:val="0"/>
          <w:bCs w:val="0"/>
          <w:color w:val="000000" w:themeColor="text1"/>
        </w:rPr>
        <w:t>Scholar</w:t>
      </w:r>
      <w:r w:rsidRPr="00BB2AEF">
        <w:rPr>
          <w:rFonts w:ascii="Arial" w:hAnsi="Arial" w:cs="Arial"/>
          <w:color w:val="000000" w:themeColor="text1"/>
        </w:rPr>
        <w:t>, ensuring the retrieval of credible, peer-reviewed, and relevant sources. All search combinations were recorded to maintain transparency and reproducibility.</w:t>
      </w:r>
    </w:p>
    <w:p w14:paraId="666A69AF" w14:textId="7CBEF5C6" w:rsidR="00BF3EAF" w:rsidRPr="00BB2AEF" w:rsidRDefault="00451138" w:rsidP="00BB2AEF">
      <w:pPr>
        <w:spacing w:before="100" w:beforeAutospacing="1" w:after="100" w:afterAutospacing="1" w:line="360" w:lineRule="auto"/>
        <w:rPr>
          <w:rFonts w:ascii="Arial" w:hAnsi="Arial" w:cs="Arial"/>
          <w:b/>
          <w:bCs/>
          <w:color w:val="000000" w:themeColor="text1"/>
        </w:rPr>
      </w:pPr>
      <w:r w:rsidRPr="00BB2AEF">
        <w:rPr>
          <w:rFonts w:ascii="Arial" w:hAnsi="Arial" w:cs="Arial"/>
          <w:b/>
          <w:bCs/>
          <w:color w:val="000000" w:themeColor="text1"/>
        </w:rPr>
        <w:t>Searching for Information:</w:t>
      </w:r>
    </w:p>
    <w:p w14:paraId="1855FD1F" w14:textId="161EE8DF" w:rsidR="00763136" w:rsidRPr="00BB2AEF" w:rsidRDefault="00C73288"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To</w:t>
      </w:r>
      <w:r w:rsidR="00763136" w:rsidRPr="00BB2AEF">
        <w:rPr>
          <w:rFonts w:ascii="Arial" w:hAnsi="Arial" w:cs="Arial"/>
          <w:color w:val="000000" w:themeColor="text1"/>
          <w:sz w:val="22"/>
          <w:szCs w:val="22"/>
        </w:rPr>
        <w:t xml:space="preserve"> locate relevant and reliable academic material, searches were undertaken across several databases and platforms, including </w:t>
      </w:r>
      <w:r w:rsidR="00763136" w:rsidRPr="00BB2AEF">
        <w:rPr>
          <w:rStyle w:val="Strong"/>
          <w:rFonts w:ascii="Arial" w:eastAsiaTheme="majorEastAsia" w:hAnsi="Arial" w:cs="Arial"/>
          <w:b w:val="0"/>
          <w:bCs w:val="0"/>
          <w:color w:val="000000" w:themeColor="text1"/>
          <w:sz w:val="22"/>
          <w:szCs w:val="22"/>
        </w:rPr>
        <w:t>PubMed</w:t>
      </w:r>
      <w:r w:rsidR="00763136" w:rsidRPr="00BB2AEF">
        <w:rPr>
          <w:rFonts w:ascii="Arial" w:hAnsi="Arial" w:cs="Arial"/>
          <w:b/>
          <w:bCs/>
          <w:color w:val="000000" w:themeColor="text1"/>
          <w:sz w:val="22"/>
          <w:szCs w:val="22"/>
        </w:rPr>
        <w:t xml:space="preserve">, </w:t>
      </w:r>
      <w:r w:rsidR="00763136" w:rsidRPr="00BB2AEF">
        <w:rPr>
          <w:rStyle w:val="Strong"/>
          <w:rFonts w:ascii="Arial" w:eastAsiaTheme="majorEastAsia" w:hAnsi="Arial" w:cs="Arial"/>
          <w:b w:val="0"/>
          <w:bCs w:val="0"/>
          <w:color w:val="000000" w:themeColor="text1"/>
          <w:sz w:val="22"/>
          <w:szCs w:val="22"/>
        </w:rPr>
        <w:t>PsycINFO</w:t>
      </w:r>
      <w:r w:rsidR="00763136" w:rsidRPr="00BB2AEF">
        <w:rPr>
          <w:rFonts w:ascii="Arial" w:hAnsi="Arial" w:cs="Arial"/>
          <w:b/>
          <w:bCs/>
          <w:color w:val="000000" w:themeColor="text1"/>
          <w:sz w:val="22"/>
          <w:szCs w:val="22"/>
        </w:rPr>
        <w:t xml:space="preserve">, </w:t>
      </w:r>
      <w:r w:rsidR="00763136" w:rsidRPr="00BB2AEF">
        <w:rPr>
          <w:rStyle w:val="Strong"/>
          <w:rFonts w:ascii="Arial" w:eastAsiaTheme="majorEastAsia" w:hAnsi="Arial" w:cs="Arial"/>
          <w:b w:val="0"/>
          <w:bCs w:val="0"/>
          <w:color w:val="000000" w:themeColor="text1"/>
          <w:sz w:val="22"/>
          <w:szCs w:val="22"/>
        </w:rPr>
        <w:t>Google Scholar</w:t>
      </w:r>
      <w:r w:rsidR="00763136" w:rsidRPr="00BB2AEF">
        <w:rPr>
          <w:rFonts w:ascii="Arial" w:hAnsi="Arial" w:cs="Arial"/>
          <w:color w:val="000000" w:themeColor="text1"/>
          <w:sz w:val="22"/>
          <w:szCs w:val="22"/>
        </w:rPr>
        <w:t>, and the</w:t>
      </w:r>
      <w:r w:rsidR="00763136" w:rsidRPr="00BB2AEF">
        <w:rPr>
          <w:rFonts w:ascii="Arial" w:hAnsi="Arial" w:cs="Arial"/>
          <w:b/>
          <w:bCs/>
          <w:color w:val="000000" w:themeColor="text1"/>
          <w:sz w:val="22"/>
          <w:szCs w:val="22"/>
        </w:rPr>
        <w:t xml:space="preserve"> </w:t>
      </w:r>
      <w:r w:rsidR="00763136" w:rsidRPr="00BB2AEF">
        <w:rPr>
          <w:rStyle w:val="Strong"/>
          <w:rFonts w:ascii="Arial" w:eastAsiaTheme="majorEastAsia" w:hAnsi="Arial" w:cs="Arial"/>
          <w:b w:val="0"/>
          <w:bCs w:val="0"/>
          <w:color w:val="000000" w:themeColor="text1"/>
          <w:sz w:val="22"/>
          <w:szCs w:val="22"/>
        </w:rPr>
        <w:t>University of Wales Trinity Saint David (UWTSD) Library database</w:t>
      </w:r>
      <w:r w:rsidR="00763136" w:rsidRPr="00BB2AEF">
        <w:rPr>
          <w:rFonts w:ascii="Arial" w:hAnsi="Arial" w:cs="Arial"/>
          <w:color w:val="000000" w:themeColor="text1"/>
          <w:sz w:val="22"/>
          <w:szCs w:val="22"/>
        </w:rPr>
        <w:t>. These databases were selected for their credibility, peer-reviewed content, and comprehensive coverage of health, psychology, and education disciplines. PubMed was particularly useful for accessing medical and pharmacological studies, while PsycINFO provided a psychological and behavioural perspective relevant to family and child development.</w:t>
      </w:r>
    </w:p>
    <w:p w14:paraId="35DC53CC" w14:textId="77777777" w:rsidR="00763136" w:rsidRPr="00BB2AEF" w:rsidRDefault="00763136"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A range of filters was applied to refine search results and ensure academic rigour. The search was restricted to literature published between </w:t>
      </w:r>
      <w:r w:rsidRPr="00BB2AEF">
        <w:rPr>
          <w:rStyle w:val="Strong"/>
          <w:rFonts w:ascii="Arial" w:eastAsiaTheme="majorEastAsia" w:hAnsi="Arial" w:cs="Arial"/>
          <w:b w:val="0"/>
          <w:bCs w:val="0"/>
          <w:color w:val="000000" w:themeColor="text1"/>
          <w:sz w:val="22"/>
          <w:szCs w:val="22"/>
        </w:rPr>
        <w:t>2015 and 2025</w:t>
      </w:r>
      <w:r w:rsidRPr="00BB2AEF">
        <w:rPr>
          <w:rFonts w:ascii="Arial" w:hAnsi="Arial" w:cs="Arial"/>
          <w:color w:val="000000" w:themeColor="text1"/>
          <w:sz w:val="22"/>
          <w:szCs w:val="22"/>
        </w:rPr>
        <w:t xml:space="preserve">, capturing the most recent evidence concerning ADHD medication and its effects on children and families. Additional filters included </w:t>
      </w:r>
      <w:r w:rsidRPr="00BB2AEF">
        <w:rPr>
          <w:rStyle w:val="Strong"/>
          <w:rFonts w:ascii="Arial" w:eastAsiaTheme="majorEastAsia" w:hAnsi="Arial" w:cs="Arial"/>
          <w:b w:val="0"/>
          <w:bCs w:val="0"/>
          <w:color w:val="000000" w:themeColor="text1"/>
          <w:sz w:val="22"/>
          <w:szCs w:val="22"/>
        </w:rPr>
        <w:t>peer-reviewed publications</w:t>
      </w:r>
      <w:r w:rsidRPr="00BB2AEF">
        <w:rPr>
          <w:rFonts w:ascii="Arial"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English</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language</w:t>
      </w:r>
      <w:r w:rsidRPr="00BB2AEF">
        <w:rPr>
          <w:rFonts w:ascii="Arial" w:hAnsi="Arial" w:cs="Arial"/>
          <w:color w:val="000000" w:themeColor="text1"/>
          <w:sz w:val="22"/>
          <w:szCs w:val="22"/>
        </w:rPr>
        <w:t xml:space="preserve">, and a </w:t>
      </w:r>
      <w:r w:rsidRPr="00BB2AEF">
        <w:rPr>
          <w:rStyle w:val="Strong"/>
          <w:rFonts w:ascii="Arial" w:eastAsiaTheme="majorEastAsia" w:hAnsi="Arial" w:cs="Arial"/>
          <w:b w:val="0"/>
          <w:bCs w:val="0"/>
          <w:color w:val="000000" w:themeColor="text1"/>
          <w:sz w:val="22"/>
          <w:szCs w:val="22"/>
        </w:rPr>
        <w:t>United Kingdom focus</w:t>
      </w:r>
      <w:r w:rsidRPr="00BB2AEF">
        <w:rPr>
          <w:rFonts w:ascii="Arial" w:hAnsi="Arial" w:cs="Arial"/>
          <w:color w:val="000000" w:themeColor="text1"/>
          <w:sz w:val="22"/>
          <w:szCs w:val="22"/>
        </w:rPr>
        <w:t>, which ensured the material reflected national policy and practice.</w:t>
      </w:r>
    </w:p>
    <w:p w14:paraId="41DC7ED1" w14:textId="55B2FE26" w:rsidR="005017F3" w:rsidRPr="00BB2AEF" w:rsidRDefault="00763136" w:rsidP="00BB2AEF">
      <w:pPr>
        <w:pStyle w:val="NormalWeb"/>
        <w:spacing w:line="360" w:lineRule="auto"/>
        <w:rPr>
          <w:rFonts w:ascii="Arial" w:hAnsi="Arial" w:cs="Arial"/>
          <w:i/>
          <w:iCs/>
          <w:color w:val="000000" w:themeColor="text1"/>
          <w:sz w:val="22"/>
          <w:szCs w:val="22"/>
        </w:rPr>
      </w:pPr>
      <w:r w:rsidRPr="00BB2AEF">
        <w:rPr>
          <w:rFonts w:ascii="Arial" w:hAnsi="Arial" w:cs="Arial"/>
          <w:color w:val="000000" w:themeColor="text1"/>
          <w:sz w:val="22"/>
          <w:szCs w:val="22"/>
        </w:rPr>
        <w:t>The search process evolved as key terms and Boolean operators were refined to exclude irrelevant material and strengthen accuracy</w:t>
      </w:r>
      <w:r w:rsidRPr="00BB2AEF">
        <w:rPr>
          <w:rFonts w:ascii="Arial" w:hAnsi="Arial" w:cs="Arial"/>
          <w:i/>
          <w:iCs/>
          <w:color w:val="000000" w:themeColor="text1"/>
          <w:sz w:val="22"/>
          <w:szCs w:val="22"/>
        </w:rPr>
        <w:t>.</w:t>
      </w:r>
      <w:r w:rsidR="005017F3" w:rsidRPr="00BB2AEF">
        <w:rPr>
          <w:rStyle w:val="Heading2Char"/>
          <w:rFonts w:ascii="Arial" w:hAnsi="Arial" w:cs="Arial"/>
          <w:i/>
          <w:iCs/>
          <w:color w:val="000000" w:themeColor="text1"/>
          <w:sz w:val="22"/>
          <w:szCs w:val="22"/>
        </w:rPr>
        <w:t xml:space="preserve"> </w:t>
      </w:r>
      <w:r w:rsidR="005017F3" w:rsidRPr="00BB2AEF">
        <w:rPr>
          <w:rStyle w:val="Emphasis"/>
          <w:rFonts w:ascii="Arial" w:eastAsiaTheme="majorEastAsia" w:hAnsi="Arial" w:cs="Arial"/>
          <w:i w:val="0"/>
          <w:iCs w:val="0"/>
          <w:color w:val="000000" w:themeColor="text1"/>
          <w:sz w:val="22"/>
          <w:szCs w:val="22"/>
        </w:rPr>
        <w:t xml:space="preserve">A Source Tracking Table was developed to </w:t>
      </w:r>
      <w:r w:rsidR="005017F3" w:rsidRPr="00BB2AEF">
        <w:rPr>
          <w:rStyle w:val="Emphasis"/>
          <w:rFonts w:ascii="Arial" w:eastAsiaTheme="majorEastAsia" w:hAnsi="Arial" w:cs="Arial"/>
          <w:i w:val="0"/>
          <w:iCs w:val="0"/>
          <w:color w:val="000000" w:themeColor="text1"/>
          <w:sz w:val="22"/>
          <w:szCs w:val="22"/>
        </w:rPr>
        <w:lastRenderedPageBreak/>
        <w:t>record search combinations, screening decisions, and source evaluations. This is presented in Appendix A, with a summary provided in Appendix B to support transparency and replicability.</w:t>
      </w:r>
    </w:p>
    <w:p w14:paraId="6087822A" w14:textId="42F9FFC7" w:rsidR="00763136" w:rsidRPr="00BB2AEF" w:rsidRDefault="00763136"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 </w:t>
      </w:r>
    </w:p>
    <w:p w14:paraId="5B1F2AF9" w14:textId="7BE303ED" w:rsidR="00763136" w:rsidRPr="00BB2AEF" w:rsidRDefault="0087758F"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Search Validation:</w:t>
      </w:r>
    </w:p>
    <w:p w14:paraId="3FC2AEC9" w14:textId="77777777" w:rsidR="001714DB" w:rsidRPr="00BB2AEF" w:rsidRDefault="001714DB"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To ensure the credibility and relevance of the selected literature, each source was systematically screened using </w:t>
      </w:r>
      <w:r w:rsidRPr="00BB2AEF">
        <w:rPr>
          <w:rStyle w:val="Strong"/>
          <w:rFonts w:ascii="Arial" w:eastAsiaTheme="majorEastAsia" w:hAnsi="Arial" w:cs="Arial"/>
          <w:b w:val="0"/>
          <w:bCs w:val="0"/>
          <w:color w:val="000000" w:themeColor="text1"/>
          <w:sz w:val="22"/>
          <w:szCs w:val="22"/>
        </w:rPr>
        <w:t>skimming</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techniques</w:t>
      </w:r>
      <w:r w:rsidRPr="00BB2AEF">
        <w:rPr>
          <w:rFonts w:ascii="Arial" w:hAnsi="Arial" w:cs="Arial"/>
          <w:color w:val="000000" w:themeColor="text1"/>
          <w:sz w:val="22"/>
          <w:szCs w:val="22"/>
        </w:rPr>
        <w:t>, focusing on titles, abstracts, introductions, and conclusions to confirm its connection to ADHD medication, child wellbeing, and family experience within the UK context.</w:t>
      </w:r>
    </w:p>
    <w:p w14:paraId="2AB81CF4" w14:textId="77777777" w:rsidR="001714DB" w:rsidRPr="00BB2AEF" w:rsidRDefault="001714DB"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The </w:t>
      </w:r>
      <w:r w:rsidRPr="00BB2AEF">
        <w:rPr>
          <w:rStyle w:val="Strong"/>
          <w:rFonts w:ascii="Arial" w:eastAsiaTheme="majorEastAsia" w:hAnsi="Arial" w:cs="Arial"/>
          <w:b w:val="0"/>
          <w:bCs w:val="0"/>
          <w:color w:val="000000" w:themeColor="text1"/>
          <w:sz w:val="22"/>
          <w:szCs w:val="22"/>
        </w:rPr>
        <w:t>CRAAP</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test</w:t>
      </w:r>
      <w:r w:rsidRPr="00BB2AEF">
        <w:rPr>
          <w:rFonts w:ascii="Arial" w:hAnsi="Arial" w:cs="Arial"/>
          <w:color w:val="000000" w:themeColor="text1"/>
          <w:sz w:val="22"/>
          <w:szCs w:val="22"/>
        </w:rPr>
        <w:t xml:space="preserve">—evaluating </w:t>
      </w:r>
      <w:r w:rsidRPr="00BB2AEF">
        <w:rPr>
          <w:rStyle w:val="Strong"/>
          <w:rFonts w:ascii="Arial" w:eastAsiaTheme="majorEastAsia" w:hAnsi="Arial" w:cs="Arial"/>
          <w:b w:val="0"/>
          <w:bCs w:val="0"/>
          <w:color w:val="000000" w:themeColor="text1"/>
          <w:sz w:val="22"/>
          <w:szCs w:val="22"/>
        </w:rPr>
        <w:t>Currency,</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Relevance</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Authority,</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Accuracy</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and</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Purpose</w:t>
      </w:r>
      <w:r w:rsidRPr="00BB2AEF">
        <w:rPr>
          <w:rFonts w:ascii="Arial" w:hAnsi="Arial" w:cs="Arial"/>
          <w:color w:val="000000" w:themeColor="text1"/>
          <w:sz w:val="22"/>
          <w:szCs w:val="22"/>
        </w:rPr>
        <w:t xml:space="preserve">—was applied to all sources, with results recorded in the </w:t>
      </w:r>
      <w:r w:rsidRPr="00BB2AEF">
        <w:rPr>
          <w:rStyle w:val="Strong"/>
          <w:rFonts w:ascii="Arial" w:eastAsiaTheme="majorEastAsia" w:hAnsi="Arial" w:cs="Arial"/>
          <w:b w:val="0"/>
          <w:bCs w:val="0"/>
          <w:color w:val="000000" w:themeColor="text1"/>
          <w:sz w:val="22"/>
          <w:szCs w:val="22"/>
        </w:rPr>
        <w:t>Source</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Tracking</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Table</w:t>
      </w:r>
      <w:r w:rsidRPr="00BB2AEF">
        <w:rPr>
          <w:rFonts w:ascii="Arial" w:hAnsi="Arial" w:cs="Arial"/>
          <w:color w:val="000000" w:themeColor="text1"/>
          <w:sz w:val="22"/>
          <w:szCs w:val="22"/>
        </w:rPr>
        <w:t xml:space="preserve"> (see Appendix A). The </w:t>
      </w:r>
      <w:r w:rsidRPr="00BB2AEF">
        <w:rPr>
          <w:rStyle w:val="Strong"/>
          <w:rFonts w:ascii="Arial" w:eastAsiaTheme="majorEastAsia" w:hAnsi="Arial" w:cs="Arial"/>
          <w:b w:val="0"/>
          <w:bCs w:val="0"/>
          <w:color w:val="000000" w:themeColor="text1"/>
          <w:sz w:val="22"/>
          <w:szCs w:val="22"/>
        </w:rPr>
        <w:t>CTRL</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w:t>
      </w:r>
      <w:r w:rsidRPr="00BB2AEF">
        <w:rPr>
          <w:rStyle w:val="Strong"/>
          <w:rFonts w:ascii="Arial" w:eastAsiaTheme="majorEastAsia" w:hAnsi="Arial" w:cs="Arial"/>
          <w:color w:val="000000" w:themeColor="text1"/>
          <w:sz w:val="22"/>
          <w:szCs w:val="22"/>
        </w:rPr>
        <w:t xml:space="preserve"> </w:t>
      </w:r>
      <w:r w:rsidRPr="00BB2AEF">
        <w:rPr>
          <w:rStyle w:val="Strong"/>
          <w:rFonts w:ascii="Arial" w:eastAsiaTheme="majorEastAsia" w:hAnsi="Arial" w:cs="Arial"/>
          <w:b w:val="0"/>
          <w:bCs w:val="0"/>
          <w:color w:val="000000" w:themeColor="text1"/>
          <w:sz w:val="22"/>
          <w:szCs w:val="22"/>
        </w:rPr>
        <w:t>F</w:t>
      </w:r>
      <w:r w:rsidRPr="00BB2AEF">
        <w:rPr>
          <w:rFonts w:ascii="Arial" w:hAnsi="Arial" w:cs="Arial"/>
          <w:color w:val="000000" w:themeColor="text1"/>
          <w:sz w:val="22"/>
          <w:szCs w:val="22"/>
        </w:rPr>
        <w:t xml:space="preserve"> function was also used to efficiently locate key details such as publication dates, author credentials, and stated aims, ensuring consistency and transparency in the validation process.</w:t>
      </w:r>
    </w:p>
    <w:p w14:paraId="743B7E80" w14:textId="04CD83EF" w:rsidR="001714DB" w:rsidRDefault="001714DB" w:rsidP="00B2649F">
      <w:pPr>
        <w:spacing w:after="0" w:line="360" w:lineRule="auto"/>
        <w:rPr>
          <w:rFonts w:ascii="Arial" w:hAnsi="Arial" w:cs="Arial"/>
          <w:color w:val="000000" w:themeColor="text1"/>
        </w:rPr>
      </w:pPr>
      <w:r w:rsidRPr="00BB2AEF">
        <w:rPr>
          <w:rFonts w:ascii="Arial" w:hAnsi="Arial" w:cs="Arial"/>
          <w:color w:val="000000" w:themeColor="text1"/>
        </w:rPr>
        <w:t xml:space="preserve">Priority was given to </w:t>
      </w:r>
      <w:r w:rsidRPr="00BB2AEF">
        <w:rPr>
          <w:rStyle w:val="Strong"/>
          <w:rFonts w:ascii="Arial" w:hAnsi="Arial" w:cs="Arial"/>
          <w:b w:val="0"/>
          <w:bCs w:val="0"/>
          <w:color w:val="000000" w:themeColor="text1"/>
        </w:rPr>
        <w:t>contemporary</w:t>
      </w:r>
      <w:r w:rsidRPr="00BB2AEF">
        <w:rPr>
          <w:rStyle w:val="Strong"/>
          <w:rFonts w:ascii="Arial" w:hAnsi="Arial" w:cs="Arial"/>
          <w:color w:val="000000" w:themeColor="text1"/>
        </w:rPr>
        <w:t xml:space="preserve">, </w:t>
      </w:r>
      <w:r w:rsidRPr="00BB2AEF">
        <w:rPr>
          <w:rStyle w:val="Strong"/>
          <w:rFonts w:ascii="Arial" w:hAnsi="Arial" w:cs="Arial"/>
          <w:b w:val="0"/>
          <w:bCs w:val="0"/>
          <w:color w:val="000000" w:themeColor="text1"/>
        </w:rPr>
        <w:t>peer-reviewed</w:t>
      </w:r>
      <w:r w:rsidRPr="00BB2AEF">
        <w:rPr>
          <w:rStyle w:val="Strong"/>
          <w:rFonts w:ascii="Arial" w:hAnsi="Arial" w:cs="Arial"/>
          <w:color w:val="000000" w:themeColor="text1"/>
        </w:rPr>
        <w:t xml:space="preserve">, </w:t>
      </w:r>
      <w:r w:rsidRPr="00BB2AEF">
        <w:rPr>
          <w:rStyle w:val="Strong"/>
          <w:rFonts w:ascii="Arial" w:hAnsi="Arial" w:cs="Arial"/>
          <w:b w:val="0"/>
          <w:bCs w:val="0"/>
          <w:color w:val="000000" w:themeColor="text1"/>
        </w:rPr>
        <w:t>and</w:t>
      </w:r>
      <w:r w:rsidRPr="00BB2AEF">
        <w:rPr>
          <w:rStyle w:val="Strong"/>
          <w:rFonts w:ascii="Arial" w:hAnsi="Arial" w:cs="Arial"/>
          <w:color w:val="000000" w:themeColor="text1"/>
        </w:rPr>
        <w:t xml:space="preserve"> </w:t>
      </w:r>
      <w:r w:rsidRPr="00BB2AEF">
        <w:rPr>
          <w:rStyle w:val="Strong"/>
          <w:rFonts w:ascii="Arial" w:hAnsi="Arial" w:cs="Arial"/>
          <w:b w:val="0"/>
          <w:bCs w:val="0"/>
          <w:color w:val="000000" w:themeColor="text1"/>
        </w:rPr>
        <w:t>policy-based</w:t>
      </w:r>
      <w:r w:rsidRPr="00BB2AEF">
        <w:rPr>
          <w:rStyle w:val="Strong"/>
          <w:rFonts w:ascii="Arial" w:hAnsi="Arial" w:cs="Arial"/>
          <w:color w:val="000000" w:themeColor="text1"/>
        </w:rPr>
        <w:t xml:space="preserve"> </w:t>
      </w:r>
      <w:r w:rsidRPr="00BB2AEF">
        <w:rPr>
          <w:rStyle w:val="Strong"/>
          <w:rFonts w:ascii="Arial" w:hAnsi="Arial" w:cs="Arial"/>
          <w:b w:val="0"/>
          <w:bCs w:val="0"/>
          <w:color w:val="000000" w:themeColor="text1"/>
        </w:rPr>
        <w:t>sources</w:t>
      </w:r>
      <w:r w:rsidRPr="00BB2AEF">
        <w:rPr>
          <w:rFonts w:ascii="Arial" w:hAnsi="Arial" w:cs="Arial"/>
          <w:color w:val="000000" w:themeColor="text1"/>
        </w:rPr>
        <w:t xml:space="preserve"> such as </w:t>
      </w:r>
      <w:r w:rsidRPr="00BB2AEF">
        <w:rPr>
          <w:rStyle w:val="Strong"/>
          <w:rFonts w:ascii="Arial" w:hAnsi="Arial" w:cs="Arial"/>
          <w:b w:val="0"/>
          <w:bCs w:val="0"/>
          <w:color w:val="000000" w:themeColor="text1"/>
        </w:rPr>
        <w:t>NICE</w:t>
      </w:r>
      <w:r w:rsidRPr="00BB2AEF">
        <w:rPr>
          <w:rStyle w:val="Strong"/>
          <w:rFonts w:ascii="Arial" w:hAnsi="Arial" w:cs="Arial"/>
          <w:color w:val="000000" w:themeColor="text1"/>
        </w:rPr>
        <w:t xml:space="preserve"> </w:t>
      </w:r>
      <w:r w:rsidRPr="00BB2AEF">
        <w:rPr>
          <w:rStyle w:val="Strong"/>
          <w:rFonts w:ascii="Arial" w:hAnsi="Arial" w:cs="Arial"/>
          <w:b w:val="0"/>
          <w:bCs w:val="0"/>
          <w:color w:val="000000" w:themeColor="text1"/>
        </w:rPr>
        <w:t>(2018)</w:t>
      </w:r>
      <w:r w:rsidRPr="00BB2AEF">
        <w:rPr>
          <w:rFonts w:ascii="Arial" w:hAnsi="Arial" w:cs="Arial"/>
          <w:b/>
          <w:bCs/>
          <w:color w:val="000000" w:themeColor="text1"/>
        </w:rPr>
        <w:t>,</w:t>
      </w:r>
      <w:r w:rsidRPr="00BB2AEF">
        <w:rPr>
          <w:rFonts w:ascii="Arial" w:hAnsi="Arial" w:cs="Arial"/>
          <w:color w:val="000000" w:themeColor="text1"/>
        </w:rPr>
        <w:t xml:space="preserve"> NHS England (2023),</w:t>
      </w:r>
      <w:r w:rsidR="00685F81" w:rsidRPr="00BB2AEF">
        <w:rPr>
          <w:rFonts w:ascii="Arial" w:hAnsi="Arial" w:cs="Arial"/>
          <w:color w:val="000000" w:themeColor="text1"/>
        </w:rPr>
        <w:t xml:space="preserve"> Cortes et al (2023</w:t>
      </w:r>
      <w:r w:rsidR="00AE078C" w:rsidRPr="00BB2AEF">
        <w:rPr>
          <w:rFonts w:ascii="Arial" w:hAnsi="Arial" w:cs="Arial"/>
          <w:color w:val="000000" w:themeColor="text1"/>
        </w:rPr>
        <w:t>), Barkley (1997</w:t>
      </w:r>
      <w:r w:rsidR="006248AF" w:rsidRPr="00BB2AEF">
        <w:rPr>
          <w:rFonts w:ascii="Arial" w:hAnsi="Arial" w:cs="Arial"/>
          <w:color w:val="000000" w:themeColor="text1"/>
        </w:rPr>
        <w:t>), Bandura (1</w:t>
      </w:r>
      <w:r w:rsidR="000E157C" w:rsidRPr="00BB2AEF">
        <w:rPr>
          <w:rFonts w:ascii="Arial" w:hAnsi="Arial" w:cs="Arial"/>
          <w:color w:val="000000" w:themeColor="text1"/>
        </w:rPr>
        <w:t>977)</w:t>
      </w:r>
      <w:r w:rsidR="0067268F" w:rsidRPr="00BB2AEF">
        <w:rPr>
          <w:rFonts w:ascii="Arial" w:hAnsi="Arial" w:cs="Arial"/>
          <w:color w:val="000000" w:themeColor="text1"/>
        </w:rPr>
        <w:t>;</w:t>
      </w:r>
      <w:r w:rsidR="000E157C" w:rsidRPr="00BB2AEF">
        <w:rPr>
          <w:rFonts w:ascii="Arial" w:hAnsi="Arial" w:cs="Arial"/>
          <w:color w:val="000000" w:themeColor="text1"/>
        </w:rPr>
        <w:t xml:space="preserve"> </w:t>
      </w:r>
      <w:r w:rsidR="0067268F" w:rsidRPr="00BB2AEF">
        <w:rPr>
          <w:rFonts w:ascii="Arial" w:hAnsi="Arial" w:cs="Arial"/>
          <w:color w:val="000000" w:themeColor="text1"/>
        </w:rPr>
        <w:t>Patterson and Yoerger, 2022, and</w:t>
      </w:r>
      <w:r w:rsidRPr="00BB2AEF">
        <w:rPr>
          <w:rFonts w:ascii="Arial" w:hAnsi="Arial" w:cs="Arial"/>
          <w:color w:val="000000" w:themeColor="text1"/>
        </w:rPr>
        <w:t xml:space="preserve"> the</w:t>
      </w:r>
      <w:r w:rsidR="007B4517" w:rsidRPr="00BB2AEF">
        <w:rPr>
          <w:rFonts w:ascii="Arial" w:hAnsi="Arial" w:cs="Arial"/>
          <w:color w:val="000000" w:themeColor="text1"/>
        </w:rPr>
        <w:t xml:space="preserve"> World Health Organization (2022)</w:t>
      </w:r>
      <w:r w:rsidRPr="00BB2AEF">
        <w:rPr>
          <w:rFonts w:ascii="Arial" w:hAnsi="Arial" w:cs="Arial"/>
          <w:color w:val="000000" w:themeColor="text1"/>
        </w:rPr>
        <w:t xml:space="preserve">, as these reflect current practice and evidence. Older references including </w:t>
      </w:r>
      <w:r w:rsidRPr="00BB2AEF">
        <w:rPr>
          <w:rStyle w:val="Strong"/>
          <w:rFonts w:ascii="Arial" w:hAnsi="Arial" w:cs="Arial"/>
          <w:b w:val="0"/>
          <w:bCs w:val="0"/>
          <w:color w:val="000000" w:themeColor="text1"/>
        </w:rPr>
        <w:t>Still (1902)</w:t>
      </w:r>
      <w:r w:rsidRPr="00BB2AEF">
        <w:rPr>
          <w:rFonts w:ascii="Arial" w:hAnsi="Arial" w:cs="Arial"/>
          <w:color w:val="000000" w:themeColor="text1"/>
        </w:rPr>
        <w:t xml:space="preserve"> and </w:t>
      </w:r>
      <w:r w:rsidRPr="00BB2AEF">
        <w:rPr>
          <w:rStyle w:val="Strong"/>
          <w:rFonts w:ascii="Arial" w:hAnsi="Arial" w:cs="Arial"/>
          <w:b w:val="0"/>
          <w:bCs w:val="0"/>
          <w:color w:val="000000" w:themeColor="text1"/>
        </w:rPr>
        <w:t>Lange et al. (2010)</w:t>
      </w:r>
      <w:r w:rsidRPr="00BB2AEF">
        <w:rPr>
          <w:rFonts w:ascii="Arial" w:hAnsi="Arial" w:cs="Arial"/>
          <w:color w:val="000000" w:themeColor="text1"/>
        </w:rPr>
        <w:t xml:space="preserve"> were retained for historical context but excluded from the main analytical discussion. Similarly, </w:t>
      </w:r>
      <w:r w:rsidRPr="00BB2AEF">
        <w:rPr>
          <w:rStyle w:val="Strong"/>
          <w:rFonts w:ascii="Arial" w:hAnsi="Arial" w:cs="Arial"/>
          <w:b w:val="0"/>
          <w:bCs w:val="0"/>
          <w:color w:val="000000" w:themeColor="text1"/>
        </w:rPr>
        <w:t>Singh</w:t>
      </w:r>
      <w:r w:rsidRPr="00BB2AEF">
        <w:rPr>
          <w:rStyle w:val="Strong"/>
          <w:rFonts w:ascii="Arial" w:hAnsi="Arial" w:cs="Arial"/>
          <w:color w:val="000000" w:themeColor="text1"/>
        </w:rPr>
        <w:t xml:space="preserve"> </w:t>
      </w:r>
      <w:r w:rsidRPr="00BB2AEF">
        <w:rPr>
          <w:rStyle w:val="Strong"/>
          <w:rFonts w:ascii="Arial" w:hAnsi="Arial" w:cs="Arial"/>
          <w:b w:val="0"/>
          <w:bCs w:val="0"/>
          <w:color w:val="000000" w:themeColor="text1"/>
        </w:rPr>
        <w:t>(2011)</w:t>
      </w:r>
      <w:r w:rsidRPr="00BB2AEF">
        <w:rPr>
          <w:rFonts w:ascii="Arial" w:hAnsi="Arial" w:cs="Arial"/>
          <w:color w:val="000000" w:themeColor="text1"/>
        </w:rPr>
        <w:t xml:space="preserve"> was considered valuable for theoretical critique yet excluded from the primary dataset due to limited recent empirical evidence.</w:t>
      </w:r>
    </w:p>
    <w:p w14:paraId="63F76067" w14:textId="77777777" w:rsidR="00B2649F" w:rsidRDefault="00B2649F" w:rsidP="00B2649F">
      <w:pPr>
        <w:spacing w:after="0" w:line="360" w:lineRule="auto"/>
        <w:rPr>
          <w:rFonts w:ascii="Arial" w:hAnsi="Arial" w:cs="Arial"/>
          <w:color w:val="000000" w:themeColor="text1"/>
        </w:rPr>
      </w:pPr>
    </w:p>
    <w:p w14:paraId="56F18154" w14:textId="7782093E" w:rsidR="00751161" w:rsidRPr="00B2649F" w:rsidRDefault="00B2649F" w:rsidP="00B2649F">
      <w:pPr>
        <w:spacing w:after="0" w:line="360" w:lineRule="auto"/>
        <w:rPr>
          <w:rFonts w:ascii="Arial" w:hAnsi="Arial" w:cs="Arial"/>
          <w:color w:val="000000" w:themeColor="text1"/>
        </w:rPr>
      </w:pPr>
      <w:r>
        <w:rPr>
          <w:rFonts w:ascii="Arial" w:hAnsi="Arial" w:cs="Arial"/>
        </w:rPr>
        <w:t>I</w:t>
      </w:r>
      <w:r w:rsidRPr="00B2649F">
        <w:rPr>
          <w:rFonts w:ascii="Arial" w:hAnsi="Arial" w:cs="Arial"/>
        </w:rPr>
        <w:t>nitial search results were screened by reviewing titles and abstracts to exclude irrelevant studies and remove duplicates. The remaining sources were then evaluated against the inclusion and exclusion criteria to ensure alignment with the research aim.</w:t>
      </w:r>
    </w:p>
    <w:p w14:paraId="3773C31F" w14:textId="77777777" w:rsidR="00161EC6" w:rsidRPr="00BB2AEF" w:rsidRDefault="00161EC6" w:rsidP="00B2649F">
      <w:pPr>
        <w:spacing w:after="0" w:line="360" w:lineRule="auto"/>
        <w:rPr>
          <w:rFonts w:ascii="Arial" w:hAnsi="Arial" w:cs="Arial"/>
          <w:color w:val="000000" w:themeColor="text1"/>
        </w:rPr>
      </w:pPr>
    </w:p>
    <w:p w14:paraId="04B6F0ED" w14:textId="5F3B4412" w:rsidR="00161EC6" w:rsidRPr="00BB2AEF" w:rsidRDefault="00161EC6" w:rsidP="00B2649F">
      <w:pPr>
        <w:spacing w:after="0" w:line="360" w:lineRule="auto"/>
        <w:rPr>
          <w:rFonts w:ascii="Arial" w:hAnsi="Arial" w:cs="Arial"/>
          <w:color w:val="000000" w:themeColor="text1"/>
        </w:rPr>
      </w:pPr>
      <w:r w:rsidRPr="00BB2AEF">
        <w:rPr>
          <w:rFonts w:ascii="Arial" w:hAnsi="Arial" w:cs="Arial"/>
          <w:color w:val="000000" w:themeColor="text1"/>
        </w:rPr>
        <w:t>Following the screening process and the application of inclusion and exclusion criteria, a total of 10 relevant sources were included in the final dataset for analysis. These comprised a combination of empirical studies, policy documents, and theoretical literature, ensuring a comprehensive and balanced evidence base.</w:t>
      </w:r>
    </w:p>
    <w:p w14:paraId="47CA7019" w14:textId="77777777" w:rsidR="0036227F" w:rsidRPr="00BB2AEF" w:rsidRDefault="0036227F"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Inclusion and Exclusion Criteria</w:t>
      </w:r>
    </w:p>
    <w:p w14:paraId="3C3B5822" w14:textId="77777777" w:rsidR="0036227F" w:rsidRPr="00BB2AEF" w:rsidRDefault="0036227F"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lastRenderedPageBreak/>
        <w:t>This research incorporated peer-reviewed journal articles, official government and NHS publications, and policy guidance issued between 2015 and 2025, ensuring that the evidence reflected current professional standards and contemporary practice within the United Kingdom. Preference was given to UK-based studies examining children diagnosed with ADHD and the effects of medication on family wellbeing.</w:t>
      </w:r>
    </w:p>
    <w:p w14:paraId="4BB0DD27" w14:textId="77777777" w:rsidR="0036227F" w:rsidRPr="00BB2AEF" w:rsidRDefault="0036227F"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Sources were excluded if they were opinion pieces, non-academic blogs, non</w:t>
      </w:r>
      <w:r w:rsidRPr="00BB2AEF">
        <w:rPr>
          <w:rFonts w:ascii="Arial" w:eastAsia="Times New Roman" w:hAnsi="Arial" w:cs="Arial"/>
          <w:b/>
          <w:bCs/>
          <w:color w:val="000000" w:themeColor="text1"/>
          <w:kern w:val="0"/>
          <w:lang w:eastAsia="en-GB"/>
          <w14:ligatures w14:val="none"/>
        </w:rPr>
        <w:t>-</w:t>
      </w:r>
      <w:r w:rsidRPr="00BB2AEF">
        <w:rPr>
          <w:rFonts w:ascii="Arial" w:eastAsia="Times New Roman" w:hAnsi="Arial" w:cs="Arial"/>
          <w:color w:val="000000" w:themeColor="text1"/>
          <w:kern w:val="0"/>
          <w:lang w:eastAsia="en-GB"/>
          <w14:ligatures w14:val="none"/>
        </w:rPr>
        <w:t>English texts, or outdated materials published prior to 2010, except where older works were cited to provide historical or theoretical context (for example, Still, 1902; Bandura, 1977).</w:t>
      </w:r>
    </w:p>
    <w:p w14:paraId="5B2101F9" w14:textId="77777777" w:rsidR="0036227F" w:rsidRPr="00BB2AEF" w:rsidRDefault="0036227F"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Applying these criteria enhanced the reliability, focus, and academic integrity of the research, supporting a robust evidence base aligned with the study’s aims and objectives.</w:t>
      </w:r>
    </w:p>
    <w:p w14:paraId="417AAAAF" w14:textId="4C96CAEA" w:rsidR="003D63D9" w:rsidRPr="00BB2AEF" w:rsidRDefault="003D63D9"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Ethic</w:t>
      </w:r>
      <w:r w:rsidR="007438DE" w:rsidRPr="00BB2AEF">
        <w:rPr>
          <w:rFonts w:ascii="Arial" w:eastAsia="Times New Roman" w:hAnsi="Arial" w:cs="Arial"/>
          <w:b/>
          <w:bCs/>
          <w:color w:val="000000" w:themeColor="text1"/>
          <w:kern w:val="0"/>
          <w:lang w:eastAsia="en-GB"/>
          <w14:ligatures w14:val="none"/>
        </w:rPr>
        <w:t>al Consideration</w:t>
      </w:r>
      <w:r w:rsidR="00274EBB" w:rsidRPr="00BB2AEF">
        <w:rPr>
          <w:rFonts w:ascii="Arial" w:eastAsia="Times New Roman" w:hAnsi="Arial" w:cs="Arial"/>
          <w:b/>
          <w:bCs/>
          <w:color w:val="000000" w:themeColor="text1"/>
          <w:kern w:val="0"/>
          <w:lang w:eastAsia="en-GB"/>
          <w14:ligatures w14:val="none"/>
        </w:rPr>
        <w:t>s:</w:t>
      </w:r>
    </w:p>
    <w:p w14:paraId="45D1DBBE" w14:textId="1EAB5DA2" w:rsidR="00274EBB" w:rsidRPr="00BB2AEF" w:rsidRDefault="005A73AD"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t>This study was based solely on secondary research, with no primary data collected. All sources were drawn from published academic and policy literature, with ethical practice maintained through accurate referencing.</w:t>
      </w:r>
    </w:p>
    <w:p w14:paraId="759568BE" w14:textId="6D724166" w:rsidR="009922AB" w:rsidRPr="00BB2AEF" w:rsidRDefault="009922AB"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 xml:space="preserve">Analysing Research: </w:t>
      </w:r>
    </w:p>
    <w:p w14:paraId="73D23EDB" w14:textId="6D40BC79" w:rsidR="005F2865" w:rsidRPr="00BB2AEF" w:rsidRDefault="005F2865" w:rsidP="00BB2AEF">
      <w:pPr>
        <w:spacing w:before="100" w:beforeAutospacing="1" w:after="100" w:afterAutospacing="1" w:line="360" w:lineRule="auto"/>
        <w:rPr>
          <w:rFonts w:ascii="Arial" w:hAnsi="Arial" w:cs="Arial"/>
          <w:color w:val="000000" w:themeColor="text1"/>
        </w:rPr>
      </w:pPr>
      <w:r w:rsidRPr="00BB2AEF">
        <w:rPr>
          <w:rFonts w:ascii="Arial" w:hAnsi="Arial" w:cs="Arial"/>
          <w:color w:val="000000" w:themeColor="text1"/>
        </w:rPr>
        <w:t xml:space="preserve">A thematic analysis approach, as outlined by </w:t>
      </w:r>
      <w:r w:rsidR="00B61764">
        <w:rPr>
          <w:rFonts w:ascii="Arial" w:hAnsi="Arial" w:cs="Arial"/>
          <w:color w:val="000000" w:themeColor="text1"/>
        </w:rPr>
        <w:t>(</w:t>
      </w:r>
      <w:r w:rsidRPr="00BB2AEF">
        <w:rPr>
          <w:rStyle w:val="whitespace-normal"/>
          <w:rFonts w:ascii="Arial" w:hAnsi="Arial" w:cs="Arial"/>
          <w:color w:val="000000" w:themeColor="text1"/>
        </w:rPr>
        <w:t>Braun and Clarke</w:t>
      </w:r>
      <w:r w:rsidRPr="00BB2AEF">
        <w:rPr>
          <w:rFonts w:ascii="Arial" w:hAnsi="Arial" w:cs="Arial"/>
          <w:color w:val="000000" w:themeColor="text1"/>
        </w:rPr>
        <w:t xml:space="preserve"> 2006), was used to systematically analyse the selected secondary sources. All studies were read carefully to ensure familiarity with the data. Recurring ideas, patterns, and key concepts relating to ADHD medication, child wellbeing, and family experiences were identified and recorded as initial codes. These codes were reviewed and refined through comparison across multiple sources to ensure consistency and depth.</w:t>
      </w:r>
      <w:r w:rsidR="00F84630" w:rsidRPr="00F84630">
        <w:rPr>
          <w:rStyle w:val="Heading1Char"/>
        </w:rPr>
        <w:t xml:space="preserve"> </w:t>
      </w:r>
      <w:r w:rsidR="00F84630" w:rsidRPr="00F66667">
        <w:rPr>
          <w:rStyle w:val="Strong"/>
          <w:rFonts w:ascii="Arial" w:hAnsi="Arial" w:cs="Arial"/>
          <w:b w:val="0"/>
          <w:bCs w:val="0"/>
        </w:rPr>
        <w:t>Codes with shared meanings were systematically organised into broader themes, reflecting recurring patterns within the literature.</w:t>
      </w:r>
      <w:r w:rsidRPr="00BB2AEF">
        <w:rPr>
          <w:rFonts w:ascii="Arial" w:hAnsi="Arial" w:cs="Arial"/>
          <w:color w:val="000000" w:themeColor="text1"/>
        </w:rPr>
        <w:t xml:space="preserve"> The refined codes were then grouped into broader themes aligned with the research objectives, including the effectiveness and safety of medication, the emotional and social impact on families, and policy and service delivery. The source tracking table supported the organisation of findings, ensuring transparency and a clear link to the themes presented in Chapter 4.</w:t>
      </w:r>
    </w:p>
    <w:p w14:paraId="2628D9F6" w14:textId="056AD731" w:rsidR="00501AD0" w:rsidRPr="00BB2AEF" w:rsidRDefault="00501AD0" w:rsidP="00BB2AEF">
      <w:pPr>
        <w:spacing w:before="100" w:beforeAutospacing="1" w:after="100" w:afterAutospacing="1" w:line="360" w:lineRule="auto"/>
        <w:rPr>
          <w:rFonts w:ascii="Arial" w:hAnsi="Arial" w:cs="Arial"/>
          <w:b/>
          <w:bCs/>
          <w:color w:val="000000" w:themeColor="text1"/>
        </w:rPr>
      </w:pPr>
      <w:r w:rsidRPr="00BB2AEF">
        <w:rPr>
          <w:rFonts w:ascii="Arial" w:hAnsi="Arial" w:cs="Arial"/>
          <w:b/>
          <w:bCs/>
          <w:color w:val="000000" w:themeColor="text1"/>
        </w:rPr>
        <w:t>Conclusion:</w:t>
      </w:r>
    </w:p>
    <w:p w14:paraId="73B69973" w14:textId="052FBD2B" w:rsidR="00501AD0" w:rsidRPr="00BB2AEF" w:rsidRDefault="00501AD0"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t xml:space="preserve">In summary, this chapter has outlined the systematic methodology employed to identify, select, and analyse relevant literature on ADHD medication and its impact on children and families in the United Kingdom. The application of a structured search strategy, defined </w:t>
      </w:r>
      <w:r w:rsidRPr="00BB2AEF">
        <w:rPr>
          <w:rFonts w:ascii="Arial" w:hAnsi="Arial" w:cs="Arial"/>
          <w:color w:val="000000" w:themeColor="text1"/>
        </w:rPr>
        <w:lastRenderedPageBreak/>
        <w:t>inclusion and exclusion criteria, and thematic analysis has ensured transparency and methodological rigour. The themes generated through this process are presented and critically examined in Chapter 4.</w:t>
      </w:r>
    </w:p>
    <w:p w14:paraId="15EB20B0" w14:textId="77777777" w:rsidR="005F2865" w:rsidRPr="00BB2AEF" w:rsidRDefault="005F2865"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1D76BA04" w14:textId="77777777" w:rsidR="0090060C" w:rsidRPr="00BB2AEF" w:rsidRDefault="0090060C"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3FB7F8F1" w14:textId="68F4145C" w:rsidR="001714DB" w:rsidRDefault="001268B6"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6729C6">
        <w:rPr>
          <w:rFonts w:ascii="Arial" w:eastAsia="Times New Roman" w:hAnsi="Arial" w:cs="Arial"/>
          <w:b/>
          <w:bCs/>
          <w:color w:val="000000" w:themeColor="text1"/>
          <w:kern w:val="0"/>
          <w:lang w:eastAsia="en-GB"/>
          <w14:ligatures w14:val="none"/>
        </w:rPr>
        <w:t>R</w:t>
      </w:r>
      <w:r w:rsidR="006729C6" w:rsidRPr="006729C6">
        <w:rPr>
          <w:rFonts w:ascii="Arial" w:eastAsia="Times New Roman" w:hAnsi="Arial" w:cs="Arial"/>
          <w:b/>
          <w:bCs/>
          <w:color w:val="000000" w:themeColor="text1"/>
          <w:kern w:val="0"/>
          <w:lang w:eastAsia="en-GB"/>
          <w14:ligatures w14:val="none"/>
        </w:rPr>
        <w:t>eference List</w:t>
      </w:r>
      <w:r w:rsidRPr="006729C6">
        <w:rPr>
          <w:rFonts w:ascii="Arial" w:eastAsia="Times New Roman" w:hAnsi="Arial" w:cs="Arial"/>
          <w:b/>
          <w:bCs/>
          <w:color w:val="000000" w:themeColor="text1"/>
          <w:kern w:val="0"/>
          <w:lang w:eastAsia="en-GB"/>
          <w14:ligatures w14:val="none"/>
        </w:rPr>
        <w:t>:</w:t>
      </w:r>
    </w:p>
    <w:p w14:paraId="08C3A0E3"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ADHD Foundation (2022) </w:t>
      </w:r>
      <w:r w:rsidRPr="0044663A">
        <w:rPr>
          <w:rFonts w:ascii="Arial" w:eastAsia="Times New Roman" w:hAnsi="Arial" w:cs="Arial"/>
          <w:i/>
          <w:iCs/>
          <w:kern w:val="0"/>
          <w:lang w:eastAsia="en-GB"/>
          <w14:ligatures w14:val="none"/>
        </w:rPr>
        <w:t>Supporting children, young people and adults with ADHD</w:t>
      </w:r>
      <w:r w:rsidRPr="0044663A">
        <w:rPr>
          <w:rFonts w:ascii="Arial" w:eastAsia="Times New Roman" w:hAnsi="Arial" w:cs="Arial"/>
          <w:kern w:val="0"/>
          <w:lang w:eastAsia="en-GB"/>
          <w14:ligatures w14:val="none"/>
        </w:rPr>
        <w:t xml:space="preserve">. Liverpool: ADHD Foundation. Available at: </w:t>
      </w:r>
      <w:hyperlink r:id="rId59" w:tgtFrame="_new" w:history="1">
        <w:r w:rsidRPr="0044663A">
          <w:rPr>
            <w:rFonts w:ascii="Arial" w:eastAsia="Times New Roman" w:hAnsi="Arial" w:cs="Arial"/>
            <w:color w:val="0000FF"/>
            <w:kern w:val="0"/>
            <w:u w:val="single"/>
            <w:lang w:eastAsia="en-GB"/>
            <w14:ligatures w14:val="none"/>
          </w:rPr>
          <w:t>https://www.adhdfoundation.org.uk</w:t>
        </w:r>
      </w:hyperlink>
      <w:r w:rsidRPr="0044663A">
        <w:rPr>
          <w:rFonts w:ascii="Arial" w:eastAsia="Times New Roman" w:hAnsi="Arial" w:cs="Arial"/>
          <w:kern w:val="0"/>
          <w:lang w:eastAsia="en-GB"/>
          <w14:ligatures w14:val="none"/>
        </w:rPr>
        <w:t xml:space="preserve"> (Accessed: 11 December 2025).</w:t>
      </w:r>
    </w:p>
    <w:p w14:paraId="53FFD504"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Aveyard, H. (2019) </w:t>
      </w:r>
      <w:r w:rsidRPr="0044663A">
        <w:rPr>
          <w:rFonts w:ascii="Arial" w:eastAsia="Times New Roman" w:hAnsi="Arial" w:cs="Arial"/>
          <w:i/>
          <w:iCs/>
          <w:kern w:val="0"/>
          <w:lang w:eastAsia="en-GB"/>
          <w14:ligatures w14:val="none"/>
        </w:rPr>
        <w:t>Doing a literature review in health and social care: a practical guide</w:t>
      </w:r>
      <w:r w:rsidRPr="0044663A">
        <w:rPr>
          <w:rFonts w:ascii="Arial" w:eastAsia="Times New Roman" w:hAnsi="Arial" w:cs="Arial"/>
          <w:kern w:val="0"/>
          <w:lang w:eastAsia="en-GB"/>
          <w14:ligatures w14:val="none"/>
        </w:rPr>
        <w:t xml:space="preserve">. 4th </w:t>
      </w:r>
      <w:proofErr w:type="spellStart"/>
      <w:r w:rsidRPr="0044663A">
        <w:rPr>
          <w:rFonts w:ascii="Arial" w:eastAsia="Times New Roman" w:hAnsi="Arial" w:cs="Arial"/>
          <w:kern w:val="0"/>
          <w:lang w:eastAsia="en-GB"/>
          <w14:ligatures w14:val="none"/>
        </w:rPr>
        <w:t>edn</w:t>
      </w:r>
      <w:proofErr w:type="spellEnd"/>
      <w:r w:rsidRPr="0044663A">
        <w:rPr>
          <w:rFonts w:ascii="Arial" w:eastAsia="Times New Roman" w:hAnsi="Arial" w:cs="Arial"/>
          <w:kern w:val="0"/>
          <w:lang w:eastAsia="en-GB"/>
          <w14:ligatures w14:val="none"/>
        </w:rPr>
        <w:t>. Maidenhead: Open University Press.</w:t>
      </w:r>
    </w:p>
    <w:p w14:paraId="189BEF45"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Bandura, A. (1977) </w:t>
      </w:r>
      <w:r w:rsidRPr="0044663A">
        <w:rPr>
          <w:rFonts w:ascii="Arial" w:eastAsia="Times New Roman" w:hAnsi="Arial" w:cs="Arial"/>
          <w:i/>
          <w:iCs/>
          <w:kern w:val="0"/>
          <w:lang w:eastAsia="en-GB"/>
          <w14:ligatures w14:val="none"/>
        </w:rPr>
        <w:t>Social learning theory</w:t>
      </w:r>
      <w:r w:rsidRPr="0044663A">
        <w:rPr>
          <w:rFonts w:ascii="Arial" w:eastAsia="Times New Roman" w:hAnsi="Arial" w:cs="Arial"/>
          <w:kern w:val="0"/>
          <w:lang w:eastAsia="en-GB"/>
          <w14:ligatures w14:val="none"/>
        </w:rPr>
        <w:t>. Englewood Cliffs, NJ: Prentice Hall.</w:t>
      </w:r>
    </w:p>
    <w:p w14:paraId="3136E45D"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Barkley, R.A. (1997) </w:t>
      </w:r>
      <w:r w:rsidRPr="0044663A">
        <w:rPr>
          <w:rFonts w:ascii="Arial" w:eastAsia="Times New Roman" w:hAnsi="Arial" w:cs="Arial"/>
          <w:i/>
          <w:iCs/>
          <w:kern w:val="0"/>
          <w:lang w:eastAsia="en-GB"/>
          <w14:ligatures w14:val="none"/>
        </w:rPr>
        <w:t>ADHD and the nature of self-control</w:t>
      </w:r>
      <w:r w:rsidRPr="0044663A">
        <w:rPr>
          <w:rFonts w:ascii="Arial" w:eastAsia="Times New Roman" w:hAnsi="Arial" w:cs="Arial"/>
          <w:kern w:val="0"/>
          <w:lang w:eastAsia="en-GB"/>
          <w14:ligatures w14:val="none"/>
        </w:rPr>
        <w:t>. New York: Guilford Press.</w:t>
      </w:r>
    </w:p>
    <w:p w14:paraId="21E38367"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Braun and Clarke (2006) ‘Using thematic analysis in psychology’, </w:t>
      </w:r>
      <w:r w:rsidRPr="0044663A">
        <w:rPr>
          <w:rFonts w:ascii="Arial" w:eastAsia="Times New Roman" w:hAnsi="Arial" w:cs="Arial"/>
          <w:i/>
          <w:iCs/>
          <w:kern w:val="0"/>
          <w:lang w:eastAsia="en-GB"/>
          <w14:ligatures w14:val="none"/>
        </w:rPr>
        <w:t>Qualitative Research in Psychology</w:t>
      </w:r>
      <w:r w:rsidRPr="0044663A">
        <w:rPr>
          <w:rFonts w:ascii="Arial" w:eastAsia="Times New Roman" w:hAnsi="Arial" w:cs="Arial"/>
          <w:kern w:val="0"/>
          <w:lang w:eastAsia="en-GB"/>
          <w14:ligatures w14:val="none"/>
        </w:rPr>
        <w:t>, 3(2), pp. 77–101.</w:t>
      </w:r>
    </w:p>
    <w:p w14:paraId="3034C210"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Cortese, S., Adamo, N., Del Giovane, C., Mohr-Jensen, C., Hayes, A.J., Carucci, S., </w:t>
      </w:r>
      <w:proofErr w:type="spellStart"/>
      <w:r w:rsidRPr="0044663A">
        <w:rPr>
          <w:rFonts w:ascii="Arial" w:eastAsia="Times New Roman" w:hAnsi="Arial" w:cs="Arial"/>
          <w:kern w:val="0"/>
          <w:lang w:eastAsia="en-GB"/>
          <w14:ligatures w14:val="none"/>
        </w:rPr>
        <w:t>Zuddas</w:t>
      </w:r>
      <w:proofErr w:type="spellEnd"/>
      <w:r w:rsidRPr="0044663A">
        <w:rPr>
          <w:rFonts w:ascii="Arial" w:eastAsia="Times New Roman" w:hAnsi="Arial" w:cs="Arial"/>
          <w:kern w:val="0"/>
          <w:lang w:eastAsia="en-GB"/>
          <w14:ligatures w14:val="none"/>
        </w:rPr>
        <w:t xml:space="preserve">, A., Coghill, D. and </w:t>
      </w:r>
      <w:proofErr w:type="spellStart"/>
      <w:r w:rsidRPr="0044663A">
        <w:rPr>
          <w:rFonts w:ascii="Arial" w:eastAsia="Times New Roman" w:hAnsi="Arial" w:cs="Arial"/>
          <w:kern w:val="0"/>
          <w:lang w:eastAsia="en-GB"/>
          <w14:ligatures w14:val="none"/>
        </w:rPr>
        <w:t>Banaschewski</w:t>
      </w:r>
      <w:proofErr w:type="spellEnd"/>
      <w:r w:rsidRPr="0044663A">
        <w:rPr>
          <w:rFonts w:ascii="Arial" w:eastAsia="Times New Roman" w:hAnsi="Arial" w:cs="Arial"/>
          <w:kern w:val="0"/>
          <w:lang w:eastAsia="en-GB"/>
          <w14:ligatures w14:val="none"/>
        </w:rPr>
        <w:t xml:space="preserve">, T. (2018) ‘Comparative efficacy and tolerability of medications for attention-deficit hyperactivity disorder in children, adolescents, and adults: a systematic review and network meta-analysis’, </w:t>
      </w:r>
      <w:r w:rsidRPr="0044663A">
        <w:rPr>
          <w:rFonts w:ascii="Arial" w:eastAsia="Times New Roman" w:hAnsi="Arial" w:cs="Arial"/>
          <w:i/>
          <w:iCs/>
          <w:kern w:val="0"/>
          <w:lang w:eastAsia="en-GB"/>
          <w14:ligatures w14:val="none"/>
        </w:rPr>
        <w:t>The Lancet Psychiatry</w:t>
      </w:r>
      <w:r w:rsidRPr="0044663A">
        <w:rPr>
          <w:rFonts w:ascii="Arial" w:eastAsia="Times New Roman" w:hAnsi="Arial" w:cs="Arial"/>
          <w:kern w:val="0"/>
          <w:lang w:eastAsia="en-GB"/>
          <w14:ligatures w14:val="none"/>
        </w:rPr>
        <w:t xml:space="preserve">, 5(9), pp. 727–738. Available at: </w:t>
      </w:r>
      <w:hyperlink r:id="rId60" w:tgtFrame="_new" w:history="1">
        <w:r w:rsidRPr="0044663A">
          <w:rPr>
            <w:rFonts w:ascii="Arial" w:eastAsia="Times New Roman" w:hAnsi="Arial" w:cs="Arial"/>
            <w:color w:val="0000FF"/>
            <w:kern w:val="0"/>
            <w:u w:val="single"/>
            <w:lang w:eastAsia="en-GB"/>
            <w14:ligatures w14:val="none"/>
          </w:rPr>
          <w:t>https://doi.org/10.1016/S2215-0366(18)30269-4</w:t>
        </w:r>
      </w:hyperlink>
      <w:r w:rsidRPr="0044663A">
        <w:rPr>
          <w:rFonts w:ascii="Arial" w:eastAsia="Times New Roman" w:hAnsi="Arial" w:cs="Arial"/>
          <w:kern w:val="0"/>
          <w:lang w:eastAsia="en-GB"/>
          <w14:ligatures w14:val="none"/>
        </w:rPr>
        <w:t>.</w:t>
      </w:r>
    </w:p>
    <w:p w14:paraId="7305A9C4"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Daley, D., Van der Oord, S., Ferrin, M., </w:t>
      </w:r>
      <w:proofErr w:type="spellStart"/>
      <w:r w:rsidRPr="0044663A">
        <w:rPr>
          <w:rFonts w:ascii="Arial" w:eastAsia="Times New Roman" w:hAnsi="Arial" w:cs="Arial"/>
          <w:kern w:val="0"/>
          <w:lang w:eastAsia="en-GB"/>
          <w14:ligatures w14:val="none"/>
        </w:rPr>
        <w:t>Danckaerts</w:t>
      </w:r>
      <w:proofErr w:type="spellEnd"/>
      <w:r w:rsidRPr="0044663A">
        <w:rPr>
          <w:rFonts w:ascii="Arial" w:eastAsia="Times New Roman" w:hAnsi="Arial" w:cs="Arial"/>
          <w:kern w:val="0"/>
          <w:lang w:eastAsia="en-GB"/>
          <w14:ligatures w14:val="none"/>
        </w:rPr>
        <w:t xml:space="preserve">, M., Döpfner, M., Cortese, S. and </w:t>
      </w:r>
      <w:proofErr w:type="spellStart"/>
      <w:r w:rsidRPr="0044663A">
        <w:rPr>
          <w:rFonts w:ascii="Arial" w:eastAsia="Times New Roman" w:hAnsi="Arial" w:cs="Arial"/>
          <w:kern w:val="0"/>
          <w:lang w:eastAsia="en-GB"/>
          <w14:ligatures w14:val="none"/>
        </w:rPr>
        <w:t>Sonuga</w:t>
      </w:r>
      <w:proofErr w:type="spellEnd"/>
      <w:r w:rsidRPr="0044663A">
        <w:rPr>
          <w:rFonts w:ascii="Arial" w:eastAsia="Times New Roman" w:hAnsi="Arial" w:cs="Arial"/>
          <w:kern w:val="0"/>
          <w:lang w:eastAsia="en-GB"/>
          <w14:ligatures w14:val="none"/>
        </w:rPr>
        <w:t xml:space="preserve">-Barke, E.J.S. (2018) ‘Practitioner review: current best practice in the use of parent training and other behavioural interventions in the treatment of children and adolescents with attention-deficit hyperactivity disorder (ADHD)’, </w:t>
      </w:r>
      <w:r w:rsidRPr="0044663A">
        <w:rPr>
          <w:rFonts w:ascii="Arial" w:eastAsia="Times New Roman" w:hAnsi="Arial" w:cs="Arial"/>
          <w:i/>
          <w:iCs/>
          <w:kern w:val="0"/>
          <w:lang w:eastAsia="en-GB"/>
          <w14:ligatures w14:val="none"/>
        </w:rPr>
        <w:t>Journal of Child Psychology and Psychiatry</w:t>
      </w:r>
      <w:r w:rsidRPr="0044663A">
        <w:rPr>
          <w:rFonts w:ascii="Arial" w:eastAsia="Times New Roman" w:hAnsi="Arial" w:cs="Arial"/>
          <w:kern w:val="0"/>
          <w:lang w:eastAsia="en-GB"/>
          <w14:ligatures w14:val="none"/>
        </w:rPr>
        <w:t xml:space="preserve">, 59(9), pp. 932–947. Available at: </w:t>
      </w:r>
      <w:hyperlink r:id="rId61" w:tgtFrame="_new" w:history="1">
        <w:r w:rsidRPr="0044663A">
          <w:rPr>
            <w:rFonts w:ascii="Arial" w:eastAsia="Times New Roman" w:hAnsi="Arial" w:cs="Arial"/>
            <w:color w:val="0000FF"/>
            <w:kern w:val="0"/>
            <w:u w:val="single"/>
            <w:lang w:eastAsia="en-GB"/>
            <w14:ligatures w14:val="none"/>
          </w:rPr>
          <w:t>https://doi.org/10.1111/jcpp.12825</w:t>
        </w:r>
      </w:hyperlink>
      <w:r w:rsidRPr="0044663A">
        <w:rPr>
          <w:rFonts w:ascii="Arial" w:eastAsia="Times New Roman" w:hAnsi="Arial" w:cs="Arial"/>
          <w:kern w:val="0"/>
          <w:lang w:eastAsia="en-GB"/>
          <w14:ligatures w14:val="none"/>
        </w:rPr>
        <w:t>.</w:t>
      </w:r>
    </w:p>
    <w:p w14:paraId="3B4EA8C2"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Dekkers, T.J., </w:t>
      </w:r>
      <w:proofErr w:type="spellStart"/>
      <w:r w:rsidRPr="0044663A">
        <w:rPr>
          <w:rFonts w:ascii="Arial" w:eastAsia="Times New Roman" w:hAnsi="Arial" w:cs="Arial"/>
          <w:kern w:val="0"/>
          <w:lang w:eastAsia="en-GB"/>
          <w14:ligatures w14:val="none"/>
        </w:rPr>
        <w:t>Groenman</w:t>
      </w:r>
      <w:proofErr w:type="spellEnd"/>
      <w:r w:rsidRPr="0044663A">
        <w:rPr>
          <w:rFonts w:ascii="Arial" w:eastAsia="Times New Roman" w:hAnsi="Arial" w:cs="Arial"/>
          <w:kern w:val="0"/>
          <w:lang w:eastAsia="en-GB"/>
          <w14:ligatures w14:val="none"/>
        </w:rPr>
        <w:t xml:space="preserve">, A.P., Hornstra, R., Van der Oord, S., Luman, M., Hoekstra, P.J., Hartman, C.A. and </w:t>
      </w:r>
      <w:proofErr w:type="spellStart"/>
      <w:r w:rsidRPr="0044663A">
        <w:rPr>
          <w:rFonts w:ascii="Arial" w:eastAsia="Times New Roman" w:hAnsi="Arial" w:cs="Arial"/>
          <w:kern w:val="0"/>
          <w:lang w:eastAsia="en-GB"/>
          <w14:ligatures w14:val="none"/>
        </w:rPr>
        <w:t>Oosterlaan</w:t>
      </w:r>
      <w:proofErr w:type="spellEnd"/>
      <w:r w:rsidRPr="0044663A">
        <w:rPr>
          <w:rFonts w:ascii="Arial" w:eastAsia="Times New Roman" w:hAnsi="Arial" w:cs="Arial"/>
          <w:kern w:val="0"/>
          <w:lang w:eastAsia="en-GB"/>
          <w14:ligatures w14:val="none"/>
        </w:rPr>
        <w:t xml:space="preserve">, J. (2022) ‘Which components of behavioural parent training work for children with ADHD? A meta-regression analysis’, </w:t>
      </w:r>
      <w:r w:rsidRPr="0044663A">
        <w:rPr>
          <w:rFonts w:ascii="Arial" w:eastAsia="Times New Roman" w:hAnsi="Arial" w:cs="Arial"/>
          <w:i/>
          <w:iCs/>
          <w:kern w:val="0"/>
          <w:lang w:eastAsia="en-GB"/>
          <w14:ligatures w14:val="none"/>
        </w:rPr>
        <w:t xml:space="preserve">Journal of the American </w:t>
      </w:r>
      <w:r w:rsidRPr="0044663A">
        <w:rPr>
          <w:rFonts w:ascii="Arial" w:eastAsia="Times New Roman" w:hAnsi="Arial" w:cs="Arial"/>
          <w:i/>
          <w:iCs/>
          <w:kern w:val="0"/>
          <w:lang w:eastAsia="en-GB"/>
          <w14:ligatures w14:val="none"/>
        </w:rPr>
        <w:lastRenderedPageBreak/>
        <w:t>Academy of Child &amp; Adolescent Psychiatry</w:t>
      </w:r>
      <w:r w:rsidRPr="0044663A">
        <w:rPr>
          <w:rFonts w:ascii="Arial" w:eastAsia="Times New Roman" w:hAnsi="Arial" w:cs="Arial"/>
          <w:kern w:val="0"/>
          <w:lang w:eastAsia="en-GB"/>
          <w14:ligatures w14:val="none"/>
        </w:rPr>
        <w:t xml:space="preserve">, 61(8), pp. 970–987. Available at: </w:t>
      </w:r>
      <w:hyperlink r:id="rId62" w:tgtFrame="_new" w:history="1">
        <w:r w:rsidRPr="0044663A">
          <w:rPr>
            <w:rFonts w:ascii="Arial" w:eastAsia="Times New Roman" w:hAnsi="Arial" w:cs="Arial"/>
            <w:color w:val="0000FF"/>
            <w:kern w:val="0"/>
            <w:u w:val="single"/>
            <w:lang w:eastAsia="en-GB"/>
            <w14:ligatures w14:val="none"/>
          </w:rPr>
          <w:t>https://pubmed.ncbi.nlm.nih.gov/34224837/</w:t>
        </w:r>
      </w:hyperlink>
      <w:r w:rsidRPr="0044663A">
        <w:rPr>
          <w:rFonts w:ascii="Arial" w:eastAsia="Times New Roman" w:hAnsi="Arial" w:cs="Arial"/>
          <w:kern w:val="0"/>
          <w:lang w:eastAsia="en-GB"/>
          <w14:ligatures w14:val="none"/>
        </w:rPr>
        <w:t xml:space="preserve"> (Accessed: 26 December 2025).</w:t>
      </w:r>
    </w:p>
    <w:p w14:paraId="53ACEB53"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Khan, M.U. et al. (2025) ‘Socioeconomic status and prescribing of ADHD medications’, </w:t>
      </w:r>
      <w:r w:rsidRPr="0044663A">
        <w:rPr>
          <w:rFonts w:ascii="Arial" w:eastAsia="Times New Roman" w:hAnsi="Arial" w:cs="Arial"/>
          <w:i/>
          <w:iCs/>
          <w:kern w:val="0"/>
          <w:lang w:eastAsia="en-GB"/>
          <w14:ligatures w14:val="none"/>
        </w:rPr>
        <w:t>BMJ Mental Health</w:t>
      </w:r>
      <w:r w:rsidRPr="0044663A">
        <w:rPr>
          <w:rFonts w:ascii="Arial" w:eastAsia="Times New Roman" w:hAnsi="Arial" w:cs="Arial"/>
          <w:kern w:val="0"/>
          <w:lang w:eastAsia="en-GB"/>
          <w14:ligatures w14:val="none"/>
        </w:rPr>
        <w:t xml:space="preserve">, 28(1), e301384. Available at: </w:t>
      </w:r>
      <w:hyperlink r:id="rId63" w:tgtFrame="_new" w:history="1">
        <w:r w:rsidRPr="0044663A">
          <w:rPr>
            <w:rFonts w:ascii="Arial" w:eastAsia="Times New Roman" w:hAnsi="Arial" w:cs="Arial"/>
            <w:color w:val="0000FF"/>
            <w:kern w:val="0"/>
            <w:u w:val="single"/>
            <w:lang w:eastAsia="en-GB"/>
            <w14:ligatures w14:val="none"/>
          </w:rPr>
          <w:t>https://mentalhealth.bmj.com/content/28/1/e301384</w:t>
        </w:r>
      </w:hyperlink>
      <w:r w:rsidRPr="0044663A">
        <w:rPr>
          <w:rFonts w:ascii="Arial" w:eastAsia="Times New Roman" w:hAnsi="Arial" w:cs="Arial"/>
          <w:kern w:val="0"/>
          <w:lang w:eastAsia="en-GB"/>
          <w14:ligatures w14:val="none"/>
        </w:rPr>
        <w:t xml:space="preserve"> (Accessed: 23 December 2025).</w:t>
      </w:r>
    </w:p>
    <w:p w14:paraId="2BCCA89E"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Lange, K.W., Reichl, S., Lange, K.M., </w:t>
      </w:r>
      <w:proofErr w:type="spellStart"/>
      <w:r w:rsidRPr="0044663A">
        <w:rPr>
          <w:rFonts w:ascii="Arial" w:eastAsia="Times New Roman" w:hAnsi="Arial" w:cs="Arial"/>
          <w:kern w:val="0"/>
          <w:lang w:eastAsia="en-GB"/>
          <w14:ligatures w14:val="none"/>
        </w:rPr>
        <w:t>Tucha</w:t>
      </w:r>
      <w:proofErr w:type="spellEnd"/>
      <w:r w:rsidRPr="0044663A">
        <w:rPr>
          <w:rFonts w:ascii="Arial" w:eastAsia="Times New Roman" w:hAnsi="Arial" w:cs="Arial"/>
          <w:kern w:val="0"/>
          <w:lang w:eastAsia="en-GB"/>
          <w14:ligatures w14:val="none"/>
        </w:rPr>
        <w:t xml:space="preserve">, L. and </w:t>
      </w:r>
      <w:proofErr w:type="spellStart"/>
      <w:r w:rsidRPr="0044663A">
        <w:rPr>
          <w:rFonts w:ascii="Arial" w:eastAsia="Times New Roman" w:hAnsi="Arial" w:cs="Arial"/>
          <w:kern w:val="0"/>
          <w:lang w:eastAsia="en-GB"/>
          <w14:ligatures w14:val="none"/>
        </w:rPr>
        <w:t>Tucha</w:t>
      </w:r>
      <w:proofErr w:type="spellEnd"/>
      <w:r w:rsidRPr="0044663A">
        <w:rPr>
          <w:rFonts w:ascii="Arial" w:eastAsia="Times New Roman" w:hAnsi="Arial" w:cs="Arial"/>
          <w:kern w:val="0"/>
          <w:lang w:eastAsia="en-GB"/>
          <w14:ligatures w14:val="none"/>
        </w:rPr>
        <w:t xml:space="preserve">, O. (2010) ‘The history of attention deficit hyperactivity disorder’, </w:t>
      </w:r>
      <w:r w:rsidRPr="0044663A">
        <w:rPr>
          <w:rFonts w:ascii="Arial" w:eastAsia="Times New Roman" w:hAnsi="Arial" w:cs="Arial"/>
          <w:i/>
          <w:iCs/>
          <w:kern w:val="0"/>
          <w:lang w:eastAsia="en-GB"/>
          <w14:ligatures w14:val="none"/>
        </w:rPr>
        <w:t>Attention Deficit and Hyperactivity Disorders</w:t>
      </w:r>
      <w:r w:rsidRPr="0044663A">
        <w:rPr>
          <w:rFonts w:ascii="Arial" w:eastAsia="Times New Roman" w:hAnsi="Arial" w:cs="Arial"/>
          <w:kern w:val="0"/>
          <w:lang w:eastAsia="en-GB"/>
          <w14:ligatures w14:val="none"/>
        </w:rPr>
        <w:t xml:space="preserve">, 2(4), pp. 241–255. Available at: </w:t>
      </w:r>
      <w:hyperlink r:id="rId64" w:tgtFrame="_new" w:history="1">
        <w:r w:rsidRPr="0044663A">
          <w:rPr>
            <w:rFonts w:ascii="Arial" w:eastAsia="Times New Roman" w:hAnsi="Arial" w:cs="Arial"/>
            <w:color w:val="0000FF"/>
            <w:kern w:val="0"/>
            <w:u w:val="single"/>
            <w:lang w:eastAsia="en-GB"/>
            <w14:ligatures w14:val="none"/>
          </w:rPr>
          <w:t>https://doi.org/10.1007/s12402-010-0045-8</w:t>
        </w:r>
      </w:hyperlink>
      <w:r w:rsidRPr="0044663A">
        <w:rPr>
          <w:rFonts w:ascii="Arial" w:eastAsia="Times New Roman" w:hAnsi="Arial" w:cs="Arial"/>
          <w:kern w:val="0"/>
          <w:lang w:eastAsia="en-GB"/>
          <w14:ligatures w14:val="none"/>
        </w:rPr>
        <w:t>.</w:t>
      </w:r>
    </w:p>
    <w:p w14:paraId="656D8A97"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Medicines and Healthcare products Regulatory Agency (MHRA) (2019) </w:t>
      </w:r>
      <w:r w:rsidRPr="0044663A">
        <w:rPr>
          <w:rFonts w:ascii="Arial" w:eastAsia="Times New Roman" w:hAnsi="Arial" w:cs="Arial"/>
          <w:i/>
          <w:iCs/>
          <w:kern w:val="0"/>
          <w:lang w:eastAsia="en-GB"/>
          <w14:ligatures w14:val="none"/>
        </w:rPr>
        <w:t>Methylphenidate: reminder of advice on long-term safety and ongoing monitoring requirements</w:t>
      </w:r>
      <w:r w:rsidRPr="0044663A">
        <w:rPr>
          <w:rFonts w:ascii="Arial" w:eastAsia="Times New Roman" w:hAnsi="Arial" w:cs="Arial"/>
          <w:kern w:val="0"/>
          <w:lang w:eastAsia="en-GB"/>
          <w14:ligatures w14:val="none"/>
        </w:rPr>
        <w:t xml:space="preserve">. London: MHRA. Available at: </w:t>
      </w:r>
      <w:hyperlink r:id="rId65" w:tgtFrame="_new" w:history="1">
        <w:r w:rsidRPr="0044663A">
          <w:rPr>
            <w:rFonts w:ascii="Arial" w:eastAsia="Times New Roman" w:hAnsi="Arial" w:cs="Arial"/>
            <w:color w:val="0000FF"/>
            <w:kern w:val="0"/>
            <w:u w:val="single"/>
            <w:lang w:eastAsia="en-GB"/>
            <w14:ligatures w14:val="none"/>
          </w:rPr>
          <w:t>https://www.gov.uk/drug-safety-update/methylphenidate-reminder-of-advice-on-long-term-safety-and-ongoing-monitoring-requirements</w:t>
        </w:r>
      </w:hyperlink>
      <w:r w:rsidRPr="0044663A">
        <w:rPr>
          <w:rFonts w:ascii="Arial" w:eastAsia="Times New Roman" w:hAnsi="Arial" w:cs="Arial"/>
          <w:kern w:val="0"/>
          <w:lang w:eastAsia="en-GB"/>
          <w14:ligatures w14:val="none"/>
        </w:rPr>
        <w:t xml:space="preserve"> (Accessed: 15 November 2025).</w:t>
      </w:r>
    </w:p>
    <w:p w14:paraId="366AB0DA"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National Institute for Health and Care Excellence (NICE) (2018) </w:t>
      </w:r>
      <w:r w:rsidRPr="0044663A">
        <w:rPr>
          <w:rFonts w:ascii="Arial" w:eastAsia="Times New Roman" w:hAnsi="Arial" w:cs="Arial"/>
          <w:i/>
          <w:iCs/>
          <w:kern w:val="0"/>
          <w:lang w:eastAsia="en-GB"/>
          <w14:ligatures w14:val="none"/>
        </w:rPr>
        <w:t>Attention deficit hyperactivity disorder: diagnosis and management (NG87)</w:t>
      </w:r>
      <w:r w:rsidRPr="0044663A">
        <w:rPr>
          <w:rFonts w:ascii="Arial" w:eastAsia="Times New Roman" w:hAnsi="Arial" w:cs="Arial"/>
          <w:kern w:val="0"/>
          <w:lang w:eastAsia="en-GB"/>
          <w14:ligatures w14:val="none"/>
        </w:rPr>
        <w:t xml:space="preserve">. London: NICE. Available at: </w:t>
      </w:r>
      <w:hyperlink r:id="rId66" w:tgtFrame="_new" w:history="1">
        <w:r w:rsidRPr="0044663A">
          <w:rPr>
            <w:rFonts w:ascii="Arial" w:eastAsia="Times New Roman" w:hAnsi="Arial" w:cs="Arial"/>
            <w:color w:val="0000FF"/>
            <w:kern w:val="0"/>
            <w:u w:val="single"/>
            <w:lang w:eastAsia="en-GB"/>
            <w14:ligatures w14:val="none"/>
          </w:rPr>
          <w:t>https://www.nice.org.uk/guidance/ng87</w:t>
        </w:r>
      </w:hyperlink>
      <w:r w:rsidRPr="0044663A">
        <w:rPr>
          <w:rFonts w:ascii="Arial" w:eastAsia="Times New Roman" w:hAnsi="Arial" w:cs="Arial"/>
          <w:kern w:val="0"/>
          <w:lang w:eastAsia="en-GB"/>
          <w14:ligatures w14:val="none"/>
        </w:rPr>
        <w:t xml:space="preserve"> (Accessed: 19 November 2025).</w:t>
      </w:r>
    </w:p>
    <w:p w14:paraId="360F678C"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National Institute for Health and Care Excellence (NICE) (2022) </w:t>
      </w:r>
      <w:r w:rsidRPr="0044663A">
        <w:rPr>
          <w:rFonts w:ascii="Arial" w:eastAsia="Times New Roman" w:hAnsi="Arial" w:cs="Arial"/>
          <w:i/>
          <w:iCs/>
          <w:kern w:val="0"/>
          <w:lang w:eastAsia="en-GB"/>
          <w14:ligatures w14:val="none"/>
        </w:rPr>
        <w:t>Developing NICE guidelines: the manual</w:t>
      </w:r>
      <w:r w:rsidRPr="0044663A">
        <w:rPr>
          <w:rFonts w:ascii="Arial" w:eastAsia="Times New Roman" w:hAnsi="Arial" w:cs="Arial"/>
          <w:kern w:val="0"/>
          <w:lang w:eastAsia="en-GB"/>
          <w14:ligatures w14:val="none"/>
        </w:rPr>
        <w:t xml:space="preserve">. London: NICE. Available at: </w:t>
      </w:r>
      <w:hyperlink r:id="rId67" w:tgtFrame="_new" w:history="1">
        <w:r w:rsidRPr="0044663A">
          <w:rPr>
            <w:rFonts w:ascii="Arial" w:eastAsia="Times New Roman" w:hAnsi="Arial" w:cs="Arial"/>
            <w:color w:val="0000FF"/>
            <w:kern w:val="0"/>
            <w:u w:val="single"/>
            <w:lang w:eastAsia="en-GB"/>
            <w14:ligatures w14:val="none"/>
          </w:rPr>
          <w:t>https://www.nice.org.uk/process/pmg20</w:t>
        </w:r>
      </w:hyperlink>
      <w:r w:rsidRPr="0044663A">
        <w:rPr>
          <w:rFonts w:ascii="Arial" w:eastAsia="Times New Roman" w:hAnsi="Arial" w:cs="Arial"/>
          <w:kern w:val="0"/>
          <w:lang w:eastAsia="en-GB"/>
          <w14:ligatures w14:val="none"/>
        </w:rPr>
        <w:t xml:space="preserve"> (Accessed: 25 November 2025).</w:t>
      </w:r>
    </w:p>
    <w:p w14:paraId="08044339"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NHS Digital (2022) </w:t>
      </w:r>
      <w:r w:rsidRPr="0044663A">
        <w:rPr>
          <w:rFonts w:ascii="Arial" w:eastAsia="Times New Roman" w:hAnsi="Arial" w:cs="Arial"/>
          <w:i/>
          <w:iCs/>
          <w:kern w:val="0"/>
          <w:lang w:eastAsia="en-GB"/>
          <w14:ligatures w14:val="none"/>
        </w:rPr>
        <w:t>Medicines used in mental health: England 2015/16 to 2021/22</w:t>
      </w:r>
      <w:r w:rsidRPr="0044663A">
        <w:rPr>
          <w:rFonts w:ascii="Arial" w:eastAsia="Times New Roman" w:hAnsi="Arial" w:cs="Arial"/>
          <w:kern w:val="0"/>
          <w:lang w:eastAsia="en-GB"/>
          <w14:ligatures w14:val="none"/>
        </w:rPr>
        <w:t xml:space="preserve">. Leeds: NHS Digital. Available at: </w:t>
      </w:r>
      <w:hyperlink r:id="rId68" w:tgtFrame="_new" w:history="1">
        <w:r w:rsidRPr="0044663A">
          <w:rPr>
            <w:rFonts w:ascii="Arial" w:eastAsia="Times New Roman" w:hAnsi="Arial" w:cs="Arial"/>
            <w:color w:val="0000FF"/>
            <w:kern w:val="0"/>
            <w:u w:val="single"/>
            <w:lang w:eastAsia="en-GB"/>
            <w14:ligatures w14:val="none"/>
          </w:rPr>
          <w:t>https://digital.nhs.uk/data-and-information/publications/statistical/medicines-used-in-mental-health</w:t>
        </w:r>
      </w:hyperlink>
      <w:r w:rsidRPr="0044663A">
        <w:rPr>
          <w:rFonts w:ascii="Arial" w:eastAsia="Times New Roman" w:hAnsi="Arial" w:cs="Arial"/>
          <w:kern w:val="0"/>
          <w:lang w:eastAsia="en-GB"/>
          <w14:ligatures w14:val="none"/>
        </w:rPr>
        <w:t xml:space="preserve"> (Accessed: 29 November 2025).</w:t>
      </w:r>
    </w:p>
    <w:p w14:paraId="2693A19F"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NHS Digital (2024) </w:t>
      </w:r>
      <w:r w:rsidRPr="0044663A">
        <w:rPr>
          <w:rFonts w:ascii="Arial" w:eastAsia="Times New Roman" w:hAnsi="Arial" w:cs="Arial"/>
          <w:i/>
          <w:iCs/>
          <w:kern w:val="0"/>
          <w:lang w:eastAsia="en-GB"/>
          <w14:ligatures w14:val="none"/>
        </w:rPr>
        <w:t>Medicines used in mental health: England</w:t>
      </w:r>
      <w:r w:rsidRPr="0044663A">
        <w:rPr>
          <w:rFonts w:ascii="Arial" w:eastAsia="Times New Roman" w:hAnsi="Arial" w:cs="Arial"/>
          <w:kern w:val="0"/>
          <w:lang w:eastAsia="en-GB"/>
          <w14:ligatures w14:val="none"/>
        </w:rPr>
        <w:t xml:space="preserve">. Leeds: NHS Digital. Available at: </w:t>
      </w:r>
      <w:hyperlink r:id="rId69" w:tgtFrame="_new" w:history="1">
        <w:r w:rsidRPr="0044663A">
          <w:rPr>
            <w:rFonts w:ascii="Arial" w:eastAsia="Times New Roman" w:hAnsi="Arial" w:cs="Arial"/>
            <w:color w:val="0000FF"/>
            <w:kern w:val="0"/>
            <w:u w:val="single"/>
            <w:lang w:eastAsia="en-GB"/>
            <w14:ligatures w14:val="none"/>
          </w:rPr>
          <w:t>https://digital.nhs.uk/data-and-information/publications/statistical/medicines-used-in-mental-health</w:t>
        </w:r>
      </w:hyperlink>
      <w:r w:rsidRPr="0044663A">
        <w:rPr>
          <w:rFonts w:ascii="Arial" w:eastAsia="Times New Roman" w:hAnsi="Arial" w:cs="Arial"/>
          <w:kern w:val="0"/>
          <w:lang w:eastAsia="en-GB"/>
          <w14:ligatures w14:val="none"/>
        </w:rPr>
        <w:t xml:space="preserve"> (Accessed: 6 December 2025).</w:t>
      </w:r>
    </w:p>
    <w:p w14:paraId="08AC2848"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NHS Digital (2025a) </w:t>
      </w:r>
      <w:proofErr w:type="spellStart"/>
      <w:r w:rsidRPr="0044663A">
        <w:rPr>
          <w:rFonts w:ascii="Arial" w:eastAsia="Times New Roman" w:hAnsi="Arial" w:cs="Arial"/>
          <w:i/>
          <w:iCs/>
          <w:kern w:val="0"/>
          <w:lang w:eastAsia="en-GB"/>
          <w14:ligatures w14:val="none"/>
        </w:rPr>
        <w:t>OpenSAFELY</w:t>
      </w:r>
      <w:proofErr w:type="spellEnd"/>
      <w:r w:rsidRPr="0044663A">
        <w:rPr>
          <w:rFonts w:ascii="Arial" w:eastAsia="Times New Roman" w:hAnsi="Arial" w:cs="Arial"/>
          <w:i/>
          <w:iCs/>
          <w:kern w:val="0"/>
          <w:lang w:eastAsia="en-GB"/>
          <w14:ligatures w14:val="none"/>
        </w:rPr>
        <w:t xml:space="preserve"> analysis: summary</w:t>
      </w:r>
      <w:r w:rsidRPr="0044663A">
        <w:rPr>
          <w:rFonts w:ascii="Arial" w:eastAsia="Times New Roman" w:hAnsi="Arial" w:cs="Arial"/>
          <w:kern w:val="0"/>
          <w:lang w:eastAsia="en-GB"/>
          <w14:ligatures w14:val="none"/>
        </w:rPr>
        <w:t xml:space="preserve">. Leeds: NHS Digital. Available at: </w:t>
      </w:r>
      <w:hyperlink r:id="rId70" w:tgtFrame="_new" w:history="1">
        <w:r w:rsidRPr="0044663A">
          <w:rPr>
            <w:rFonts w:ascii="Arial" w:eastAsia="Times New Roman" w:hAnsi="Arial" w:cs="Arial"/>
            <w:color w:val="0000FF"/>
            <w:kern w:val="0"/>
            <w:u w:val="single"/>
            <w:lang w:eastAsia="en-GB"/>
            <w14:ligatures w14:val="none"/>
          </w:rPr>
          <w:t>https://digital.nhs.uk/data-and-information/publications/statistical/mi-adhd/november-2025/opensafely-analysis-summary</w:t>
        </w:r>
      </w:hyperlink>
      <w:r w:rsidRPr="0044663A">
        <w:rPr>
          <w:rFonts w:ascii="Arial" w:eastAsia="Times New Roman" w:hAnsi="Arial" w:cs="Arial"/>
          <w:kern w:val="0"/>
          <w:lang w:eastAsia="en-GB"/>
          <w14:ligatures w14:val="none"/>
        </w:rPr>
        <w:t xml:space="preserve"> (Accessed: 26 December 2025).</w:t>
      </w:r>
    </w:p>
    <w:p w14:paraId="4F920BA0"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lastRenderedPageBreak/>
        <w:t xml:space="preserve">NHS Digital (2025b) </w:t>
      </w:r>
      <w:r w:rsidRPr="0044663A">
        <w:rPr>
          <w:rFonts w:ascii="Arial" w:eastAsia="Times New Roman" w:hAnsi="Arial" w:cs="Arial"/>
          <w:i/>
          <w:iCs/>
          <w:kern w:val="0"/>
          <w:lang w:eastAsia="en-GB"/>
          <w14:ligatures w14:val="none"/>
        </w:rPr>
        <w:t>Survey of mental health and wellbeing, England 2023/24: attention deficit hyperactivity disorder</w:t>
      </w:r>
      <w:r w:rsidRPr="0044663A">
        <w:rPr>
          <w:rFonts w:ascii="Arial" w:eastAsia="Times New Roman" w:hAnsi="Arial" w:cs="Arial"/>
          <w:kern w:val="0"/>
          <w:lang w:eastAsia="en-GB"/>
          <w14:ligatures w14:val="none"/>
        </w:rPr>
        <w:t xml:space="preserve">. Leeds: NHS Digital. Available at: </w:t>
      </w:r>
      <w:hyperlink r:id="rId71" w:tgtFrame="_new" w:history="1">
        <w:r w:rsidRPr="0044663A">
          <w:rPr>
            <w:rFonts w:ascii="Arial" w:eastAsia="Times New Roman" w:hAnsi="Arial" w:cs="Arial"/>
            <w:color w:val="0000FF"/>
            <w:kern w:val="0"/>
            <w:u w:val="single"/>
            <w:lang w:eastAsia="en-GB"/>
            <w14:ligatures w14:val="none"/>
          </w:rPr>
          <w:t>https://digital.nhs.uk/data-and-information/publications/statistical/adult-psychiatric-morbidity-survey/survey-of-mental-health-and-wellbeing-england-2023-24/attention-deficit-hyperactivity-disorder</w:t>
        </w:r>
      </w:hyperlink>
      <w:r w:rsidRPr="0044663A">
        <w:rPr>
          <w:rFonts w:ascii="Arial" w:eastAsia="Times New Roman" w:hAnsi="Arial" w:cs="Arial"/>
          <w:kern w:val="0"/>
          <w:lang w:eastAsia="en-GB"/>
          <w14:ligatures w14:val="none"/>
        </w:rPr>
        <w:t xml:space="preserve"> (Accessed: 18 November 2025).</w:t>
      </w:r>
    </w:p>
    <w:p w14:paraId="30D4DF2E"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NHS England (2022) </w:t>
      </w:r>
      <w:r w:rsidRPr="0044663A">
        <w:rPr>
          <w:rFonts w:ascii="Arial" w:eastAsia="Times New Roman" w:hAnsi="Arial" w:cs="Arial"/>
          <w:i/>
          <w:iCs/>
          <w:kern w:val="0"/>
          <w:lang w:eastAsia="en-GB"/>
          <w14:ligatures w14:val="none"/>
        </w:rPr>
        <w:t>Children and young people’s mental health services (CAMHS)</w:t>
      </w:r>
      <w:r w:rsidRPr="0044663A">
        <w:rPr>
          <w:rFonts w:ascii="Arial" w:eastAsia="Times New Roman" w:hAnsi="Arial" w:cs="Arial"/>
          <w:kern w:val="0"/>
          <w:lang w:eastAsia="en-GB"/>
          <w14:ligatures w14:val="none"/>
        </w:rPr>
        <w:t xml:space="preserve">. London: NHS England. Available at: </w:t>
      </w:r>
      <w:hyperlink r:id="rId72" w:tgtFrame="_new" w:history="1">
        <w:r w:rsidRPr="0044663A">
          <w:rPr>
            <w:rFonts w:ascii="Arial" w:eastAsia="Times New Roman" w:hAnsi="Arial" w:cs="Arial"/>
            <w:color w:val="0000FF"/>
            <w:kern w:val="0"/>
            <w:u w:val="single"/>
            <w:lang w:eastAsia="en-GB"/>
            <w14:ligatures w14:val="none"/>
          </w:rPr>
          <w:t>https://www.england.nhs.uk/mental-health/cyp/</w:t>
        </w:r>
      </w:hyperlink>
      <w:r w:rsidRPr="0044663A">
        <w:rPr>
          <w:rFonts w:ascii="Arial" w:eastAsia="Times New Roman" w:hAnsi="Arial" w:cs="Arial"/>
          <w:kern w:val="0"/>
          <w:lang w:eastAsia="en-GB"/>
          <w14:ligatures w14:val="none"/>
        </w:rPr>
        <w:t xml:space="preserve"> (Accessed: 4 December 2025).</w:t>
      </w:r>
    </w:p>
    <w:p w14:paraId="7182AA52"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NHS England (2023) </w:t>
      </w:r>
      <w:r w:rsidRPr="0044663A">
        <w:rPr>
          <w:rFonts w:ascii="Arial" w:eastAsia="Times New Roman" w:hAnsi="Arial" w:cs="Arial"/>
          <w:i/>
          <w:iCs/>
          <w:kern w:val="0"/>
          <w:lang w:eastAsia="en-GB"/>
          <w14:ligatures w14:val="none"/>
        </w:rPr>
        <w:t>Integrated Care Systems: design framework</w:t>
      </w:r>
      <w:r w:rsidRPr="0044663A">
        <w:rPr>
          <w:rFonts w:ascii="Arial" w:eastAsia="Times New Roman" w:hAnsi="Arial" w:cs="Arial"/>
          <w:kern w:val="0"/>
          <w:lang w:eastAsia="en-GB"/>
          <w14:ligatures w14:val="none"/>
        </w:rPr>
        <w:t xml:space="preserve">. London: NHS England. Available at: </w:t>
      </w:r>
      <w:hyperlink r:id="rId73" w:tgtFrame="_new" w:history="1">
        <w:r w:rsidRPr="0044663A">
          <w:rPr>
            <w:rFonts w:ascii="Arial" w:eastAsia="Times New Roman" w:hAnsi="Arial" w:cs="Arial"/>
            <w:color w:val="0000FF"/>
            <w:kern w:val="0"/>
            <w:u w:val="single"/>
            <w:lang w:eastAsia="en-GB"/>
            <w14:ligatures w14:val="none"/>
          </w:rPr>
          <w:t>https://www.england.nhs.uk/integratedcare/ics-design-framework/</w:t>
        </w:r>
      </w:hyperlink>
      <w:r w:rsidRPr="0044663A">
        <w:rPr>
          <w:rFonts w:ascii="Arial" w:eastAsia="Times New Roman" w:hAnsi="Arial" w:cs="Arial"/>
          <w:kern w:val="0"/>
          <w:lang w:eastAsia="en-GB"/>
          <w14:ligatures w14:val="none"/>
        </w:rPr>
        <w:t xml:space="preserve"> (Accessed: 19 November 2025).</w:t>
      </w:r>
    </w:p>
    <w:p w14:paraId="3CCCF7FC"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NHS England (2025a) </w:t>
      </w:r>
      <w:r w:rsidRPr="0044663A">
        <w:rPr>
          <w:rFonts w:ascii="Arial" w:eastAsia="Times New Roman" w:hAnsi="Arial" w:cs="Arial"/>
          <w:i/>
          <w:iCs/>
          <w:kern w:val="0"/>
          <w:lang w:eastAsia="en-GB"/>
          <w14:ligatures w14:val="none"/>
        </w:rPr>
        <w:t>Report of the independent ADHD Taskforce: Part 1</w:t>
      </w:r>
      <w:r w:rsidRPr="0044663A">
        <w:rPr>
          <w:rFonts w:ascii="Arial" w:eastAsia="Times New Roman" w:hAnsi="Arial" w:cs="Arial"/>
          <w:kern w:val="0"/>
          <w:lang w:eastAsia="en-GB"/>
          <w14:ligatures w14:val="none"/>
        </w:rPr>
        <w:t xml:space="preserve">. London: NHS England. Available at: </w:t>
      </w:r>
      <w:hyperlink r:id="rId74" w:tgtFrame="_new" w:history="1">
        <w:r w:rsidRPr="0044663A">
          <w:rPr>
            <w:rFonts w:ascii="Arial" w:eastAsia="Times New Roman" w:hAnsi="Arial" w:cs="Arial"/>
            <w:color w:val="0000FF"/>
            <w:kern w:val="0"/>
            <w:u w:val="single"/>
            <w:lang w:eastAsia="en-GB"/>
            <w14:ligatures w14:val="none"/>
          </w:rPr>
          <w:t>https://www.england.nhs.uk/long-read/report-of-the-independent-adhd-taskforce-part-1/</w:t>
        </w:r>
      </w:hyperlink>
      <w:r w:rsidRPr="0044663A">
        <w:rPr>
          <w:rFonts w:ascii="Arial" w:eastAsia="Times New Roman" w:hAnsi="Arial" w:cs="Arial"/>
          <w:kern w:val="0"/>
          <w:lang w:eastAsia="en-GB"/>
          <w14:ligatures w14:val="none"/>
        </w:rPr>
        <w:t xml:space="preserve"> (Accessed: 18 November 2025).</w:t>
      </w:r>
    </w:p>
    <w:p w14:paraId="1E52637A"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NHS England (2025b) </w:t>
      </w:r>
      <w:r w:rsidRPr="0044663A">
        <w:rPr>
          <w:rFonts w:ascii="Arial" w:eastAsia="Times New Roman" w:hAnsi="Arial" w:cs="Arial"/>
          <w:i/>
          <w:iCs/>
          <w:kern w:val="0"/>
          <w:lang w:eastAsia="en-GB"/>
          <w14:ligatures w14:val="none"/>
        </w:rPr>
        <w:t>ADHD and autism payment guidance (2026/27)</w:t>
      </w:r>
      <w:r w:rsidRPr="0044663A">
        <w:rPr>
          <w:rFonts w:ascii="Arial" w:eastAsia="Times New Roman" w:hAnsi="Arial" w:cs="Arial"/>
          <w:kern w:val="0"/>
          <w:lang w:eastAsia="en-GB"/>
          <w14:ligatures w14:val="none"/>
        </w:rPr>
        <w:t xml:space="preserve">. London: NHS England. Available at: </w:t>
      </w:r>
      <w:hyperlink r:id="rId75" w:tgtFrame="_new" w:history="1">
        <w:r w:rsidRPr="0044663A">
          <w:rPr>
            <w:rFonts w:ascii="Arial" w:eastAsia="Times New Roman" w:hAnsi="Arial" w:cs="Arial"/>
            <w:color w:val="0000FF"/>
            <w:kern w:val="0"/>
            <w:u w:val="single"/>
            <w:lang w:eastAsia="en-GB"/>
            <w14:ligatures w14:val="none"/>
          </w:rPr>
          <w:t>https://www.england.nhs.uk/wp-content/uploads/2025/11/26-27NHSPS-CnSD-ADHD-and-Autism-Payment-Guidance.pdf</w:t>
        </w:r>
      </w:hyperlink>
      <w:r w:rsidRPr="0044663A">
        <w:rPr>
          <w:rFonts w:ascii="Arial" w:eastAsia="Times New Roman" w:hAnsi="Arial" w:cs="Arial"/>
          <w:kern w:val="0"/>
          <w:lang w:eastAsia="en-GB"/>
          <w14:ligatures w14:val="none"/>
        </w:rPr>
        <w:t xml:space="preserve"> (Accessed: 12 December 2025).</w:t>
      </w:r>
    </w:p>
    <w:p w14:paraId="59BF0C7F"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Page, M.J., McKenzie, J.E., Bossuyt, P.M., </w:t>
      </w:r>
      <w:proofErr w:type="spellStart"/>
      <w:r w:rsidRPr="0044663A">
        <w:rPr>
          <w:rFonts w:ascii="Arial" w:eastAsia="Times New Roman" w:hAnsi="Arial" w:cs="Arial"/>
          <w:kern w:val="0"/>
          <w:lang w:eastAsia="en-GB"/>
          <w14:ligatures w14:val="none"/>
        </w:rPr>
        <w:t>Boutron</w:t>
      </w:r>
      <w:proofErr w:type="spellEnd"/>
      <w:r w:rsidRPr="0044663A">
        <w:rPr>
          <w:rFonts w:ascii="Arial" w:eastAsia="Times New Roman" w:hAnsi="Arial" w:cs="Arial"/>
          <w:kern w:val="0"/>
          <w:lang w:eastAsia="en-GB"/>
          <w14:ligatures w14:val="none"/>
        </w:rPr>
        <w:t xml:space="preserve">, I., Hoffmann, T.C., Mulrow, C.D., </w:t>
      </w:r>
      <w:proofErr w:type="spellStart"/>
      <w:r w:rsidRPr="0044663A">
        <w:rPr>
          <w:rFonts w:ascii="Arial" w:eastAsia="Times New Roman" w:hAnsi="Arial" w:cs="Arial"/>
          <w:kern w:val="0"/>
          <w:lang w:eastAsia="en-GB"/>
          <w14:ligatures w14:val="none"/>
        </w:rPr>
        <w:t>Shamseer</w:t>
      </w:r>
      <w:proofErr w:type="spellEnd"/>
      <w:r w:rsidRPr="0044663A">
        <w:rPr>
          <w:rFonts w:ascii="Arial" w:eastAsia="Times New Roman" w:hAnsi="Arial" w:cs="Arial"/>
          <w:kern w:val="0"/>
          <w:lang w:eastAsia="en-GB"/>
          <w14:ligatures w14:val="none"/>
        </w:rPr>
        <w:t xml:space="preserve">, L., Tetzlaff, J.M., Akl, E.A., Brennan, S.E. et al. (2021) ‘The PRISMA 2020 statement: an updated guideline for reporting systematic reviews’, </w:t>
      </w:r>
      <w:r w:rsidRPr="0044663A">
        <w:rPr>
          <w:rFonts w:ascii="Arial" w:eastAsia="Times New Roman" w:hAnsi="Arial" w:cs="Arial"/>
          <w:i/>
          <w:iCs/>
          <w:kern w:val="0"/>
          <w:lang w:eastAsia="en-GB"/>
          <w14:ligatures w14:val="none"/>
        </w:rPr>
        <w:t>BMJ</w:t>
      </w:r>
      <w:r w:rsidRPr="0044663A">
        <w:rPr>
          <w:rFonts w:ascii="Arial" w:eastAsia="Times New Roman" w:hAnsi="Arial" w:cs="Arial"/>
          <w:kern w:val="0"/>
          <w:lang w:eastAsia="en-GB"/>
          <w14:ligatures w14:val="none"/>
        </w:rPr>
        <w:t xml:space="preserve">, 372, n71. Available at: </w:t>
      </w:r>
      <w:hyperlink r:id="rId76" w:tgtFrame="_new" w:history="1">
        <w:r w:rsidRPr="0044663A">
          <w:rPr>
            <w:rFonts w:ascii="Arial" w:eastAsia="Times New Roman" w:hAnsi="Arial" w:cs="Arial"/>
            <w:color w:val="0000FF"/>
            <w:kern w:val="0"/>
            <w:u w:val="single"/>
            <w:lang w:eastAsia="en-GB"/>
            <w14:ligatures w14:val="none"/>
          </w:rPr>
          <w:t>https://doi.org/10.1136/bmj.n71</w:t>
        </w:r>
      </w:hyperlink>
      <w:r w:rsidRPr="0044663A">
        <w:rPr>
          <w:rFonts w:ascii="Arial" w:eastAsia="Times New Roman" w:hAnsi="Arial" w:cs="Arial"/>
          <w:kern w:val="0"/>
          <w:lang w:eastAsia="en-GB"/>
          <w14:ligatures w14:val="none"/>
        </w:rPr>
        <w:t>.</w:t>
      </w:r>
    </w:p>
    <w:p w14:paraId="114F416D"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Patterson, R. and Yoerger, K. (2022) ‘Social learning theory and behaviour change in children: implications for parenting interventions’, </w:t>
      </w:r>
      <w:r w:rsidRPr="0044663A">
        <w:rPr>
          <w:rFonts w:ascii="Arial" w:eastAsia="Times New Roman" w:hAnsi="Arial" w:cs="Arial"/>
          <w:i/>
          <w:iCs/>
          <w:kern w:val="0"/>
          <w:lang w:eastAsia="en-GB"/>
          <w14:ligatures w14:val="none"/>
        </w:rPr>
        <w:t>Journal of Child and Family Studies</w:t>
      </w:r>
      <w:r w:rsidRPr="0044663A">
        <w:rPr>
          <w:rFonts w:ascii="Arial" w:eastAsia="Times New Roman" w:hAnsi="Arial" w:cs="Arial"/>
          <w:kern w:val="0"/>
          <w:lang w:eastAsia="en-GB"/>
          <w14:ligatures w14:val="none"/>
        </w:rPr>
        <w:t>, 31(3), pp. 1–12.</w:t>
      </w:r>
    </w:p>
    <w:p w14:paraId="288DAB8B"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Scottish Government (2023) </w:t>
      </w:r>
      <w:r w:rsidRPr="0044663A">
        <w:rPr>
          <w:rFonts w:ascii="Arial" w:eastAsia="Times New Roman" w:hAnsi="Arial" w:cs="Arial"/>
          <w:i/>
          <w:iCs/>
          <w:kern w:val="0"/>
          <w:lang w:eastAsia="en-GB"/>
          <w14:ligatures w14:val="none"/>
        </w:rPr>
        <w:t>Mental Health Strategy 2017–2027: progress report</w:t>
      </w:r>
      <w:r w:rsidRPr="0044663A">
        <w:rPr>
          <w:rFonts w:ascii="Arial" w:eastAsia="Times New Roman" w:hAnsi="Arial" w:cs="Arial"/>
          <w:kern w:val="0"/>
          <w:lang w:eastAsia="en-GB"/>
          <w14:ligatures w14:val="none"/>
        </w:rPr>
        <w:t xml:space="preserve">. Edinburgh: Scottish Government. Available at: </w:t>
      </w:r>
      <w:hyperlink r:id="rId77" w:tgtFrame="_new" w:history="1">
        <w:r w:rsidRPr="0044663A">
          <w:rPr>
            <w:rFonts w:ascii="Arial" w:eastAsia="Times New Roman" w:hAnsi="Arial" w:cs="Arial"/>
            <w:color w:val="0000FF"/>
            <w:kern w:val="0"/>
            <w:u w:val="single"/>
            <w:lang w:eastAsia="en-GB"/>
            <w14:ligatures w14:val="none"/>
          </w:rPr>
          <w:t>https://www.gov.scot/publications/</w:t>
        </w:r>
      </w:hyperlink>
      <w:r w:rsidRPr="0044663A">
        <w:rPr>
          <w:rFonts w:ascii="Arial" w:eastAsia="Times New Roman" w:hAnsi="Arial" w:cs="Arial"/>
          <w:kern w:val="0"/>
          <w:lang w:eastAsia="en-GB"/>
          <w14:ligatures w14:val="none"/>
        </w:rPr>
        <w:t xml:space="preserve"> (Accessed: 15 December 2025).</w:t>
      </w:r>
    </w:p>
    <w:p w14:paraId="5DFACF22"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Singh, I. (2011) ‘A disorder of anger and morality: ADHD and the politics of childhood’, </w:t>
      </w:r>
      <w:r w:rsidRPr="0044663A">
        <w:rPr>
          <w:rFonts w:ascii="Arial" w:eastAsia="Times New Roman" w:hAnsi="Arial" w:cs="Arial"/>
          <w:i/>
          <w:iCs/>
          <w:kern w:val="0"/>
          <w:lang w:eastAsia="en-GB"/>
          <w14:ligatures w14:val="none"/>
        </w:rPr>
        <w:t>Journal of Medical Ethics</w:t>
      </w:r>
      <w:r w:rsidRPr="0044663A">
        <w:rPr>
          <w:rFonts w:ascii="Arial" w:eastAsia="Times New Roman" w:hAnsi="Arial" w:cs="Arial"/>
          <w:kern w:val="0"/>
          <w:lang w:eastAsia="en-GB"/>
          <w14:ligatures w14:val="none"/>
        </w:rPr>
        <w:t xml:space="preserve">, 37(10), pp. 632–637. Available at: </w:t>
      </w:r>
      <w:hyperlink r:id="rId78" w:tgtFrame="_new" w:history="1">
        <w:r w:rsidRPr="0044663A">
          <w:rPr>
            <w:rFonts w:ascii="Arial" w:eastAsia="Times New Roman" w:hAnsi="Arial" w:cs="Arial"/>
            <w:color w:val="0000FF"/>
            <w:kern w:val="0"/>
            <w:u w:val="single"/>
            <w:lang w:eastAsia="en-GB"/>
            <w14:ligatures w14:val="none"/>
          </w:rPr>
          <w:t>https://jme.bmj.com/content/37/10/632</w:t>
        </w:r>
      </w:hyperlink>
      <w:r w:rsidRPr="0044663A">
        <w:rPr>
          <w:rFonts w:ascii="Arial" w:eastAsia="Times New Roman" w:hAnsi="Arial" w:cs="Arial"/>
          <w:kern w:val="0"/>
          <w:lang w:eastAsia="en-GB"/>
          <w14:ligatures w14:val="none"/>
        </w:rPr>
        <w:t xml:space="preserve"> (Accessed: 22 December 2025).</w:t>
      </w:r>
    </w:p>
    <w:p w14:paraId="79E92ACF"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lastRenderedPageBreak/>
        <w:t xml:space="preserve">Still, G.F. (1902) ‘Some abnormal psychical conditions in children’, </w:t>
      </w:r>
      <w:r w:rsidRPr="0044663A">
        <w:rPr>
          <w:rFonts w:ascii="Arial" w:eastAsia="Times New Roman" w:hAnsi="Arial" w:cs="Arial"/>
          <w:i/>
          <w:iCs/>
          <w:kern w:val="0"/>
          <w:lang w:eastAsia="en-GB"/>
          <w14:ligatures w14:val="none"/>
        </w:rPr>
        <w:t>The Lancet</w:t>
      </w:r>
      <w:r w:rsidRPr="0044663A">
        <w:rPr>
          <w:rFonts w:ascii="Arial" w:eastAsia="Times New Roman" w:hAnsi="Arial" w:cs="Arial"/>
          <w:kern w:val="0"/>
          <w:lang w:eastAsia="en-GB"/>
          <w14:ligatures w14:val="none"/>
        </w:rPr>
        <w:t>, 159(4107), pp. 1008–1012.</w:t>
      </w:r>
    </w:p>
    <w:p w14:paraId="011C30C7"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Storebø, O.J., Ramstad, E., Krogh, H.B., Nilausen, T.D., Skoog, M., Holmskov, M., Rosendal, S., </w:t>
      </w:r>
      <w:proofErr w:type="spellStart"/>
      <w:r w:rsidRPr="0044663A">
        <w:rPr>
          <w:rFonts w:ascii="Arial" w:eastAsia="Times New Roman" w:hAnsi="Arial" w:cs="Arial"/>
          <w:kern w:val="0"/>
          <w:lang w:eastAsia="en-GB"/>
          <w14:ligatures w14:val="none"/>
        </w:rPr>
        <w:t>Groth</w:t>
      </w:r>
      <w:proofErr w:type="spellEnd"/>
      <w:r w:rsidRPr="0044663A">
        <w:rPr>
          <w:rFonts w:ascii="Arial" w:eastAsia="Times New Roman" w:hAnsi="Arial" w:cs="Arial"/>
          <w:kern w:val="0"/>
          <w:lang w:eastAsia="en-GB"/>
          <w14:ligatures w14:val="none"/>
        </w:rPr>
        <w:t xml:space="preserve">, C., Magnusson, F.L., Moreira-Maia, C.R. et al. (2015) ‘Methylphenidate for children and adolescents with attention deficit hyperactivity disorder (ADHD)’, </w:t>
      </w:r>
      <w:r w:rsidRPr="0044663A">
        <w:rPr>
          <w:rFonts w:ascii="Arial" w:eastAsia="Times New Roman" w:hAnsi="Arial" w:cs="Arial"/>
          <w:i/>
          <w:iCs/>
          <w:kern w:val="0"/>
          <w:lang w:eastAsia="en-GB"/>
          <w14:ligatures w14:val="none"/>
        </w:rPr>
        <w:t>Cochrane Database of Systematic Reviews</w:t>
      </w:r>
      <w:r w:rsidRPr="0044663A">
        <w:rPr>
          <w:rFonts w:ascii="Arial" w:eastAsia="Times New Roman" w:hAnsi="Arial" w:cs="Arial"/>
          <w:kern w:val="0"/>
          <w:lang w:eastAsia="en-GB"/>
          <w14:ligatures w14:val="none"/>
        </w:rPr>
        <w:t xml:space="preserve">, 2015(11), CD009885. Available at: </w:t>
      </w:r>
      <w:hyperlink r:id="rId79" w:tgtFrame="_new" w:history="1">
        <w:r w:rsidRPr="0044663A">
          <w:rPr>
            <w:rFonts w:ascii="Arial" w:eastAsia="Times New Roman" w:hAnsi="Arial" w:cs="Arial"/>
            <w:color w:val="0000FF"/>
            <w:kern w:val="0"/>
            <w:u w:val="single"/>
            <w:lang w:eastAsia="en-GB"/>
            <w14:ligatures w14:val="none"/>
          </w:rPr>
          <w:t>https://doi.org/10.1002/14651858.CD009885.pub2</w:t>
        </w:r>
      </w:hyperlink>
      <w:r w:rsidRPr="0044663A">
        <w:rPr>
          <w:rFonts w:ascii="Arial" w:eastAsia="Times New Roman" w:hAnsi="Arial" w:cs="Arial"/>
          <w:kern w:val="0"/>
          <w:lang w:eastAsia="en-GB"/>
          <w14:ligatures w14:val="none"/>
        </w:rPr>
        <w:t>.</w:t>
      </w:r>
    </w:p>
    <w:p w14:paraId="3187F339"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University of Wales Trinity Saint David (2022) </w:t>
      </w:r>
      <w:r w:rsidRPr="0044663A">
        <w:rPr>
          <w:rFonts w:ascii="Arial" w:eastAsia="Times New Roman" w:hAnsi="Arial" w:cs="Arial"/>
          <w:i/>
          <w:iCs/>
          <w:kern w:val="0"/>
          <w:lang w:eastAsia="en-GB"/>
          <w14:ligatures w14:val="none"/>
        </w:rPr>
        <w:t>Research Ethics and Integrity Code of Practice</w:t>
      </w:r>
      <w:r w:rsidRPr="0044663A">
        <w:rPr>
          <w:rFonts w:ascii="Arial" w:eastAsia="Times New Roman" w:hAnsi="Arial" w:cs="Arial"/>
          <w:kern w:val="0"/>
          <w:lang w:eastAsia="en-GB"/>
          <w14:ligatures w14:val="none"/>
        </w:rPr>
        <w:t xml:space="preserve">. Swansea: University of Wales Trinity Saint David. Available at: </w:t>
      </w:r>
      <w:hyperlink r:id="rId80" w:tgtFrame="_new" w:history="1">
        <w:r w:rsidRPr="0044663A">
          <w:rPr>
            <w:rFonts w:ascii="Arial" w:eastAsia="Times New Roman" w:hAnsi="Arial" w:cs="Arial"/>
            <w:color w:val="0000FF"/>
            <w:kern w:val="0"/>
            <w:u w:val="single"/>
            <w:lang w:eastAsia="en-GB"/>
            <w14:ligatures w14:val="none"/>
          </w:rPr>
          <w:t>https://www.uwtsd.ac.uk/research/research-ethics/</w:t>
        </w:r>
      </w:hyperlink>
      <w:r w:rsidRPr="0044663A">
        <w:rPr>
          <w:rFonts w:ascii="Arial" w:eastAsia="Times New Roman" w:hAnsi="Arial" w:cs="Arial"/>
          <w:kern w:val="0"/>
          <w:lang w:eastAsia="en-GB"/>
          <w14:ligatures w14:val="none"/>
        </w:rPr>
        <w:t xml:space="preserve"> (Accessed: 12 December 2025).</w:t>
      </w:r>
    </w:p>
    <w:p w14:paraId="478A9CA3"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World Health Organization (2022) </w:t>
      </w:r>
      <w:r w:rsidRPr="0044663A">
        <w:rPr>
          <w:rFonts w:ascii="Arial" w:eastAsia="Times New Roman" w:hAnsi="Arial" w:cs="Arial"/>
          <w:i/>
          <w:iCs/>
          <w:kern w:val="0"/>
          <w:lang w:eastAsia="en-GB"/>
          <w14:ligatures w14:val="none"/>
        </w:rPr>
        <w:t>Global status report on the public health response to neurodevelopmental disorders</w:t>
      </w:r>
      <w:r w:rsidRPr="0044663A">
        <w:rPr>
          <w:rFonts w:ascii="Arial" w:eastAsia="Times New Roman" w:hAnsi="Arial" w:cs="Arial"/>
          <w:kern w:val="0"/>
          <w:lang w:eastAsia="en-GB"/>
          <w14:ligatures w14:val="none"/>
        </w:rPr>
        <w:t xml:space="preserve">. Geneva: WHO. Available at: </w:t>
      </w:r>
      <w:hyperlink r:id="rId81" w:tgtFrame="_new" w:history="1">
        <w:r w:rsidRPr="0044663A">
          <w:rPr>
            <w:rFonts w:ascii="Arial" w:eastAsia="Times New Roman" w:hAnsi="Arial" w:cs="Arial"/>
            <w:color w:val="0000FF"/>
            <w:kern w:val="0"/>
            <w:u w:val="single"/>
            <w:lang w:eastAsia="en-GB"/>
            <w14:ligatures w14:val="none"/>
          </w:rPr>
          <w:t>https://www.who.int/publications</w:t>
        </w:r>
      </w:hyperlink>
      <w:r w:rsidRPr="0044663A">
        <w:rPr>
          <w:rFonts w:ascii="Arial" w:eastAsia="Times New Roman" w:hAnsi="Arial" w:cs="Arial"/>
          <w:kern w:val="0"/>
          <w:lang w:eastAsia="en-GB"/>
          <w14:ligatures w14:val="none"/>
        </w:rPr>
        <w:t xml:space="preserve"> (Accessed: 22 December 2025).</w:t>
      </w:r>
    </w:p>
    <w:p w14:paraId="2BA7F0C5" w14:textId="77777777" w:rsidR="0044663A" w:rsidRPr="0044663A" w:rsidRDefault="0044663A" w:rsidP="0044663A">
      <w:pPr>
        <w:spacing w:before="100" w:beforeAutospacing="1" w:after="100" w:afterAutospacing="1" w:line="360" w:lineRule="auto"/>
        <w:rPr>
          <w:rFonts w:ascii="Arial" w:eastAsia="Times New Roman" w:hAnsi="Arial" w:cs="Arial"/>
          <w:kern w:val="0"/>
          <w:lang w:eastAsia="en-GB"/>
          <w14:ligatures w14:val="none"/>
        </w:rPr>
      </w:pPr>
      <w:r w:rsidRPr="0044663A">
        <w:rPr>
          <w:rFonts w:ascii="Arial" w:eastAsia="Times New Roman" w:hAnsi="Arial" w:cs="Arial"/>
          <w:kern w:val="0"/>
          <w:lang w:eastAsia="en-GB"/>
          <w14:ligatures w14:val="none"/>
        </w:rPr>
        <w:t xml:space="preserve">World Health Organization (2024) </w:t>
      </w:r>
      <w:r w:rsidRPr="0044663A">
        <w:rPr>
          <w:rFonts w:ascii="Arial" w:eastAsia="Times New Roman" w:hAnsi="Arial" w:cs="Arial"/>
          <w:i/>
          <w:iCs/>
          <w:kern w:val="0"/>
          <w:lang w:eastAsia="en-GB"/>
          <w14:ligatures w14:val="none"/>
        </w:rPr>
        <w:t>International classification of diseases 11th revision (ICD-11)</w:t>
      </w:r>
      <w:r w:rsidRPr="0044663A">
        <w:rPr>
          <w:rFonts w:ascii="Arial" w:eastAsia="Times New Roman" w:hAnsi="Arial" w:cs="Arial"/>
          <w:kern w:val="0"/>
          <w:lang w:eastAsia="en-GB"/>
          <w14:ligatures w14:val="none"/>
        </w:rPr>
        <w:t xml:space="preserve">. Geneva: WHO. Available at: </w:t>
      </w:r>
      <w:hyperlink r:id="rId82" w:tgtFrame="_new" w:history="1">
        <w:r w:rsidRPr="0044663A">
          <w:rPr>
            <w:rFonts w:ascii="Arial" w:eastAsia="Times New Roman" w:hAnsi="Arial" w:cs="Arial"/>
            <w:color w:val="0000FF"/>
            <w:kern w:val="0"/>
            <w:u w:val="single"/>
            <w:lang w:eastAsia="en-GB"/>
            <w14:ligatures w14:val="none"/>
          </w:rPr>
          <w:t>https://icd.who.int/en</w:t>
        </w:r>
      </w:hyperlink>
      <w:r w:rsidRPr="0044663A">
        <w:rPr>
          <w:rFonts w:ascii="Arial" w:eastAsia="Times New Roman" w:hAnsi="Arial" w:cs="Arial"/>
          <w:kern w:val="0"/>
          <w:lang w:eastAsia="en-GB"/>
          <w14:ligatures w14:val="none"/>
        </w:rPr>
        <w:t xml:space="preserve"> (Accessed: 22 December 2025).</w:t>
      </w:r>
    </w:p>
    <w:p w14:paraId="5A05CB91" w14:textId="77777777" w:rsidR="0044663A" w:rsidRPr="006729C6" w:rsidRDefault="0044663A"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012B98B2" w14:textId="1BD8F095" w:rsidR="001268B6" w:rsidRPr="00BB2AEF" w:rsidRDefault="009857A5"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Chapter4</w:t>
      </w:r>
      <w:r w:rsidR="00EE7D77">
        <w:rPr>
          <w:rFonts w:ascii="Arial" w:eastAsia="Times New Roman" w:hAnsi="Arial" w:cs="Arial"/>
          <w:b/>
          <w:bCs/>
          <w:color w:val="000000" w:themeColor="text1"/>
          <w:kern w:val="0"/>
          <w:lang w:eastAsia="en-GB"/>
          <w14:ligatures w14:val="none"/>
        </w:rPr>
        <w:t>:</w:t>
      </w:r>
      <w:r w:rsidRPr="00BB2AEF">
        <w:rPr>
          <w:rFonts w:ascii="Arial" w:eastAsia="Times New Roman" w:hAnsi="Arial" w:cs="Arial"/>
          <w:b/>
          <w:bCs/>
          <w:color w:val="000000" w:themeColor="text1"/>
          <w:kern w:val="0"/>
          <w:lang w:eastAsia="en-GB"/>
          <w14:ligatures w14:val="none"/>
        </w:rPr>
        <w:t xml:space="preserve"> Findings and </w:t>
      </w:r>
      <w:r w:rsidR="005930D5" w:rsidRPr="00BB2AEF">
        <w:rPr>
          <w:rFonts w:ascii="Arial" w:eastAsia="Times New Roman" w:hAnsi="Arial" w:cs="Arial"/>
          <w:b/>
          <w:bCs/>
          <w:color w:val="000000" w:themeColor="text1"/>
          <w:kern w:val="0"/>
          <w:lang w:eastAsia="en-GB"/>
          <w14:ligatures w14:val="none"/>
        </w:rPr>
        <w:t>Discussion:</w:t>
      </w:r>
    </w:p>
    <w:p w14:paraId="72C06397" w14:textId="6F8E5443" w:rsidR="005930D5" w:rsidRPr="00BB2AEF" w:rsidRDefault="0067009E"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Introduction:</w:t>
      </w:r>
    </w:p>
    <w:p w14:paraId="340564BA" w14:textId="38377B83" w:rsidR="0067009E" w:rsidRPr="00BB2AEF" w:rsidRDefault="0070182A" w:rsidP="00BB2AEF">
      <w:pPr>
        <w:spacing w:before="100" w:beforeAutospacing="1" w:after="100" w:afterAutospacing="1" w:line="360" w:lineRule="auto"/>
        <w:rPr>
          <w:rFonts w:ascii="Arial" w:hAnsi="Arial" w:cs="Arial"/>
          <w:color w:val="000000" w:themeColor="text1"/>
        </w:rPr>
      </w:pPr>
      <w:r w:rsidRPr="00BB2AEF">
        <w:rPr>
          <w:rFonts w:ascii="Arial" w:hAnsi="Arial" w:cs="Arial"/>
          <w:color w:val="000000" w:themeColor="text1"/>
        </w:rPr>
        <w:t>This chapter presents and discusses the findings from the secondary research undertaken for this dissertation. A thematic analysis approach is used to identify and explore key patterns within the academic literature relating to the use of ADHD medication in children in the United Kingdom. The chapter focuses on three main themes: the effectiveness of ADHD medication, issues relating to safety and side effects, and the wider impact of medication on families and care pathways. Each theme is critically analysed and clearly linked back to the research aim and objectives, as well as to relevant policy, theory and practice. This approach enables a deeper understanding of the implications of the findings beyond simple description.</w:t>
      </w:r>
    </w:p>
    <w:p w14:paraId="5B4594B4" w14:textId="77777777" w:rsidR="00665847" w:rsidRDefault="00665847" w:rsidP="00BB2AEF">
      <w:pPr>
        <w:spacing w:before="100" w:beforeAutospacing="1" w:after="100" w:afterAutospacing="1" w:line="360" w:lineRule="auto"/>
        <w:rPr>
          <w:rFonts w:ascii="Arial" w:hAnsi="Arial" w:cs="Arial"/>
          <w:b/>
          <w:bCs/>
          <w:color w:val="000000" w:themeColor="text1"/>
        </w:rPr>
      </w:pPr>
    </w:p>
    <w:p w14:paraId="55BBE47E" w14:textId="77777777" w:rsidR="00665847" w:rsidRDefault="00665847" w:rsidP="00BB2AEF">
      <w:pPr>
        <w:spacing w:before="100" w:beforeAutospacing="1" w:after="100" w:afterAutospacing="1" w:line="360" w:lineRule="auto"/>
        <w:rPr>
          <w:rFonts w:ascii="Arial" w:hAnsi="Arial" w:cs="Arial"/>
          <w:b/>
          <w:bCs/>
          <w:color w:val="000000" w:themeColor="text1"/>
        </w:rPr>
      </w:pPr>
    </w:p>
    <w:p w14:paraId="07CDDE7C" w14:textId="17669702" w:rsidR="006461CF" w:rsidRPr="00665847" w:rsidRDefault="006461CF" w:rsidP="00BB2AEF">
      <w:pPr>
        <w:spacing w:before="100" w:beforeAutospacing="1" w:after="100" w:afterAutospacing="1" w:line="360" w:lineRule="auto"/>
        <w:rPr>
          <w:rFonts w:ascii="Arial" w:hAnsi="Arial" w:cs="Arial"/>
          <w:b/>
          <w:bCs/>
          <w:color w:val="000000" w:themeColor="text1"/>
        </w:rPr>
      </w:pPr>
      <w:r w:rsidRPr="00665847">
        <w:rPr>
          <w:rFonts w:ascii="Arial" w:hAnsi="Arial" w:cs="Arial"/>
          <w:b/>
          <w:bCs/>
          <w:color w:val="000000" w:themeColor="text1"/>
        </w:rPr>
        <w:lastRenderedPageBreak/>
        <w:t>Thematic Analysis:</w:t>
      </w:r>
    </w:p>
    <w:p w14:paraId="12B301F3" w14:textId="77777777" w:rsidR="00A22C77" w:rsidRPr="00BB2AEF" w:rsidRDefault="00A22C77"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This chapter presents and discusses the findings generated from the secondary research reviewed in this study. A thematic analysis approach was adopted to systematically examine and interpret patterns within the literature relating to the effectiveness and safety of ADHD medication in children, and its wider impact on families in the United Kingdom. Thematic analysis is a qualitative method used to identify, analyse and report recurring themes across a data set, enabling meaningful interpretation beyond surface-level description (Braun and Clarke, 2006).</w:t>
      </w:r>
    </w:p>
    <w:p w14:paraId="602B3E4C" w14:textId="77777777" w:rsidR="006506B9" w:rsidRPr="00BB2AEF" w:rsidRDefault="00A22C77"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 xml:space="preserve">The analysis followed Braun and Clarke’s (2006) six-phase framework. Initially, the </w:t>
      </w:r>
    </w:p>
    <w:p w14:paraId="785E8CE2" w14:textId="13F60505" w:rsidR="00A22C77" w:rsidRPr="00BB2AEF" w:rsidRDefault="00A22C77"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researcher became familiar with the data through repeated reading of academic articles, policy documents, and clinical reports. Relevant data were then coded by identifying key concepts, phrases, and findings related to medication effectiveness, safety, family experiences, and service provision. These codes were reviewed and compared across sources to identify consistent patterns and areas of divergence.</w:t>
      </w:r>
    </w:p>
    <w:p w14:paraId="5E4FB07D" w14:textId="77777777" w:rsidR="00A22C77" w:rsidRPr="00BB2AEF" w:rsidRDefault="00A22C77"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Codes with shared meanings were subsequently grouped into broader themes that aligned with the research aim and objectives. This process resulted in three overarching themes: the effectiveness of ADHD medication on child outcomes; safety, side effects, and long-term considerations; and the emotional, social, and systemic impact on families. These themes provide a structured framework for presenting the findings and enable critical discussion of how current evidence and policy address the complexities of ADHD medication within a UK context.</w:t>
      </w:r>
    </w:p>
    <w:p w14:paraId="323284F3" w14:textId="77777777" w:rsidR="00A22C77" w:rsidRPr="00BB2AEF" w:rsidRDefault="00A22C77"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The following sections explore each theme in depth, integrating research evidence, theory, and policy to critically address the study’s research aim.</w:t>
      </w:r>
    </w:p>
    <w:p w14:paraId="7B038B0E" w14:textId="77777777" w:rsidR="0005376E" w:rsidRPr="00BB2AEF" w:rsidRDefault="0005376E" w:rsidP="00BB2AEF">
      <w:pPr>
        <w:spacing w:before="100" w:beforeAutospacing="1" w:after="100" w:afterAutospacing="1" w:line="360" w:lineRule="auto"/>
        <w:outlineLvl w:val="1"/>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Theme 1: Clinical Effectiveness of ADHD Medication in Children</w:t>
      </w:r>
    </w:p>
    <w:p w14:paraId="51FA94EB" w14:textId="77777777" w:rsidR="0005376E" w:rsidRPr="00BB2AEF" w:rsidRDefault="0005376E"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Definition and Scope of the Theme</w:t>
      </w:r>
    </w:p>
    <w:p w14:paraId="152FDD75" w14:textId="77777777"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This theme examines the clinical effectiveness of Attention Deficit Hyperactivity Disorder (ADHD) medication in children, focusing on the extent to which pharmacological treatment improves core symptoms and wider functional outcomes. Effectiveness within this theme is understood not only as a reduction in symptoms such as inattention, hyperactivity and impulsivity, but also as the degree to which medication supports children’s behavioural regulation, educational engagement and social functioning. The discussion includes both </w:t>
      </w:r>
      <w:r w:rsidRPr="00BB2AEF">
        <w:rPr>
          <w:rFonts w:ascii="Arial" w:eastAsia="Times New Roman" w:hAnsi="Arial" w:cs="Arial"/>
          <w:color w:val="000000" w:themeColor="text1"/>
          <w:kern w:val="0"/>
          <w:lang w:eastAsia="en-GB"/>
          <w14:ligatures w14:val="none"/>
        </w:rPr>
        <w:lastRenderedPageBreak/>
        <w:t>stimulant medications (such as methylphenidate and lisdexamfetamine) and non-stimulant medications (including atomoxetine and guanfacine), reflecting prescribing practices recommended in UK clinical guidance (NICE, 2018). Consideration of medication safety and family experience is deliberately limited within this theme and explored in later sections, allowing a focused evaluation of whether ADHD medication achieves its intended therapeutic purpose. This theme therefore directly links to the research aim of critically assessing the effectiveness of ADHD medication in children in the United Kingdom.</w:t>
      </w:r>
    </w:p>
    <w:p w14:paraId="684F7C10" w14:textId="77777777" w:rsidR="0005376E" w:rsidRPr="00BB2AEF" w:rsidRDefault="0005376E"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Background and Contemporary Context</w:t>
      </w:r>
    </w:p>
    <w:p w14:paraId="4C57523F" w14:textId="77777777"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Medication has become a central component of ADHD management within UK child mental health services, particularly for children whose symptoms cause moderate to severe functional impairment (NICE, 2018). Historically, stimulant medication has dominated treatment pathways due to its rapid onset of action and strong evidence base demonstrating symptom reduction (Cortese et al., 2018). Over time, however, concerns have emerged regarding whether symptom improvement alone constitutes meaningful effectiveness, particularly in relation to long-term educational, emotional and social outcomes.</w:t>
      </w:r>
    </w:p>
    <w:p w14:paraId="4CFB0BF5" w14:textId="77777777"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In response to these concerns, non-stimulant medications have been increasingly incorporated into treatment pathways, particularly for children who do not tolerate stimulants or present with comorbid conditions such as anxiety or emotional dysregulation (NICE, 2018). This shift reflects a broader movement towards personalised prescribing and a recognition that ADHD presents heterogeneously. Despite this, much of the effectiveness literature continues to prioritise short-term symptom outcomes, raising questions about how well current evidence reflects children’s lived experiences and long-term development. The contemporary importance of this theme therefore lies in evaluating whether current definitions of effectiveness align with the wider goals of child mental health care in the UK.</w:t>
      </w:r>
    </w:p>
    <w:p w14:paraId="5606A45F" w14:textId="77777777" w:rsidR="0005376E" w:rsidRPr="00BB2AEF" w:rsidRDefault="0005376E"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Relevance to the Research Question</w:t>
      </w:r>
    </w:p>
    <w:p w14:paraId="57DCBFB4" w14:textId="77777777"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Assessing the effectiveness of ADHD medication is central to answering the research question, which seeks to critically evaluate the role of pharmacological treatment in children’s lives. Medication is one of the most commonly used interventions within UK ADHD care pathways, yet its effectiveness is often assumed rather than interrogated. By examining how effectiveness is defined, measured and interpreted within the literature, this theme contributes to a deeper understanding of whether medication use is justified and under what conditions it delivers meaningful benefit. In doing so, it supports the broader research aim of informing best practice in child mental health care through evidence-based evaluation.</w:t>
      </w:r>
    </w:p>
    <w:p w14:paraId="4AB34B82" w14:textId="77777777" w:rsidR="0005376E" w:rsidRPr="00BB2AEF" w:rsidRDefault="0005376E"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lastRenderedPageBreak/>
        <w:t>Statistical and Empirical Context</w:t>
      </w:r>
    </w:p>
    <w:p w14:paraId="5B64A260" w14:textId="775BE80A"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National prescribing data demonstrate a sustained increase in ADHD medication use among children and young people in England over recent years, reflecting growing diagnosis rates and reliance on pharmacological treatment (NHS Digital, 2024). While this trend suggests clinical confidence in medication effectiveness, prescribing prevalence alone does not provide evidence of outcome quality. </w:t>
      </w:r>
      <w:r w:rsidR="008507A7" w:rsidRPr="00BB2AEF">
        <w:rPr>
          <w:rFonts w:ascii="Arial" w:hAnsi="Arial" w:cs="Arial"/>
          <w:color w:val="000000" w:themeColor="text1"/>
        </w:rPr>
        <w:t>Clinical trials frequently report statistically significant improvements in ADHD symptom scores, particularly for stimulant medication. Whilst short-term behavioural improvements are commonly observed, inconsistencies remain in relation to long-term outcomes. This contrast suggests that, although effectiveness is demonstrated under controlled conditions, real-world evidence of sustained functional improvement remains limited (Cortese et al., 2018; Storebø et al., 2015).</w:t>
      </w:r>
    </w:p>
    <w:p w14:paraId="3EB62926" w14:textId="77777777"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discrepancy highlights a key issue within the literature: effectiveness is often inferred from symptom-based clinical outcomes rather than measured through long-term functional indicators. As a result, statistical evidence may overstate the broader impact of medication, particularly when applied to real-world settings characterised by service pressure and variability in educational support. This reinforces the need to critically interpret quantitative findings rather than equating increased prescribing with confirmed effectiveness.</w:t>
      </w:r>
    </w:p>
    <w:p w14:paraId="6D555C56" w14:textId="77777777" w:rsidR="0005376E" w:rsidRPr="00BB2AEF" w:rsidRDefault="0005376E"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Theoretical and Policy Interpretation</w:t>
      </w:r>
    </w:p>
    <w:p w14:paraId="7EC43EA8" w14:textId="77777777"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The use of ADHD medication is primarily underpinned by neurodevelopmental theory, which conceptualises ADHD as a condition associated with atypical brain development affecting executive functioning and self-regulation (Barkley, 1997). From this perspective, medication is considered effective insofar as it corrects neurochemical imbalances, thereby reducing symptoms and improving behavioural control. This theoretical framework strongly informs UK policy, with NICE (2018) endorsing medication as an effective intervention for children with significant impairment.</w:t>
      </w:r>
    </w:p>
    <w:p w14:paraId="0E299DB6" w14:textId="77777777" w:rsidR="00E35788" w:rsidRDefault="0005376E" w:rsidP="00E35788">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However, while neurodevelopmental theory accounts for symptom responsiveness, it offers limited explanation for inconsistent functional outcomes. Policy guidance implicitly acknowledges this limitation by recommending medication as part of a multimodal approach, incorporating behavioural, educational and psychosocial interventions (NICE, 2018). This creates a tension between the biomedical framing of effectiveness and the policy recognition that broader environmental factors shape outcomes. Critically, this suggests that medication effectiveness is conditional and dependent on contextual support rather than an inherent property of pharmacological treatment alone.</w:t>
      </w:r>
    </w:p>
    <w:p w14:paraId="4F124FD1" w14:textId="3A37EA70" w:rsidR="0005376E" w:rsidRPr="00E35788" w:rsidRDefault="0005376E" w:rsidP="00E35788">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lastRenderedPageBreak/>
        <w:t>Critical Comparison of Key Literature</w:t>
      </w:r>
    </w:p>
    <w:p w14:paraId="481ED68A" w14:textId="77777777" w:rsidR="007359D8" w:rsidRDefault="007359D8"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High-quality evidence consistently demonstrates that stimulant medication produces the greatest short-term improvements in core ADHD symptoms, particularly when measured using teacher-rated scales (Cortese et al., 2018). These findings underpin NICE guidance and support stimulants as first-line treatment. In contrast, non-stimulant medications show more modest effects but remain important for children who cannot tolerate stimulants or present with comorbidities (NICE, 2018).</w:t>
      </w:r>
    </w:p>
    <w:p w14:paraId="17ED5AA8" w14:textId="4F96246B" w:rsidR="00A2440B" w:rsidRPr="00A2440B" w:rsidRDefault="00A2440B" w:rsidP="00A2440B">
      <w:pPr>
        <w:pStyle w:val="NormalWeb"/>
        <w:spacing w:line="360" w:lineRule="auto"/>
        <w:rPr>
          <w:rFonts w:ascii="Arial" w:hAnsi="Arial" w:cs="Arial"/>
          <w:sz w:val="22"/>
          <w:szCs w:val="22"/>
        </w:rPr>
      </w:pPr>
      <w:r w:rsidRPr="00A2440B">
        <w:rPr>
          <w:rFonts w:ascii="Arial" w:hAnsi="Arial" w:cs="Arial"/>
          <w:sz w:val="22"/>
          <w:szCs w:val="22"/>
        </w:rPr>
        <w:t>Whilst studies agree on symptom reduction, clear differences emerge regarding functional outcomes.</w:t>
      </w:r>
      <w:r>
        <w:rPr>
          <w:rFonts w:ascii="Arial" w:hAnsi="Arial" w:cs="Arial"/>
          <w:sz w:val="22"/>
          <w:szCs w:val="22"/>
        </w:rPr>
        <w:t xml:space="preserve"> </w:t>
      </w:r>
      <w:r w:rsidRPr="00A2440B">
        <w:rPr>
          <w:rFonts w:ascii="Arial" w:hAnsi="Arial" w:cs="Arial"/>
          <w:sz w:val="22"/>
          <w:szCs w:val="22"/>
        </w:rPr>
        <w:t>Cortese et al</w:t>
      </w:r>
      <w:r w:rsidR="00E215BA">
        <w:rPr>
          <w:rFonts w:ascii="Arial" w:hAnsi="Arial" w:cs="Arial"/>
          <w:sz w:val="22"/>
          <w:szCs w:val="22"/>
        </w:rPr>
        <w:t xml:space="preserve">. </w:t>
      </w:r>
      <w:r w:rsidR="007D7BD0">
        <w:rPr>
          <w:rFonts w:ascii="Arial" w:hAnsi="Arial" w:cs="Arial"/>
          <w:sz w:val="22"/>
          <w:szCs w:val="22"/>
        </w:rPr>
        <w:t>(</w:t>
      </w:r>
      <w:r w:rsidRPr="00A2440B">
        <w:rPr>
          <w:rFonts w:ascii="Arial" w:hAnsi="Arial" w:cs="Arial"/>
          <w:sz w:val="22"/>
          <w:szCs w:val="22"/>
        </w:rPr>
        <w:t>2018) emphasise short-term improvements in core symptoms, whereas Daley et al. (2018) highlight that these gains do not consistently translate into academic or social progress. This highlights a limitation within current clinical practice, where effectiveness may be overestimated when broader developmental outcomes are not fully considered.</w:t>
      </w:r>
    </w:p>
    <w:p w14:paraId="07BBA83D" w14:textId="77777777" w:rsidR="00A2440B" w:rsidRPr="00A2440B" w:rsidRDefault="00A2440B" w:rsidP="00A2440B">
      <w:pPr>
        <w:pStyle w:val="NormalWeb"/>
        <w:spacing w:line="360" w:lineRule="auto"/>
        <w:rPr>
          <w:rFonts w:ascii="Arial" w:hAnsi="Arial" w:cs="Arial"/>
          <w:sz w:val="22"/>
          <w:szCs w:val="22"/>
        </w:rPr>
      </w:pPr>
      <w:r w:rsidRPr="00A2440B">
        <w:rPr>
          <w:rFonts w:ascii="Arial" w:hAnsi="Arial" w:cs="Arial"/>
          <w:sz w:val="22"/>
          <w:szCs w:val="22"/>
        </w:rPr>
        <w:t>Additionally, the literature prioritises adult-reported outcomes over children’s experiences. Singh (2011) highlights concerns regarding identity and emotional impact, indicating that behavioural improvement may not equate to genuine wellbeing. This reflects a gap in the evidence base, where children’s subjective experiences are insufficiently represented.</w:t>
      </w:r>
    </w:p>
    <w:p w14:paraId="5E1BE057" w14:textId="77777777" w:rsidR="007359D8" w:rsidRPr="00BB2AEF" w:rsidRDefault="007359D8"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p>
    <w:p w14:paraId="48A4620E" w14:textId="77777777" w:rsidR="0005376E" w:rsidRPr="00BB2AEF" w:rsidRDefault="0005376E"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Connections to Other Themes</w:t>
      </w:r>
    </w:p>
    <w:p w14:paraId="6552940B" w14:textId="3D99D623"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Findings from this theme directly intersect with issues explored in later themes. Variability in effectiveness is closely linked to medication tolerability and side-effect burden, which are addressed in Theme 2. Similarly, where medication outcomes are partial or inconsistent, families may experience increased stress, uncertainty and reliance on services, which is explored further in Theme 3. These connections reinforce the idea that effectiveness cannot be evaluated in </w:t>
      </w:r>
      <w:r w:rsidR="00EC46DD" w:rsidRPr="00BB2AEF">
        <w:rPr>
          <w:rFonts w:ascii="Arial" w:eastAsia="Times New Roman" w:hAnsi="Arial" w:cs="Arial"/>
          <w:color w:val="000000" w:themeColor="text1"/>
          <w:kern w:val="0"/>
          <w:lang w:eastAsia="en-GB"/>
          <w14:ligatures w14:val="none"/>
        </w:rPr>
        <w:t>isolation but</w:t>
      </w:r>
      <w:r w:rsidRPr="00BB2AEF">
        <w:rPr>
          <w:rFonts w:ascii="Arial" w:eastAsia="Times New Roman" w:hAnsi="Arial" w:cs="Arial"/>
          <w:color w:val="000000" w:themeColor="text1"/>
          <w:kern w:val="0"/>
          <w:lang w:eastAsia="en-GB"/>
          <w14:ligatures w14:val="none"/>
        </w:rPr>
        <w:t xml:space="preserve"> must be understood within a wider system of safety, family experience and service delivery.</w:t>
      </w:r>
    </w:p>
    <w:p w14:paraId="2C06457C" w14:textId="77777777" w:rsidR="0005376E" w:rsidRPr="00BB2AEF" w:rsidRDefault="0005376E"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Mini-Summary and Signpost</w:t>
      </w:r>
    </w:p>
    <w:p w14:paraId="07A47793" w14:textId="52FC2FB5" w:rsidR="0005376E" w:rsidRPr="00BB2AEF" w:rsidRDefault="0005376E"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This theme demonstrates that ADHD medication is generally effective in reducing core symptoms in children, with stimulant medications showing the strongest short-term evidence base and non-stimulants providing important alternatives within personalised care. However, the literature reveals significant limitations in how effectiveness is defined and measured, </w:t>
      </w:r>
      <w:r w:rsidRPr="00BB2AEF">
        <w:rPr>
          <w:rFonts w:ascii="Arial" w:eastAsia="Times New Roman" w:hAnsi="Arial" w:cs="Arial"/>
          <w:color w:val="000000" w:themeColor="text1"/>
          <w:kern w:val="0"/>
          <w:lang w:eastAsia="en-GB"/>
          <w14:ligatures w14:val="none"/>
        </w:rPr>
        <w:lastRenderedPageBreak/>
        <w:t xml:space="preserve">particularly regarding long-term functional outcomes and children’s subjective wellbeing. These findings begin to answer the research question by indicating that while medication can be clinically effective, its broader impact is conditional and </w:t>
      </w:r>
      <w:r w:rsidR="001C0B66" w:rsidRPr="00BB2AEF">
        <w:rPr>
          <w:rFonts w:ascii="Arial" w:eastAsia="Times New Roman" w:hAnsi="Arial" w:cs="Arial"/>
          <w:color w:val="000000" w:themeColor="text1"/>
          <w:kern w:val="0"/>
          <w:lang w:eastAsia="en-GB"/>
          <w14:ligatures w14:val="none"/>
        </w:rPr>
        <w:t>context dependent</w:t>
      </w:r>
      <w:r w:rsidRPr="00BB2AEF">
        <w:rPr>
          <w:rFonts w:ascii="Arial" w:eastAsia="Times New Roman" w:hAnsi="Arial" w:cs="Arial"/>
          <w:color w:val="000000" w:themeColor="text1"/>
          <w:kern w:val="0"/>
          <w:lang w:eastAsia="en-GB"/>
          <w14:ligatures w14:val="none"/>
        </w:rPr>
        <w:t>. The next theme will build on this analysis by examining the safety, side effects and long-term considerations associated with ADHD medication, further informing evaluation of its role within UK child mental health care.</w:t>
      </w:r>
    </w:p>
    <w:p w14:paraId="32439E53"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5B3EA3A8" w14:textId="77777777" w:rsidR="004700B5" w:rsidRPr="00BB2AEF" w:rsidRDefault="004700B5" w:rsidP="00BB2AEF">
      <w:pPr>
        <w:spacing w:before="100" w:beforeAutospacing="1" w:after="100" w:afterAutospacing="1" w:line="360" w:lineRule="auto"/>
        <w:outlineLvl w:val="1"/>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Theme 2: Safety, Side Effects and Long-Term Considerations of ADHD Medication in Children</w:t>
      </w:r>
    </w:p>
    <w:p w14:paraId="0D19437E"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Definition and Scope of the Theme</w:t>
      </w:r>
    </w:p>
    <w:p w14:paraId="1D3EFBFD"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theme examines the safety profile of ADHD medication in children, focusing on short-term side effects, long-term health considerations, and the monitoring requirements associated with pharmacological treatment. Safety is understood not only in terms of adverse physical effects, but also in relation to emotional wellbeing, adherence, and ethical prescribing practices. The discussion considers both stimulant medications (such as methylphenidate and lisdexamfetamine) and non-stimulant medications (including atomoxetine and guanfacine), reflecting UK prescribing guidance. While effectiveness was explored in Theme 1, this theme critically evaluates whether the benefits of medication outweigh potential risks, directly addressing Objective 3 and contributing to the wider research question concerning the appropriateness of ADHD medication use in children in the United Kingdom.</w:t>
      </w:r>
    </w:p>
    <w:p w14:paraId="1455C9C4"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Background and Contemporary Context</w:t>
      </w:r>
    </w:p>
    <w:p w14:paraId="3A2A282A"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Concerns regarding the safety of ADHD medication have accompanied its use since stimulant treatments were first introduced into paediatric care. Although medication is now widely prescribed and supported by national guidance, ongoing debate persists regarding potential adverse effects, particularly when treatment is initiated in childhood and continued over extended periods. In the UK, the Medicines and Healthcare products Regulatory Agency (MHRA) and the National Institute for Health and Care Excellence (NICE) provide detailed recommendations on monitoring physical health, growth and cardiovascular functioning in children receiving ADHD medication (NICE, 2018; MHRA, 2019).</w:t>
      </w:r>
    </w:p>
    <w:p w14:paraId="7E53A36D"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lastRenderedPageBreak/>
        <w:t>The contemporary relevance of safety concerns has intensified alongside rising prescribing rates and longer treatment durations. As more children receive medication at younger ages and remain on treatment through adolescence, questions surrounding cumulative exposure, long-term outcomes and service capacity for adequate monitoring have become increasingly prominent. This context necessitates a critical examination of whether existing safety evidence and policy frameworks sufficiently protect children’s wellbeing.</w:t>
      </w:r>
    </w:p>
    <w:p w14:paraId="69B19A6F"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Relevance to the Research Question</w:t>
      </w:r>
    </w:p>
    <w:p w14:paraId="5D7E8EAE"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Evaluating the safety of ADHD medication is essential to answering the research question, which seeks to assess not only effectiveness but also the potential risks associated with pharmacological treatment. Medication that is effective but unsafe cannot be justified within ethical child health practice. By analysing reported side effects, long-term uncertainties and regulatory guidance, this theme contributes to a balanced evaluation of ADHD medication and informs consideration of best practice within UK child mental health services.</w:t>
      </w:r>
    </w:p>
    <w:p w14:paraId="5B349ACD"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Short-Term Side Effects and Tolerability</w:t>
      </w:r>
    </w:p>
    <w:p w14:paraId="3BFE5F7E" w14:textId="536D3C3B" w:rsidR="005F0811" w:rsidRPr="00601E64" w:rsidRDefault="005F0811" w:rsidP="00601E64">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t>Short-term side effects of ADHD medication are well documented, particularly for stimulant treatments, including reduced appetite, sleep disturbance, headaches and irritability (Cortese et al., 2018; NICE, 2018). Although generally mild</w:t>
      </w:r>
      <w:r w:rsidR="001F4AD7" w:rsidRPr="00BB2AEF">
        <w:rPr>
          <w:rFonts w:ascii="Arial" w:hAnsi="Arial" w:cs="Arial"/>
          <w:color w:val="000000" w:themeColor="text1"/>
        </w:rPr>
        <w:t>,</w:t>
      </w:r>
      <w:r w:rsidRPr="00BB2AEF">
        <w:rPr>
          <w:rFonts w:ascii="Arial" w:hAnsi="Arial" w:cs="Arial"/>
          <w:color w:val="000000" w:themeColor="text1"/>
        </w:rPr>
        <w:t xml:space="preserve"> report higher discontinuation rates, suggesting tolerability challenges. Side effects influence adherence, and variation in experiences indicates limitations in clinical trials and real-world applicability</w:t>
      </w:r>
      <w:r w:rsidR="001F4AD7" w:rsidRPr="00BB2AEF">
        <w:rPr>
          <w:rFonts w:ascii="Arial" w:hAnsi="Arial" w:cs="Arial"/>
          <w:color w:val="000000" w:themeColor="text1"/>
        </w:rPr>
        <w:t xml:space="preserve"> (Storebø et al.,2015</w:t>
      </w:r>
      <w:r w:rsidR="00702B82" w:rsidRPr="00601E64">
        <w:rPr>
          <w:rFonts w:ascii="Arial" w:hAnsi="Arial" w:cs="Arial"/>
          <w:color w:val="000000" w:themeColor="text1"/>
        </w:rPr>
        <w:t>).</w:t>
      </w:r>
      <w:r w:rsidR="00702B82" w:rsidRPr="00601E64">
        <w:rPr>
          <w:rFonts w:ascii="Arial" w:hAnsi="Arial" w:cs="Arial"/>
        </w:rPr>
        <w:t xml:space="preserve"> This</w:t>
      </w:r>
      <w:r w:rsidR="00601E64" w:rsidRPr="00601E64">
        <w:rPr>
          <w:rFonts w:ascii="Arial" w:hAnsi="Arial" w:cs="Arial"/>
        </w:rPr>
        <w:t xml:space="preserve"> highlights a gap between clinical trial findings and real-world experiences, where side effects may have a greater impact on adherence than previously recognised.</w:t>
      </w:r>
    </w:p>
    <w:p w14:paraId="083E6BF4" w14:textId="77777777" w:rsidR="005F0811" w:rsidRPr="00BB2AEF" w:rsidRDefault="005F081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p>
    <w:p w14:paraId="59CC4321"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Growth, Cardiovascular and Long-Term Health Concerns</w:t>
      </w:r>
    </w:p>
    <w:p w14:paraId="0C383749"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One of the most debated safety issues surrounding ADHD medication relates to potential effects on children’s growth and cardiovascular health. Stimulant medication has been associated with temporary growth suppression, particularly in height and weight during the initial years of treatment (Storebø et al., 2015). While some studies suggest partial catch-up growth over time, the evidence remains inconclusive, and long-term outcomes into adulthood are insufficiently understood.</w:t>
      </w:r>
    </w:p>
    <w:p w14:paraId="63ADAD61"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Cardiovascular safety has also been a focal point of regulatory concern. Although serious adverse cardiac events are considered rare, stimulant medication has been shown to </w:t>
      </w:r>
      <w:r w:rsidRPr="00BB2AEF">
        <w:rPr>
          <w:rFonts w:ascii="Arial" w:eastAsia="Times New Roman" w:hAnsi="Arial" w:cs="Arial"/>
          <w:color w:val="000000" w:themeColor="text1"/>
          <w:kern w:val="0"/>
          <w:lang w:eastAsia="en-GB"/>
          <w14:ligatures w14:val="none"/>
        </w:rPr>
        <w:lastRenderedPageBreak/>
        <w:t>increase heart rate and blood pressure, necessitating regular monitoring (MHRA, 2019). NICE (2018) recommends baseline cardiovascular assessment and ongoing physical health checks; however, critics argue that service pressures and workforce shortages may limit consistent implementation of these safeguards within NHS settings. This raises concerns about whether policy recommendations are fully achievable in practice.</w:t>
      </w:r>
    </w:p>
    <w:p w14:paraId="18E1557B"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Long-term safety evidence remains limited, particularly in relation to prolonged use from childhood into adolescence. While large-scale reviews generally conclude that ADHD medication is safe when appropriately monitored, the lack of robust longitudinal data introduces uncertainty. This uncertainty complicates risk–benefit decision-making and underscores the importance of cautious, individualised prescribing.</w:t>
      </w:r>
    </w:p>
    <w:p w14:paraId="17991119"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Policy and Regulatory Perspectives on Safety</w:t>
      </w:r>
    </w:p>
    <w:p w14:paraId="6631B582"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UK policy adopts a precautionary approach to ADHD medication safety, emphasising ongoing monitoring and shared decision-making. NICE guidance highlights the importance of regular review of treatment effectiveness, side effects and physical health parameters, recommending that medication should be discontinued if risks outweigh benefits (NICE, 2018). The MHRA further reinforces the need for vigilance, particularly in relation to cardiovascular and psychiatric adverse effects (MHRA, 2019).</w:t>
      </w:r>
    </w:p>
    <w:p w14:paraId="1C0D3CBB"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However, a critical gap exists between policy expectations and service realities. Increasing demand for ADHD services and long waiting times may reduce opportunities for regular follow-up and monitoring, potentially undermining safety safeguards. This discrepancy suggests that while UK policy acknowledges safety risks, structural limitations within health services may compromise their effective management. As a result, safety must be understood not only as a pharmacological issue, but also as a systemic one influenced by service capacity and resource allocation.</w:t>
      </w:r>
    </w:p>
    <w:p w14:paraId="42DF991E"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Ethical and Lived Experience Considerations</w:t>
      </w:r>
    </w:p>
    <w:p w14:paraId="1701DCCE"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Beyond physical side effects, safety concerns extend to children’s emotional and psychological experiences of medication. Some children report feeling emotionally blunted or less like themselves when medicated, raising ethical questions about identity and autonomy (Singh, 2011). Although such experiences are not universal, they highlight the importance of incorporating children’s perspectives into safety evaluations rather than relying solely on adult-reported outcomes.</w:t>
      </w:r>
    </w:p>
    <w:p w14:paraId="3D809A8F"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lastRenderedPageBreak/>
        <w:t>From an ethical standpoint, prescribing medication to children requires careful consideration of consent, assent and long-term wellbeing. While parents and clinicians act in the child’s best interests, limited long-term safety data complicate informed decision-making. This reinforces the argument that safety assessments must extend beyond clinical indicators to include children’s subjective experiences and family contexts.</w:t>
      </w:r>
    </w:p>
    <w:p w14:paraId="09B643FB"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Connections to Other Themes</w:t>
      </w:r>
    </w:p>
    <w:p w14:paraId="305ABA78"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Safety considerations intersect closely with the themes of effectiveness and family impact. Where side effects are significant, perceived effectiveness may be reduced, leading to treatment discontinuation or family distress. Similarly, concerns about long-term safety can increase parental anxiety and influence engagement with services, which is explored further in Theme 3. These connections illustrate that safety is a central component of the overall impact of ADHD medication and cannot be evaluated independently of effectiveness or family experience.</w:t>
      </w:r>
    </w:p>
    <w:p w14:paraId="23B04F9C" w14:textId="77777777" w:rsidR="004700B5" w:rsidRPr="00BB2AEF" w:rsidRDefault="004700B5"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Mini-Summary and Signpost</w:t>
      </w:r>
    </w:p>
    <w:p w14:paraId="3DEAC81F" w14:textId="77777777" w:rsidR="004700B5" w:rsidRPr="00BB2AEF" w:rsidRDefault="004700B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theme highlights that while ADHD medication is generally considered safe when appropriately prescribed and monitored, significant concerns remain regarding side effects, long-term health implications and the feasibility of consistent monitoring within UK services. Short-term adverse effects are common and may affect adherence, while long-term safety evidence remains limited. These findings contribute to the research question by demonstrating that safety is a critical and complex consideration that shapes the overall appropriateness of medication use in children. The following theme will build on this analysis by exploring the emotional, social and systemic impact of ADHD medication on families</w:t>
      </w:r>
      <w:r w:rsidRPr="00BB2AEF">
        <w:rPr>
          <w:rFonts w:ascii="Arial" w:eastAsia="Times New Roman" w:hAnsi="Arial" w:cs="Arial"/>
          <w:b/>
          <w:bCs/>
          <w:color w:val="000000" w:themeColor="text1"/>
          <w:kern w:val="0"/>
          <w:lang w:eastAsia="en-GB"/>
          <w14:ligatures w14:val="none"/>
        </w:rPr>
        <w:t xml:space="preserve"> </w:t>
      </w:r>
      <w:r w:rsidRPr="00BB2AEF">
        <w:rPr>
          <w:rFonts w:ascii="Arial" w:eastAsia="Times New Roman" w:hAnsi="Arial" w:cs="Arial"/>
          <w:color w:val="000000" w:themeColor="text1"/>
          <w:kern w:val="0"/>
          <w:lang w:eastAsia="en-GB"/>
          <w14:ligatures w14:val="none"/>
        </w:rPr>
        <w:t>and</w:t>
      </w:r>
      <w:r w:rsidRPr="00BB2AEF">
        <w:rPr>
          <w:rFonts w:ascii="Arial" w:eastAsia="Times New Roman" w:hAnsi="Arial" w:cs="Arial"/>
          <w:b/>
          <w:bCs/>
          <w:color w:val="000000" w:themeColor="text1"/>
          <w:kern w:val="0"/>
          <w:lang w:eastAsia="en-GB"/>
          <w14:ligatures w14:val="none"/>
        </w:rPr>
        <w:t xml:space="preserve"> </w:t>
      </w:r>
      <w:r w:rsidRPr="00BB2AEF">
        <w:rPr>
          <w:rFonts w:ascii="Arial" w:eastAsia="Times New Roman" w:hAnsi="Arial" w:cs="Arial"/>
          <w:color w:val="000000" w:themeColor="text1"/>
          <w:kern w:val="0"/>
          <w:lang w:eastAsia="en-GB"/>
          <w14:ligatures w14:val="none"/>
        </w:rPr>
        <w:t>care pathways, providing a broader understanding of its implications within the UK context.</w:t>
      </w:r>
    </w:p>
    <w:p w14:paraId="0793B037" w14:textId="77777777" w:rsidR="00690281" w:rsidRPr="00BB2AEF" w:rsidRDefault="00690281" w:rsidP="00BB2AEF">
      <w:pPr>
        <w:spacing w:before="100" w:beforeAutospacing="1" w:after="100" w:afterAutospacing="1" w:line="360" w:lineRule="auto"/>
        <w:outlineLvl w:val="1"/>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Theme 3: Impact of ADHD Medication on Families and UK Care Pathways</w:t>
      </w:r>
    </w:p>
    <w:p w14:paraId="47DBF4A3"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Definition and Scope of the Theme</w:t>
      </w:r>
    </w:p>
    <w:p w14:paraId="5C44F611"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This theme explores the emotional, social and systemic impact of ADHD medication on families, alongside the structure and accessibility of UK care pathways that shape treatment experiences. Rather than evaluating clinical effectiveness or safety, which were addressed in earlier themes, this section focuses on how medication use affects family life, parental decision-making and engagement with health and education services. The scope includes parental stress, stigma, shared decision-making, and the influence of NHS and private </w:t>
      </w:r>
      <w:r w:rsidRPr="00BB2AEF">
        <w:rPr>
          <w:rFonts w:ascii="Arial" w:eastAsia="Times New Roman" w:hAnsi="Arial" w:cs="Arial"/>
          <w:color w:val="000000" w:themeColor="text1"/>
          <w:kern w:val="0"/>
          <w:lang w:eastAsia="en-GB"/>
          <w14:ligatures w14:val="none"/>
        </w:rPr>
        <w:lastRenderedPageBreak/>
        <w:t>sector pathways on continuity of care. This theme directly addresses Objectives 1 and 4, contributing to the research aim by examining how medication operates within real-world family and service contexts in the United Kingdom.</w:t>
      </w:r>
    </w:p>
    <w:p w14:paraId="5CA0D6BF"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Background and Contemporary Context</w:t>
      </w:r>
    </w:p>
    <w:p w14:paraId="215B3ECC"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Families play a central role in managing ADHD in childhood, often acting as coordinators of care between health, education and social services. While medication may reduce core symptoms, families frequently report that treatment introduces new challenges, including navigating complex service systems, managing side effects, and responding to social stigma associated with childhood medication use. In recent years, increasing waiting times for assessment and treatment within NHS services have intensified these pressures, prompting many families to seek private assessments or shared-care arrangements (NHS England, 2023; BBC News, 2023).</w:t>
      </w:r>
    </w:p>
    <w:p w14:paraId="4484D0AE" w14:textId="68817405"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The contemporary relevance of this theme lies in the growing mismatch between policy aspirations for family-centred care and </w:t>
      </w:r>
      <w:r w:rsidR="003E2AAB" w:rsidRPr="00BB2AEF">
        <w:rPr>
          <w:rFonts w:ascii="Arial" w:eastAsia="Times New Roman" w:hAnsi="Arial" w:cs="Arial"/>
          <w:color w:val="000000" w:themeColor="text1"/>
          <w:kern w:val="0"/>
          <w:lang w:eastAsia="en-GB"/>
          <w14:ligatures w14:val="none"/>
        </w:rPr>
        <w:t>families</w:t>
      </w:r>
      <w:r w:rsidRPr="00BB2AEF">
        <w:rPr>
          <w:rFonts w:ascii="Arial" w:eastAsia="Times New Roman" w:hAnsi="Arial" w:cs="Arial"/>
          <w:color w:val="000000" w:themeColor="text1"/>
          <w:kern w:val="0"/>
          <w:lang w:eastAsia="en-GB"/>
          <w14:ligatures w14:val="none"/>
        </w:rPr>
        <w:t xml:space="preserve"> lived experiences of fragmented pathways. Although national guidance emphasises partnership working and holistic support, families often encounter delays, inconsistencies and limited access to non-pharmacological interventions. These challenges shape how medication is experienced and perceived, influencing both adherence and overall wellbeing.</w:t>
      </w:r>
    </w:p>
    <w:p w14:paraId="3646825F"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Relevance to the Research Question</w:t>
      </w:r>
    </w:p>
    <w:p w14:paraId="4A044436"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theme addresses the research question by examining whether ADHD medication supports families as well as children, and how care pathways influence outcomes. Medication does not operate in isolation; its impact is mediated by family capacity, service accessibility and quality of support. By analysing family experiences and system-level factors, this theme provides insight into whether current ADHD care pathways align with policy intentions and ethical standards of child-centred practice. This analysis therefore complements earlier evaluations of effectiveness and safety by situating medication within the broader social and institutional environment.</w:t>
      </w:r>
    </w:p>
    <w:p w14:paraId="20B9B352"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Emotional and Social Impact on Families</w:t>
      </w:r>
    </w:p>
    <w:p w14:paraId="17A6A520" w14:textId="62293C4A" w:rsidR="00A063EF" w:rsidRPr="00BB2AEF" w:rsidRDefault="00A063EF"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hAnsi="Arial" w:cs="Arial"/>
          <w:color w:val="000000" w:themeColor="text1"/>
        </w:rPr>
        <w:t xml:space="preserve">Research consistently indicates that raising a child with ADHD can place significant emotional strain on families (Daley et al., 2018). Whilst medication may reduce behavioural difficulties and improve daily functioning, (Singh 2011) argues that it may also introduce </w:t>
      </w:r>
      <w:r w:rsidRPr="00BB2AEF">
        <w:rPr>
          <w:rFonts w:ascii="Arial" w:hAnsi="Arial" w:cs="Arial"/>
          <w:color w:val="000000" w:themeColor="text1"/>
        </w:rPr>
        <w:lastRenderedPageBreak/>
        <w:t>ethical concerns regarding identity and over-medicalisation. This contrast suggests that improvements in behaviour do not necessarily equate to improved family wellbeing.</w:t>
      </w:r>
    </w:p>
    <w:p w14:paraId="02EC5C84"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Singh (2011) highlights that some parents experience moral ambivalence about medicating their children, expressing concern that medication prioritises social conformity over individual identity. This ethical tension can create ongoing anxiety, particularly when families feel pressured to pursue medication due to school expectations or lack of alternative support. Such findings suggest that medication decisions are often shaped as much by systemic constraints as by clinical need, complicating narratives that present pharmacological treatment as a straightforward solution.</w:t>
      </w:r>
    </w:p>
    <w:p w14:paraId="40A5D466"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Social stigma further influences family experience. Parents report feeling judged for medicating their children, while children themselves may internalise negative perceptions associated with ADHD diagnosis and treatment (Singh, 2011). These social dynamics can affect self-esteem and family relationships, reinforcing the importance of psychosocial support alongside medication.</w:t>
      </w:r>
    </w:p>
    <w:p w14:paraId="34D2197C"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Parental Decision-Making and Shared Care</w:t>
      </w:r>
    </w:p>
    <w:p w14:paraId="7B287F03"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Shared decision-making is a core principle of UK health policy, with NICE (2018) emphasising the importance of involving families in treatment planning. However, evidence suggests that genuine shared decision-making is inconsistently realised in practice. Daley et al. (2020) argue that parents often feel insufficiently informed about treatment options, risks and alternatives, particularly in overstretched services where consultation time is limited.</w:t>
      </w:r>
    </w:p>
    <w:p w14:paraId="5B9D958B"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In some cases, medication is perceived as the only viable option due to limited access to behavioural interventions or long waiting lists for specialist support. This can undermine parental autonomy and contribute to feelings of coercion, particularly when medication is linked to school placement or educational support. Consequently, family engagement with treatment may be characterised by compliance rather than collaboration, raising concerns about ethical practice and long-term adherence.</w:t>
      </w:r>
    </w:p>
    <w:p w14:paraId="477ECE49"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UK Care Pathways and Service Inequalities</w:t>
      </w:r>
    </w:p>
    <w:p w14:paraId="66BCA9B9"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The structure of ADHD care pathways in the UK significantly shapes family experience. NHS Child and Adolescent Mental Health Services (CAMHS) are responsible for diagnosis, medication initiation and monitoring, yet increasing demand has led to prolonged waiting times and regional variation in service provision (NHS England, 2023). Families in some </w:t>
      </w:r>
      <w:r w:rsidRPr="00BB2AEF">
        <w:rPr>
          <w:rFonts w:ascii="Arial" w:eastAsia="Times New Roman" w:hAnsi="Arial" w:cs="Arial"/>
          <w:color w:val="000000" w:themeColor="text1"/>
          <w:kern w:val="0"/>
          <w:lang w:eastAsia="en-GB"/>
          <w14:ligatures w14:val="none"/>
        </w:rPr>
        <w:lastRenderedPageBreak/>
        <w:t>areas face waits exceeding 18 months, during which symptoms may escalate and family stress intensify.</w:t>
      </w:r>
    </w:p>
    <w:p w14:paraId="6EC80AED"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In response, many families pursue private assessments, resulting in fragmented care pathways and reliance on shared-care agreements for medication prescribing. While shared care aims to improve continuity, its implementation varies widely across regions, creating uncertainty and inequity (BBC News, 2023). Families with greater financial resources are more likely to access timely diagnosis and treatment, raising concerns about social inequality within ADHD care.</w:t>
      </w:r>
    </w:p>
    <w:p w14:paraId="0B581572"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Policy frameworks such as the Care Act (2014) and SEND Code of Practice emphasise integrated, family-centred support. However, the gap between policy and practice remains significant. Limited coordination between health, education and social care services places additional burdens on families, who must often advocate persistently to secure support. These systemic issues influence how medication is experienced, potentially undermining its perceived benefits.</w:t>
      </w:r>
    </w:p>
    <w:p w14:paraId="4D3B66E4"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Policy and Practice Implications</w:t>
      </w:r>
    </w:p>
    <w:p w14:paraId="7AE726AB"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UK policy recognises the importance of supporting families alongside children with ADHD, yet evidence suggests that current service structures struggle to deliver this consistently. NICE (2018) recommends multimodal intervention, but behavioural and parenting programmes are not universally accessible, leading to over-reliance on medication as a pragmatic response to service limitations. This raises critical questions about whether medication is being used as a substitute for broader support rather than as part of an integrated care package.</w:t>
      </w:r>
    </w:p>
    <w:p w14:paraId="10C37944"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From a practice perspective, improving family experience requires addressing service capacity, reducing waiting times and ensuring equitable access to non-pharmacological interventions. Without these changes, medication risks being perceived as a systemic necessity rather than a considered clinical choice, potentially affecting trust in services and long-term outcomes.</w:t>
      </w:r>
    </w:p>
    <w:p w14:paraId="360FE505"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Connections to Other Themes</w:t>
      </w:r>
    </w:p>
    <w:p w14:paraId="1AD1B6F4"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This theme builds directly on Themes 1 and 2 by illustrating how effectiveness and safety are experienced within family and service contexts. Where medication effectiveness is limited or side effects are burdensome, family stress may increase, reinforcing the </w:t>
      </w:r>
      <w:r w:rsidRPr="00BB2AEF">
        <w:rPr>
          <w:rFonts w:ascii="Arial" w:eastAsia="Times New Roman" w:hAnsi="Arial" w:cs="Arial"/>
          <w:color w:val="000000" w:themeColor="text1"/>
          <w:kern w:val="0"/>
          <w:lang w:eastAsia="en-GB"/>
          <w14:ligatures w14:val="none"/>
        </w:rPr>
        <w:lastRenderedPageBreak/>
        <w:t>interconnected nature of clinical and social outcomes. Conversely, supportive care pathways may enhance the perceived benefits of medication, highlighting the importance of system-level factors in shaping treatment impact.</w:t>
      </w:r>
    </w:p>
    <w:p w14:paraId="7A6462B6" w14:textId="77777777" w:rsidR="00690281" w:rsidRPr="00BB2AEF" w:rsidRDefault="00690281" w:rsidP="00BB2AE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Mini-Summary and Signpost</w:t>
      </w:r>
    </w:p>
    <w:p w14:paraId="782BE988" w14:textId="77777777" w:rsidR="00690281" w:rsidRPr="00BB2AEF" w:rsidRDefault="00690281"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theme demonstrates that ADHD medication has a complex and multifaceted impact on families, shaped by emotional, ethical and systemic factors. While medication may reduce some behavioural challenges, families often face additional pressures related to stigma, decision-making and navigating fragmented care pathways. These findings contribute to the research question by showing that the broader impact of medication extends beyond clinical outcomes and is heavily influenced by service accessibility and family support. The following section will draw together findings from all three themes in a Chapter 4 conclusion, before progressing to Chapter 5 recommendations aimed at improving ADHD care pathways for children and their families in the United Kingdom.</w:t>
      </w:r>
    </w:p>
    <w:p w14:paraId="26B4EE3E" w14:textId="71C56D45" w:rsidR="005D5FF7" w:rsidRPr="00D55BFD" w:rsidRDefault="00D5247B"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D55BFD">
        <w:rPr>
          <w:rFonts w:ascii="Arial" w:eastAsia="Times New Roman" w:hAnsi="Arial" w:cs="Arial"/>
          <w:b/>
          <w:bCs/>
          <w:color w:val="000000" w:themeColor="text1"/>
          <w:kern w:val="0"/>
          <w:lang w:eastAsia="en-GB"/>
          <w14:ligatures w14:val="none"/>
        </w:rPr>
        <w:t>C</w:t>
      </w:r>
      <w:r w:rsidR="00D55BFD" w:rsidRPr="00D55BFD">
        <w:rPr>
          <w:rFonts w:ascii="Arial" w:eastAsia="Times New Roman" w:hAnsi="Arial" w:cs="Arial"/>
          <w:b/>
          <w:bCs/>
          <w:color w:val="000000" w:themeColor="text1"/>
          <w:kern w:val="0"/>
          <w:lang w:eastAsia="en-GB"/>
          <w14:ligatures w14:val="none"/>
        </w:rPr>
        <w:t>onclusion:</w:t>
      </w:r>
    </w:p>
    <w:p w14:paraId="35FB4BD7" w14:textId="77777777" w:rsidR="00D5247B" w:rsidRPr="00BB2AEF" w:rsidRDefault="00D5247B"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This chapter has presented and critically discussed the findings of the secondary research through a thematic analysis, addressing the effectiveness, safety and wider family impact of ADHD medication in children in the United Kingdom. The analysis demonstrated that ADHD medication, particularly stimulant treatments, is effective in reducing core symptoms in the short term, although evidence of sustained functional improvement remains variable and highly context dependent. This highlights a tension between symptom-focused definitions of effectiveness and broader developmental outcomes valued in policy and practice.</w:t>
      </w:r>
    </w:p>
    <w:p w14:paraId="0499572B" w14:textId="77777777" w:rsidR="00D5247B" w:rsidRPr="00BB2AEF" w:rsidRDefault="00D5247B"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The chapter also identified that, while ADHD medication is generally considered safe when appropriately prescribed and monitored, concerns persist regarding side effects, long-term health implications and the feasibility of consistent monitoring within overstretched services. These safety considerations complicate clinical decision-making and reinforce the need for cautious, individualised prescribing.</w:t>
      </w:r>
    </w:p>
    <w:p w14:paraId="09B1BADB" w14:textId="4327CD66" w:rsidR="00D5247B" w:rsidRPr="00BB2AEF" w:rsidRDefault="00D5247B"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t>Finally, the findings emphasised that the impact of ADHD medication extends beyond the child to affect families and care pathways. Parental stress, ethical concerns, stigma and inequitable access to services significantly shape treatment experiences. The gap between policy aspirations for family-centred, integrated care and families lived experiences remains a critical issue.</w:t>
      </w:r>
    </w:p>
    <w:p w14:paraId="025A19D0" w14:textId="77777777" w:rsidR="00D5247B" w:rsidRPr="00BB2AEF" w:rsidRDefault="00D5247B" w:rsidP="00BB2AEF">
      <w:pPr>
        <w:pStyle w:val="NormalWeb"/>
        <w:spacing w:line="360" w:lineRule="auto"/>
        <w:rPr>
          <w:rFonts w:ascii="Arial" w:hAnsi="Arial" w:cs="Arial"/>
          <w:color w:val="000000" w:themeColor="text1"/>
          <w:sz w:val="22"/>
          <w:szCs w:val="22"/>
        </w:rPr>
      </w:pPr>
      <w:r w:rsidRPr="00BB2AEF">
        <w:rPr>
          <w:rFonts w:ascii="Arial" w:hAnsi="Arial" w:cs="Arial"/>
          <w:color w:val="000000" w:themeColor="text1"/>
          <w:sz w:val="22"/>
          <w:szCs w:val="22"/>
        </w:rPr>
        <w:lastRenderedPageBreak/>
        <w:t xml:space="preserve">Together, these themes begin to answer the research question by demonstrating that ADHD medication can offer meaningful benefits but operates within complex clinical, social and systemic contexts. The following chapter will build on these findings by presenting </w:t>
      </w:r>
      <w:r w:rsidRPr="00BB2AEF">
        <w:rPr>
          <w:rStyle w:val="Strong"/>
          <w:rFonts w:ascii="Arial" w:eastAsiaTheme="majorEastAsia" w:hAnsi="Arial" w:cs="Arial"/>
          <w:b w:val="0"/>
          <w:bCs w:val="0"/>
          <w:color w:val="000000" w:themeColor="text1"/>
          <w:sz w:val="22"/>
          <w:szCs w:val="22"/>
        </w:rPr>
        <w:t>evidence-based recommendations</w:t>
      </w:r>
      <w:r w:rsidRPr="00BB2AEF">
        <w:rPr>
          <w:rFonts w:ascii="Arial" w:hAnsi="Arial" w:cs="Arial"/>
          <w:color w:val="000000" w:themeColor="text1"/>
          <w:sz w:val="22"/>
          <w:szCs w:val="22"/>
        </w:rPr>
        <w:t xml:space="preserve"> aimed at improving ADHD care pathways, ensuring that medication use is effective, safe and supportive of both children and their families across the UK.</w:t>
      </w:r>
    </w:p>
    <w:p w14:paraId="4553F2AE" w14:textId="77777777" w:rsidR="005D5FF7" w:rsidRPr="00BB2AEF" w:rsidRDefault="005D5FF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603FFF15" w14:textId="77777777" w:rsidR="003722DA" w:rsidRDefault="00634F6F" w:rsidP="00BB2AEF">
      <w:pPr>
        <w:tabs>
          <w:tab w:val="left" w:pos="5560"/>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Reference</w:t>
      </w:r>
      <w:r w:rsidR="00D71002">
        <w:rPr>
          <w:rFonts w:ascii="Arial" w:eastAsia="Times New Roman" w:hAnsi="Arial" w:cs="Arial"/>
          <w:b/>
          <w:bCs/>
          <w:color w:val="000000" w:themeColor="text1"/>
          <w:kern w:val="0"/>
          <w:lang w:eastAsia="en-GB"/>
          <w14:ligatures w14:val="none"/>
        </w:rPr>
        <w:t xml:space="preserve"> list</w:t>
      </w:r>
      <w:r w:rsidRPr="00BB2AEF">
        <w:rPr>
          <w:rFonts w:ascii="Arial" w:eastAsia="Times New Roman" w:hAnsi="Arial" w:cs="Arial"/>
          <w:b/>
          <w:bCs/>
          <w:color w:val="000000" w:themeColor="text1"/>
          <w:kern w:val="0"/>
          <w:lang w:eastAsia="en-GB"/>
          <w14:ligatures w14:val="none"/>
        </w:rPr>
        <w:t>:</w:t>
      </w:r>
    </w:p>
    <w:p w14:paraId="5928BFD0" w14:textId="77777777"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Barkley, R.A. (1997) </w:t>
      </w:r>
      <w:r w:rsidRPr="003722DA">
        <w:rPr>
          <w:rFonts w:ascii="Arial" w:eastAsia="Times New Roman" w:hAnsi="Arial" w:cs="Arial"/>
          <w:i/>
          <w:iCs/>
          <w:kern w:val="0"/>
          <w:lang w:eastAsia="en-GB"/>
          <w14:ligatures w14:val="none"/>
        </w:rPr>
        <w:t>ADHD and the nature of self-control</w:t>
      </w:r>
      <w:r w:rsidRPr="003722DA">
        <w:rPr>
          <w:rFonts w:ascii="Arial" w:eastAsia="Times New Roman" w:hAnsi="Arial" w:cs="Arial"/>
          <w:kern w:val="0"/>
          <w:lang w:eastAsia="en-GB"/>
          <w14:ligatures w14:val="none"/>
        </w:rPr>
        <w:t>. New York: Guilford Press.</w:t>
      </w:r>
    </w:p>
    <w:p w14:paraId="0B538541" w14:textId="1A43189F"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BBC News (2023) </w:t>
      </w:r>
      <w:r w:rsidRPr="003722DA">
        <w:rPr>
          <w:rFonts w:ascii="Arial" w:eastAsia="Times New Roman" w:hAnsi="Arial" w:cs="Arial"/>
          <w:i/>
          <w:iCs/>
          <w:kern w:val="0"/>
          <w:lang w:eastAsia="en-GB"/>
          <w14:ligatures w14:val="none"/>
        </w:rPr>
        <w:t>Private ADHD assessments surge amid long NHS waiting lists</w:t>
      </w:r>
      <w:r w:rsidRPr="003722DA">
        <w:rPr>
          <w:rFonts w:ascii="Arial" w:eastAsia="Times New Roman" w:hAnsi="Arial" w:cs="Arial"/>
          <w:kern w:val="0"/>
          <w:lang w:eastAsia="en-GB"/>
          <w14:ligatures w14:val="none"/>
        </w:rPr>
        <w:t xml:space="preserve">. London: BBC. Available at: </w:t>
      </w:r>
      <w:hyperlink r:id="rId83" w:tgtFrame="_new" w:history="1">
        <w:r w:rsidRPr="003722DA">
          <w:rPr>
            <w:rFonts w:ascii="Arial" w:eastAsia="Times New Roman" w:hAnsi="Arial" w:cs="Arial"/>
            <w:color w:val="0000FF"/>
            <w:kern w:val="0"/>
            <w:u w:val="single"/>
            <w:lang w:eastAsia="en-GB"/>
            <w14:ligatures w14:val="none"/>
          </w:rPr>
          <w:t>https://www.bbc.co.uk/news</w:t>
        </w:r>
      </w:hyperlink>
      <w:r w:rsidRPr="003722DA">
        <w:rPr>
          <w:rFonts w:ascii="Arial" w:eastAsia="Times New Roman" w:hAnsi="Arial" w:cs="Arial"/>
          <w:kern w:val="0"/>
          <w:lang w:eastAsia="en-GB"/>
          <w14:ligatures w14:val="none"/>
        </w:rPr>
        <w:t xml:space="preserve"> (Accessed: </w:t>
      </w:r>
      <w:r w:rsidR="00A5528F">
        <w:rPr>
          <w:rFonts w:ascii="Arial" w:eastAsia="Times New Roman" w:hAnsi="Arial" w:cs="Arial"/>
          <w:kern w:val="0"/>
          <w:lang w:eastAsia="en-GB"/>
          <w14:ligatures w14:val="none"/>
        </w:rPr>
        <w:t xml:space="preserve">18 September </w:t>
      </w:r>
      <w:r w:rsidRPr="003722DA">
        <w:rPr>
          <w:rFonts w:ascii="Arial" w:eastAsia="Times New Roman" w:hAnsi="Arial" w:cs="Arial"/>
          <w:kern w:val="0"/>
          <w:lang w:eastAsia="en-GB"/>
          <w14:ligatures w14:val="none"/>
        </w:rPr>
        <w:t>2025).</w:t>
      </w:r>
    </w:p>
    <w:p w14:paraId="1E2BB74D" w14:textId="5D494C51"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Care Act 2014 (UK Government) (2014) </w:t>
      </w:r>
      <w:r w:rsidRPr="003722DA">
        <w:rPr>
          <w:rFonts w:ascii="Arial" w:eastAsia="Times New Roman" w:hAnsi="Arial" w:cs="Arial"/>
          <w:i/>
          <w:iCs/>
          <w:kern w:val="0"/>
          <w:lang w:eastAsia="en-GB"/>
          <w14:ligatures w14:val="none"/>
        </w:rPr>
        <w:t>Care Act 2014</w:t>
      </w:r>
      <w:r w:rsidRPr="003722DA">
        <w:rPr>
          <w:rFonts w:ascii="Arial" w:eastAsia="Times New Roman" w:hAnsi="Arial" w:cs="Arial"/>
          <w:kern w:val="0"/>
          <w:lang w:eastAsia="en-GB"/>
          <w14:ligatures w14:val="none"/>
        </w:rPr>
        <w:t xml:space="preserve">. London: The Stationery Office. Available at: </w:t>
      </w:r>
      <w:hyperlink r:id="rId84" w:tgtFrame="_new" w:history="1">
        <w:r w:rsidRPr="003722DA">
          <w:rPr>
            <w:rFonts w:ascii="Arial" w:eastAsia="Times New Roman" w:hAnsi="Arial" w:cs="Arial"/>
            <w:color w:val="0000FF"/>
            <w:kern w:val="0"/>
            <w:u w:val="single"/>
            <w:lang w:eastAsia="en-GB"/>
            <w14:ligatures w14:val="none"/>
          </w:rPr>
          <w:t>https://www.legislation.gov.uk/ukpga/2014/23/contents</w:t>
        </w:r>
      </w:hyperlink>
      <w:r w:rsidRPr="003722DA">
        <w:rPr>
          <w:rFonts w:ascii="Arial" w:eastAsia="Times New Roman" w:hAnsi="Arial" w:cs="Arial"/>
          <w:kern w:val="0"/>
          <w:lang w:eastAsia="en-GB"/>
          <w14:ligatures w14:val="none"/>
        </w:rPr>
        <w:t xml:space="preserve"> (Accessed: </w:t>
      </w:r>
      <w:r w:rsidR="00A5528F">
        <w:rPr>
          <w:rFonts w:ascii="Arial" w:eastAsia="Times New Roman" w:hAnsi="Arial" w:cs="Arial"/>
          <w:kern w:val="0"/>
          <w:lang w:eastAsia="en-GB"/>
          <w14:ligatures w14:val="none"/>
        </w:rPr>
        <w:t xml:space="preserve">20 September </w:t>
      </w:r>
      <w:r w:rsidRPr="003722DA">
        <w:rPr>
          <w:rFonts w:ascii="Arial" w:eastAsia="Times New Roman" w:hAnsi="Arial" w:cs="Arial"/>
          <w:kern w:val="0"/>
          <w:lang w:eastAsia="en-GB"/>
          <w14:ligatures w14:val="none"/>
        </w:rPr>
        <w:t>2025).</w:t>
      </w:r>
    </w:p>
    <w:p w14:paraId="0E23D0A7" w14:textId="77777777"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Cortese, S., Adamo, N., Del Giovane, C., Mohr-Jensen, C., Hayes, A.J., Carucci, S., </w:t>
      </w:r>
      <w:proofErr w:type="spellStart"/>
      <w:r w:rsidRPr="003722DA">
        <w:rPr>
          <w:rFonts w:ascii="Arial" w:eastAsia="Times New Roman" w:hAnsi="Arial" w:cs="Arial"/>
          <w:kern w:val="0"/>
          <w:lang w:eastAsia="en-GB"/>
          <w14:ligatures w14:val="none"/>
        </w:rPr>
        <w:t>Zuddas</w:t>
      </w:r>
      <w:proofErr w:type="spellEnd"/>
      <w:r w:rsidRPr="003722DA">
        <w:rPr>
          <w:rFonts w:ascii="Arial" w:eastAsia="Times New Roman" w:hAnsi="Arial" w:cs="Arial"/>
          <w:kern w:val="0"/>
          <w:lang w:eastAsia="en-GB"/>
          <w14:ligatures w14:val="none"/>
        </w:rPr>
        <w:t xml:space="preserve">, A., Coghill, D. and </w:t>
      </w:r>
      <w:proofErr w:type="spellStart"/>
      <w:r w:rsidRPr="003722DA">
        <w:rPr>
          <w:rFonts w:ascii="Arial" w:eastAsia="Times New Roman" w:hAnsi="Arial" w:cs="Arial"/>
          <w:kern w:val="0"/>
          <w:lang w:eastAsia="en-GB"/>
          <w14:ligatures w14:val="none"/>
        </w:rPr>
        <w:t>Banaschewski</w:t>
      </w:r>
      <w:proofErr w:type="spellEnd"/>
      <w:r w:rsidRPr="003722DA">
        <w:rPr>
          <w:rFonts w:ascii="Arial" w:eastAsia="Times New Roman" w:hAnsi="Arial" w:cs="Arial"/>
          <w:kern w:val="0"/>
          <w:lang w:eastAsia="en-GB"/>
          <w14:ligatures w14:val="none"/>
        </w:rPr>
        <w:t xml:space="preserve">, T. (2018) ‘Comparative efficacy and tolerability of medications for attention-deficit hyperactivity disorder in children, adolescents, and adults: a systematic review and network meta-analysis’, </w:t>
      </w:r>
      <w:r w:rsidRPr="003722DA">
        <w:rPr>
          <w:rFonts w:ascii="Arial" w:eastAsia="Times New Roman" w:hAnsi="Arial" w:cs="Arial"/>
          <w:i/>
          <w:iCs/>
          <w:kern w:val="0"/>
          <w:lang w:eastAsia="en-GB"/>
          <w14:ligatures w14:val="none"/>
        </w:rPr>
        <w:t>The Lancet Psychiatry</w:t>
      </w:r>
      <w:r w:rsidRPr="003722DA">
        <w:rPr>
          <w:rFonts w:ascii="Arial" w:eastAsia="Times New Roman" w:hAnsi="Arial" w:cs="Arial"/>
          <w:kern w:val="0"/>
          <w:lang w:eastAsia="en-GB"/>
          <w14:ligatures w14:val="none"/>
        </w:rPr>
        <w:t xml:space="preserve">, 5(9), pp. 727–738. Available at: </w:t>
      </w:r>
      <w:hyperlink r:id="rId85" w:tgtFrame="_new" w:history="1">
        <w:r w:rsidRPr="003722DA">
          <w:rPr>
            <w:rFonts w:ascii="Arial" w:eastAsia="Times New Roman" w:hAnsi="Arial" w:cs="Arial"/>
            <w:color w:val="0000FF"/>
            <w:kern w:val="0"/>
            <w:u w:val="single"/>
            <w:lang w:eastAsia="en-GB"/>
            <w14:ligatures w14:val="none"/>
          </w:rPr>
          <w:t>https://doi.org/10.1016/S2215-0366(18)30269-4</w:t>
        </w:r>
      </w:hyperlink>
      <w:r w:rsidRPr="003722DA">
        <w:rPr>
          <w:rFonts w:ascii="Arial" w:eastAsia="Times New Roman" w:hAnsi="Arial" w:cs="Arial"/>
          <w:kern w:val="0"/>
          <w:lang w:eastAsia="en-GB"/>
          <w14:ligatures w14:val="none"/>
        </w:rPr>
        <w:t>.</w:t>
      </w:r>
    </w:p>
    <w:p w14:paraId="0F085BAE" w14:textId="77777777"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Daley, D., Van der Oord, S., Ferrin, M., </w:t>
      </w:r>
      <w:proofErr w:type="spellStart"/>
      <w:r w:rsidRPr="003722DA">
        <w:rPr>
          <w:rFonts w:ascii="Arial" w:eastAsia="Times New Roman" w:hAnsi="Arial" w:cs="Arial"/>
          <w:kern w:val="0"/>
          <w:lang w:eastAsia="en-GB"/>
          <w14:ligatures w14:val="none"/>
        </w:rPr>
        <w:t>Danckaerts</w:t>
      </w:r>
      <w:proofErr w:type="spellEnd"/>
      <w:r w:rsidRPr="003722DA">
        <w:rPr>
          <w:rFonts w:ascii="Arial" w:eastAsia="Times New Roman" w:hAnsi="Arial" w:cs="Arial"/>
          <w:kern w:val="0"/>
          <w:lang w:eastAsia="en-GB"/>
          <w14:ligatures w14:val="none"/>
        </w:rPr>
        <w:t xml:space="preserve">, M., Döpfner, M., Cortese, S. and </w:t>
      </w:r>
      <w:proofErr w:type="spellStart"/>
      <w:r w:rsidRPr="003722DA">
        <w:rPr>
          <w:rFonts w:ascii="Arial" w:eastAsia="Times New Roman" w:hAnsi="Arial" w:cs="Arial"/>
          <w:kern w:val="0"/>
          <w:lang w:eastAsia="en-GB"/>
          <w14:ligatures w14:val="none"/>
        </w:rPr>
        <w:t>Sonuga</w:t>
      </w:r>
      <w:proofErr w:type="spellEnd"/>
      <w:r w:rsidRPr="003722DA">
        <w:rPr>
          <w:rFonts w:ascii="Arial" w:eastAsia="Times New Roman" w:hAnsi="Arial" w:cs="Arial"/>
          <w:kern w:val="0"/>
          <w:lang w:eastAsia="en-GB"/>
          <w14:ligatures w14:val="none"/>
        </w:rPr>
        <w:t xml:space="preserve">-Barke, E.J.S. (2018) ‘Practitioner review: current best practice in the use of parent training and other behavioural interventions in the treatment of children and adolescents with attention-deficit hyperactivity disorder (ADHD)’, </w:t>
      </w:r>
      <w:r w:rsidRPr="003722DA">
        <w:rPr>
          <w:rFonts w:ascii="Arial" w:eastAsia="Times New Roman" w:hAnsi="Arial" w:cs="Arial"/>
          <w:i/>
          <w:iCs/>
          <w:kern w:val="0"/>
          <w:lang w:eastAsia="en-GB"/>
          <w14:ligatures w14:val="none"/>
        </w:rPr>
        <w:t>Journal of Child Psychology and Psychiatry</w:t>
      </w:r>
      <w:r w:rsidRPr="003722DA">
        <w:rPr>
          <w:rFonts w:ascii="Arial" w:eastAsia="Times New Roman" w:hAnsi="Arial" w:cs="Arial"/>
          <w:kern w:val="0"/>
          <w:lang w:eastAsia="en-GB"/>
          <w14:ligatures w14:val="none"/>
        </w:rPr>
        <w:t xml:space="preserve">, 59(9), pp. 932–947. Available at: </w:t>
      </w:r>
      <w:hyperlink r:id="rId86" w:tgtFrame="_new" w:history="1">
        <w:r w:rsidRPr="003722DA">
          <w:rPr>
            <w:rFonts w:ascii="Arial" w:eastAsia="Times New Roman" w:hAnsi="Arial" w:cs="Arial"/>
            <w:color w:val="0000FF"/>
            <w:kern w:val="0"/>
            <w:u w:val="single"/>
            <w:lang w:eastAsia="en-GB"/>
            <w14:ligatures w14:val="none"/>
          </w:rPr>
          <w:t>https://doi.org/10.1111/jcpp.12825</w:t>
        </w:r>
      </w:hyperlink>
      <w:r w:rsidRPr="003722DA">
        <w:rPr>
          <w:rFonts w:ascii="Arial" w:eastAsia="Times New Roman" w:hAnsi="Arial" w:cs="Arial"/>
          <w:kern w:val="0"/>
          <w:lang w:eastAsia="en-GB"/>
          <w14:ligatures w14:val="none"/>
        </w:rPr>
        <w:t>.</w:t>
      </w:r>
    </w:p>
    <w:p w14:paraId="4EB1E0DA" w14:textId="77777777"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Daley, D., Van der Oord, S., Ferrin, M., </w:t>
      </w:r>
      <w:proofErr w:type="spellStart"/>
      <w:r w:rsidRPr="003722DA">
        <w:rPr>
          <w:rFonts w:ascii="Arial" w:eastAsia="Times New Roman" w:hAnsi="Arial" w:cs="Arial"/>
          <w:kern w:val="0"/>
          <w:lang w:eastAsia="en-GB"/>
          <w14:ligatures w14:val="none"/>
        </w:rPr>
        <w:t>Danckaerts</w:t>
      </w:r>
      <w:proofErr w:type="spellEnd"/>
      <w:r w:rsidRPr="003722DA">
        <w:rPr>
          <w:rFonts w:ascii="Arial" w:eastAsia="Times New Roman" w:hAnsi="Arial" w:cs="Arial"/>
          <w:kern w:val="0"/>
          <w:lang w:eastAsia="en-GB"/>
          <w14:ligatures w14:val="none"/>
        </w:rPr>
        <w:t xml:space="preserve">, M., Döpfner, M., Cortese, S. and </w:t>
      </w:r>
      <w:proofErr w:type="spellStart"/>
      <w:r w:rsidRPr="003722DA">
        <w:rPr>
          <w:rFonts w:ascii="Arial" w:eastAsia="Times New Roman" w:hAnsi="Arial" w:cs="Arial"/>
          <w:kern w:val="0"/>
          <w:lang w:eastAsia="en-GB"/>
          <w14:ligatures w14:val="none"/>
        </w:rPr>
        <w:t>Sonuga</w:t>
      </w:r>
      <w:proofErr w:type="spellEnd"/>
      <w:r w:rsidRPr="003722DA">
        <w:rPr>
          <w:rFonts w:ascii="Arial" w:eastAsia="Times New Roman" w:hAnsi="Arial" w:cs="Arial"/>
          <w:kern w:val="0"/>
          <w:lang w:eastAsia="en-GB"/>
          <w14:ligatures w14:val="none"/>
        </w:rPr>
        <w:t xml:space="preserve">-Barke, E.J.S. (2020) ‘Practitioner review: behavioural interventions in attention-deficit/hyperactivity disorder’, </w:t>
      </w:r>
      <w:r w:rsidRPr="003722DA">
        <w:rPr>
          <w:rFonts w:ascii="Arial" w:eastAsia="Times New Roman" w:hAnsi="Arial" w:cs="Arial"/>
          <w:i/>
          <w:iCs/>
          <w:kern w:val="0"/>
          <w:lang w:eastAsia="en-GB"/>
          <w14:ligatures w14:val="none"/>
        </w:rPr>
        <w:t>Journal of Child Psychology and Psychiatry</w:t>
      </w:r>
      <w:r w:rsidRPr="003722DA">
        <w:rPr>
          <w:rFonts w:ascii="Arial" w:eastAsia="Times New Roman" w:hAnsi="Arial" w:cs="Arial"/>
          <w:kern w:val="0"/>
          <w:lang w:eastAsia="en-GB"/>
          <w14:ligatures w14:val="none"/>
        </w:rPr>
        <w:t xml:space="preserve">, 61(9), pp. 932–947. Available at: </w:t>
      </w:r>
      <w:hyperlink r:id="rId87" w:tgtFrame="_new" w:history="1">
        <w:r w:rsidRPr="003722DA">
          <w:rPr>
            <w:rFonts w:ascii="Arial" w:eastAsia="Times New Roman" w:hAnsi="Arial" w:cs="Arial"/>
            <w:color w:val="0000FF"/>
            <w:kern w:val="0"/>
            <w:u w:val="single"/>
            <w:lang w:eastAsia="en-GB"/>
            <w14:ligatures w14:val="none"/>
          </w:rPr>
          <w:t>https://doi.org/10.1111/jcpp.13278</w:t>
        </w:r>
      </w:hyperlink>
      <w:r w:rsidRPr="003722DA">
        <w:rPr>
          <w:rFonts w:ascii="Arial" w:eastAsia="Times New Roman" w:hAnsi="Arial" w:cs="Arial"/>
          <w:kern w:val="0"/>
          <w:lang w:eastAsia="en-GB"/>
          <w14:ligatures w14:val="none"/>
        </w:rPr>
        <w:t>.</w:t>
      </w:r>
    </w:p>
    <w:p w14:paraId="190BDF58" w14:textId="58266120"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Department for Education (2022) </w:t>
      </w:r>
      <w:r w:rsidRPr="003722DA">
        <w:rPr>
          <w:rFonts w:ascii="Arial" w:eastAsia="Times New Roman" w:hAnsi="Arial" w:cs="Arial"/>
          <w:i/>
          <w:iCs/>
          <w:kern w:val="0"/>
          <w:lang w:eastAsia="en-GB"/>
          <w14:ligatures w14:val="none"/>
        </w:rPr>
        <w:t>Special educational needs and disabilities (SEND) code of practice: 0 to 25 years</w:t>
      </w:r>
      <w:r w:rsidRPr="003722DA">
        <w:rPr>
          <w:rFonts w:ascii="Arial" w:eastAsia="Times New Roman" w:hAnsi="Arial" w:cs="Arial"/>
          <w:kern w:val="0"/>
          <w:lang w:eastAsia="en-GB"/>
          <w14:ligatures w14:val="none"/>
        </w:rPr>
        <w:t xml:space="preserve">. London: Department for Education. Available at: </w:t>
      </w:r>
      <w:hyperlink r:id="rId88" w:tgtFrame="_new" w:history="1">
        <w:r w:rsidRPr="003722DA">
          <w:rPr>
            <w:rFonts w:ascii="Arial" w:eastAsia="Times New Roman" w:hAnsi="Arial" w:cs="Arial"/>
            <w:color w:val="0000FF"/>
            <w:kern w:val="0"/>
            <w:u w:val="single"/>
            <w:lang w:eastAsia="en-GB"/>
            <w14:ligatures w14:val="none"/>
          </w:rPr>
          <w:t>https://www.gov.uk/government/publications/send-code-of-practice-0-to-25</w:t>
        </w:r>
      </w:hyperlink>
      <w:r w:rsidRPr="003722DA">
        <w:rPr>
          <w:rFonts w:ascii="Arial" w:eastAsia="Times New Roman" w:hAnsi="Arial" w:cs="Arial"/>
          <w:kern w:val="0"/>
          <w:lang w:eastAsia="en-GB"/>
          <w14:ligatures w14:val="none"/>
        </w:rPr>
        <w:t xml:space="preserve"> (Accessed: </w:t>
      </w:r>
      <w:r w:rsidR="00A5528F">
        <w:rPr>
          <w:rFonts w:ascii="Arial" w:eastAsia="Times New Roman" w:hAnsi="Arial" w:cs="Arial"/>
          <w:kern w:val="0"/>
          <w:lang w:eastAsia="en-GB"/>
          <w14:ligatures w14:val="none"/>
        </w:rPr>
        <w:t xml:space="preserve">12 September </w:t>
      </w:r>
      <w:r w:rsidRPr="003722DA">
        <w:rPr>
          <w:rFonts w:ascii="Arial" w:eastAsia="Times New Roman" w:hAnsi="Arial" w:cs="Arial"/>
          <w:kern w:val="0"/>
          <w:lang w:eastAsia="en-GB"/>
          <w14:ligatures w14:val="none"/>
        </w:rPr>
        <w:t xml:space="preserve"> 2025).</w:t>
      </w:r>
    </w:p>
    <w:p w14:paraId="7783E5C4" w14:textId="5FBA01B9"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Medicines and Healthcare products Regulatory Agency (MHRA) (2019) </w:t>
      </w:r>
      <w:r w:rsidRPr="003722DA">
        <w:rPr>
          <w:rFonts w:ascii="Arial" w:eastAsia="Times New Roman" w:hAnsi="Arial" w:cs="Arial"/>
          <w:i/>
          <w:iCs/>
          <w:kern w:val="0"/>
          <w:lang w:eastAsia="en-GB"/>
          <w14:ligatures w14:val="none"/>
        </w:rPr>
        <w:t>Methylphenidate: reminder of advice on long-term safety and ongoing monitoring requirements</w:t>
      </w:r>
      <w:r w:rsidRPr="003722DA">
        <w:rPr>
          <w:rFonts w:ascii="Arial" w:eastAsia="Times New Roman" w:hAnsi="Arial" w:cs="Arial"/>
          <w:kern w:val="0"/>
          <w:lang w:eastAsia="en-GB"/>
          <w14:ligatures w14:val="none"/>
        </w:rPr>
        <w:t xml:space="preserve">. London: MHRA. Available at: </w:t>
      </w:r>
      <w:hyperlink r:id="rId89" w:tgtFrame="_new" w:history="1">
        <w:r w:rsidRPr="003722DA">
          <w:rPr>
            <w:rFonts w:ascii="Arial" w:eastAsia="Times New Roman" w:hAnsi="Arial" w:cs="Arial"/>
            <w:color w:val="0000FF"/>
            <w:kern w:val="0"/>
            <w:u w:val="single"/>
            <w:lang w:eastAsia="en-GB"/>
            <w14:ligatures w14:val="none"/>
          </w:rPr>
          <w:t>https://www.gov.uk/drug-safety-update/methylphenidate-reminder-of-advice-on-long-term-safety-and-ongoing-monitoring-requirements</w:t>
        </w:r>
      </w:hyperlink>
      <w:r w:rsidRPr="003722DA">
        <w:rPr>
          <w:rFonts w:ascii="Arial" w:eastAsia="Times New Roman" w:hAnsi="Arial" w:cs="Arial"/>
          <w:kern w:val="0"/>
          <w:lang w:eastAsia="en-GB"/>
          <w14:ligatures w14:val="none"/>
        </w:rPr>
        <w:t xml:space="preserve"> (Accessed: </w:t>
      </w:r>
      <w:r w:rsidR="00120E31">
        <w:rPr>
          <w:rFonts w:ascii="Arial" w:eastAsia="Times New Roman" w:hAnsi="Arial" w:cs="Arial"/>
          <w:kern w:val="0"/>
          <w:lang w:eastAsia="en-GB"/>
          <w14:ligatures w14:val="none"/>
        </w:rPr>
        <w:t xml:space="preserve">10 September </w:t>
      </w:r>
      <w:r w:rsidRPr="003722DA">
        <w:rPr>
          <w:rFonts w:ascii="Arial" w:eastAsia="Times New Roman" w:hAnsi="Arial" w:cs="Arial"/>
          <w:kern w:val="0"/>
          <w:lang w:eastAsia="en-GB"/>
          <w14:ligatures w14:val="none"/>
        </w:rPr>
        <w:t xml:space="preserve"> 2025).</w:t>
      </w:r>
    </w:p>
    <w:p w14:paraId="1A129641" w14:textId="01AE4A35"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National Institute for Health and Care Excellence (NICE) (2018) </w:t>
      </w:r>
      <w:r w:rsidRPr="003722DA">
        <w:rPr>
          <w:rFonts w:ascii="Arial" w:eastAsia="Times New Roman" w:hAnsi="Arial" w:cs="Arial"/>
          <w:i/>
          <w:iCs/>
          <w:kern w:val="0"/>
          <w:lang w:eastAsia="en-GB"/>
          <w14:ligatures w14:val="none"/>
        </w:rPr>
        <w:t>Attention deficit hyperactivity disorder: diagnosis and management (NG87)</w:t>
      </w:r>
      <w:r w:rsidRPr="003722DA">
        <w:rPr>
          <w:rFonts w:ascii="Arial" w:eastAsia="Times New Roman" w:hAnsi="Arial" w:cs="Arial"/>
          <w:kern w:val="0"/>
          <w:lang w:eastAsia="en-GB"/>
          <w14:ligatures w14:val="none"/>
        </w:rPr>
        <w:t xml:space="preserve">. London: NICE. Available at: </w:t>
      </w:r>
      <w:hyperlink r:id="rId90" w:tgtFrame="_new" w:history="1">
        <w:r w:rsidRPr="003722DA">
          <w:rPr>
            <w:rFonts w:ascii="Arial" w:eastAsia="Times New Roman" w:hAnsi="Arial" w:cs="Arial"/>
            <w:color w:val="0000FF"/>
            <w:kern w:val="0"/>
            <w:u w:val="single"/>
            <w:lang w:eastAsia="en-GB"/>
            <w14:ligatures w14:val="none"/>
          </w:rPr>
          <w:t>https://www.nice.org.uk/guidance/ng87</w:t>
        </w:r>
      </w:hyperlink>
      <w:r w:rsidRPr="003722DA">
        <w:rPr>
          <w:rFonts w:ascii="Arial" w:eastAsia="Times New Roman" w:hAnsi="Arial" w:cs="Arial"/>
          <w:kern w:val="0"/>
          <w:lang w:eastAsia="en-GB"/>
          <w14:ligatures w14:val="none"/>
        </w:rPr>
        <w:t xml:space="preserve"> (Accessed: </w:t>
      </w:r>
      <w:r w:rsidR="00120E31">
        <w:rPr>
          <w:rFonts w:ascii="Arial" w:eastAsia="Times New Roman" w:hAnsi="Arial" w:cs="Arial"/>
          <w:kern w:val="0"/>
          <w:lang w:eastAsia="en-GB"/>
          <w14:ligatures w14:val="none"/>
        </w:rPr>
        <w:t>14 September</w:t>
      </w:r>
      <w:r w:rsidRPr="003722DA">
        <w:rPr>
          <w:rFonts w:ascii="Arial" w:eastAsia="Times New Roman" w:hAnsi="Arial" w:cs="Arial"/>
          <w:kern w:val="0"/>
          <w:lang w:eastAsia="en-GB"/>
          <w14:ligatures w14:val="none"/>
        </w:rPr>
        <w:t xml:space="preserve"> 2025).</w:t>
      </w:r>
    </w:p>
    <w:p w14:paraId="561AED71" w14:textId="263BB7D4"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NHS Digital (2024) </w:t>
      </w:r>
      <w:r w:rsidRPr="003722DA">
        <w:rPr>
          <w:rFonts w:ascii="Arial" w:eastAsia="Times New Roman" w:hAnsi="Arial" w:cs="Arial"/>
          <w:i/>
          <w:iCs/>
          <w:kern w:val="0"/>
          <w:lang w:eastAsia="en-GB"/>
          <w14:ligatures w14:val="none"/>
        </w:rPr>
        <w:t>Prescribing for attention deficit hyperactivity disorder (ADHD) in England, 2019–2024</w:t>
      </w:r>
      <w:r w:rsidRPr="003722DA">
        <w:rPr>
          <w:rFonts w:ascii="Arial" w:eastAsia="Times New Roman" w:hAnsi="Arial" w:cs="Arial"/>
          <w:kern w:val="0"/>
          <w:lang w:eastAsia="en-GB"/>
          <w14:ligatures w14:val="none"/>
        </w:rPr>
        <w:t xml:space="preserve">. Leeds: NHS Digital. Available at: </w:t>
      </w:r>
      <w:hyperlink r:id="rId91" w:tgtFrame="_new" w:history="1">
        <w:r w:rsidRPr="003722DA">
          <w:rPr>
            <w:rFonts w:ascii="Arial" w:eastAsia="Times New Roman" w:hAnsi="Arial" w:cs="Arial"/>
            <w:color w:val="0000FF"/>
            <w:kern w:val="0"/>
            <w:u w:val="single"/>
            <w:lang w:eastAsia="en-GB"/>
            <w14:ligatures w14:val="none"/>
          </w:rPr>
          <w:t>https://digital.nhs.uk</w:t>
        </w:r>
      </w:hyperlink>
      <w:r w:rsidRPr="003722DA">
        <w:rPr>
          <w:rFonts w:ascii="Arial" w:eastAsia="Times New Roman" w:hAnsi="Arial" w:cs="Arial"/>
          <w:kern w:val="0"/>
          <w:lang w:eastAsia="en-GB"/>
          <w14:ligatures w14:val="none"/>
        </w:rPr>
        <w:t xml:space="preserve"> (Accessed: </w:t>
      </w:r>
      <w:r w:rsidR="00120E31">
        <w:rPr>
          <w:rFonts w:ascii="Arial" w:eastAsia="Times New Roman" w:hAnsi="Arial" w:cs="Arial"/>
          <w:kern w:val="0"/>
          <w:lang w:eastAsia="en-GB"/>
          <w14:ligatures w14:val="none"/>
        </w:rPr>
        <w:t xml:space="preserve">18 September </w:t>
      </w:r>
      <w:r w:rsidRPr="003722DA">
        <w:rPr>
          <w:rFonts w:ascii="Arial" w:eastAsia="Times New Roman" w:hAnsi="Arial" w:cs="Arial"/>
          <w:kern w:val="0"/>
          <w:lang w:eastAsia="en-GB"/>
          <w14:ligatures w14:val="none"/>
        </w:rPr>
        <w:t>2025).</w:t>
      </w:r>
    </w:p>
    <w:p w14:paraId="6213D9DF" w14:textId="6C01C911"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NHS England (2023) </w:t>
      </w:r>
      <w:r w:rsidRPr="003722DA">
        <w:rPr>
          <w:rFonts w:ascii="Arial" w:eastAsia="Times New Roman" w:hAnsi="Arial" w:cs="Arial"/>
          <w:i/>
          <w:iCs/>
          <w:kern w:val="0"/>
          <w:lang w:eastAsia="en-GB"/>
          <w14:ligatures w14:val="none"/>
        </w:rPr>
        <w:t>Children and young people’s mental health services: ADHD assessment and treatment pathways</w:t>
      </w:r>
      <w:r w:rsidRPr="003722DA">
        <w:rPr>
          <w:rFonts w:ascii="Arial" w:eastAsia="Times New Roman" w:hAnsi="Arial" w:cs="Arial"/>
          <w:kern w:val="0"/>
          <w:lang w:eastAsia="en-GB"/>
          <w14:ligatures w14:val="none"/>
        </w:rPr>
        <w:t xml:space="preserve">. London: NHS England. Available at: </w:t>
      </w:r>
      <w:hyperlink r:id="rId92" w:tgtFrame="_new" w:history="1">
        <w:r w:rsidRPr="003722DA">
          <w:rPr>
            <w:rFonts w:ascii="Arial" w:eastAsia="Times New Roman" w:hAnsi="Arial" w:cs="Arial"/>
            <w:color w:val="0000FF"/>
            <w:kern w:val="0"/>
            <w:u w:val="single"/>
            <w:lang w:eastAsia="en-GB"/>
            <w14:ligatures w14:val="none"/>
          </w:rPr>
          <w:t>https://www.england.nhs.uk</w:t>
        </w:r>
      </w:hyperlink>
      <w:r w:rsidRPr="003722DA">
        <w:rPr>
          <w:rFonts w:ascii="Arial" w:eastAsia="Times New Roman" w:hAnsi="Arial" w:cs="Arial"/>
          <w:kern w:val="0"/>
          <w:lang w:eastAsia="en-GB"/>
          <w14:ligatures w14:val="none"/>
        </w:rPr>
        <w:t xml:space="preserve"> (Accessed: </w:t>
      </w:r>
      <w:r w:rsidR="005C1504">
        <w:rPr>
          <w:rFonts w:ascii="Arial" w:eastAsia="Times New Roman" w:hAnsi="Arial" w:cs="Arial"/>
          <w:kern w:val="0"/>
          <w:lang w:eastAsia="en-GB"/>
          <w14:ligatures w14:val="none"/>
        </w:rPr>
        <w:t>18 September</w:t>
      </w:r>
      <w:r w:rsidRPr="003722DA">
        <w:rPr>
          <w:rFonts w:ascii="Arial" w:eastAsia="Times New Roman" w:hAnsi="Arial" w:cs="Arial"/>
          <w:kern w:val="0"/>
          <w:lang w:eastAsia="en-GB"/>
          <w14:ligatures w14:val="none"/>
        </w:rPr>
        <w:t xml:space="preserve"> 2025).</w:t>
      </w:r>
    </w:p>
    <w:p w14:paraId="2E9A2757" w14:textId="77777777"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Singh, I. (2011) ‘A disorder of anger and morality: ADHD and the politics of childhood’, </w:t>
      </w:r>
      <w:r w:rsidRPr="003722DA">
        <w:rPr>
          <w:rFonts w:ascii="Arial" w:eastAsia="Times New Roman" w:hAnsi="Arial" w:cs="Arial"/>
          <w:i/>
          <w:iCs/>
          <w:kern w:val="0"/>
          <w:lang w:eastAsia="en-GB"/>
          <w14:ligatures w14:val="none"/>
        </w:rPr>
        <w:t>Social Science &amp; Medicine</w:t>
      </w:r>
      <w:r w:rsidRPr="003722DA">
        <w:rPr>
          <w:rFonts w:ascii="Arial" w:eastAsia="Times New Roman" w:hAnsi="Arial" w:cs="Arial"/>
          <w:kern w:val="0"/>
          <w:lang w:eastAsia="en-GB"/>
          <w14:ligatures w14:val="none"/>
        </w:rPr>
        <w:t xml:space="preserve">, 73(6), pp. 889–896. Available at: </w:t>
      </w:r>
      <w:hyperlink r:id="rId93" w:tgtFrame="_new" w:history="1">
        <w:r w:rsidRPr="003722DA">
          <w:rPr>
            <w:rFonts w:ascii="Arial" w:eastAsia="Times New Roman" w:hAnsi="Arial" w:cs="Arial"/>
            <w:color w:val="0000FF"/>
            <w:kern w:val="0"/>
            <w:u w:val="single"/>
            <w:lang w:eastAsia="en-GB"/>
            <w14:ligatures w14:val="none"/>
          </w:rPr>
          <w:t>https://doi.org/10.1016/j.socscimed.2011.03.049</w:t>
        </w:r>
      </w:hyperlink>
      <w:r w:rsidRPr="003722DA">
        <w:rPr>
          <w:rFonts w:ascii="Arial" w:eastAsia="Times New Roman" w:hAnsi="Arial" w:cs="Arial"/>
          <w:kern w:val="0"/>
          <w:lang w:eastAsia="en-GB"/>
          <w14:ligatures w14:val="none"/>
        </w:rPr>
        <w:t>.</w:t>
      </w:r>
    </w:p>
    <w:p w14:paraId="6AE3FA96" w14:textId="77777777" w:rsidR="003722DA" w:rsidRPr="003722DA" w:rsidRDefault="003722DA" w:rsidP="003722DA">
      <w:pPr>
        <w:spacing w:before="100" w:beforeAutospacing="1" w:after="100" w:afterAutospacing="1" w:line="360" w:lineRule="auto"/>
        <w:rPr>
          <w:rFonts w:ascii="Arial" w:eastAsia="Times New Roman" w:hAnsi="Arial" w:cs="Arial"/>
          <w:kern w:val="0"/>
          <w:lang w:eastAsia="en-GB"/>
          <w14:ligatures w14:val="none"/>
        </w:rPr>
      </w:pPr>
      <w:r w:rsidRPr="003722DA">
        <w:rPr>
          <w:rFonts w:ascii="Arial" w:eastAsia="Times New Roman" w:hAnsi="Arial" w:cs="Arial"/>
          <w:kern w:val="0"/>
          <w:lang w:eastAsia="en-GB"/>
          <w14:ligatures w14:val="none"/>
        </w:rPr>
        <w:t xml:space="preserve">Storebø, O.J., Ramstad, E., Krogh, H.B., Nilausen, T.D., Skoog, M., Holmskov, M., Rosendal, S., </w:t>
      </w:r>
      <w:proofErr w:type="spellStart"/>
      <w:r w:rsidRPr="003722DA">
        <w:rPr>
          <w:rFonts w:ascii="Arial" w:eastAsia="Times New Roman" w:hAnsi="Arial" w:cs="Arial"/>
          <w:kern w:val="0"/>
          <w:lang w:eastAsia="en-GB"/>
          <w14:ligatures w14:val="none"/>
        </w:rPr>
        <w:t>Groth</w:t>
      </w:r>
      <w:proofErr w:type="spellEnd"/>
      <w:r w:rsidRPr="003722DA">
        <w:rPr>
          <w:rFonts w:ascii="Arial" w:eastAsia="Times New Roman" w:hAnsi="Arial" w:cs="Arial"/>
          <w:kern w:val="0"/>
          <w:lang w:eastAsia="en-GB"/>
          <w14:ligatures w14:val="none"/>
        </w:rPr>
        <w:t xml:space="preserve">, C., Magnusson, F.L., Moreira-Maia, C.R. et al. (2015) ‘Methylphenidate for children and adolescents with attention deficit hyperactivity disorder (ADHD)’, </w:t>
      </w:r>
      <w:r w:rsidRPr="003722DA">
        <w:rPr>
          <w:rFonts w:ascii="Arial" w:eastAsia="Times New Roman" w:hAnsi="Arial" w:cs="Arial"/>
          <w:i/>
          <w:iCs/>
          <w:kern w:val="0"/>
          <w:lang w:eastAsia="en-GB"/>
          <w14:ligatures w14:val="none"/>
        </w:rPr>
        <w:t>Cochrane Database of Systematic Reviews</w:t>
      </w:r>
      <w:r w:rsidRPr="003722DA">
        <w:rPr>
          <w:rFonts w:ascii="Arial" w:eastAsia="Times New Roman" w:hAnsi="Arial" w:cs="Arial"/>
          <w:kern w:val="0"/>
          <w:lang w:eastAsia="en-GB"/>
          <w14:ligatures w14:val="none"/>
        </w:rPr>
        <w:t xml:space="preserve">, 2015(11), CD009885. Available at: </w:t>
      </w:r>
      <w:hyperlink r:id="rId94" w:tgtFrame="_new" w:history="1">
        <w:r w:rsidRPr="003722DA">
          <w:rPr>
            <w:rFonts w:ascii="Arial" w:eastAsia="Times New Roman" w:hAnsi="Arial" w:cs="Arial"/>
            <w:color w:val="0000FF"/>
            <w:kern w:val="0"/>
            <w:u w:val="single"/>
            <w:lang w:eastAsia="en-GB"/>
            <w14:ligatures w14:val="none"/>
          </w:rPr>
          <w:t>https://doi.org/10.1002/14651858.CD009885.pub2</w:t>
        </w:r>
      </w:hyperlink>
      <w:r w:rsidRPr="003722DA">
        <w:rPr>
          <w:rFonts w:ascii="Arial" w:eastAsia="Times New Roman" w:hAnsi="Arial" w:cs="Arial"/>
          <w:kern w:val="0"/>
          <w:lang w:eastAsia="en-GB"/>
          <w14:ligatures w14:val="none"/>
        </w:rPr>
        <w:t>.</w:t>
      </w:r>
    </w:p>
    <w:p w14:paraId="74467C1B" w14:textId="77777777" w:rsidR="00710DC4" w:rsidRDefault="00710DC4" w:rsidP="003722DA">
      <w:pPr>
        <w:tabs>
          <w:tab w:val="left" w:pos="5560"/>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4FE7487A" w14:textId="77777777" w:rsidR="00710DC4" w:rsidRDefault="00710DC4" w:rsidP="003722DA">
      <w:pPr>
        <w:tabs>
          <w:tab w:val="left" w:pos="5560"/>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61E6A4B6" w14:textId="4F141144" w:rsidR="00CF395D" w:rsidRPr="003722DA" w:rsidRDefault="00C555D9" w:rsidP="003722DA">
      <w:pPr>
        <w:tabs>
          <w:tab w:val="left" w:pos="5560"/>
        </w:tabs>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ab/>
      </w:r>
    </w:p>
    <w:p w14:paraId="4EEF3BBB" w14:textId="77777777" w:rsidR="00D55BFD" w:rsidRDefault="00D55BFD"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65F3DA76" w14:textId="298B6754" w:rsidR="0005300C" w:rsidRPr="00BB2AEF" w:rsidRDefault="00E966D2"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lastRenderedPageBreak/>
        <w:t>Chapter</w:t>
      </w:r>
      <w:r w:rsidR="00D55BFD" w:rsidRPr="00BB2AEF">
        <w:rPr>
          <w:rFonts w:ascii="Arial" w:eastAsia="Times New Roman" w:hAnsi="Arial" w:cs="Arial"/>
          <w:b/>
          <w:bCs/>
          <w:color w:val="000000" w:themeColor="text1"/>
          <w:kern w:val="0"/>
          <w:lang w:eastAsia="en-GB"/>
          <w14:ligatures w14:val="none"/>
        </w:rPr>
        <w:t>5:</w:t>
      </w:r>
      <w:r w:rsidR="00D55BFD">
        <w:rPr>
          <w:rFonts w:ascii="Arial" w:eastAsia="Times New Roman" w:hAnsi="Arial" w:cs="Arial"/>
          <w:b/>
          <w:bCs/>
          <w:color w:val="000000" w:themeColor="text1"/>
          <w:kern w:val="0"/>
          <w:lang w:eastAsia="en-GB"/>
          <w14:ligatures w14:val="none"/>
        </w:rPr>
        <w:t xml:space="preserve"> </w:t>
      </w:r>
      <w:r w:rsidR="0005300C" w:rsidRPr="00BB2AEF">
        <w:rPr>
          <w:rFonts w:ascii="Arial" w:eastAsia="Times New Roman" w:hAnsi="Arial" w:cs="Arial"/>
          <w:b/>
          <w:bCs/>
          <w:color w:val="000000" w:themeColor="text1"/>
          <w:kern w:val="0"/>
          <w:lang w:eastAsia="en-GB"/>
          <w14:ligatures w14:val="none"/>
        </w:rPr>
        <w:t>Conclusions and Recommendations:</w:t>
      </w:r>
    </w:p>
    <w:p w14:paraId="2EC45277"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dissertation aimed to critically assess the effectiveness and safety of ADHD medication in children in the United Kingdom, while also exploring its wider impact on families. Using a secondary research design and a thematic analysis approach, this study synthesised peer-reviewed literature, national policy guidance and regulatory evidence to examine how ADHD medication is used in practice and how it affects children and their families (Braun and Clarke, 2006; NICE, 2018).</w:t>
      </w:r>
    </w:p>
    <w:p w14:paraId="3C9C764C"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The findings demonstrated that ADHD medication, particularly stimulant treatments, is effective in reducing core symptoms such as inattention, hyperactivity and impulsivity in the short term. Evidence consistently supported improvements in behavioural control and classroom engagement, which aligns with NICE guidance and large-scale meta-analytic findings (Cortese et al., 2018; NICE, 2018). However, the analysis also revealed that effectiveness is often defined narrowly through symptom reduction, with less consistent evidence regarding long-term academic, emotional and social outcomes. This suggests that medication effectiveness is context-dependent and influenced by the availability of wider psychosocial support (Daley et al., 2018).</w:t>
      </w:r>
    </w:p>
    <w:p w14:paraId="59731DFF"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Safety was identified as a more complex and contested issue. While ADHD medication is generally considered safe when appropriately prescribed and monitored, the literature highlighted common short-term side effects such as appetite suppression, sleep disturbance and emotional changes (Storebø et al., 2015; MHRA, 2019). Concerns regarding long-term safety remain due to limited longitudinal evidence, particularly for children who remain on medication for extended periods (MHRA, 2019). Importantly, safety was found to be closely linked to service capacity and monitoring practices, rather than medication alone (NICE, 2018).</w:t>
      </w:r>
    </w:p>
    <w:p w14:paraId="3052980E"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The findings further demonstrated that ADHD medication has a significant impact on families and care pathways. While some parents reported reduced stress when medication was effective, many experienced anxiety related to side effects, stigma and fragmented service provision (Singh, 2011; Daley et al., 2020). Long waiting times and reliance on private assessments were found to exacerbate inequalities and place additional emotional and financial burdens on families (NHS England, 2023; BBC News, 2023).</w:t>
      </w:r>
    </w:p>
    <w:p w14:paraId="6BA01172"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In relation to the research objectives, Objective 1 was fully met by examining current UK prescribing practices and NICE guidance (NICE, 2018; NHS Digital, 2024). Objective 2 was largely met, as strong evidence supports symptom reduction, although limitations were </w:t>
      </w:r>
      <w:r w:rsidRPr="00BB2AEF">
        <w:rPr>
          <w:rFonts w:ascii="Arial" w:eastAsia="Times New Roman" w:hAnsi="Arial" w:cs="Arial"/>
          <w:color w:val="000000" w:themeColor="text1"/>
          <w:kern w:val="0"/>
          <w:lang w:eastAsia="en-GB"/>
          <w14:ligatures w14:val="none"/>
        </w:rPr>
        <w:lastRenderedPageBreak/>
        <w:t>identified in relation to broader outcomes (Cortese et al., 2018). Objective 3 was partially met due to ongoing uncertainty surrounding long-term safety and variability in monitoring (MHRA, 2019). Objective 4 was met through the development of evidence-based recommendations aimed at improving ADHD care pathways.</w:t>
      </w:r>
    </w:p>
    <w:p w14:paraId="76CA43BD"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Overall, this study demonstrates that while ADHD medication remains a valuable component of treatment, its effectiveness and safety are maximised only when embedded within integrated, family-centred and well-resourced systems.</w:t>
      </w:r>
    </w:p>
    <w:p w14:paraId="4CF973E9" w14:textId="4F577178" w:rsidR="00EE1C79" w:rsidRDefault="00873D54"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Limitation</w:t>
      </w:r>
      <w:r w:rsidR="00D8617A" w:rsidRPr="00BB2AEF">
        <w:rPr>
          <w:rFonts w:ascii="Arial" w:eastAsia="Times New Roman" w:hAnsi="Arial" w:cs="Arial"/>
          <w:b/>
          <w:bCs/>
          <w:color w:val="000000" w:themeColor="text1"/>
          <w:kern w:val="0"/>
          <w:lang w:eastAsia="en-GB"/>
          <w14:ligatures w14:val="none"/>
        </w:rPr>
        <w:t>s:</w:t>
      </w:r>
    </w:p>
    <w:p w14:paraId="3018E324" w14:textId="7F3AC968" w:rsidR="00DA5E70" w:rsidRPr="00DA5E70" w:rsidRDefault="00DA5E70" w:rsidP="00DA5E70">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DA5E70">
        <w:rPr>
          <w:rFonts w:ascii="Arial" w:hAnsi="Arial" w:cs="Arial"/>
        </w:rPr>
        <w:t>This study relies on secondary research and is therefore dependent on the availability and quality of existing literature. Additionally, the use of published data may limit insight into children’s lived experiences.</w:t>
      </w:r>
    </w:p>
    <w:p w14:paraId="188F859F" w14:textId="77777777" w:rsidR="0005300C" w:rsidRPr="00BB2AEF" w:rsidRDefault="00D017C7"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Recommendations</w:t>
      </w:r>
    </w:p>
    <w:p w14:paraId="0A6E5F62" w14:textId="6EFBFAAE" w:rsidR="00D017C7" w:rsidRPr="00BB2AEF" w:rsidRDefault="00D017C7"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Strengthen Integrated ADHD Care Pathways</w:t>
      </w:r>
    </w:p>
    <w:p w14:paraId="474DEC85"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It is recommended that ADHD care pathways within the NHS be strengthened to ensure consistent, integrated and multidisciplinary support across regions. The findings showed that fragmented pathways and inconsistent follow-up undermine both medication safety and family confidence (NHS England, 2023).</w:t>
      </w:r>
    </w:p>
    <w:p w14:paraId="137793D2"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recommendation is supported by NICE guidance, which emphasises multimodal treatment and coordinated care between health, education and social services (NICE, 2018). Integrated care would enable better monitoring of medication effects, earlier identification of adverse outcomes and improved family engagement.</w:t>
      </w:r>
    </w:p>
    <w:p w14:paraId="6D6E892C" w14:textId="6A595FEF" w:rsidR="00D017C7" w:rsidRPr="00C22E74" w:rsidRDefault="00D017C7" w:rsidP="008A6690">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 xml:space="preserve">This recommendation is feasible within existing NHS structures, particularly through Integrated Care Systems, which already aim to improve coordination across services (NHS England, 2023). However, barriers include workforce shortages, regional funding inequalities and increasing demand for ADHD services (DHSC, 2023). </w:t>
      </w:r>
      <w:r w:rsidR="00C22E74" w:rsidRPr="00C22E74">
        <w:rPr>
          <w:rFonts w:ascii="Arial" w:hAnsi="Arial" w:cs="Arial"/>
        </w:rPr>
        <w:t>Addressing these challenges requires targeted investment and improved coordination. For example, expanding CAMHS workforce capacity and shared-care protocols would support more consistent and effective ADHD care.</w:t>
      </w:r>
    </w:p>
    <w:p w14:paraId="1C8842F5" w14:textId="77777777" w:rsidR="00D55BFD" w:rsidRDefault="00D55BFD"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117E7D99" w14:textId="77777777" w:rsidR="00D55BFD" w:rsidRDefault="00D55BFD"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305E06B4" w14:textId="327D71AB" w:rsidR="007530D2" w:rsidRPr="00BB2AEF" w:rsidRDefault="0017761B"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lastRenderedPageBreak/>
        <w:t>Future Research:</w:t>
      </w:r>
    </w:p>
    <w:p w14:paraId="513F71AB" w14:textId="77777777" w:rsidR="0017761B" w:rsidRPr="00BB2AEF" w:rsidRDefault="0017761B" w:rsidP="00BB2AEF">
      <w:pPr>
        <w:pStyle w:val="NormalWeb"/>
        <w:spacing w:line="360" w:lineRule="auto"/>
        <w:rPr>
          <w:rFonts w:ascii="Arial" w:hAnsi="Arial" w:cs="Arial"/>
          <w:i/>
          <w:iCs/>
          <w:color w:val="000000" w:themeColor="text1"/>
          <w:sz w:val="22"/>
          <w:szCs w:val="22"/>
        </w:rPr>
      </w:pPr>
      <w:r w:rsidRPr="00BB2AEF">
        <w:rPr>
          <w:rStyle w:val="Emphasis"/>
          <w:rFonts w:ascii="Arial" w:eastAsiaTheme="majorEastAsia" w:hAnsi="Arial" w:cs="Arial"/>
          <w:i w:val="0"/>
          <w:iCs w:val="0"/>
          <w:color w:val="000000" w:themeColor="text1"/>
          <w:sz w:val="22"/>
          <w:szCs w:val="22"/>
        </w:rPr>
        <w:t>Future research should examine the long-term outcomes of ADHD medication in children, particularly in relation to educational, emotional and social development. Further UK-based research exploring family experiences and inequalities within care pathways is also needed.</w:t>
      </w:r>
    </w:p>
    <w:p w14:paraId="15078AEA" w14:textId="3D6827CA" w:rsidR="00D017C7" w:rsidRPr="00BB2AEF" w:rsidRDefault="00D017C7"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Improve Monitoring and Communication Around Medication Safety</w:t>
      </w:r>
    </w:p>
    <w:p w14:paraId="5D68DF37"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It is recommended that monitoring of ADHD medication be enhanced through standardised review processes and improved communication with families. The findings highlighted that parental concerns about safety were often linked to inconsistent follow-up and limited information (MHRA, 2019).</w:t>
      </w:r>
    </w:p>
    <w:p w14:paraId="1B482144"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NICE (2018) already outlines clear monitoring requirements, including regular physical health checks. Strengthening adherence to these guidelines would support safer prescribing and informed decision-making. Improved communication would also promote shared decision-making and trust between families and professionals (Daley et al., 2020).</w:t>
      </w:r>
    </w:p>
    <w:p w14:paraId="3930F0D7"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recommendation is feasible, as it builds on existing policy rather than introducing new systems. However, time constraints within clinical appointments and variability in practitioner training present barriers. These may be mitigated through structured review templates and targeted professional development (NICE, 2018).</w:t>
      </w:r>
    </w:p>
    <w:p w14:paraId="4242C324" w14:textId="54500B75" w:rsidR="00D017C7" w:rsidRPr="00BB2AEF" w:rsidRDefault="00D017C7" w:rsidP="00BB2AEF">
      <w:pPr>
        <w:spacing w:after="0"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t>Expand Family-Centred and Non-Pharmacological Support</w:t>
      </w:r>
    </w:p>
    <w:p w14:paraId="16450BE1"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It is recommended that greater emphasis be placed on family-centred and non-pharmacological interventions, alongside medication. The findings demonstrated that families experience better outcomes when medication is combined with behavioural interventions and psychoeducation (Daley et al., 2018).</w:t>
      </w:r>
    </w:p>
    <w:p w14:paraId="71E57B5F"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recommendation aligns with NICE guidance, which states that medication should form part of a broader treatment plan rather than a standalone intervention (NICE, 2018). Expanding access to parent-training programmes and school-based support may reduce parental stress and reliance on medication alone.</w:t>
      </w:r>
    </w:p>
    <w:p w14:paraId="0BBAD40A" w14:textId="77777777" w:rsidR="00D017C7" w:rsidRPr="00BB2AEF" w:rsidRDefault="00D017C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Barriers include limited funding and uneven local provision. However, partnership working with voluntary organisations and prioritising early intervention may improve feasibility and long-term outcomes (Daley et al., 2018).</w:t>
      </w:r>
    </w:p>
    <w:p w14:paraId="5D3EE4FA" w14:textId="592D6F4F" w:rsidR="00D017C7" w:rsidRPr="00BB2AEF" w:rsidRDefault="00D017C7" w:rsidP="00BB2AEF">
      <w:pPr>
        <w:spacing w:before="100" w:beforeAutospacing="1" w:after="100" w:afterAutospacing="1" w:line="360" w:lineRule="auto"/>
        <w:outlineLvl w:val="1"/>
        <w:rPr>
          <w:rFonts w:ascii="Arial" w:eastAsia="Times New Roman" w:hAnsi="Arial" w:cs="Arial"/>
          <w:b/>
          <w:bCs/>
          <w:color w:val="000000" w:themeColor="text1"/>
          <w:kern w:val="0"/>
          <w:lang w:eastAsia="en-GB"/>
          <w14:ligatures w14:val="none"/>
        </w:rPr>
      </w:pPr>
      <w:r w:rsidRPr="00BB2AEF">
        <w:rPr>
          <w:rFonts w:ascii="Arial" w:eastAsia="Times New Roman" w:hAnsi="Arial" w:cs="Arial"/>
          <w:b/>
          <w:bCs/>
          <w:color w:val="000000" w:themeColor="text1"/>
          <w:kern w:val="0"/>
          <w:lang w:eastAsia="en-GB"/>
          <w14:ligatures w14:val="none"/>
        </w:rPr>
        <w:lastRenderedPageBreak/>
        <w:t xml:space="preserve"> Final Reflection</w:t>
      </w:r>
    </w:p>
    <w:p w14:paraId="50E337FD" w14:textId="3AA82E50" w:rsidR="00D017C7" w:rsidRPr="000E1BC7" w:rsidRDefault="00D017C7" w:rsidP="000E1BC7">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BB2AEF">
        <w:rPr>
          <w:rFonts w:ascii="Arial" w:eastAsia="Times New Roman" w:hAnsi="Arial" w:cs="Arial"/>
          <w:color w:val="000000" w:themeColor="text1"/>
          <w:kern w:val="0"/>
          <w:lang w:eastAsia="en-GB"/>
          <w14:ligatures w14:val="none"/>
        </w:rPr>
        <w:t>This dissertation has demonstrated the complexity of ADHD medication use in children within the United Kingdom. By critically synthesising existing evidence, the study has shown that medication can be effective and generally safe, but its impact is shaped by family experience, service capacity and systemic inequality. The findings reinforce the importance of viewing ADHD medication not as a singular solution, but as part of a holistic, ethically informed and family-centred approach to child mental health care</w:t>
      </w:r>
      <w:r w:rsidRPr="000E1BC7">
        <w:rPr>
          <w:rFonts w:ascii="Arial" w:eastAsia="Times New Roman" w:hAnsi="Arial" w:cs="Arial"/>
          <w:color w:val="000000" w:themeColor="text1"/>
          <w:kern w:val="0"/>
          <w:lang w:eastAsia="en-GB"/>
          <w14:ligatures w14:val="none"/>
        </w:rPr>
        <w:t xml:space="preserve">. </w:t>
      </w:r>
      <w:r w:rsidR="005B3798" w:rsidRPr="000E1BC7">
        <w:rPr>
          <w:rFonts w:ascii="Arial" w:hAnsi="Arial" w:cs="Arial"/>
        </w:rPr>
        <w:t>Overall, improving coordination, monitoring and family support will be essential in ensuring ADHD care is both effective and equitable across the United Kingdom.</w:t>
      </w:r>
    </w:p>
    <w:p w14:paraId="2A3551A9" w14:textId="77777777" w:rsidR="00E13AC5" w:rsidRDefault="00E13AC5"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6CA23758" w14:textId="77777777" w:rsidR="00CE3E27" w:rsidRDefault="00CE3E27"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07D71593" w14:textId="76872B49" w:rsidR="00E966D2" w:rsidRPr="00C45DAF" w:rsidRDefault="00E13AC5" w:rsidP="00BB2AE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C45DAF">
        <w:rPr>
          <w:rFonts w:ascii="Arial" w:eastAsia="Times New Roman" w:hAnsi="Arial" w:cs="Arial"/>
          <w:b/>
          <w:bCs/>
          <w:color w:val="000000" w:themeColor="text1"/>
          <w:kern w:val="0"/>
          <w:lang w:eastAsia="en-GB"/>
          <w14:ligatures w14:val="none"/>
        </w:rPr>
        <w:t>Reference</w:t>
      </w:r>
      <w:r w:rsidR="00A87228" w:rsidRPr="00C45DAF">
        <w:rPr>
          <w:rFonts w:ascii="Arial" w:eastAsia="Times New Roman" w:hAnsi="Arial" w:cs="Arial"/>
          <w:b/>
          <w:bCs/>
          <w:color w:val="000000" w:themeColor="text1"/>
          <w:kern w:val="0"/>
          <w:lang w:eastAsia="en-GB"/>
          <w14:ligatures w14:val="none"/>
        </w:rPr>
        <w:t xml:space="preserve"> List:</w:t>
      </w:r>
    </w:p>
    <w:p w14:paraId="559E9DD3" w14:textId="77777777"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BBC News (2023) </w:t>
      </w:r>
      <w:r w:rsidRPr="00A87228">
        <w:rPr>
          <w:rFonts w:ascii="Arial" w:eastAsia="Times New Roman" w:hAnsi="Arial" w:cs="Arial"/>
          <w:i/>
          <w:iCs/>
          <w:kern w:val="0"/>
          <w:lang w:eastAsia="en-GB"/>
          <w14:ligatures w14:val="none"/>
        </w:rPr>
        <w:t>Private ADHD assessments surge amid long NHS waiting lists</w:t>
      </w:r>
      <w:r w:rsidRPr="00A87228">
        <w:rPr>
          <w:rFonts w:ascii="Arial" w:eastAsia="Times New Roman" w:hAnsi="Arial" w:cs="Arial"/>
          <w:kern w:val="0"/>
          <w:lang w:eastAsia="en-GB"/>
          <w14:ligatures w14:val="none"/>
        </w:rPr>
        <w:t xml:space="preserve">. London: BBC. Available at: </w:t>
      </w:r>
      <w:hyperlink r:id="rId95" w:tgtFrame="_new" w:history="1">
        <w:r w:rsidRPr="00A87228">
          <w:rPr>
            <w:rFonts w:ascii="Arial" w:eastAsia="Times New Roman" w:hAnsi="Arial" w:cs="Arial"/>
            <w:color w:val="0000FF"/>
            <w:kern w:val="0"/>
            <w:u w:val="single"/>
            <w:lang w:eastAsia="en-GB"/>
            <w14:ligatures w14:val="none"/>
          </w:rPr>
          <w:t>https://www.bbc.co.uk/news</w:t>
        </w:r>
      </w:hyperlink>
      <w:r w:rsidRPr="00A87228">
        <w:rPr>
          <w:rFonts w:ascii="Arial" w:eastAsia="Times New Roman" w:hAnsi="Arial" w:cs="Arial"/>
          <w:kern w:val="0"/>
          <w:lang w:eastAsia="en-GB"/>
          <w14:ligatures w14:val="none"/>
        </w:rPr>
        <w:t xml:space="preserve"> (Accessed: 27 October 2025).</w:t>
      </w:r>
    </w:p>
    <w:p w14:paraId="41198C95" w14:textId="77777777"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Braun, V. and Clarke, V. (2006) ‘Using thematic analysis in psychology’, </w:t>
      </w:r>
      <w:r w:rsidRPr="00A87228">
        <w:rPr>
          <w:rFonts w:ascii="Arial" w:eastAsia="Times New Roman" w:hAnsi="Arial" w:cs="Arial"/>
          <w:i/>
          <w:iCs/>
          <w:kern w:val="0"/>
          <w:lang w:eastAsia="en-GB"/>
          <w14:ligatures w14:val="none"/>
        </w:rPr>
        <w:t>Qualitative Research in Psychology</w:t>
      </w:r>
      <w:r w:rsidRPr="00A87228">
        <w:rPr>
          <w:rFonts w:ascii="Arial" w:eastAsia="Times New Roman" w:hAnsi="Arial" w:cs="Arial"/>
          <w:kern w:val="0"/>
          <w:lang w:eastAsia="en-GB"/>
          <w14:ligatures w14:val="none"/>
        </w:rPr>
        <w:t xml:space="preserve">, 3(2), pp. 77–101. Available at: </w:t>
      </w:r>
      <w:hyperlink r:id="rId96" w:tgtFrame="_new" w:history="1">
        <w:r w:rsidRPr="00A87228">
          <w:rPr>
            <w:rFonts w:ascii="Arial" w:eastAsia="Times New Roman" w:hAnsi="Arial" w:cs="Arial"/>
            <w:color w:val="0000FF"/>
            <w:kern w:val="0"/>
            <w:u w:val="single"/>
            <w:lang w:eastAsia="en-GB"/>
            <w14:ligatures w14:val="none"/>
          </w:rPr>
          <w:t>https://doi.org/10.1191/1478088706qp063oa</w:t>
        </w:r>
      </w:hyperlink>
      <w:r w:rsidRPr="00A87228">
        <w:rPr>
          <w:rFonts w:ascii="Arial" w:eastAsia="Times New Roman" w:hAnsi="Arial" w:cs="Arial"/>
          <w:kern w:val="0"/>
          <w:lang w:eastAsia="en-GB"/>
          <w14:ligatures w14:val="none"/>
        </w:rPr>
        <w:t>.</w:t>
      </w:r>
    </w:p>
    <w:p w14:paraId="0C32FD4F" w14:textId="073EE73A"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Care Act 2014 (UK Government) (2014) </w:t>
      </w:r>
      <w:r w:rsidRPr="00A87228">
        <w:rPr>
          <w:rFonts w:ascii="Arial" w:eastAsia="Times New Roman" w:hAnsi="Arial" w:cs="Arial"/>
          <w:i/>
          <w:iCs/>
          <w:kern w:val="0"/>
          <w:lang w:eastAsia="en-GB"/>
          <w14:ligatures w14:val="none"/>
        </w:rPr>
        <w:t>Care Act 2014</w:t>
      </w:r>
      <w:r w:rsidRPr="00A87228">
        <w:rPr>
          <w:rFonts w:ascii="Arial" w:eastAsia="Times New Roman" w:hAnsi="Arial" w:cs="Arial"/>
          <w:kern w:val="0"/>
          <w:lang w:eastAsia="en-GB"/>
          <w14:ligatures w14:val="none"/>
        </w:rPr>
        <w:t xml:space="preserve">. London: The Stationery Office. Available at: </w:t>
      </w:r>
      <w:hyperlink r:id="rId97" w:tgtFrame="_new" w:history="1">
        <w:r w:rsidRPr="00A87228">
          <w:rPr>
            <w:rFonts w:ascii="Arial" w:eastAsia="Times New Roman" w:hAnsi="Arial" w:cs="Arial"/>
            <w:color w:val="0000FF"/>
            <w:kern w:val="0"/>
            <w:u w:val="single"/>
            <w:lang w:eastAsia="en-GB"/>
            <w14:ligatures w14:val="none"/>
          </w:rPr>
          <w:t>https://www.legislation.gov.uk/ukpga/2014/23/contents</w:t>
        </w:r>
      </w:hyperlink>
      <w:r w:rsidRPr="00A87228">
        <w:rPr>
          <w:rFonts w:ascii="Arial" w:eastAsia="Times New Roman" w:hAnsi="Arial" w:cs="Arial"/>
          <w:kern w:val="0"/>
          <w:lang w:eastAsia="en-GB"/>
          <w14:ligatures w14:val="none"/>
        </w:rPr>
        <w:t xml:space="preserve"> (Accessed: </w:t>
      </w:r>
      <w:r w:rsidR="00DB4965">
        <w:rPr>
          <w:rFonts w:ascii="Arial" w:eastAsia="Times New Roman" w:hAnsi="Arial" w:cs="Arial"/>
          <w:kern w:val="0"/>
          <w:lang w:eastAsia="en-GB"/>
          <w14:ligatures w14:val="none"/>
        </w:rPr>
        <w:t xml:space="preserve">17 </w:t>
      </w:r>
      <w:r w:rsidRPr="00A87228">
        <w:rPr>
          <w:rFonts w:ascii="Arial" w:eastAsia="Times New Roman" w:hAnsi="Arial" w:cs="Arial"/>
          <w:kern w:val="0"/>
          <w:lang w:eastAsia="en-GB"/>
          <w14:ligatures w14:val="none"/>
        </w:rPr>
        <w:t>October 2025).</w:t>
      </w:r>
    </w:p>
    <w:p w14:paraId="1B2C76A0" w14:textId="77777777"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Cortese, S., Adamo, N., Del Giovane, C., Mohr-Jensen, C., Hayes, A.J., Carucci, S., </w:t>
      </w:r>
      <w:proofErr w:type="spellStart"/>
      <w:r w:rsidRPr="00A87228">
        <w:rPr>
          <w:rFonts w:ascii="Arial" w:eastAsia="Times New Roman" w:hAnsi="Arial" w:cs="Arial"/>
          <w:kern w:val="0"/>
          <w:lang w:eastAsia="en-GB"/>
          <w14:ligatures w14:val="none"/>
        </w:rPr>
        <w:t>Zuddas</w:t>
      </w:r>
      <w:proofErr w:type="spellEnd"/>
      <w:r w:rsidRPr="00A87228">
        <w:rPr>
          <w:rFonts w:ascii="Arial" w:eastAsia="Times New Roman" w:hAnsi="Arial" w:cs="Arial"/>
          <w:kern w:val="0"/>
          <w:lang w:eastAsia="en-GB"/>
          <w14:ligatures w14:val="none"/>
        </w:rPr>
        <w:t xml:space="preserve">, A., Coghill, D. and </w:t>
      </w:r>
      <w:proofErr w:type="spellStart"/>
      <w:r w:rsidRPr="00A87228">
        <w:rPr>
          <w:rFonts w:ascii="Arial" w:eastAsia="Times New Roman" w:hAnsi="Arial" w:cs="Arial"/>
          <w:kern w:val="0"/>
          <w:lang w:eastAsia="en-GB"/>
          <w14:ligatures w14:val="none"/>
        </w:rPr>
        <w:t>Banaschewski</w:t>
      </w:r>
      <w:proofErr w:type="spellEnd"/>
      <w:r w:rsidRPr="00A87228">
        <w:rPr>
          <w:rFonts w:ascii="Arial" w:eastAsia="Times New Roman" w:hAnsi="Arial" w:cs="Arial"/>
          <w:kern w:val="0"/>
          <w:lang w:eastAsia="en-GB"/>
          <w14:ligatures w14:val="none"/>
        </w:rPr>
        <w:t xml:space="preserve">, T. (2018) ‘Comparative efficacy and tolerability of medications for attention-deficit hyperactivity disorder in children, adolescents, and adults: a systematic review and network meta-analysis’, </w:t>
      </w:r>
      <w:r w:rsidRPr="00A87228">
        <w:rPr>
          <w:rFonts w:ascii="Arial" w:eastAsia="Times New Roman" w:hAnsi="Arial" w:cs="Arial"/>
          <w:i/>
          <w:iCs/>
          <w:kern w:val="0"/>
          <w:lang w:eastAsia="en-GB"/>
          <w14:ligatures w14:val="none"/>
        </w:rPr>
        <w:t>The Lancet Psychiatry</w:t>
      </w:r>
      <w:r w:rsidRPr="00A87228">
        <w:rPr>
          <w:rFonts w:ascii="Arial" w:eastAsia="Times New Roman" w:hAnsi="Arial" w:cs="Arial"/>
          <w:kern w:val="0"/>
          <w:lang w:eastAsia="en-GB"/>
          <w14:ligatures w14:val="none"/>
        </w:rPr>
        <w:t xml:space="preserve">, 5(9), pp. 727–738. Available at: </w:t>
      </w:r>
      <w:hyperlink r:id="rId98" w:tgtFrame="_new" w:history="1">
        <w:r w:rsidRPr="00A87228">
          <w:rPr>
            <w:rFonts w:ascii="Arial" w:eastAsia="Times New Roman" w:hAnsi="Arial" w:cs="Arial"/>
            <w:color w:val="0000FF"/>
            <w:kern w:val="0"/>
            <w:u w:val="single"/>
            <w:lang w:eastAsia="en-GB"/>
            <w14:ligatures w14:val="none"/>
          </w:rPr>
          <w:t>https://doi.org/10.1016/S2215-0366(18)30269-4</w:t>
        </w:r>
      </w:hyperlink>
      <w:r w:rsidRPr="00A87228">
        <w:rPr>
          <w:rFonts w:ascii="Arial" w:eastAsia="Times New Roman" w:hAnsi="Arial" w:cs="Arial"/>
          <w:kern w:val="0"/>
          <w:lang w:eastAsia="en-GB"/>
          <w14:ligatures w14:val="none"/>
        </w:rPr>
        <w:t>.</w:t>
      </w:r>
    </w:p>
    <w:p w14:paraId="13CF9113" w14:textId="77777777"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Daley, D., Van der Oord, S., Ferrin, M., </w:t>
      </w:r>
      <w:proofErr w:type="spellStart"/>
      <w:r w:rsidRPr="00A87228">
        <w:rPr>
          <w:rFonts w:ascii="Arial" w:eastAsia="Times New Roman" w:hAnsi="Arial" w:cs="Arial"/>
          <w:kern w:val="0"/>
          <w:lang w:eastAsia="en-GB"/>
          <w14:ligatures w14:val="none"/>
        </w:rPr>
        <w:t>Danckaerts</w:t>
      </w:r>
      <w:proofErr w:type="spellEnd"/>
      <w:r w:rsidRPr="00A87228">
        <w:rPr>
          <w:rFonts w:ascii="Arial" w:eastAsia="Times New Roman" w:hAnsi="Arial" w:cs="Arial"/>
          <w:kern w:val="0"/>
          <w:lang w:eastAsia="en-GB"/>
          <w14:ligatures w14:val="none"/>
        </w:rPr>
        <w:t xml:space="preserve">, M., Döpfner, M., Cortese, S. and </w:t>
      </w:r>
      <w:proofErr w:type="spellStart"/>
      <w:r w:rsidRPr="00A87228">
        <w:rPr>
          <w:rFonts w:ascii="Arial" w:eastAsia="Times New Roman" w:hAnsi="Arial" w:cs="Arial"/>
          <w:kern w:val="0"/>
          <w:lang w:eastAsia="en-GB"/>
          <w14:ligatures w14:val="none"/>
        </w:rPr>
        <w:t>Sonuga</w:t>
      </w:r>
      <w:proofErr w:type="spellEnd"/>
      <w:r w:rsidRPr="00A87228">
        <w:rPr>
          <w:rFonts w:ascii="Arial" w:eastAsia="Times New Roman" w:hAnsi="Arial" w:cs="Arial"/>
          <w:kern w:val="0"/>
          <w:lang w:eastAsia="en-GB"/>
          <w14:ligatures w14:val="none"/>
        </w:rPr>
        <w:t xml:space="preserve">-Barke, E.J.S. (2018) ‘Practitioner review: current best practice in the use of parent training and other behavioural interventions in the treatment of children and adolescents with attention-deficit hyperactivity disorder (ADHD)’, </w:t>
      </w:r>
      <w:r w:rsidRPr="00A87228">
        <w:rPr>
          <w:rFonts w:ascii="Arial" w:eastAsia="Times New Roman" w:hAnsi="Arial" w:cs="Arial"/>
          <w:i/>
          <w:iCs/>
          <w:kern w:val="0"/>
          <w:lang w:eastAsia="en-GB"/>
          <w14:ligatures w14:val="none"/>
        </w:rPr>
        <w:t>Journal of Child Psychology and Psychiatry</w:t>
      </w:r>
      <w:r w:rsidRPr="00A87228">
        <w:rPr>
          <w:rFonts w:ascii="Arial" w:eastAsia="Times New Roman" w:hAnsi="Arial" w:cs="Arial"/>
          <w:kern w:val="0"/>
          <w:lang w:eastAsia="en-GB"/>
          <w14:ligatures w14:val="none"/>
        </w:rPr>
        <w:t xml:space="preserve">, 59(9), pp. 932–947. Available at: </w:t>
      </w:r>
      <w:hyperlink r:id="rId99" w:tgtFrame="_new" w:history="1">
        <w:r w:rsidRPr="00A87228">
          <w:rPr>
            <w:rFonts w:ascii="Arial" w:eastAsia="Times New Roman" w:hAnsi="Arial" w:cs="Arial"/>
            <w:color w:val="0000FF"/>
            <w:kern w:val="0"/>
            <w:u w:val="single"/>
            <w:lang w:eastAsia="en-GB"/>
            <w14:ligatures w14:val="none"/>
          </w:rPr>
          <w:t>https://doi.org/10.1111/jcpp.12825</w:t>
        </w:r>
      </w:hyperlink>
      <w:r w:rsidRPr="00A87228">
        <w:rPr>
          <w:rFonts w:ascii="Arial" w:eastAsia="Times New Roman" w:hAnsi="Arial" w:cs="Arial"/>
          <w:kern w:val="0"/>
          <w:lang w:eastAsia="en-GB"/>
          <w14:ligatures w14:val="none"/>
        </w:rPr>
        <w:t>.</w:t>
      </w:r>
    </w:p>
    <w:p w14:paraId="1CFD3B2E" w14:textId="77777777"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lastRenderedPageBreak/>
        <w:t xml:space="preserve">Daley, D., Van der Oord, S., Ferrin, M., </w:t>
      </w:r>
      <w:proofErr w:type="spellStart"/>
      <w:r w:rsidRPr="00A87228">
        <w:rPr>
          <w:rFonts w:ascii="Arial" w:eastAsia="Times New Roman" w:hAnsi="Arial" w:cs="Arial"/>
          <w:kern w:val="0"/>
          <w:lang w:eastAsia="en-GB"/>
          <w14:ligatures w14:val="none"/>
        </w:rPr>
        <w:t>Danckaerts</w:t>
      </w:r>
      <w:proofErr w:type="spellEnd"/>
      <w:r w:rsidRPr="00A87228">
        <w:rPr>
          <w:rFonts w:ascii="Arial" w:eastAsia="Times New Roman" w:hAnsi="Arial" w:cs="Arial"/>
          <w:kern w:val="0"/>
          <w:lang w:eastAsia="en-GB"/>
          <w14:ligatures w14:val="none"/>
        </w:rPr>
        <w:t xml:space="preserve">, M., Döpfner, M., Cortese, S. and </w:t>
      </w:r>
      <w:proofErr w:type="spellStart"/>
      <w:r w:rsidRPr="00A87228">
        <w:rPr>
          <w:rFonts w:ascii="Arial" w:eastAsia="Times New Roman" w:hAnsi="Arial" w:cs="Arial"/>
          <w:kern w:val="0"/>
          <w:lang w:eastAsia="en-GB"/>
          <w14:ligatures w14:val="none"/>
        </w:rPr>
        <w:t>Sonuga</w:t>
      </w:r>
      <w:proofErr w:type="spellEnd"/>
      <w:r w:rsidRPr="00A87228">
        <w:rPr>
          <w:rFonts w:ascii="Arial" w:eastAsia="Times New Roman" w:hAnsi="Arial" w:cs="Arial"/>
          <w:kern w:val="0"/>
          <w:lang w:eastAsia="en-GB"/>
          <w14:ligatures w14:val="none"/>
        </w:rPr>
        <w:t xml:space="preserve">-Barke, E.J.S. (2020) ‘Practitioner review: behavioural interventions in attention-deficit/hyperactivity disorder’, </w:t>
      </w:r>
      <w:r w:rsidRPr="00A87228">
        <w:rPr>
          <w:rFonts w:ascii="Arial" w:eastAsia="Times New Roman" w:hAnsi="Arial" w:cs="Arial"/>
          <w:i/>
          <w:iCs/>
          <w:kern w:val="0"/>
          <w:lang w:eastAsia="en-GB"/>
          <w14:ligatures w14:val="none"/>
        </w:rPr>
        <w:t>Journal of Child Psychology and Psychiatry</w:t>
      </w:r>
      <w:r w:rsidRPr="00A87228">
        <w:rPr>
          <w:rFonts w:ascii="Arial" w:eastAsia="Times New Roman" w:hAnsi="Arial" w:cs="Arial"/>
          <w:kern w:val="0"/>
          <w:lang w:eastAsia="en-GB"/>
          <w14:ligatures w14:val="none"/>
        </w:rPr>
        <w:t xml:space="preserve">, 61(9), pp. 932–947. Available at: </w:t>
      </w:r>
      <w:hyperlink r:id="rId100" w:tgtFrame="_new" w:history="1">
        <w:r w:rsidRPr="00A87228">
          <w:rPr>
            <w:rFonts w:ascii="Arial" w:eastAsia="Times New Roman" w:hAnsi="Arial" w:cs="Arial"/>
            <w:color w:val="0000FF"/>
            <w:kern w:val="0"/>
            <w:u w:val="single"/>
            <w:lang w:eastAsia="en-GB"/>
            <w14:ligatures w14:val="none"/>
          </w:rPr>
          <w:t>https://doi.org/10.1111/jcpp.13278</w:t>
        </w:r>
      </w:hyperlink>
      <w:r w:rsidRPr="00A87228">
        <w:rPr>
          <w:rFonts w:ascii="Arial" w:eastAsia="Times New Roman" w:hAnsi="Arial" w:cs="Arial"/>
          <w:kern w:val="0"/>
          <w:lang w:eastAsia="en-GB"/>
          <w14:ligatures w14:val="none"/>
        </w:rPr>
        <w:t>.</w:t>
      </w:r>
    </w:p>
    <w:p w14:paraId="39D40CCF" w14:textId="0BA7EE60"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Department of Health and Social Care (DHSC) (2023) </w:t>
      </w:r>
      <w:r w:rsidRPr="00A87228">
        <w:rPr>
          <w:rFonts w:ascii="Arial" w:eastAsia="Times New Roman" w:hAnsi="Arial" w:cs="Arial"/>
          <w:i/>
          <w:iCs/>
          <w:kern w:val="0"/>
          <w:lang w:eastAsia="en-GB"/>
          <w14:ligatures w14:val="none"/>
        </w:rPr>
        <w:t>NHS workforce plan and waiting time reforms</w:t>
      </w:r>
      <w:r w:rsidRPr="00A87228">
        <w:rPr>
          <w:rFonts w:ascii="Arial" w:eastAsia="Times New Roman" w:hAnsi="Arial" w:cs="Arial"/>
          <w:kern w:val="0"/>
          <w:lang w:eastAsia="en-GB"/>
          <w14:ligatures w14:val="none"/>
        </w:rPr>
        <w:t xml:space="preserve">. London: DHSC. Available at: </w:t>
      </w:r>
      <w:hyperlink r:id="rId101" w:tgtFrame="_new" w:history="1">
        <w:r w:rsidRPr="00A87228">
          <w:rPr>
            <w:rFonts w:ascii="Arial" w:eastAsia="Times New Roman" w:hAnsi="Arial" w:cs="Arial"/>
            <w:color w:val="0000FF"/>
            <w:kern w:val="0"/>
            <w:u w:val="single"/>
            <w:lang w:eastAsia="en-GB"/>
            <w14:ligatures w14:val="none"/>
          </w:rPr>
          <w:t>https://www.gov.uk</w:t>
        </w:r>
      </w:hyperlink>
      <w:r w:rsidRPr="00A87228">
        <w:rPr>
          <w:rFonts w:ascii="Arial" w:eastAsia="Times New Roman" w:hAnsi="Arial" w:cs="Arial"/>
          <w:kern w:val="0"/>
          <w:lang w:eastAsia="en-GB"/>
          <w14:ligatures w14:val="none"/>
        </w:rPr>
        <w:t xml:space="preserve"> (Accessed: </w:t>
      </w:r>
      <w:r w:rsidR="00DB4965">
        <w:rPr>
          <w:rFonts w:ascii="Arial" w:eastAsia="Times New Roman" w:hAnsi="Arial" w:cs="Arial"/>
          <w:kern w:val="0"/>
          <w:lang w:eastAsia="en-GB"/>
          <w14:ligatures w14:val="none"/>
        </w:rPr>
        <w:t>19</w:t>
      </w:r>
      <w:r w:rsidRPr="00A87228">
        <w:rPr>
          <w:rFonts w:ascii="Arial" w:eastAsia="Times New Roman" w:hAnsi="Arial" w:cs="Arial"/>
          <w:kern w:val="0"/>
          <w:lang w:eastAsia="en-GB"/>
          <w14:ligatures w14:val="none"/>
        </w:rPr>
        <w:t xml:space="preserve"> October 2025).</w:t>
      </w:r>
    </w:p>
    <w:p w14:paraId="16FC246A" w14:textId="3475FD80"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Medicines and Healthcare products Regulatory Agency (MHRA) (2019) </w:t>
      </w:r>
      <w:r w:rsidRPr="00A87228">
        <w:rPr>
          <w:rFonts w:ascii="Arial" w:eastAsia="Times New Roman" w:hAnsi="Arial" w:cs="Arial"/>
          <w:i/>
          <w:iCs/>
          <w:kern w:val="0"/>
          <w:lang w:eastAsia="en-GB"/>
          <w14:ligatures w14:val="none"/>
        </w:rPr>
        <w:t>Methylphenidate: reminder of advice on long-term safety and ongoing monitoring requirements</w:t>
      </w:r>
      <w:r w:rsidRPr="00A87228">
        <w:rPr>
          <w:rFonts w:ascii="Arial" w:eastAsia="Times New Roman" w:hAnsi="Arial" w:cs="Arial"/>
          <w:kern w:val="0"/>
          <w:lang w:eastAsia="en-GB"/>
          <w14:ligatures w14:val="none"/>
        </w:rPr>
        <w:t xml:space="preserve">. London: MHRA. Available at: </w:t>
      </w:r>
      <w:hyperlink r:id="rId102" w:tgtFrame="_new" w:history="1">
        <w:r w:rsidRPr="00A87228">
          <w:rPr>
            <w:rFonts w:ascii="Arial" w:eastAsia="Times New Roman" w:hAnsi="Arial" w:cs="Arial"/>
            <w:color w:val="0000FF"/>
            <w:kern w:val="0"/>
            <w:u w:val="single"/>
            <w:lang w:eastAsia="en-GB"/>
            <w14:ligatures w14:val="none"/>
          </w:rPr>
          <w:t>https://www.gov.uk/drug-safety-update/methylphenidate-reminder-of-advice-on-long-term-safety-and-ongoing-monitoring-requirements</w:t>
        </w:r>
      </w:hyperlink>
      <w:r w:rsidRPr="00A87228">
        <w:rPr>
          <w:rFonts w:ascii="Arial" w:eastAsia="Times New Roman" w:hAnsi="Arial" w:cs="Arial"/>
          <w:kern w:val="0"/>
          <w:lang w:eastAsia="en-GB"/>
          <w14:ligatures w14:val="none"/>
        </w:rPr>
        <w:t xml:space="preserve"> (Accessed: 2</w:t>
      </w:r>
      <w:r w:rsidR="00DB4965">
        <w:rPr>
          <w:rFonts w:ascii="Arial" w:eastAsia="Times New Roman" w:hAnsi="Arial" w:cs="Arial"/>
          <w:kern w:val="0"/>
          <w:lang w:eastAsia="en-GB"/>
          <w14:ligatures w14:val="none"/>
        </w:rPr>
        <w:t xml:space="preserve">0 </w:t>
      </w:r>
      <w:r w:rsidRPr="00A87228">
        <w:rPr>
          <w:rFonts w:ascii="Arial" w:eastAsia="Times New Roman" w:hAnsi="Arial" w:cs="Arial"/>
          <w:kern w:val="0"/>
          <w:lang w:eastAsia="en-GB"/>
          <w14:ligatures w14:val="none"/>
        </w:rPr>
        <w:t>October 2025).</w:t>
      </w:r>
    </w:p>
    <w:p w14:paraId="620DA75C" w14:textId="3CCA0864"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National Institute for Health and Care Excellence (NICE) (2018) </w:t>
      </w:r>
      <w:r w:rsidRPr="00A87228">
        <w:rPr>
          <w:rFonts w:ascii="Arial" w:eastAsia="Times New Roman" w:hAnsi="Arial" w:cs="Arial"/>
          <w:i/>
          <w:iCs/>
          <w:kern w:val="0"/>
          <w:lang w:eastAsia="en-GB"/>
          <w14:ligatures w14:val="none"/>
        </w:rPr>
        <w:t>Attention deficit hyperactivity disorder: diagnosis and management (NG87)</w:t>
      </w:r>
      <w:r w:rsidRPr="00A87228">
        <w:rPr>
          <w:rFonts w:ascii="Arial" w:eastAsia="Times New Roman" w:hAnsi="Arial" w:cs="Arial"/>
          <w:kern w:val="0"/>
          <w:lang w:eastAsia="en-GB"/>
          <w14:ligatures w14:val="none"/>
        </w:rPr>
        <w:t xml:space="preserve">. London: NICE. Available at: </w:t>
      </w:r>
      <w:hyperlink r:id="rId103" w:tgtFrame="_new" w:history="1">
        <w:r w:rsidRPr="00A87228">
          <w:rPr>
            <w:rFonts w:ascii="Arial" w:eastAsia="Times New Roman" w:hAnsi="Arial" w:cs="Arial"/>
            <w:color w:val="0000FF"/>
            <w:kern w:val="0"/>
            <w:u w:val="single"/>
            <w:lang w:eastAsia="en-GB"/>
            <w14:ligatures w14:val="none"/>
          </w:rPr>
          <w:t>https://www.nice.org.uk/guidance/ng87</w:t>
        </w:r>
      </w:hyperlink>
      <w:r w:rsidRPr="00A87228">
        <w:rPr>
          <w:rFonts w:ascii="Arial" w:eastAsia="Times New Roman" w:hAnsi="Arial" w:cs="Arial"/>
          <w:kern w:val="0"/>
          <w:lang w:eastAsia="en-GB"/>
          <w14:ligatures w14:val="none"/>
        </w:rPr>
        <w:t xml:space="preserve"> (Accessed: 2</w:t>
      </w:r>
      <w:r w:rsidR="00DB4965">
        <w:rPr>
          <w:rFonts w:ascii="Arial" w:eastAsia="Times New Roman" w:hAnsi="Arial" w:cs="Arial"/>
          <w:kern w:val="0"/>
          <w:lang w:eastAsia="en-GB"/>
          <w14:ligatures w14:val="none"/>
        </w:rPr>
        <w:t>6</w:t>
      </w:r>
      <w:r w:rsidRPr="00A87228">
        <w:rPr>
          <w:rFonts w:ascii="Arial" w:eastAsia="Times New Roman" w:hAnsi="Arial" w:cs="Arial"/>
          <w:kern w:val="0"/>
          <w:lang w:eastAsia="en-GB"/>
          <w14:ligatures w14:val="none"/>
        </w:rPr>
        <w:t xml:space="preserve"> October 2025).</w:t>
      </w:r>
    </w:p>
    <w:p w14:paraId="40DA5EBF" w14:textId="3D3F0B72"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NHS Digital (2024) </w:t>
      </w:r>
      <w:r w:rsidRPr="00A87228">
        <w:rPr>
          <w:rFonts w:ascii="Arial" w:eastAsia="Times New Roman" w:hAnsi="Arial" w:cs="Arial"/>
          <w:i/>
          <w:iCs/>
          <w:kern w:val="0"/>
          <w:lang w:eastAsia="en-GB"/>
          <w14:ligatures w14:val="none"/>
        </w:rPr>
        <w:t>Prescribing for ADHD in England 2019–2024</w:t>
      </w:r>
      <w:r w:rsidRPr="00A87228">
        <w:rPr>
          <w:rFonts w:ascii="Arial" w:eastAsia="Times New Roman" w:hAnsi="Arial" w:cs="Arial"/>
          <w:kern w:val="0"/>
          <w:lang w:eastAsia="en-GB"/>
          <w14:ligatures w14:val="none"/>
        </w:rPr>
        <w:t xml:space="preserve">. Leeds: NHS Digital. Available at: </w:t>
      </w:r>
      <w:hyperlink r:id="rId104" w:tgtFrame="_new" w:history="1">
        <w:r w:rsidRPr="00A87228">
          <w:rPr>
            <w:rFonts w:ascii="Arial" w:eastAsia="Times New Roman" w:hAnsi="Arial" w:cs="Arial"/>
            <w:color w:val="0000FF"/>
            <w:kern w:val="0"/>
            <w:u w:val="single"/>
            <w:lang w:eastAsia="en-GB"/>
            <w14:ligatures w14:val="none"/>
          </w:rPr>
          <w:t>https://digital.nhs.uk</w:t>
        </w:r>
      </w:hyperlink>
      <w:r w:rsidRPr="00A87228">
        <w:rPr>
          <w:rFonts w:ascii="Arial" w:eastAsia="Times New Roman" w:hAnsi="Arial" w:cs="Arial"/>
          <w:kern w:val="0"/>
          <w:lang w:eastAsia="en-GB"/>
          <w14:ligatures w14:val="none"/>
        </w:rPr>
        <w:t xml:space="preserve"> (Accessed: 2</w:t>
      </w:r>
      <w:r w:rsidR="00DB4965">
        <w:rPr>
          <w:rFonts w:ascii="Arial" w:eastAsia="Times New Roman" w:hAnsi="Arial" w:cs="Arial"/>
          <w:kern w:val="0"/>
          <w:lang w:eastAsia="en-GB"/>
          <w14:ligatures w14:val="none"/>
        </w:rPr>
        <w:t>8</w:t>
      </w:r>
      <w:r w:rsidRPr="00A87228">
        <w:rPr>
          <w:rFonts w:ascii="Arial" w:eastAsia="Times New Roman" w:hAnsi="Arial" w:cs="Arial"/>
          <w:kern w:val="0"/>
          <w:lang w:eastAsia="en-GB"/>
          <w14:ligatures w14:val="none"/>
        </w:rPr>
        <w:t xml:space="preserve"> October 2025).</w:t>
      </w:r>
    </w:p>
    <w:p w14:paraId="14719590" w14:textId="77777777"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NHS England (2023) </w:t>
      </w:r>
      <w:r w:rsidRPr="00A87228">
        <w:rPr>
          <w:rFonts w:ascii="Arial" w:eastAsia="Times New Roman" w:hAnsi="Arial" w:cs="Arial"/>
          <w:i/>
          <w:iCs/>
          <w:kern w:val="0"/>
          <w:lang w:eastAsia="en-GB"/>
          <w14:ligatures w14:val="none"/>
        </w:rPr>
        <w:t>Children and young people’s mental health services: ADHD assessment and treatment pathways</w:t>
      </w:r>
      <w:r w:rsidRPr="00A87228">
        <w:rPr>
          <w:rFonts w:ascii="Arial" w:eastAsia="Times New Roman" w:hAnsi="Arial" w:cs="Arial"/>
          <w:kern w:val="0"/>
          <w:lang w:eastAsia="en-GB"/>
          <w14:ligatures w14:val="none"/>
        </w:rPr>
        <w:t xml:space="preserve">. London: NHS England. Available at: </w:t>
      </w:r>
      <w:hyperlink r:id="rId105" w:tgtFrame="_new" w:history="1">
        <w:r w:rsidRPr="00A87228">
          <w:rPr>
            <w:rFonts w:ascii="Arial" w:eastAsia="Times New Roman" w:hAnsi="Arial" w:cs="Arial"/>
            <w:color w:val="0000FF"/>
            <w:kern w:val="0"/>
            <w:u w:val="single"/>
            <w:lang w:eastAsia="en-GB"/>
            <w14:ligatures w14:val="none"/>
          </w:rPr>
          <w:t>https://www.england.nhs.uk</w:t>
        </w:r>
      </w:hyperlink>
      <w:r w:rsidRPr="00A87228">
        <w:rPr>
          <w:rFonts w:ascii="Arial" w:eastAsia="Times New Roman" w:hAnsi="Arial" w:cs="Arial"/>
          <w:kern w:val="0"/>
          <w:lang w:eastAsia="en-GB"/>
          <w14:ligatures w14:val="none"/>
        </w:rPr>
        <w:t xml:space="preserve"> (Accessed: 27 October 2025).</w:t>
      </w:r>
    </w:p>
    <w:p w14:paraId="6483766C" w14:textId="77777777"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Singh, I. (2011) ‘A disorder of anger and morality: ADHD and the politics of childhood’, </w:t>
      </w:r>
      <w:r w:rsidRPr="00A87228">
        <w:rPr>
          <w:rFonts w:ascii="Arial" w:eastAsia="Times New Roman" w:hAnsi="Arial" w:cs="Arial"/>
          <w:i/>
          <w:iCs/>
          <w:kern w:val="0"/>
          <w:lang w:eastAsia="en-GB"/>
          <w14:ligatures w14:val="none"/>
        </w:rPr>
        <w:t>Social Science &amp; Medicine</w:t>
      </w:r>
      <w:r w:rsidRPr="00A87228">
        <w:rPr>
          <w:rFonts w:ascii="Arial" w:eastAsia="Times New Roman" w:hAnsi="Arial" w:cs="Arial"/>
          <w:kern w:val="0"/>
          <w:lang w:eastAsia="en-GB"/>
          <w14:ligatures w14:val="none"/>
        </w:rPr>
        <w:t xml:space="preserve">, 73(6), pp. 889–896. Available at: </w:t>
      </w:r>
      <w:hyperlink r:id="rId106" w:tgtFrame="_new" w:history="1">
        <w:r w:rsidRPr="00A87228">
          <w:rPr>
            <w:rFonts w:ascii="Arial" w:eastAsia="Times New Roman" w:hAnsi="Arial" w:cs="Arial"/>
            <w:color w:val="0000FF"/>
            <w:kern w:val="0"/>
            <w:u w:val="single"/>
            <w:lang w:eastAsia="en-GB"/>
            <w14:ligatures w14:val="none"/>
          </w:rPr>
          <w:t>https://doi.org/10.1016/j.socscimed.2011.03.049</w:t>
        </w:r>
      </w:hyperlink>
      <w:r w:rsidRPr="00A87228">
        <w:rPr>
          <w:rFonts w:ascii="Arial" w:eastAsia="Times New Roman" w:hAnsi="Arial" w:cs="Arial"/>
          <w:kern w:val="0"/>
          <w:lang w:eastAsia="en-GB"/>
          <w14:ligatures w14:val="none"/>
        </w:rPr>
        <w:t>.</w:t>
      </w:r>
    </w:p>
    <w:p w14:paraId="22630785" w14:textId="77777777" w:rsidR="00A87228" w:rsidRPr="00A87228" w:rsidRDefault="00A87228" w:rsidP="00A87228">
      <w:pPr>
        <w:spacing w:before="100" w:beforeAutospacing="1" w:after="100" w:afterAutospacing="1" w:line="360" w:lineRule="auto"/>
        <w:rPr>
          <w:rFonts w:ascii="Arial" w:eastAsia="Times New Roman" w:hAnsi="Arial" w:cs="Arial"/>
          <w:kern w:val="0"/>
          <w:lang w:eastAsia="en-GB"/>
          <w14:ligatures w14:val="none"/>
        </w:rPr>
      </w:pPr>
      <w:r w:rsidRPr="00A87228">
        <w:rPr>
          <w:rFonts w:ascii="Arial" w:eastAsia="Times New Roman" w:hAnsi="Arial" w:cs="Arial"/>
          <w:kern w:val="0"/>
          <w:lang w:eastAsia="en-GB"/>
          <w14:ligatures w14:val="none"/>
        </w:rPr>
        <w:t xml:space="preserve">Storebø, O.J., Ramstad, E., Krogh, H.B., Nilausen, T.D., Skoog, M., Holmskov, M., Rosendal, S., </w:t>
      </w:r>
      <w:proofErr w:type="spellStart"/>
      <w:r w:rsidRPr="00A87228">
        <w:rPr>
          <w:rFonts w:ascii="Arial" w:eastAsia="Times New Roman" w:hAnsi="Arial" w:cs="Arial"/>
          <w:kern w:val="0"/>
          <w:lang w:eastAsia="en-GB"/>
          <w14:ligatures w14:val="none"/>
        </w:rPr>
        <w:t>Groth</w:t>
      </w:r>
      <w:proofErr w:type="spellEnd"/>
      <w:r w:rsidRPr="00A87228">
        <w:rPr>
          <w:rFonts w:ascii="Arial" w:eastAsia="Times New Roman" w:hAnsi="Arial" w:cs="Arial"/>
          <w:kern w:val="0"/>
          <w:lang w:eastAsia="en-GB"/>
          <w14:ligatures w14:val="none"/>
        </w:rPr>
        <w:t xml:space="preserve">, C., Magnusson, F.L., Moreira-Maia, C.R. et al. (2015) ‘Methylphenidate for children and adolescents with attention deficit hyperactivity disorder (ADHD)’, </w:t>
      </w:r>
      <w:r w:rsidRPr="00A87228">
        <w:rPr>
          <w:rFonts w:ascii="Arial" w:eastAsia="Times New Roman" w:hAnsi="Arial" w:cs="Arial"/>
          <w:i/>
          <w:iCs/>
          <w:kern w:val="0"/>
          <w:lang w:eastAsia="en-GB"/>
          <w14:ligatures w14:val="none"/>
        </w:rPr>
        <w:t>Cochrane Database of Systematic Reviews</w:t>
      </w:r>
      <w:r w:rsidRPr="00A87228">
        <w:rPr>
          <w:rFonts w:ascii="Arial" w:eastAsia="Times New Roman" w:hAnsi="Arial" w:cs="Arial"/>
          <w:kern w:val="0"/>
          <w:lang w:eastAsia="en-GB"/>
          <w14:ligatures w14:val="none"/>
        </w:rPr>
        <w:t xml:space="preserve">, 2015(11), CD009885. Available at: </w:t>
      </w:r>
      <w:hyperlink r:id="rId107" w:tgtFrame="_new" w:history="1">
        <w:r w:rsidRPr="00A87228">
          <w:rPr>
            <w:rFonts w:ascii="Arial" w:eastAsia="Times New Roman" w:hAnsi="Arial" w:cs="Arial"/>
            <w:color w:val="0000FF"/>
            <w:kern w:val="0"/>
            <w:u w:val="single"/>
            <w:lang w:eastAsia="en-GB"/>
            <w14:ligatures w14:val="none"/>
          </w:rPr>
          <w:t>https://doi.org/10.1002/14651858.CD009885.pub2</w:t>
        </w:r>
      </w:hyperlink>
      <w:r w:rsidRPr="00A87228">
        <w:rPr>
          <w:rFonts w:ascii="Arial" w:eastAsia="Times New Roman" w:hAnsi="Arial" w:cs="Arial"/>
          <w:kern w:val="0"/>
          <w:lang w:eastAsia="en-GB"/>
          <w14:ligatures w14:val="none"/>
        </w:rPr>
        <w:t>.</w:t>
      </w:r>
    </w:p>
    <w:p w14:paraId="68E84655" w14:textId="77777777" w:rsidR="003E2264" w:rsidRPr="00BB2AEF" w:rsidRDefault="003E2264" w:rsidP="00BB2AE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2AFFB76A" w14:textId="77777777" w:rsidR="00027C8D" w:rsidRPr="00627825" w:rsidRDefault="00027C8D" w:rsidP="00627825">
      <w:pPr>
        <w:spacing w:before="100" w:beforeAutospacing="1" w:after="100" w:afterAutospacing="1" w:line="360" w:lineRule="auto"/>
        <w:rPr>
          <w:rFonts w:ascii="Arial" w:eastAsia="Times New Roman" w:hAnsi="Arial" w:cs="Arial"/>
          <w:kern w:val="0"/>
          <w:lang w:eastAsia="en-GB"/>
          <w14:ligatures w14:val="none"/>
        </w:rPr>
      </w:pPr>
    </w:p>
    <w:sectPr w:rsidR="00027C8D" w:rsidRPr="00627825">
      <w:footerReference w:type="default" r:id="rId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5CF6B" w14:textId="77777777" w:rsidR="003849A0" w:rsidRDefault="003849A0" w:rsidP="00840D94">
      <w:pPr>
        <w:spacing w:after="0" w:line="240" w:lineRule="auto"/>
      </w:pPr>
      <w:r>
        <w:separator/>
      </w:r>
    </w:p>
  </w:endnote>
  <w:endnote w:type="continuationSeparator" w:id="0">
    <w:p w14:paraId="57235434" w14:textId="77777777" w:rsidR="003849A0" w:rsidRDefault="003849A0" w:rsidP="00840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518520"/>
      <w:docPartObj>
        <w:docPartGallery w:val="Page Numbers (Bottom of Page)"/>
        <w:docPartUnique/>
      </w:docPartObj>
    </w:sdtPr>
    <w:sdtEndPr>
      <w:rPr>
        <w:noProof/>
      </w:rPr>
    </w:sdtEndPr>
    <w:sdtContent>
      <w:p w14:paraId="7F8C9B22" w14:textId="78411535" w:rsidR="0056715B" w:rsidRDefault="005671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5D95DA" w14:textId="77777777" w:rsidR="0056715B" w:rsidRDefault="00567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DACC7" w14:textId="77777777" w:rsidR="003849A0" w:rsidRDefault="003849A0" w:rsidP="00840D94">
      <w:pPr>
        <w:spacing w:after="0" w:line="240" w:lineRule="auto"/>
      </w:pPr>
      <w:r>
        <w:separator/>
      </w:r>
    </w:p>
  </w:footnote>
  <w:footnote w:type="continuationSeparator" w:id="0">
    <w:p w14:paraId="2C208AE9" w14:textId="77777777" w:rsidR="003849A0" w:rsidRDefault="003849A0" w:rsidP="00840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0710D"/>
    <w:multiLevelType w:val="multilevel"/>
    <w:tmpl w:val="A038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C8091B"/>
    <w:multiLevelType w:val="multilevel"/>
    <w:tmpl w:val="F786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0221B6"/>
    <w:multiLevelType w:val="multilevel"/>
    <w:tmpl w:val="D6BE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7F2CDB"/>
    <w:multiLevelType w:val="multilevel"/>
    <w:tmpl w:val="060E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2025106">
    <w:abstractNumId w:val="0"/>
  </w:num>
  <w:num w:numId="2" w16cid:durableId="1240748201">
    <w:abstractNumId w:val="2"/>
  </w:num>
  <w:num w:numId="3" w16cid:durableId="1996644678">
    <w:abstractNumId w:val="1"/>
  </w:num>
  <w:num w:numId="4" w16cid:durableId="841966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EA"/>
    <w:rsid w:val="000055F7"/>
    <w:rsid w:val="0001120D"/>
    <w:rsid w:val="0001624E"/>
    <w:rsid w:val="00027C8D"/>
    <w:rsid w:val="0003467A"/>
    <w:rsid w:val="00036BA0"/>
    <w:rsid w:val="000420D2"/>
    <w:rsid w:val="00042B70"/>
    <w:rsid w:val="00042CEC"/>
    <w:rsid w:val="00042F30"/>
    <w:rsid w:val="00044AA6"/>
    <w:rsid w:val="0005300C"/>
    <w:rsid w:val="0005376E"/>
    <w:rsid w:val="00054093"/>
    <w:rsid w:val="000563BD"/>
    <w:rsid w:val="00056D29"/>
    <w:rsid w:val="00063DF8"/>
    <w:rsid w:val="00064529"/>
    <w:rsid w:val="00066538"/>
    <w:rsid w:val="00067C8F"/>
    <w:rsid w:val="00083DA8"/>
    <w:rsid w:val="00094379"/>
    <w:rsid w:val="00096D0E"/>
    <w:rsid w:val="000A0DC3"/>
    <w:rsid w:val="000A2224"/>
    <w:rsid w:val="000A3AF0"/>
    <w:rsid w:val="000A69F5"/>
    <w:rsid w:val="000B1215"/>
    <w:rsid w:val="000B238B"/>
    <w:rsid w:val="000B4D99"/>
    <w:rsid w:val="000C6535"/>
    <w:rsid w:val="000D61E4"/>
    <w:rsid w:val="000E157C"/>
    <w:rsid w:val="000E1BC7"/>
    <w:rsid w:val="000E3F1A"/>
    <w:rsid w:val="000E62F1"/>
    <w:rsid w:val="00110E85"/>
    <w:rsid w:val="00111094"/>
    <w:rsid w:val="00111AF2"/>
    <w:rsid w:val="00117801"/>
    <w:rsid w:val="00120E31"/>
    <w:rsid w:val="001253E0"/>
    <w:rsid w:val="00125B01"/>
    <w:rsid w:val="001268B6"/>
    <w:rsid w:val="00135232"/>
    <w:rsid w:val="0014161A"/>
    <w:rsid w:val="00141B44"/>
    <w:rsid w:val="001506A6"/>
    <w:rsid w:val="0015356E"/>
    <w:rsid w:val="00161EC6"/>
    <w:rsid w:val="00165948"/>
    <w:rsid w:val="00166246"/>
    <w:rsid w:val="00170929"/>
    <w:rsid w:val="001714DB"/>
    <w:rsid w:val="0017614F"/>
    <w:rsid w:val="0017761B"/>
    <w:rsid w:val="001803CD"/>
    <w:rsid w:val="00180918"/>
    <w:rsid w:val="0019287B"/>
    <w:rsid w:val="001A576D"/>
    <w:rsid w:val="001A7ADB"/>
    <w:rsid w:val="001B2992"/>
    <w:rsid w:val="001B4A6B"/>
    <w:rsid w:val="001B67B8"/>
    <w:rsid w:val="001B6A70"/>
    <w:rsid w:val="001B7382"/>
    <w:rsid w:val="001C0B66"/>
    <w:rsid w:val="001C2449"/>
    <w:rsid w:val="001C470B"/>
    <w:rsid w:val="001C7BAF"/>
    <w:rsid w:val="001D1363"/>
    <w:rsid w:val="001D7596"/>
    <w:rsid w:val="001E466D"/>
    <w:rsid w:val="001F4AD7"/>
    <w:rsid w:val="001F5C36"/>
    <w:rsid w:val="001F67FD"/>
    <w:rsid w:val="00201004"/>
    <w:rsid w:val="002044B7"/>
    <w:rsid w:val="00207F73"/>
    <w:rsid w:val="0021568F"/>
    <w:rsid w:val="0021594D"/>
    <w:rsid w:val="00223DDE"/>
    <w:rsid w:val="00225133"/>
    <w:rsid w:val="002315E4"/>
    <w:rsid w:val="002347FE"/>
    <w:rsid w:val="002370D8"/>
    <w:rsid w:val="00240FC2"/>
    <w:rsid w:val="00243BF0"/>
    <w:rsid w:val="00244233"/>
    <w:rsid w:val="00247A4E"/>
    <w:rsid w:val="00252683"/>
    <w:rsid w:val="00254591"/>
    <w:rsid w:val="002552EC"/>
    <w:rsid w:val="00255A7E"/>
    <w:rsid w:val="00262E89"/>
    <w:rsid w:val="00274EBB"/>
    <w:rsid w:val="00286892"/>
    <w:rsid w:val="00290EDE"/>
    <w:rsid w:val="002A5B27"/>
    <w:rsid w:val="002A72C3"/>
    <w:rsid w:val="002C0163"/>
    <w:rsid w:val="002C0A3C"/>
    <w:rsid w:val="002D01E5"/>
    <w:rsid w:val="002D57ED"/>
    <w:rsid w:val="002D7440"/>
    <w:rsid w:val="002D750C"/>
    <w:rsid w:val="002E2515"/>
    <w:rsid w:val="002E362C"/>
    <w:rsid w:val="002E6F8A"/>
    <w:rsid w:val="002F0D3E"/>
    <w:rsid w:val="002F430D"/>
    <w:rsid w:val="002F49AD"/>
    <w:rsid w:val="002F4BF2"/>
    <w:rsid w:val="002F6B7D"/>
    <w:rsid w:val="002F7144"/>
    <w:rsid w:val="003013EA"/>
    <w:rsid w:val="00303E34"/>
    <w:rsid w:val="00306C8C"/>
    <w:rsid w:val="003104E4"/>
    <w:rsid w:val="0031329A"/>
    <w:rsid w:val="00317115"/>
    <w:rsid w:val="00321203"/>
    <w:rsid w:val="00321ED9"/>
    <w:rsid w:val="00330ADB"/>
    <w:rsid w:val="00335F61"/>
    <w:rsid w:val="0033616B"/>
    <w:rsid w:val="003414A1"/>
    <w:rsid w:val="00342060"/>
    <w:rsid w:val="00344306"/>
    <w:rsid w:val="00344EBF"/>
    <w:rsid w:val="00346547"/>
    <w:rsid w:val="0034654C"/>
    <w:rsid w:val="003611A3"/>
    <w:rsid w:val="0036227F"/>
    <w:rsid w:val="003630DB"/>
    <w:rsid w:val="003642BB"/>
    <w:rsid w:val="00367EEF"/>
    <w:rsid w:val="0037027C"/>
    <w:rsid w:val="003722DA"/>
    <w:rsid w:val="003768B0"/>
    <w:rsid w:val="00382DC6"/>
    <w:rsid w:val="003849A0"/>
    <w:rsid w:val="003851A7"/>
    <w:rsid w:val="003904FB"/>
    <w:rsid w:val="003A09F1"/>
    <w:rsid w:val="003A34C7"/>
    <w:rsid w:val="003A4C41"/>
    <w:rsid w:val="003B298D"/>
    <w:rsid w:val="003B3E9A"/>
    <w:rsid w:val="003B4EA3"/>
    <w:rsid w:val="003C03BD"/>
    <w:rsid w:val="003C5152"/>
    <w:rsid w:val="003D2516"/>
    <w:rsid w:val="003D3422"/>
    <w:rsid w:val="003D5E20"/>
    <w:rsid w:val="003D63D9"/>
    <w:rsid w:val="003E0EBC"/>
    <w:rsid w:val="003E2264"/>
    <w:rsid w:val="003E2AAB"/>
    <w:rsid w:val="003E5328"/>
    <w:rsid w:val="003E60EA"/>
    <w:rsid w:val="003E6F7C"/>
    <w:rsid w:val="003F2A87"/>
    <w:rsid w:val="004004AE"/>
    <w:rsid w:val="004071E3"/>
    <w:rsid w:val="00407CB4"/>
    <w:rsid w:val="00415072"/>
    <w:rsid w:val="004262BF"/>
    <w:rsid w:val="00426EC7"/>
    <w:rsid w:val="00427761"/>
    <w:rsid w:val="00435922"/>
    <w:rsid w:val="004361F2"/>
    <w:rsid w:val="0044663A"/>
    <w:rsid w:val="00447498"/>
    <w:rsid w:val="00450F78"/>
    <w:rsid w:val="00451138"/>
    <w:rsid w:val="00452F83"/>
    <w:rsid w:val="0046289A"/>
    <w:rsid w:val="00464524"/>
    <w:rsid w:val="00464763"/>
    <w:rsid w:val="004649C7"/>
    <w:rsid w:val="00466A25"/>
    <w:rsid w:val="00466B8C"/>
    <w:rsid w:val="004700B5"/>
    <w:rsid w:val="0048125B"/>
    <w:rsid w:val="004815C2"/>
    <w:rsid w:val="0048240E"/>
    <w:rsid w:val="004827D7"/>
    <w:rsid w:val="00485EF8"/>
    <w:rsid w:val="004874F4"/>
    <w:rsid w:val="00490F2F"/>
    <w:rsid w:val="004A2667"/>
    <w:rsid w:val="004B6C28"/>
    <w:rsid w:val="004C2AF8"/>
    <w:rsid w:val="004C2E4A"/>
    <w:rsid w:val="004D22FC"/>
    <w:rsid w:val="004E3E9B"/>
    <w:rsid w:val="004F2E81"/>
    <w:rsid w:val="004F7EAE"/>
    <w:rsid w:val="005017F3"/>
    <w:rsid w:val="00501AD0"/>
    <w:rsid w:val="0051766A"/>
    <w:rsid w:val="005243A9"/>
    <w:rsid w:val="00532FFA"/>
    <w:rsid w:val="005351CE"/>
    <w:rsid w:val="00550A84"/>
    <w:rsid w:val="00553063"/>
    <w:rsid w:val="00554BC2"/>
    <w:rsid w:val="005574B9"/>
    <w:rsid w:val="005644DE"/>
    <w:rsid w:val="0056715B"/>
    <w:rsid w:val="0057547C"/>
    <w:rsid w:val="005805AC"/>
    <w:rsid w:val="00591AE5"/>
    <w:rsid w:val="005930D5"/>
    <w:rsid w:val="00593D34"/>
    <w:rsid w:val="00597A4E"/>
    <w:rsid w:val="005A0394"/>
    <w:rsid w:val="005A50A1"/>
    <w:rsid w:val="005A73AD"/>
    <w:rsid w:val="005B0196"/>
    <w:rsid w:val="005B2BA2"/>
    <w:rsid w:val="005B3798"/>
    <w:rsid w:val="005B4D03"/>
    <w:rsid w:val="005C1504"/>
    <w:rsid w:val="005D03FA"/>
    <w:rsid w:val="005D26FF"/>
    <w:rsid w:val="005D5FF7"/>
    <w:rsid w:val="005E1CAE"/>
    <w:rsid w:val="005E391F"/>
    <w:rsid w:val="005E3ACF"/>
    <w:rsid w:val="005E454C"/>
    <w:rsid w:val="005E6988"/>
    <w:rsid w:val="005E7AE4"/>
    <w:rsid w:val="005F0129"/>
    <w:rsid w:val="005F0811"/>
    <w:rsid w:val="005F0DA6"/>
    <w:rsid w:val="005F2865"/>
    <w:rsid w:val="00600407"/>
    <w:rsid w:val="00601E64"/>
    <w:rsid w:val="00602B0D"/>
    <w:rsid w:val="00606789"/>
    <w:rsid w:val="006071A4"/>
    <w:rsid w:val="0061210F"/>
    <w:rsid w:val="006130FC"/>
    <w:rsid w:val="0061375D"/>
    <w:rsid w:val="006248AF"/>
    <w:rsid w:val="006270E9"/>
    <w:rsid w:val="00627825"/>
    <w:rsid w:val="00627BE4"/>
    <w:rsid w:val="00634F6F"/>
    <w:rsid w:val="00645850"/>
    <w:rsid w:val="006461CF"/>
    <w:rsid w:val="00647665"/>
    <w:rsid w:val="00647CAA"/>
    <w:rsid w:val="006506B9"/>
    <w:rsid w:val="006564C1"/>
    <w:rsid w:val="00665847"/>
    <w:rsid w:val="0067009E"/>
    <w:rsid w:val="0067209B"/>
    <w:rsid w:val="0067268F"/>
    <w:rsid w:val="006729C6"/>
    <w:rsid w:val="00673880"/>
    <w:rsid w:val="0067553C"/>
    <w:rsid w:val="006775AD"/>
    <w:rsid w:val="00680264"/>
    <w:rsid w:val="00681CBF"/>
    <w:rsid w:val="00682B8E"/>
    <w:rsid w:val="00685F81"/>
    <w:rsid w:val="00690281"/>
    <w:rsid w:val="006945B2"/>
    <w:rsid w:val="00694D5E"/>
    <w:rsid w:val="006965E7"/>
    <w:rsid w:val="006A0D06"/>
    <w:rsid w:val="006A2E6C"/>
    <w:rsid w:val="006A4750"/>
    <w:rsid w:val="006A744F"/>
    <w:rsid w:val="006B1032"/>
    <w:rsid w:val="006C05FB"/>
    <w:rsid w:val="006C1297"/>
    <w:rsid w:val="006C2A5F"/>
    <w:rsid w:val="006C5BFC"/>
    <w:rsid w:val="006D1EB7"/>
    <w:rsid w:val="006E6BE1"/>
    <w:rsid w:val="006E7875"/>
    <w:rsid w:val="006E7BB7"/>
    <w:rsid w:val="0070182A"/>
    <w:rsid w:val="00702B82"/>
    <w:rsid w:val="00707BD2"/>
    <w:rsid w:val="00710DC4"/>
    <w:rsid w:val="00712D03"/>
    <w:rsid w:val="007275F1"/>
    <w:rsid w:val="0072761D"/>
    <w:rsid w:val="007359D8"/>
    <w:rsid w:val="00740446"/>
    <w:rsid w:val="00741813"/>
    <w:rsid w:val="00741BA6"/>
    <w:rsid w:val="007436F0"/>
    <w:rsid w:val="007438DE"/>
    <w:rsid w:val="00745D21"/>
    <w:rsid w:val="00751161"/>
    <w:rsid w:val="007530D2"/>
    <w:rsid w:val="00756367"/>
    <w:rsid w:val="00763136"/>
    <w:rsid w:val="00767A5D"/>
    <w:rsid w:val="00771786"/>
    <w:rsid w:val="00772C73"/>
    <w:rsid w:val="007829DA"/>
    <w:rsid w:val="00787920"/>
    <w:rsid w:val="0079340C"/>
    <w:rsid w:val="00793574"/>
    <w:rsid w:val="00794280"/>
    <w:rsid w:val="007A599D"/>
    <w:rsid w:val="007B4517"/>
    <w:rsid w:val="007B464F"/>
    <w:rsid w:val="007B5F3F"/>
    <w:rsid w:val="007B7A63"/>
    <w:rsid w:val="007C077C"/>
    <w:rsid w:val="007C1B17"/>
    <w:rsid w:val="007D0EF0"/>
    <w:rsid w:val="007D4EC2"/>
    <w:rsid w:val="007D6701"/>
    <w:rsid w:val="007D7BD0"/>
    <w:rsid w:val="007E0DB1"/>
    <w:rsid w:val="007E49B7"/>
    <w:rsid w:val="007E6EE5"/>
    <w:rsid w:val="007F2E46"/>
    <w:rsid w:val="007F3837"/>
    <w:rsid w:val="007F393F"/>
    <w:rsid w:val="00802CDF"/>
    <w:rsid w:val="008077DC"/>
    <w:rsid w:val="0081082E"/>
    <w:rsid w:val="00810DDD"/>
    <w:rsid w:val="00817533"/>
    <w:rsid w:val="008400F0"/>
    <w:rsid w:val="00840223"/>
    <w:rsid w:val="00840D94"/>
    <w:rsid w:val="00843403"/>
    <w:rsid w:val="00846862"/>
    <w:rsid w:val="008507A7"/>
    <w:rsid w:val="00861778"/>
    <w:rsid w:val="008622A6"/>
    <w:rsid w:val="00866E0B"/>
    <w:rsid w:val="00872FC6"/>
    <w:rsid w:val="00873D54"/>
    <w:rsid w:val="008746CF"/>
    <w:rsid w:val="0087758F"/>
    <w:rsid w:val="00884F90"/>
    <w:rsid w:val="00886A28"/>
    <w:rsid w:val="00891626"/>
    <w:rsid w:val="00893874"/>
    <w:rsid w:val="008960F8"/>
    <w:rsid w:val="008A0647"/>
    <w:rsid w:val="008A125E"/>
    <w:rsid w:val="008A1B74"/>
    <w:rsid w:val="008A25E2"/>
    <w:rsid w:val="008A2CC9"/>
    <w:rsid w:val="008A6690"/>
    <w:rsid w:val="008A6F11"/>
    <w:rsid w:val="008C1CDF"/>
    <w:rsid w:val="008E1897"/>
    <w:rsid w:val="008F18A4"/>
    <w:rsid w:val="009001AB"/>
    <w:rsid w:val="0090060C"/>
    <w:rsid w:val="00903AC9"/>
    <w:rsid w:val="009041A9"/>
    <w:rsid w:val="0090526F"/>
    <w:rsid w:val="00905EAF"/>
    <w:rsid w:val="00907B60"/>
    <w:rsid w:val="00907E31"/>
    <w:rsid w:val="009131A5"/>
    <w:rsid w:val="00917C7E"/>
    <w:rsid w:val="009234ED"/>
    <w:rsid w:val="009249FC"/>
    <w:rsid w:val="0093356A"/>
    <w:rsid w:val="00936CDD"/>
    <w:rsid w:val="00940E7F"/>
    <w:rsid w:val="00950424"/>
    <w:rsid w:val="009529A1"/>
    <w:rsid w:val="0095371E"/>
    <w:rsid w:val="00954C12"/>
    <w:rsid w:val="009648BA"/>
    <w:rsid w:val="00967F4B"/>
    <w:rsid w:val="009750D6"/>
    <w:rsid w:val="00980A54"/>
    <w:rsid w:val="0098576B"/>
    <w:rsid w:val="009857A5"/>
    <w:rsid w:val="00987FD9"/>
    <w:rsid w:val="009904B3"/>
    <w:rsid w:val="009922AB"/>
    <w:rsid w:val="009923D1"/>
    <w:rsid w:val="00993B46"/>
    <w:rsid w:val="0099487B"/>
    <w:rsid w:val="0099774A"/>
    <w:rsid w:val="009A01C0"/>
    <w:rsid w:val="009C01D8"/>
    <w:rsid w:val="009C165F"/>
    <w:rsid w:val="009C3504"/>
    <w:rsid w:val="009C4C4D"/>
    <w:rsid w:val="009C7EA9"/>
    <w:rsid w:val="009D2053"/>
    <w:rsid w:val="009E0E94"/>
    <w:rsid w:val="009E120C"/>
    <w:rsid w:val="009E6DE6"/>
    <w:rsid w:val="009E7472"/>
    <w:rsid w:val="009F0720"/>
    <w:rsid w:val="009F1AE6"/>
    <w:rsid w:val="009F4CD9"/>
    <w:rsid w:val="00A00687"/>
    <w:rsid w:val="00A05FB3"/>
    <w:rsid w:val="00A063EF"/>
    <w:rsid w:val="00A1358F"/>
    <w:rsid w:val="00A156E0"/>
    <w:rsid w:val="00A1601E"/>
    <w:rsid w:val="00A209E6"/>
    <w:rsid w:val="00A22C77"/>
    <w:rsid w:val="00A23428"/>
    <w:rsid w:val="00A2376B"/>
    <w:rsid w:val="00A2440B"/>
    <w:rsid w:val="00A31227"/>
    <w:rsid w:val="00A318A5"/>
    <w:rsid w:val="00A4296C"/>
    <w:rsid w:val="00A46581"/>
    <w:rsid w:val="00A47AD4"/>
    <w:rsid w:val="00A5528F"/>
    <w:rsid w:val="00A559BC"/>
    <w:rsid w:val="00A6108F"/>
    <w:rsid w:val="00A61F6B"/>
    <w:rsid w:val="00A63D8F"/>
    <w:rsid w:val="00A640BC"/>
    <w:rsid w:val="00A72EE3"/>
    <w:rsid w:val="00A80D61"/>
    <w:rsid w:val="00A85B31"/>
    <w:rsid w:val="00A86AFE"/>
    <w:rsid w:val="00A87228"/>
    <w:rsid w:val="00AA6516"/>
    <w:rsid w:val="00AC2881"/>
    <w:rsid w:val="00AC4AF3"/>
    <w:rsid w:val="00AD1639"/>
    <w:rsid w:val="00AD1DF8"/>
    <w:rsid w:val="00AD3CC1"/>
    <w:rsid w:val="00AD5595"/>
    <w:rsid w:val="00AE078C"/>
    <w:rsid w:val="00AE2E6C"/>
    <w:rsid w:val="00B23223"/>
    <w:rsid w:val="00B2649F"/>
    <w:rsid w:val="00B301DF"/>
    <w:rsid w:val="00B36AEA"/>
    <w:rsid w:val="00B4027D"/>
    <w:rsid w:val="00B42D9C"/>
    <w:rsid w:val="00B43416"/>
    <w:rsid w:val="00B44CA0"/>
    <w:rsid w:val="00B61764"/>
    <w:rsid w:val="00B62EB0"/>
    <w:rsid w:val="00B64111"/>
    <w:rsid w:val="00B663A9"/>
    <w:rsid w:val="00B76CA8"/>
    <w:rsid w:val="00B80A2F"/>
    <w:rsid w:val="00B82746"/>
    <w:rsid w:val="00B841A0"/>
    <w:rsid w:val="00B941FE"/>
    <w:rsid w:val="00B9773E"/>
    <w:rsid w:val="00BA354D"/>
    <w:rsid w:val="00BB2AEF"/>
    <w:rsid w:val="00BB5C79"/>
    <w:rsid w:val="00BB7341"/>
    <w:rsid w:val="00BC1B9E"/>
    <w:rsid w:val="00BC305F"/>
    <w:rsid w:val="00BD5B5A"/>
    <w:rsid w:val="00BE1CFC"/>
    <w:rsid w:val="00BE44FD"/>
    <w:rsid w:val="00BE6F7F"/>
    <w:rsid w:val="00BF27E4"/>
    <w:rsid w:val="00BF3EAF"/>
    <w:rsid w:val="00BF608C"/>
    <w:rsid w:val="00BF623A"/>
    <w:rsid w:val="00C0569A"/>
    <w:rsid w:val="00C14B42"/>
    <w:rsid w:val="00C16F48"/>
    <w:rsid w:val="00C22E74"/>
    <w:rsid w:val="00C262F6"/>
    <w:rsid w:val="00C26E72"/>
    <w:rsid w:val="00C33BE6"/>
    <w:rsid w:val="00C44DF9"/>
    <w:rsid w:val="00C45DAF"/>
    <w:rsid w:val="00C51445"/>
    <w:rsid w:val="00C53B8E"/>
    <w:rsid w:val="00C555D9"/>
    <w:rsid w:val="00C557E2"/>
    <w:rsid w:val="00C61A5B"/>
    <w:rsid w:val="00C6251A"/>
    <w:rsid w:val="00C72212"/>
    <w:rsid w:val="00C726C0"/>
    <w:rsid w:val="00C73288"/>
    <w:rsid w:val="00C800A3"/>
    <w:rsid w:val="00C8447C"/>
    <w:rsid w:val="00C90314"/>
    <w:rsid w:val="00C955BF"/>
    <w:rsid w:val="00C95FD0"/>
    <w:rsid w:val="00C96453"/>
    <w:rsid w:val="00CA3A47"/>
    <w:rsid w:val="00CA472C"/>
    <w:rsid w:val="00CA7BD6"/>
    <w:rsid w:val="00CB2D05"/>
    <w:rsid w:val="00CB3CCB"/>
    <w:rsid w:val="00CC14DF"/>
    <w:rsid w:val="00CC16D2"/>
    <w:rsid w:val="00CC1A71"/>
    <w:rsid w:val="00CC5462"/>
    <w:rsid w:val="00CC76C0"/>
    <w:rsid w:val="00CD41E1"/>
    <w:rsid w:val="00CD571D"/>
    <w:rsid w:val="00CE0163"/>
    <w:rsid w:val="00CE3E27"/>
    <w:rsid w:val="00CF0FA5"/>
    <w:rsid w:val="00CF248C"/>
    <w:rsid w:val="00CF395D"/>
    <w:rsid w:val="00D017C7"/>
    <w:rsid w:val="00D101B7"/>
    <w:rsid w:val="00D114AD"/>
    <w:rsid w:val="00D11B1F"/>
    <w:rsid w:val="00D14C78"/>
    <w:rsid w:val="00D15470"/>
    <w:rsid w:val="00D17F46"/>
    <w:rsid w:val="00D20F6F"/>
    <w:rsid w:val="00D21EE7"/>
    <w:rsid w:val="00D22F44"/>
    <w:rsid w:val="00D25234"/>
    <w:rsid w:val="00D25B85"/>
    <w:rsid w:val="00D32BC8"/>
    <w:rsid w:val="00D33C36"/>
    <w:rsid w:val="00D343F4"/>
    <w:rsid w:val="00D35F12"/>
    <w:rsid w:val="00D372E7"/>
    <w:rsid w:val="00D5247B"/>
    <w:rsid w:val="00D55BFD"/>
    <w:rsid w:val="00D568EC"/>
    <w:rsid w:val="00D56B92"/>
    <w:rsid w:val="00D6025B"/>
    <w:rsid w:val="00D62603"/>
    <w:rsid w:val="00D62C14"/>
    <w:rsid w:val="00D66902"/>
    <w:rsid w:val="00D71002"/>
    <w:rsid w:val="00D717EF"/>
    <w:rsid w:val="00D72129"/>
    <w:rsid w:val="00D72552"/>
    <w:rsid w:val="00D733C9"/>
    <w:rsid w:val="00D774F7"/>
    <w:rsid w:val="00D815F6"/>
    <w:rsid w:val="00D8617A"/>
    <w:rsid w:val="00D9582E"/>
    <w:rsid w:val="00DA5E70"/>
    <w:rsid w:val="00DB1FF6"/>
    <w:rsid w:val="00DB4965"/>
    <w:rsid w:val="00DC4CC6"/>
    <w:rsid w:val="00DC542B"/>
    <w:rsid w:val="00DC56AF"/>
    <w:rsid w:val="00DD5620"/>
    <w:rsid w:val="00DD7FDF"/>
    <w:rsid w:val="00DE0D3B"/>
    <w:rsid w:val="00DE4254"/>
    <w:rsid w:val="00DE6719"/>
    <w:rsid w:val="00DF3B5C"/>
    <w:rsid w:val="00DF4F91"/>
    <w:rsid w:val="00DF7000"/>
    <w:rsid w:val="00E0346A"/>
    <w:rsid w:val="00E049BB"/>
    <w:rsid w:val="00E050E8"/>
    <w:rsid w:val="00E114C7"/>
    <w:rsid w:val="00E13AC5"/>
    <w:rsid w:val="00E16C1A"/>
    <w:rsid w:val="00E215BA"/>
    <w:rsid w:val="00E21D9A"/>
    <w:rsid w:val="00E26FF8"/>
    <w:rsid w:val="00E31241"/>
    <w:rsid w:val="00E326D8"/>
    <w:rsid w:val="00E35788"/>
    <w:rsid w:val="00E41349"/>
    <w:rsid w:val="00E467B8"/>
    <w:rsid w:val="00E47E69"/>
    <w:rsid w:val="00E56684"/>
    <w:rsid w:val="00E6381E"/>
    <w:rsid w:val="00E640AE"/>
    <w:rsid w:val="00E70FF2"/>
    <w:rsid w:val="00E72734"/>
    <w:rsid w:val="00E74491"/>
    <w:rsid w:val="00E76342"/>
    <w:rsid w:val="00E7676B"/>
    <w:rsid w:val="00E80818"/>
    <w:rsid w:val="00E83464"/>
    <w:rsid w:val="00E8759E"/>
    <w:rsid w:val="00E95FFC"/>
    <w:rsid w:val="00E966D2"/>
    <w:rsid w:val="00EA5764"/>
    <w:rsid w:val="00EB29E6"/>
    <w:rsid w:val="00EB3216"/>
    <w:rsid w:val="00EB56FA"/>
    <w:rsid w:val="00EB5CE1"/>
    <w:rsid w:val="00EC1BD8"/>
    <w:rsid w:val="00EC2B36"/>
    <w:rsid w:val="00EC46DD"/>
    <w:rsid w:val="00ED1211"/>
    <w:rsid w:val="00ED5A90"/>
    <w:rsid w:val="00ED7CAE"/>
    <w:rsid w:val="00EE1C79"/>
    <w:rsid w:val="00EE2AD1"/>
    <w:rsid w:val="00EE42BA"/>
    <w:rsid w:val="00EE4A25"/>
    <w:rsid w:val="00EE7D33"/>
    <w:rsid w:val="00EE7D77"/>
    <w:rsid w:val="00EF1803"/>
    <w:rsid w:val="00EF22A3"/>
    <w:rsid w:val="00EF58A7"/>
    <w:rsid w:val="00EF6746"/>
    <w:rsid w:val="00F02E6B"/>
    <w:rsid w:val="00F06174"/>
    <w:rsid w:val="00F13C79"/>
    <w:rsid w:val="00F202F4"/>
    <w:rsid w:val="00F229B1"/>
    <w:rsid w:val="00F242E7"/>
    <w:rsid w:val="00F31078"/>
    <w:rsid w:val="00F36846"/>
    <w:rsid w:val="00F37E35"/>
    <w:rsid w:val="00F50F39"/>
    <w:rsid w:val="00F515D8"/>
    <w:rsid w:val="00F60197"/>
    <w:rsid w:val="00F66667"/>
    <w:rsid w:val="00F67143"/>
    <w:rsid w:val="00F75329"/>
    <w:rsid w:val="00F81A8D"/>
    <w:rsid w:val="00F84630"/>
    <w:rsid w:val="00F84E18"/>
    <w:rsid w:val="00F87302"/>
    <w:rsid w:val="00F955CB"/>
    <w:rsid w:val="00FA48BF"/>
    <w:rsid w:val="00FB460E"/>
    <w:rsid w:val="00FC08DA"/>
    <w:rsid w:val="00FC11F5"/>
    <w:rsid w:val="00FC23DC"/>
    <w:rsid w:val="00FC7128"/>
    <w:rsid w:val="00FD375F"/>
    <w:rsid w:val="00FD66E6"/>
    <w:rsid w:val="00FE1480"/>
    <w:rsid w:val="00FE5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A65EEC"/>
  <w15:chartTrackingRefBased/>
  <w15:docId w15:val="{C170CBFD-604E-4C30-B9EB-B90B9FB7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349"/>
  </w:style>
  <w:style w:type="paragraph" w:styleId="Heading1">
    <w:name w:val="heading 1"/>
    <w:basedOn w:val="Normal"/>
    <w:next w:val="Normal"/>
    <w:link w:val="Heading1Char"/>
    <w:uiPriority w:val="9"/>
    <w:qFormat/>
    <w:rsid w:val="00B36A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6A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6A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A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A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A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A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A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A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A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6A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6A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6A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6A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6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AEA"/>
    <w:rPr>
      <w:rFonts w:eastAsiaTheme="majorEastAsia" w:cstheme="majorBidi"/>
      <w:color w:val="272727" w:themeColor="text1" w:themeTint="D8"/>
    </w:rPr>
  </w:style>
  <w:style w:type="paragraph" w:styleId="Title">
    <w:name w:val="Title"/>
    <w:basedOn w:val="Normal"/>
    <w:next w:val="Normal"/>
    <w:link w:val="TitleChar"/>
    <w:uiPriority w:val="10"/>
    <w:qFormat/>
    <w:rsid w:val="00B36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AEA"/>
    <w:pPr>
      <w:spacing w:before="160"/>
      <w:jc w:val="center"/>
    </w:pPr>
    <w:rPr>
      <w:i/>
      <w:iCs/>
      <w:color w:val="404040" w:themeColor="text1" w:themeTint="BF"/>
    </w:rPr>
  </w:style>
  <w:style w:type="character" w:customStyle="1" w:styleId="QuoteChar">
    <w:name w:val="Quote Char"/>
    <w:basedOn w:val="DefaultParagraphFont"/>
    <w:link w:val="Quote"/>
    <w:uiPriority w:val="29"/>
    <w:rsid w:val="00B36AEA"/>
    <w:rPr>
      <w:i/>
      <w:iCs/>
      <w:color w:val="404040" w:themeColor="text1" w:themeTint="BF"/>
    </w:rPr>
  </w:style>
  <w:style w:type="paragraph" w:styleId="ListParagraph">
    <w:name w:val="List Paragraph"/>
    <w:basedOn w:val="Normal"/>
    <w:uiPriority w:val="34"/>
    <w:qFormat/>
    <w:rsid w:val="00B36AEA"/>
    <w:pPr>
      <w:ind w:left="720"/>
      <w:contextualSpacing/>
    </w:pPr>
  </w:style>
  <w:style w:type="character" w:styleId="IntenseEmphasis">
    <w:name w:val="Intense Emphasis"/>
    <w:basedOn w:val="DefaultParagraphFont"/>
    <w:uiPriority w:val="21"/>
    <w:qFormat/>
    <w:rsid w:val="00B36AEA"/>
    <w:rPr>
      <w:i/>
      <w:iCs/>
      <w:color w:val="0F4761" w:themeColor="accent1" w:themeShade="BF"/>
    </w:rPr>
  </w:style>
  <w:style w:type="paragraph" w:styleId="IntenseQuote">
    <w:name w:val="Intense Quote"/>
    <w:basedOn w:val="Normal"/>
    <w:next w:val="Normal"/>
    <w:link w:val="IntenseQuoteChar"/>
    <w:uiPriority w:val="30"/>
    <w:qFormat/>
    <w:rsid w:val="00B36A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AEA"/>
    <w:rPr>
      <w:i/>
      <w:iCs/>
      <w:color w:val="0F4761" w:themeColor="accent1" w:themeShade="BF"/>
    </w:rPr>
  </w:style>
  <w:style w:type="character" w:styleId="IntenseReference">
    <w:name w:val="Intense Reference"/>
    <w:basedOn w:val="DefaultParagraphFont"/>
    <w:uiPriority w:val="32"/>
    <w:qFormat/>
    <w:rsid w:val="00B36AEA"/>
    <w:rPr>
      <w:b/>
      <w:bCs/>
      <w:smallCaps/>
      <w:color w:val="0F4761" w:themeColor="accent1" w:themeShade="BF"/>
      <w:spacing w:val="5"/>
    </w:rPr>
  </w:style>
  <w:style w:type="paragraph" w:styleId="NormalWeb">
    <w:name w:val="Normal (Web)"/>
    <w:basedOn w:val="Normal"/>
    <w:uiPriority w:val="99"/>
    <w:unhideWhenUsed/>
    <w:rsid w:val="00A209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40E7F"/>
    <w:rPr>
      <w:b/>
      <w:bCs/>
    </w:rPr>
  </w:style>
  <w:style w:type="character" w:styleId="Emphasis">
    <w:name w:val="Emphasis"/>
    <w:basedOn w:val="DefaultParagraphFont"/>
    <w:uiPriority w:val="20"/>
    <w:qFormat/>
    <w:rsid w:val="00940E7F"/>
    <w:rPr>
      <w:i/>
      <w:iCs/>
    </w:rPr>
  </w:style>
  <w:style w:type="paragraph" w:styleId="Header">
    <w:name w:val="header"/>
    <w:basedOn w:val="Normal"/>
    <w:link w:val="HeaderChar"/>
    <w:uiPriority w:val="99"/>
    <w:unhideWhenUsed/>
    <w:rsid w:val="00840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D94"/>
  </w:style>
  <w:style w:type="paragraph" w:styleId="Footer">
    <w:name w:val="footer"/>
    <w:basedOn w:val="Normal"/>
    <w:link w:val="FooterChar"/>
    <w:uiPriority w:val="99"/>
    <w:unhideWhenUsed/>
    <w:rsid w:val="00840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D94"/>
  </w:style>
  <w:style w:type="character" w:styleId="Hyperlink">
    <w:name w:val="Hyperlink"/>
    <w:basedOn w:val="DefaultParagraphFont"/>
    <w:uiPriority w:val="99"/>
    <w:unhideWhenUsed/>
    <w:rsid w:val="00A85B31"/>
    <w:rPr>
      <w:color w:val="0000FF"/>
      <w:u w:val="single"/>
    </w:rPr>
  </w:style>
  <w:style w:type="table" w:styleId="TableGrid">
    <w:name w:val="Table Grid"/>
    <w:basedOn w:val="TableNormal"/>
    <w:uiPriority w:val="39"/>
    <w:rsid w:val="00344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361F2"/>
    <w:rPr>
      <w:color w:val="605E5C"/>
      <w:shd w:val="clear" w:color="auto" w:fill="E1DFDD"/>
    </w:rPr>
  </w:style>
  <w:style w:type="character" w:styleId="FollowedHyperlink">
    <w:name w:val="FollowedHyperlink"/>
    <w:basedOn w:val="DefaultParagraphFont"/>
    <w:uiPriority w:val="99"/>
    <w:semiHidden/>
    <w:unhideWhenUsed/>
    <w:rsid w:val="00240FC2"/>
    <w:rPr>
      <w:color w:val="96607D" w:themeColor="followedHyperlink"/>
      <w:u w:val="single"/>
    </w:rPr>
  </w:style>
  <w:style w:type="character" w:customStyle="1" w:styleId="whitespace-normal">
    <w:name w:val="whitespace-normal"/>
    <w:basedOn w:val="DefaultParagraphFont"/>
    <w:rsid w:val="005F2865"/>
  </w:style>
  <w:style w:type="paragraph" w:styleId="TOCHeading">
    <w:name w:val="TOC Heading"/>
    <w:basedOn w:val="Heading1"/>
    <w:next w:val="Normal"/>
    <w:uiPriority w:val="39"/>
    <w:unhideWhenUsed/>
    <w:qFormat/>
    <w:rsid w:val="003A09F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3A09F1"/>
    <w:pPr>
      <w:spacing w:before="120" w:after="0"/>
      <w:ind w:left="220"/>
    </w:pPr>
    <w:rPr>
      <w:i/>
      <w:iCs/>
      <w:sz w:val="20"/>
      <w:szCs w:val="20"/>
    </w:rPr>
  </w:style>
  <w:style w:type="paragraph" w:styleId="TOC3">
    <w:name w:val="toc 3"/>
    <w:basedOn w:val="Normal"/>
    <w:next w:val="Normal"/>
    <w:autoRedefine/>
    <w:uiPriority w:val="39"/>
    <w:unhideWhenUsed/>
    <w:rsid w:val="003A09F1"/>
    <w:pPr>
      <w:spacing w:after="0"/>
      <w:ind w:left="440"/>
    </w:pPr>
    <w:rPr>
      <w:sz w:val="20"/>
      <w:szCs w:val="20"/>
    </w:rPr>
  </w:style>
  <w:style w:type="paragraph" w:styleId="TOC1">
    <w:name w:val="toc 1"/>
    <w:basedOn w:val="Normal"/>
    <w:next w:val="Normal"/>
    <w:autoRedefine/>
    <w:uiPriority w:val="39"/>
    <w:unhideWhenUsed/>
    <w:rsid w:val="00D6025B"/>
    <w:pPr>
      <w:spacing w:before="240" w:after="120"/>
    </w:pPr>
    <w:rPr>
      <w:b/>
      <w:bCs/>
      <w:sz w:val="20"/>
      <w:szCs w:val="20"/>
    </w:rPr>
  </w:style>
  <w:style w:type="paragraph" w:styleId="TOC4">
    <w:name w:val="toc 4"/>
    <w:basedOn w:val="Normal"/>
    <w:next w:val="Normal"/>
    <w:autoRedefine/>
    <w:uiPriority w:val="39"/>
    <w:unhideWhenUsed/>
    <w:rsid w:val="00553063"/>
    <w:pPr>
      <w:spacing w:after="0"/>
      <w:ind w:left="660"/>
    </w:pPr>
    <w:rPr>
      <w:sz w:val="20"/>
      <w:szCs w:val="20"/>
    </w:rPr>
  </w:style>
  <w:style w:type="paragraph" w:styleId="TOC5">
    <w:name w:val="toc 5"/>
    <w:basedOn w:val="Normal"/>
    <w:next w:val="Normal"/>
    <w:autoRedefine/>
    <w:uiPriority w:val="39"/>
    <w:unhideWhenUsed/>
    <w:rsid w:val="00553063"/>
    <w:pPr>
      <w:spacing w:after="0"/>
      <w:ind w:left="880"/>
    </w:pPr>
    <w:rPr>
      <w:sz w:val="20"/>
      <w:szCs w:val="20"/>
    </w:rPr>
  </w:style>
  <w:style w:type="paragraph" w:styleId="TOC6">
    <w:name w:val="toc 6"/>
    <w:basedOn w:val="Normal"/>
    <w:next w:val="Normal"/>
    <w:autoRedefine/>
    <w:uiPriority w:val="39"/>
    <w:unhideWhenUsed/>
    <w:rsid w:val="00553063"/>
    <w:pPr>
      <w:spacing w:after="0"/>
      <w:ind w:left="1100"/>
    </w:pPr>
    <w:rPr>
      <w:sz w:val="20"/>
      <w:szCs w:val="20"/>
    </w:rPr>
  </w:style>
  <w:style w:type="paragraph" w:styleId="TOC7">
    <w:name w:val="toc 7"/>
    <w:basedOn w:val="Normal"/>
    <w:next w:val="Normal"/>
    <w:autoRedefine/>
    <w:uiPriority w:val="39"/>
    <w:unhideWhenUsed/>
    <w:rsid w:val="00553063"/>
    <w:pPr>
      <w:spacing w:after="0"/>
      <w:ind w:left="1320"/>
    </w:pPr>
    <w:rPr>
      <w:sz w:val="20"/>
      <w:szCs w:val="20"/>
    </w:rPr>
  </w:style>
  <w:style w:type="paragraph" w:styleId="TOC8">
    <w:name w:val="toc 8"/>
    <w:basedOn w:val="Normal"/>
    <w:next w:val="Normal"/>
    <w:autoRedefine/>
    <w:uiPriority w:val="39"/>
    <w:unhideWhenUsed/>
    <w:rsid w:val="00553063"/>
    <w:pPr>
      <w:spacing w:after="0"/>
      <w:ind w:left="1540"/>
    </w:pPr>
    <w:rPr>
      <w:sz w:val="20"/>
      <w:szCs w:val="20"/>
    </w:rPr>
  </w:style>
  <w:style w:type="paragraph" w:styleId="TOC9">
    <w:name w:val="toc 9"/>
    <w:basedOn w:val="Normal"/>
    <w:next w:val="Normal"/>
    <w:autoRedefine/>
    <w:uiPriority w:val="39"/>
    <w:unhideWhenUsed/>
    <w:rsid w:val="00553063"/>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89/41/contents" TargetMode="External"/><Relationship Id="rId21" Type="http://schemas.openxmlformats.org/officeDocument/2006/relationships/hyperlink" Target="https://www.bbc.co.uk/news" TargetMode="External"/><Relationship Id="rId42" Type="http://schemas.openxmlformats.org/officeDocument/2006/relationships/hyperlink" Target="https://www.cps.ca" TargetMode="External"/><Relationship Id="rId47" Type="http://schemas.openxmlformats.org/officeDocument/2006/relationships/hyperlink" Target="https://www.gov.uk" TargetMode="External"/><Relationship Id="rId63" Type="http://schemas.openxmlformats.org/officeDocument/2006/relationships/hyperlink" Target="https://mentalhealth.bmj.com/content/28/1/e301384" TargetMode="External"/><Relationship Id="rId68" Type="http://schemas.openxmlformats.org/officeDocument/2006/relationships/hyperlink" Target="https://digital.nhs.uk/data-and-information/publications/statistical/medicines-used-in-mental-health" TargetMode="External"/><Relationship Id="rId84" Type="http://schemas.openxmlformats.org/officeDocument/2006/relationships/hyperlink" Target="https://www.legislation.gov.uk/ukpga/2014/23/contents" TargetMode="External"/><Relationship Id="rId89" Type="http://schemas.openxmlformats.org/officeDocument/2006/relationships/hyperlink" Target="https://www.gov.uk/drug-safety-update/methylphenidate-reminder-of-advice-on-long-term-safety-and-ongoing-monitoring-requirements" TargetMode="External"/><Relationship Id="rId16" Type="http://schemas.openxmlformats.org/officeDocument/2006/relationships/hyperlink" Target="https://digital.nhs.uk/data-and-information/publications" TargetMode="External"/><Relationship Id="rId107" Type="http://schemas.openxmlformats.org/officeDocument/2006/relationships/hyperlink" Target="https://doi.org/10.1002/14651858.CD009885.pub2" TargetMode="External"/><Relationship Id="rId11" Type="http://schemas.openxmlformats.org/officeDocument/2006/relationships/image" Target="media/image1.png"/><Relationship Id="rId32" Type="http://schemas.openxmlformats.org/officeDocument/2006/relationships/hyperlink" Target="https://www.gov.uk/drug-safety-update/methylphenidate-reminder-of-advice-on-long-term-safety-and-ongoing-monitoring-requirements" TargetMode="External"/><Relationship Id="rId37" Type="http://schemas.openxmlformats.org/officeDocument/2006/relationships/hyperlink" Target="https://www.england.nhs.uk" TargetMode="External"/><Relationship Id="rId53" Type="http://schemas.openxmlformats.org/officeDocument/2006/relationships/hyperlink" Target="https://doi.org/10.1126/science.341313" TargetMode="External"/><Relationship Id="rId58" Type="http://schemas.openxmlformats.org/officeDocument/2006/relationships/hyperlink" Target="https://www.nice.org.uk/guidance/ng87" TargetMode="External"/><Relationship Id="rId74" Type="http://schemas.openxmlformats.org/officeDocument/2006/relationships/hyperlink" Target="https://www.england.nhs.uk/long-read/report-of-the-independent-adhd-taskforce-part-1/" TargetMode="External"/><Relationship Id="rId79" Type="http://schemas.openxmlformats.org/officeDocument/2006/relationships/hyperlink" Target="https://doi.org/10.1002/14651858.CD009885.pub2" TargetMode="External"/><Relationship Id="rId102" Type="http://schemas.openxmlformats.org/officeDocument/2006/relationships/hyperlink" Target="https://www.gov.uk/drug-safety-update/methylphenidate-reminder-of-advice-on-long-term-safety-and-ongoing-monitoring-requirements" TargetMode="External"/><Relationship Id="rId5" Type="http://schemas.openxmlformats.org/officeDocument/2006/relationships/numbering" Target="numbering.xml"/><Relationship Id="rId90" Type="http://schemas.openxmlformats.org/officeDocument/2006/relationships/hyperlink" Target="https://www.nice.org.uk/guidance/ng87" TargetMode="External"/><Relationship Id="rId95" Type="http://schemas.openxmlformats.org/officeDocument/2006/relationships/hyperlink" Target="https://www.bbc.co.uk/news" TargetMode="External"/><Relationship Id="rId22" Type="http://schemas.openxmlformats.org/officeDocument/2006/relationships/hyperlink" Target="https://www.nhsbsa.nhs.uk" TargetMode="External"/><Relationship Id="rId27" Type="http://schemas.openxmlformats.org/officeDocument/2006/relationships/hyperlink" Target="https://www.legislation.gov.uk/ukpga/2014/6/contents" TargetMode="External"/><Relationship Id="rId43" Type="http://schemas.openxmlformats.org/officeDocument/2006/relationships/hyperlink" Target="https://www.cdc.gov/ncbddd/adhd/data.html" TargetMode="External"/><Relationship Id="rId48" Type="http://schemas.openxmlformats.org/officeDocument/2006/relationships/hyperlink" Target="https://doi.org/10.1080/15374416.2013.850700" TargetMode="External"/><Relationship Id="rId64" Type="http://schemas.openxmlformats.org/officeDocument/2006/relationships/hyperlink" Target="https://doi.org/10.1007/s12402-010-0045-8" TargetMode="External"/><Relationship Id="rId69" Type="http://schemas.openxmlformats.org/officeDocument/2006/relationships/hyperlink" Target="https://digital.nhs.uk/data-and-information/publications/statistical/medicines-used-in-mental-health" TargetMode="External"/><Relationship Id="rId80" Type="http://schemas.openxmlformats.org/officeDocument/2006/relationships/hyperlink" Target="https://www.uwtsd.ac.uk/research/research-ethics/" TargetMode="External"/><Relationship Id="rId85" Type="http://schemas.openxmlformats.org/officeDocument/2006/relationships/hyperlink" Target="https://doi.org/10.1016/S2215-0366(18)30269-4" TargetMode="External"/><Relationship Id="rId12" Type="http://schemas.openxmlformats.org/officeDocument/2006/relationships/hyperlink" Target="https://www.adhdfoundation.org.uk" TargetMode="External"/><Relationship Id="rId17" Type="http://schemas.openxmlformats.org/officeDocument/2006/relationships/hyperlink" Target="https://www.england.nhs.uk/mental-health/cyp/" TargetMode="External"/><Relationship Id="rId33" Type="http://schemas.openxmlformats.org/officeDocument/2006/relationships/hyperlink" Target="https://www.gov.uk/government/publications/mhra-safety-review-of-adhd-medicines" TargetMode="External"/><Relationship Id="rId38" Type="http://schemas.openxmlformats.org/officeDocument/2006/relationships/hyperlink" Target="https://icd.who.int/browse11/l-m/en" TargetMode="External"/><Relationship Id="rId59" Type="http://schemas.openxmlformats.org/officeDocument/2006/relationships/hyperlink" Target="https://www.adhdfoundation.org.uk" TargetMode="External"/><Relationship Id="rId103" Type="http://schemas.openxmlformats.org/officeDocument/2006/relationships/hyperlink" Target="https://www.nice.org.uk/guidance/ng87" TargetMode="External"/><Relationship Id="rId108" Type="http://schemas.openxmlformats.org/officeDocument/2006/relationships/footer" Target="footer1.xml"/><Relationship Id="rId54" Type="http://schemas.openxmlformats.org/officeDocument/2006/relationships/hyperlink" Target="https://doi.org/10.1007/s10578-015-0578-3" TargetMode="External"/><Relationship Id="rId70" Type="http://schemas.openxmlformats.org/officeDocument/2006/relationships/hyperlink" Target="https://digital.nhs.uk/data-and-information/publications/statistical/mi-adhd/november-2025/opensafely-analysis-summary" TargetMode="External"/><Relationship Id="rId75" Type="http://schemas.openxmlformats.org/officeDocument/2006/relationships/hyperlink" Target="https://www.england.nhs.uk/wp-content/uploads/2025/11/26-27NHSPS-CnSD-ADHD-and-Autism-Payment-Guidance.pdf" TargetMode="External"/><Relationship Id="rId91" Type="http://schemas.openxmlformats.org/officeDocument/2006/relationships/hyperlink" Target="https://digital.nhs.uk" TargetMode="External"/><Relationship Id="rId96" Type="http://schemas.openxmlformats.org/officeDocument/2006/relationships/hyperlink" Target="https://doi.org/10.1191/1478088706qp063oa"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drug-safety-update/methylphenidate-reminder-of-advice-on-long-term-safety-and-ongoing-monitoring-requirements" TargetMode="External"/><Relationship Id="rId23" Type="http://schemas.openxmlformats.org/officeDocument/2006/relationships/hyperlink" Target="https://www.adhdfoundation.org.uk" TargetMode="External"/><Relationship Id="rId28" Type="http://schemas.openxmlformats.org/officeDocument/2006/relationships/hyperlink" Target="https://doi.org/10.1016/S2215-0366(18)30269-4" TargetMode="External"/><Relationship Id="rId36" Type="http://schemas.openxmlformats.org/officeDocument/2006/relationships/hyperlink" Target="https://digital.nhs.uk" TargetMode="External"/><Relationship Id="rId49" Type="http://schemas.openxmlformats.org/officeDocument/2006/relationships/hyperlink" Target="https://doi.org/10.1016/j.biopsych.2009.02.013" TargetMode="External"/><Relationship Id="rId57" Type="http://schemas.openxmlformats.org/officeDocument/2006/relationships/hyperlink" Target="https://icd.who.int/browse11/l-m/en" TargetMode="External"/><Relationship Id="rId106" Type="http://schemas.openxmlformats.org/officeDocument/2006/relationships/hyperlink" Target="https://doi.org/10.1016/j.socscimed.2011.03.049" TargetMode="External"/><Relationship Id="rId10" Type="http://schemas.openxmlformats.org/officeDocument/2006/relationships/endnotes" Target="endnotes.xml"/><Relationship Id="rId31" Type="http://schemas.openxmlformats.org/officeDocument/2006/relationships/hyperlink" Target="https://www.longtermplan.nhs.uk/" TargetMode="External"/><Relationship Id="rId44" Type="http://schemas.openxmlformats.org/officeDocument/2006/relationships/hyperlink" Target="https://doi.org/10.1016/S2215-0366(18)30269-4" TargetMode="External"/><Relationship Id="rId52" Type="http://schemas.openxmlformats.org/officeDocument/2006/relationships/hyperlink" Target="https://www.nice.org.uk/guidance/ng87" TargetMode="External"/><Relationship Id="rId60" Type="http://schemas.openxmlformats.org/officeDocument/2006/relationships/hyperlink" Target="https://doi.org/10.1016/S2215-0366(18)30269-4" TargetMode="External"/><Relationship Id="rId65" Type="http://schemas.openxmlformats.org/officeDocument/2006/relationships/hyperlink" Target="https://www.gov.uk/drug-safety-update/methylphenidate-reminder-of-advice-on-long-term-safety-and-ongoing-monitoring-requirements" TargetMode="External"/><Relationship Id="rId73" Type="http://schemas.openxmlformats.org/officeDocument/2006/relationships/hyperlink" Target="https://www.england.nhs.uk/integratedcare/ics-design-framework/" TargetMode="External"/><Relationship Id="rId78" Type="http://schemas.openxmlformats.org/officeDocument/2006/relationships/hyperlink" Target="https://jme.bmj.com/content/37/10/632" TargetMode="External"/><Relationship Id="rId81" Type="http://schemas.openxmlformats.org/officeDocument/2006/relationships/hyperlink" Target="https://www.who.int/publications" TargetMode="External"/><Relationship Id="rId86" Type="http://schemas.openxmlformats.org/officeDocument/2006/relationships/hyperlink" Target="https://doi.org/10.1111/jcpp.12825" TargetMode="External"/><Relationship Id="rId94" Type="http://schemas.openxmlformats.org/officeDocument/2006/relationships/hyperlink" Target="https://doi.org/10.1002/14651858.CD009885.pub2" TargetMode="External"/><Relationship Id="rId99" Type="http://schemas.openxmlformats.org/officeDocument/2006/relationships/hyperlink" Target="https://doi.org/10.1111/jcpp.12825" TargetMode="External"/><Relationship Id="rId101" Type="http://schemas.openxmlformats.org/officeDocument/2006/relationships/hyperlink" Target="https://www.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i.org/10.1016/S2215-0366(18)30269-4" TargetMode="External"/><Relationship Id="rId18" Type="http://schemas.openxmlformats.org/officeDocument/2006/relationships/hyperlink" Target="https://www.nice.org.uk/guidance/ng87" TargetMode="External"/><Relationship Id="rId39" Type="http://schemas.openxmlformats.org/officeDocument/2006/relationships/hyperlink" Target="https://doi.org/10.1542/peds.2019-2528" TargetMode="External"/><Relationship Id="rId109" Type="http://schemas.openxmlformats.org/officeDocument/2006/relationships/fontTable" Target="fontTable.xml"/><Relationship Id="rId34" Type="http://schemas.openxmlformats.org/officeDocument/2006/relationships/hyperlink" Target="https://www.nice.org.uk/guidance/ng87" TargetMode="External"/><Relationship Id="rId50" Type="http://schemas.openxmlformats.org/officeDocument/2006/relationships/hyperlink" Target="https://doi.org/10.1007/s00406-018-0891-1" TargetMode="External"/><Relationship Id="rId55" Type="http://schemas.openxmlformats.org/officeDocument/2006/relationships/hyperlink" Target="https://doi.org/10.1016/j.socscimed.2011.03.049" TargetMode="External"/><Relationship Id="rId76" Type="http://schemas.openxmlformats.org/officeDocument/2006/relationships/hyperlink" Target="https://doi.org/10.1136/bmj.n71" TargetMode="External"/><Relationship Id="rId97" Type="http://schemas.openxmlformats.org/officeDocument/2006/relationships/hyperlink" Target="https://www.legislation.gov.uk/ukpga/2014/23/contents" TargetMode="External"/><Relationship Id="rId104" Type="http://schemas.openxmlformats.org/officeDocument/2006/relationships/hyperlink" Target="https://digital.nhs.uk" TargetMode="External"/><Relationship Id="rId7" Type="http://schemas.openxmlformats.org/officeDocument/2006/relationships/settings" Target="settings.xml"/><Relationship Id="rId71" Type="http://schemas.openxmlformats.org/officeDocument/2006/relationships/hyperlink" Target="https://digital.nhs.uk/data-and-information/publications/statistical/adult-psychiatric-morbidity-survey/survey-of-mental-health-and-wellbeing-england-2023-24/attention-deficit-hyperactivity-disorder" TargetMode="External"/><Relationship Id="rId92" Type="http://schemas.openxmlformats.org/officeDocument/2006/relationships/hyperlink" Target="https://www.england.nhs.uk" TargetMode="External"/><Relationship Id="rId2" Type="http://schemas.openxmlformats.org/officeDocument/2006/relationships/customXml" Target="../customXml/item2.xml"/><Relationship Id="rId29" Type="http://schemas.openxmlformats.org/officeDocument/2006/relationships/hyperlink" Target="https://doi.org/10.1016/j.jaac.2019.11.010" TargetMode="External"/><Relationship Id="rId24" Type="http://schemas.openxmlformats.org/officeDocument/2006/relationships/hyperlink" Target="https://www.bbc.co.uk/news" TargetMode="External"/><Relationship Id="rId40" Type="http://schemas.openxmlformats.org/officeDocument/2006/relationships/hyperlink" Target="https://www.health.gov.au" TargetMode="External"/><Relationship Id="rId45" Type="http://schemas.openxmlformats.org/officeDocument/2006/relationships/hyperlink" Target="https://doi.org/10.1111/jcpp.12825" TargetMode="External"/><Relationship Id="rId66" Type="http://schemas.openxmlformats.org/officeDocument/2006/relationships/hyperlink" Target="https://www.nice.org.uk/guidance/ng87" TargetMode="External"/><Relationship Id="rId87" Type="http://schemas.openxmlformats.org/officeDocument/2006/relationships/hyperlink" Target="https://doi.org/10.1111/jcpp.13278" TargetMode="External"/><Relationship Id="rId110" Type="http://schemas.openxmlformats.org/officeDocument/2006/relationships/theme" Target="theme/theme1.xml"/><Relationship Id="rId61" Type="http://schemas.openxmlformats.org/officeDocument/2006/relationships/hyperlink" Target="https://doi.org/10.1111/jcpp.12825" TargetMode="External"/><Relationship Id="rId82" Type="http://schemas.openxmlformats.org/officeDocument/2006/relationships/hyperlink" Target="https://icd.who.int/en" TargetMode="External"/><Relationship Id="rId19" Type="http://schemas.openxmlformats.org/officeDocument/2006/relationships/hyperlink" Target="https://www.uwtsd.ac.uk/research/research-ethics/" TargetMode="External"/><Relationship Id="rId14" Type="http://schemas.openxmlformats.org/officeDocument/2006/relationships/hyperlink" Target="https://doi.org/10.1111/jcpp.12825" TargetMode="External"/><Relationship Id="rId30" Type="http://schemas.openxmlformats.org/officeDocument/2006/relationships/hyperlink" Target="https://www.gov.uk/government/organisations/department-for-education" TargetMode="External"/><Relationship Id="rId35" Type="http://schemas.openxmlformats.org/officeDocument/2006/relationships/hyperlink" Target="https://www.nhsbsa.nhs.uk" TargetMode="External"/><Relationship Id="rId56" Type="http://schemas.openxmlformats.org/officeDocument/2006/relationships/hyperlink" Target="https://doi.org/10.1016/S0140-6736(01)12115-1" TargetMode="External"/><Relationship Id="rId77" Type="http://schemas.openxmlformats.org/officeDocument/2006/relationships/hyperlink" Target="https://www.gov.scot/publications/" TargetMode="External"/><Relationship Id="rId100" Type="http://schemas.openxmlformats.org/officeDocument/2006/relationships/hyperlink" Target="https://doi.org/10.1111/jcpp.13278" TargetMode="External"/><Relationship Id="rId105" Type="http://schemas.openxmlformats.org/officeDocument/2006/relationships/hyperlink" Target="https://www.england.nhs.uk" TargetMode="External"/><Relationship Id="rId8" Type="http://schemas.openxmlformats.org/officeDocument/2006/relationships/webSettings" Target="webSettings.xml"/><Relationship Id="rId51" Type="http://schemas.openxmlformats.org/officeDocument/2006/relationships/hyperlink" Target="https://doi.org/10.1007/s12402-010-0045-8" TargetMode="External"/><Relationship Id="rId72" Type="http://schemas.openxmlformats.org/officeDocument/2006/relationships/hyperlink" Target="https://www.england.nhs.uk/mental-health/cyp/" TargetMode="External"/><Relationship Id="rId93" Type="http://schemas.openxmlformats.org/officeDocument/2006/relationships/hyperlink" Target="https://doi.org/10.1016/j.socscimed.2011.03.049" TargetMode="External"/><Relationship Id="rId98" Type="http://schemas.openxmlformats.org/officeDocument/2006/relationships/hyperlink" Target="https://doi.org/10.1016/S2215-0366(18)30269-4" TargetMode="External"/><Relationship Id="rId3" Type="http://schemas.openxmlformats.org/officeDocument/2006/relationships/customXml" Target="../customXml/item3.xml"/><Relationship Id="rId25" Type="http://schemas.openxmlformats.org/officeDocument/2006/relationships/hyperlink" Target="https://www.bbc.co.uk/news" TargetMode="External"/><Relationship Id="rId46" Type="http://schemas.openxmlformats.org/officeDocument/2006/relationships/hyperlink" Target="https://doi.org/10.1016/j.jaac.2019.11.010" TargetMode="External"/><Relationship Id="rId67" Type="http://schemas.openxmlformats.org/officeDocument/2006/relationships/hyperlink" Target="https://www.nice.org.uk/process/pmg20" TargetMode="External"/><Relationship Id="rId20" Type="http://schemas.openxmlformats.org/officeDocument/2006/relationships/image" Target="media/image2.png"/><Relationship Id="rId41" Type="http://schemas.openxmlformats.org/officeDocument/2006/relationships/hyperlink" Target="https://www.bbc.co.uk/news/health" TargetMode="External"/><Relationship Id="rId62" Type="http://schemas.openxmlformats.org/officeDocument/2006/relationships/hyperlink" Target="https://pubmed.ncbi.nlm.nih.gov/34224837/" TargetMode="External"/><Relationship Id="rId83" Type="http://schemas.openxmlformats.org/officeDocument/2006/relationships/hyperlink" Target="https://www.bbc.co.uk/news" TargetMode="External"/><Relationship Id="rId88"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4" ma:contentTypeDescription="Create a new document." ma:contentTypeScope="" ma:versionID="48af0a84819ad1001688ed6b3ad7f018">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b21989b28bbb0ec6825f8c7f36a97ab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BB7AE5-E1F3-459E-8036-24E34C659A66}">
  <ds:schemaRefs>
    <ds:schemaRef ds:uri="http://schemas.openxmlformats.org/officeDocument/2006/bibliography"/>
  </ds:schemaRefs>
</ds:datastoreItem>
</file>

<file path=customXml/itemProps2.xml><?xml version="1.0" encoding="utf-8"?>
<ds:datastoreItem xmlns:ds="http://schemas.openxmlformats.org/officeDocument/2006/customXml" ds:itemID="{1A783031-920D-44D5-A39E-136AB4691D7F}">
  <ds:schemaRefs>
    <ds:schemaRef ds:uri="http://schemas.microsoft.com/sharepoint/v3/contenttype/forms"/>
  </ds:schemaRefs>
</ds:datastoreItem>
</file>

<file path=customXml/itemProps3.xml><?xml version="1.0" encoding="utf-8"?>
<ds:datastoreItem xmlns:ds="http://schemas.openxmlformats.org/officeDocument/2006/customXml" ds:itemID="{A75F4287-6189-46EB-B369-5C6019EBE08E}">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6699C8D2-B169-4A61-B46C-053B7B0574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22480</TotalTime>
  <Pages>57</Pages>
  <Words>15844</Words>
  <Characters>106792</Characters>
  <Application>Microsoft Office Word</Application>
  <DocSecurity>0</DocSecurity>
  <Lines>2224</Lines>
  <Paragraphs>688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Shagufta Khanum (2246177)</dc:creator>
  <cp:keywords/>
  <dc:description/>
  <cp:lastModifiedBy>Shagufta Khanum (2246177)</cp:lastModifiedBy>
  <cp:revision>287</cp:revision>
  <dcterms:created xsi:type="dcterms:W3CDTF">2026-02-19T05:07:00Z</dcterms:created>
  <dcterms:modified xsi:type="dcterms:W3CDTF">2026-04-04T02:11:00Z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