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E560EB" w14:textId="77777777" w:rsidR="00B21F2E" w:rsidRDefault="00B21F2E" w:rsidP="00A551C6">
      <w:pPr>
        <w:jc w:val="center"/>
        <w:rPr>
          <w:rFonts w:ascii="Tahoma" w:hAnsi="Tahoma" w:cs="Tahoma"/>
          <w:b/>
          <w:u w:val="single"/>
        </w:rPr>
      </w:pPr>
    </w:p>
    <w:p w14:paraId="618BF57D" w14:textId="77777777" w:rsidR="001B69C8" w:rsidRDefault="001B69C8" w:rsidP="00B945EA">
      <w:pPr>
        <w:jc w:val="both"/>
        <w:rPr>
          <w:rFonts w:ascii="Tahoma" w:hAnsi="Tahoma" w:cs="Tahoma"/>
          <w:b/>
          <w:u w:val="single"/>
        </w:rPr>
      </w:pPr>
    </w:p>
    <w:p w14:paraId="5E1B2845" w14:textId="77777777" w:rsidR="001B69C8" w:rsidRDefault="001B69C8" w:rsidP="00B945EA">
      <w:pPr>
        <w:jc w:val="both"/>
        <w:rPr>
          <w:rFonts w:ascii="Tahoma" w:hAnsi="Tahoma" w:cs="Tahoma"/>
          <w:b/>
          <w:u w:val="single"/>
        </w:rPr>
      </w:pPr>
    </w:p>
    <w:p w14:paraId="3FBC8958" w14:textId="5155A802" w:rsidR="00301AD0" w:rsidRDefault="001B6DB4" w:rsidP="00B945EA">
      <w:pPr>
        <w:jc w:val="both"/>
        <w:rPr>
          <w:rFonts w:ascii="Tahoma" w:hAnsi="Tahoma" w:cs="Tahoma"/>
          <w:b/>
          <w:u w:val="single"/>
        </w:rPr>
      </w:pPr>
      <w:r>
        <w:rPr>
          <w:rFonts w:ascii="Tahoma" w:hAnsi="Tahoma" w:cs="Tahoma"/>
          <w:b/>
          <w:u w:val="single"/>
        </w:rPr>
        <w:t>L</w:t>
      </w:r>
      <w:r w:rsidR="001B69C8">
        <w:rPr>
          <w:rFonts w:ascii="Tahoma" w:hAnsi="Tahoma" w:cs="Tahoma"/>
          <w:b/>
          <w:u w:val="single"/>
        </w:rPr>
        <w:t>E</w:t>
      </w:r>
      <w:r>
        <w:rPr>
          <w:rFonts w:ascii="Tahoma" w:hAnsi="Tahoma" w:cs="Tahoma"/>
          <w:b/>
          <w:u w:val="single"/>
        </w:rPr>
        <w:t>V</w:t>
      </w:r>
      <w:r w:rsidR="001B69C8">
        <w:rPr>
          <w:rFonts w:ascii="Tahoma" w:hAnsi="Tahoma" w:cs="Tahoma"/>
          <w:b/>
          <w:u w:val="single"/>
        </w:rPr>
        <w:t>EL 4</w:t>
      </w:r>
      <w:r>
        <w:rPr>
          <w:rFonts w:ascii="Tahoma" w:hAnsi="Tahoma" w:cs="Tahoma"/>
          <w:b/>
          <w:u w:val="single"/>
        </w:rPr>
        <w:t xml:space="preserve"> </w:t>
      </w:r>
      <w:r w:rsidR="00643CB9">
        <w:rPr>
          <w:rFonts w:ascii="Tahoma" w:hAnsi="Tahoma" w:cs="Tahoma"/>
          <w:b/>
          <w:u w:val="single"/>
        </w:rPr>
        <w:t>–</w:t>
      </w:r>
      <w:r>
        <w:rPr>
          <w:rFonts w:ascii="Tahoma" w:hAnsi="Tahoma" w:cs="Tahoma"/>
          <w:b/>
          <w:u w:val="single"/>
        </w:rPr>
        <w:t xml:space="preserve"> </w:t>
      </w:r>
      <w:r w:rsidR="00B21F2E">
        <w:rPr>
          <w:rFonts w:ascii="Tahoma" w:hAnsi="Tahoma" w:cs="Tahoma"/>
          <w:b/>
          <w:u w:val="single"/>
        </w:rPr>
        <w:t xml:space="preserve">Student Journal </w:t>
      </w:r>
    </w:p>
    <w:p w14:paraId="3EEDD075" w14:textId="77777777" w:rsidR="00C50AE7" w:rsidRPr="003C3341" w:rsidRDefault="00C50AE7" w:rsidP="00B945EA">
      <w:pPr>
        <w:jc w:val="both"/>
        <w:rPr>
          <w:rFonts w:ascii="Tahoma" w:hAnsi="Tahoma" w:cs="Tahoma"/>
          <w:b/>
          <w:u w:val="single"/>
        </w:rPr>
      </w:pPr>
    </w:p>
    <w:p w14:paraId="21B8D9FF" w14:textId="77777777" w:rsidR="00301AD0" w:rsidRPr="003C3341" w:rsidRDefault="00301AD0">
      <w:pPr>
        <w:rPr>
          <w:rFonts w:ascii="Tahoma" w:hAnsi="Tahoma" w:cs="Tahoma"/>
          <w:sz w:val="20"/>
          <w:szCs w:val="20"/>
        </w:rPr>
      </w:pPr>
    </w:p>
    <w:tbl>
      <w:tblPr>
        <w:tblStyle w:val="Tabelgril"/>
        <w:tblW w:w="0" w:type="auto"/>
        <w:tblLook w:val="01E0" w:firstRow="1" w:lastRow="1" w:firstColumn="1" w:lastColumn="1" w:noHBand="0" w:noVBand="0"/>
      </w:tblPr>
      <w:tblGrid>
        <w:gridCol w:w="3987"/>
        <w:gridCol w:w="7195"/>
      </w:tblGrid>
      <w:tr w:rsidR="00B21F2E" w:rsidRPr="003C3341" w14:paraId="0D3FB92D" w14:textId="77777777" w:rsidTr="00B21F2E">
        <w:tc>
          <w:tcPr>
            <w:tcW w:w="3987" w:type="dxa"/>
            <w:shd w:val="clear" w:color="auto" w:fill="8DB3E2" w:themeFill="text2" w:themeFillTint="66"/>
          </w:tcPr>
          <w:p w14:paraId="4B8FE21B" w14:textId="1AC0EC33" w:rsidR="00B21F2E" w:rsidRDefault="00B21F2E">
            <w:pPr>
              <w:rPr>
                <w:rFonts w:ascii="Tahoma" w:hAnsi="Tahoma" w:cs="Tahoma"/>
                <w:b/>
                <w:sz w:val="20"/>
                <w:szCs w:val="20"/>
              </w:rPr>
            </w:pPr>
            <w:r>
              <w:rPr>
                <w:rFonts w:ascii="Tahoma" w:hAnsi="Tahoma" w:cs="Tahoma"/>
                <w:b/>
                <w:sz w:val="20"/>
                <w:szCs w:val="20"/>
              </w:rPr>
              <w:t xml:space="preserve">Student </w:t>
            </w:r>
            <w:r w:rsidRPr="003C3341">
              <w:rPr>
                <w:rFonts w:ascii="Tahoma" w:hAnsi="Tahoma" w:cs="Tahoma"/>
                <w:b/>
                <w:sz w:val="20"/>
                <w:szCs w:val="20"/>
              </w:rPr>
              <w:t>Name:</w:t>
            </w:r>
            <w:r w:rsidR="003478CE">
              <w:rPr>
                <w:rFonts w:ascii="Tahoma" w:hAnsi="Tahoma" w:cs="Tahoma"/>
                <w:b/>
                <w:sz w:val="20"/>
                <w:szCs w:val="20"/>
              </w:rPr>
              <w:t xml:space="preserve"> </w:t>
            </w:r>
            <w:r w:rsidR="0083621A">
              <w:rPr>
                <w:rFonts w:ascii="Tahoma" w:hAnsi="Tahoma" w:cs="Tahoma"/>
                <w:b/>
                <w:sz w:val="20"/>
                <w:szCs w:val="20"/>
              </w:rPr>
              <w:t xml:space="preserve">Ramona Magdas </w:t>
            </w:r>
          </w:p>
          <w:p w14:paraId="498F0B10" w14:textId="77777777" w:rsidR="001B69C8" w:rsidRPr="003C3341" w:rsidRDefault="001B69C8">
            <w:pPr>
              <w:rPr>
                <w:rFonts w:ascii="Tahoma" w:hAnsi="Tahoma" w:cs="Tahoma"/>
                <w:b/>
                <w:sz w:val="20"/>
                <w:szCs w:val="20"/>
              </w:rPr>
            </w:pPr>
          </w:p>
          <w:p w14:paraId="69E1F0CF" w14:textId="1F8EBBE5" w:rsidR="00B21F2E" w:rsidRPr="003C3341" w:rsidRDefault="001B69C8">
            <w:pPr>
              <w:rPr>
                <w:rFonts w:ascii="Tahoma" w:hAnsi="Tahoma" w:cs="Tahoma"/>
                <w:b/>
                <w:sz w:val="20"/>
                <w:szCs w:val="20"/>
              </w:rPr>
            </w:pPr>
            <w:r>
              <w:rPr>
                <w:rFonts w:ascii="Tahoma" w:hAnsi="Tahoma" w:cs="Tahoma"/>
                <w:b/>
                <w:sz w:val="20"/>
                <w:szCs w:val="20"/>
              </w:rPr>
              <w:t>Student Number:</w:t>
            </w:r>
            <w:r w:rsidR="003478CE">
              <w:rPr>
                <w:rFonts w:ascii="Tahoma" w:hAnsi="Tahoma" w:cs="Tahoma"/>
                <w:b/>
                <w:sz w:val="20"/>
                <w:szCs w:val="20"/>
              </w:rPr>
              <w:t xml:space="preserve"> </w:t>
            </w:r>
            <w:r w:rsidR="0083621A">
              <w:rPr>
                <w:rFonts w:ascii="Tahoma" w:hAnsi="Tahoma" w:cs="Tahoma"/>
                <w:b/>
                <w:sz w:val="20"/>
                <w:szCs w:val="20"/>
              </w:rPr>
              <w:t>2119057</w:t>
            </w:r>
          </w:p>
          <w:p w14:paraId="1BE02E96" w14:textId="77777777" w:rsidR="00B21F2E" w:rsidRPr="003C3341" w:rsidRDefault="00B21F2E">
            <w:pPr>
              <w:rPr>
                <w:rFonts w:ascii="Tahoma" w:hAnsi="Tahoma" w:cs="Tahoma"/>
                <w:b/>
                <w:sz w:val="20"/>
                <w:szCs w:val="20"/>
              </w:rPr>
            </w:pPr>
          </w:p>
        </w:tc>
        <w:tc>
          <w:tcPr>
            <w:tcW w:w="7195" w:type="dxa"/>
            <w:shd w:val="clear" w:color="auto" w:fill="8DB3E2" w:themeFill="text2" w:themeFillTint="66"/>
          </w:tcPr>
          <w:p w14:paraId="488BCD26" w14:textId="4FA6D49A" w:rsidR="00B21F2E" w:rsidRDefault="001B69C8">
            <w:pPr>
              <w:rPr>
                <w:rFonts w:ascii="Tahoma" w:hAnsi="Tahoma" w:cs="Tahoma"/>
                <w:b/>
                <w:sz w:val="20"/>
                <w:szCs w:val="20"/>
              </w:rPr>
            </w:pPr>
            <w:r>
              <w:rPr>
                <w:rFonts w:ascii="Tahoma" w:hAnsi="Tahoma" w:cs="Tahoma"/>
                <w:b/>
                <w:sz w:val="20"/>
                <w:szCs w:val="20"/>
              </w:rPr>
              <w:t>Module:</w:t>
            </w:r>
            <w:r w:rsidR="003478CE">
              <w:rPr>
                <w:rFonts w:ascii="Tahoma" w:hAnsi="Tahoma" w:cs="Tahoma"/>
                <w:b/>
                <w:sz w:val="20"/>
                <w:szCs w:val="20"/>
              </w:rPr>
              <w:t xml:space="preserve"> </w:t>
            </w:r>
          </w:p>
          <w:p w14:paraId="2019D1B6" w14:textId="77777777" w:rsidR="00B21F2E" w:rsidRDefault="00B21F2E" w:rsidP="00B21F2E">
            <w:pPr>
              <w:rPr>
                <w:rFonts w:ascii="Tahoma" w:hAnsi="Tahoma" w:cs="Tahoma"/>
                <w:b/>
                <w:sz w:val="20"/>
                <w:szCs w:val="20"/>
              </w:rPr>
            </w:pPr>
          </w:p>
          <w:p w14:paraId="450FE136" w14:textId="1B4BBDC0" w:rsidR="001B69C8" w:rsidRPr="003C3341" w:rsidRDefault="001B69C8" w:rsidP="00B21F2E">
            <w:pPr>
              <w:rPr>
                <w:rFonts w:ascii="Tahoma" w:hAnsi="Tahoma" w:cs="Tahoma"/>
                <w:b/>
                <w:sz w:val="20"/>
                <w:szCs w:val="20"/>
              </w:rPr>
            </w:pPr>
            <w:r>
              <w:rPr>
                <w:rFonts w:ascii="Tahoma" w:hAnsi="Tahoma" w:cs="Tahoma"/>
                <w:b/>
                <w:sz w:val="20"/>
                <w:szCs w:val="20"/>
              </w:rPr>
              <w:t>Lecturer:</w:t>
            </w:r>
            <w:r w:rsidR="003478CE">
              <w:rPr>
                <w:rFonts w:ascii="Tahoma" w:hAnsi="Tahoma" w:cs="Tahoma"/>
                <w:b/>
                <w:sz w:val="20"/>
                <w:szCs w:val="20"/>
              </w:rPr>
              <w:t xml:space="preserve"> </w:t>
            </w:r>
            <w:r w:rsidR="0083621A">
              <w:rPr>
                <w:rFonts w:ascii="Tahoma" w:hAnsi="Tahoma" w:cs="Tahoma"/>
                <w:b/>
                <w:sz w:val="20"/>
                <w:szCs w:val="20"/>
              </w:rPr>
              <w:t xml:space="preserve">Laurence </w:t>
            </w:r>
            <w:r w:rsidR="00B9183B">
              <w:rPr>
                <w:rFonts w:ascii="Tahoma" w:hAnsi="Tahoma" w:cs="Tahoma"/>
                <w:b/>
                <w:sz w:val="20"/>
                <w:szCs w:val="20"/>
              </w:rPr>
              <w:t>Blake</w:t>
            </w:r>
          </w:p>
        </w:tc>
      </w:tr>
    </w:tbl>
    <w:p w14:paraId="1F13C318" w14:textId="4D5FFF34" w:rsidR="0062012D" w:rsidRPr="003C3341" w:rsidRDefault="0062012D">
      <w:pPr>
        <w:rPr>
          <w:rFonts w:ascii="Tahoma" w:hAnsi="Tahoma" w:cs="Tahoma"/>
          <w:sz w:val="20"/>
          <w:szCs w:val="20"/>
        </w:rPr>
      </w:pPr>
    </w:p>
    <w:tbl>
      <w:tblPr>
        <w:tblStyle w:val="Tabelgril"/>
        <w:tblW w:w="0" w:type="auto"/>
        <w:tblLook w:val="01E0" w:firstRow="1" w:lastRow="1" w:firstColumn="1" w:lastColumn="1" w:noHBand="0" w:noVBand="0"/>
      </w:tblPr>
      <w:tblGrid>
        <w:gridCol w:w="3983"/>
        <w:gridCol w:w="7199"/>
      </w:tblGrid>
      <w:tr w:rsidR="00B21F2E" w:rsidRPr="003C3341" w14:paraId="19DFCE05" w14:textId="77777777" w:rsidTr="00563973">
        <w:tc>
          <w:tcPr>
            <w:tcW w:w="3983" w:type="dxa"/>
            <w:shd w:val="clear" w:color="auto" w:fill="FBD4B4" w:themeFill="accent6" w:themeFillTint="66"/>
          </w:tcPr>
          <w:p w14:paraId="15299B24" w14:textId="4E3DF373" w:rsidR="00B21F2E" w:rsidRPr="00946B23" w:rsidRDefault="008F0D83" w:rsidP="00B21F2E">
            <w:pPr>
              <w:rPr>
                <w:rFonts w:ascii="Tahoma" w:hAnsi="Tahoma" w:cs="Tahoma"/>
                <w:b/>
                <w:sz w:val="20"/>
                <w:szCs w:val="20"/>
              </w:rPr>
            </w:pPr>
            <w:r>
              <w:rPr>
                <w:rFonts w:ascii="Tahoma" w:hAnsi="Tahoma" w:cs="Tahoma"/>
                <w:b/>
                <w:sz w:val="20"/>
                <w:szCs w:val="20"/>
              </w:rPr>
              <w:t>Topic of choice:</w:t>
            </w:r>
            <w:r w:rsidR="00B60FDF">
              <w:rPr>
                <w:rFonts w:ascii="Tahoma" w:hAnsi="Tahoma" w:cs="Tahoma"/>
                <w:b/>
                <w:sz w:val="20"/>
                <w:szCs w:val="20"/>
              </w:rPr>
              <w:t xml:space="preserve"> </w:t>
            </w:r>
            <w:r w:rsidR="007821AE" w:rsidRPr="007821AE">
              <w:rPr>
                <w:rFonts w:ascii="Tahoma" w:hAnsi="Tahoma" w:cs="Tahoma"/>
                <w:b/>
                <w:sz w:val="20"/>
                <w:szCs w:val="20"/>
              </w:rPr>
              <w:t>Allergies and Intolerances and the importance within the industry</w:t>
            </w:r>
            <w:r w:rsidR="00C40656">
              <w:rPr>
                <w:rFonts w:ascii="Tahoma" w:hAnsi="Tahoma" w:cs="Tahoma"/>
                <w:b/>
                <w:sz w:val="20"/>
                <w:szCs w:val="20"/>
              </w:rPr>
              <w:t>.</w:t>
            </w:r>
          </w:p>
        </w:tc>
        <w:tc>
          <w:tcPr>
            <w:tcW w:w="7199" w:type="dxa"/>
            <w:shd w:val="clear" w:color="auto" w:fill="FBD4B4" w:themeFill="accent6" w:themeFillTint="66"/>
          </w:tcPr>
          <w:p w14:paraId="46D7ECC8" w14:textId="4B151587" w:rsidR="00B21F2E" w:rsidRDefault="00B945EA" w:rsidP="00B945EA">
            <w:pPr>
              <w:rPr>
                <w:rFonts w:ascii="Tahoma" w:hAnsi="Tahoma" w:cs="Tahoma"/>
                <w:b/>
                <w:sz w:val="20"/>
                <w:szCs w:val="20"/>
              </w:rPr>
            </w:pPr>
            <w:r>
              <w:rPr>
                <w:rFonts w:ascii="Tahoma" w:hAnsi="Tahoma" w:cs="Tahoma"/>
                <w:b/>
                <w:sz w:val="20"/>
                <w:szCs w:val="20"/>
              </w:rPr>
              <w:t>Date Completed</w:t>
            </w:r>
            <w:r w:rsidR="001B69C8">
              <w:rPr>
                <w:rFonts w:ascii="Tahoma" w:hAnsi="Tahoma" w:cs="Tahoma"/>
                <w:b/>
                <w:sz w:val="20"/>
                <w:szCs w:val="20"/>
              </w:rPr>
              <w:t>:</w:t>
            </w:r>
            <w:r w:rsidR="003478CE">
              <w:rPr>
                <w:rFonts w:ascii="Tahoma" w:hAnsi="Tahoma" w:cs="Tahoma"/>
                <w:b/>
                <w:sz w:val="20"/>
                <w:szCs w:val="20"/>
              </w:rPr>
              <w:t xml:space="preserve"> </w:t>
            </w:r>
          </w:p>
          <w:p w14:paraId="36F1B310" w14:textId="77777777" w:rsidR="00B21F2E" w:rsidRDefault="00B21F2E" w:rsidP="00B21F2E">
            <w:pPr>
              <w:jc w:val="center"/>
              <w:rPr>
                <w:rFonts w:ascii="Tahoma" w:hAnsi="Tahoma" w:cs="Tahoma"/>
                <w:b/>
                <w:sz w:val="20"/>
                <w:szCs w:val="20"/>
              </w:rPr>
            </w:pPr>
          </w:p>
          <w:p w14:paraId="5A58C08D" w14:textId="0CB28053" w:rsidR="00B21F2E" w:rsidRPr="003C3341" w:rsidRDefault="00B21F2E" w:rsidP="00B21F2E">
            <w:pPr>
              <w:jc w:val="center"/>
              <w:rPr>
                <w:rFonts w:ascii="Tahoma" w:hAnsi="Tahoma" w:cs="Tahoma"/>
                <w:b/>
                <w:sz w:val="20"/>
                <w:szCs w:val="20"/>
              </w:rPr>
            </w:pPr>
          </w:p>
        </w:tc>
      </w:tr>
      <w:tr w:rsidR="00B945EA" w:rsidRPr="003C3341" w14:paraId="60CC0225" w14:textId="77777777" w:rsidTr="00A91FD6">
        <w:trPr>
          <w:trHeight w:val="2494"/>
        </w:trPr>
        <w:tc>
          <w:tcPr>
            <w:tcW w:w="11182" w:type="dxa"/>
            <w:gridSpan w:val="2"/>
          </w:tcPr>
          <w:p w14:paraId="19351D9F" w14:textId="5B5EDDA8" w:rsidR="00375882" w:rsidRDefault="00C40656" w:rsidP="00126E74">
            <w:pPr>
              <w:jc w:val="both"/>
            </w:pPr>
            <w:r>
              <w:t xml:space="preserve">Foods are mandatory for the survival of humankind. Almost all the activities around the world are surrounding </w:t>
            </w:r>
            <w:r w:rsidR="00126E74">
              <w:t xml:space="preserve">foods. Foods are normally very important and a positive resource for the people, however foods can be deadly. The deadly substance </w:t>
            </w:r>
            <w:r w:rsidR="00E00593">
              <w:t>is</w:t>
            </w:r>
            <w:r w:rsidR="00126E74">
              <w:t xml:space="preserve"> not foods, however</w:t>
            </w:r>
            <w:r w:rsidR="00E00593">
              <w:t>,</w:t>
            </w:r>
            <w:r w:rsidR="00126E74">
              <w:t xml:space="preserve"> helpful and nutritious foods can easily be deadly depending upon the allergic reaction of the person consuming the food and the ways the food is treated. In the food and beverage industry, allergies and intolerances are very crucial and sensitive issues to consider.</w:t>
            </w:r>
          </w:p>
          <w:p w14:paraId="2F029D3C" w14:textId="5CCFFAD0" w:rsidR="00126E74" w:rsidRDefault="0099191F" w:rsidP="00126E74">
            <w:pPr>
              <w:jc w:val="both"/>
            </w:pPr>
            <w:r w:rsidRPr="0099191F">
              <w:t>A food allergy is a type of</w:t>
            </w:r>
            <w:r w:rsidR="00E00593">
              <w:t xml:space="preserve"> immunological reaction to foods </w:t>
            </w:r>
            <w:r w:rsidR="00E00593" w:rsidRPr="00E00593">
              <w:t>(Ballard, 2013)</w:t>
            </w:r>
            <w:r w:rsidRPr="0099191F">
              <w:t xml:space="preserve">. </w:t>
            </w:r>
            <w:r w:rsidR="007B7AF7">
              <w:t>Allergies</w:t>
            </w:r>
            <w:r w:rsidR="00781304">
              <w:t xml:space="preserve"> can be present in a lot of types of foods as data shows there are 160 types of foods </w:t>
            </w:r>
            <w:r w:rsidR="00E00593">
              <w:t>that</w:t>
            </w:r>
            <w:r w:rsidR="00781304">
              <w:t xml:space="preserve"> contain different types of allergens</w:t>
            </w:r>
            <w:r w:rsidR="00E00593">
              <w:t xml:space="preserve"> </w:t>
            </w:r>
            <w:r w:rsidR="00E00593" w:rsidRPr="00E00593">
              <w:t>(Tan, 2015)</w:t>
            </w:r>
            <w:r w:rsidR="00781304">
              <w:t xml:space="preserve">. Hence, consumers need to be aware </w:t>
            </w:r>
            <w:r w:rsidR="00E00593">
              <w:t>of</w:t>
            </w:r>
            <w:r w:rsidR="00781304">
              <w:t xml:space="preserve"> the products and ingredients they are consuming. The food manufacturers also need to be conscious about using those allergy provoking food items in their recipe</w:t>
            </w:r>
            <w:r w:rsidR="00E00593">
              <w:t>s</w:t>
            </w:r>
            <w:r w:rsidR="00781304">
              <w:t>.</w:t>
            </w:r>
          </w:p>
          <w:p w14:paraId="5CBEF94A" w14:textId="38F1F73F" w:rsidR="0099191F" w:rsidRDefault="00C70969" w:rsidP="00126E74">
            <w:pPr>
              <w:jc w:val="both"/>
            </w:pPr>
            <w:r w:rsidRPr="00C70969">
              <w:t>Food intolerance is the inability to digest certain meals and the resulting unpleasant bodily reaction</w:t>
            </w:r>
            <w:r w:rsidR="00E00593">
              <w:t xml:space="preserve"> </w:t>
            </w:r>
            <w:r w:rsidR="00E00593" w:rsidRPr="00E00593">
              <w:t>(Haynes and Savill, 2008)</w:t>
            </w:r>
            <w:r w:rsidRPr="00C70969">
              <w:t>. It produces symptoms like bloating and stomach ache</w:t>
            </w:r>
            <w:r w:rsidR="00E00593">
              <w:t>s</w:t>
            </w:r>
            <w:r w:rsidRPr="00C70969">
              <w:t xml:space="preserve"> that appear a few hours </w:t>
            </w:r>
            <w:r w:rsidR="00E00593">
              <w:t>after</w:t>
            </w:r>
            <w:r w:rsidRPr="00C70969">
              <w:t xml:space="preserve"> eating the item.</w:t>
            </w:r>
            <w:r>
              <w:t xml:space="preserve"> Lactose, Casein and Gluten are the major three types of food intolerances. Like allergy, food intolerance also can cause short to long term health concern</w:t>
            </w:r>
            <w:r w:rsidR="00E00593">
              <w:t>s</w:t>
            </w:r>
            <w:r>
              <w:t xml:space="preserve"> to the victim. And thus, both the consumers as well as the manufacturers need to be careful about what they are eating and what they are offering.</w:t>
            </w:r>
          </w:p>
          <w:p w14:paraId="3ED55E56" w14:textId="017339F3" w:rsidR="00501DF7" w:rsidRDefault="00C70969" w:rsidP="00126E74">
            <w:pPr>
              <w:jc w:val="both"/>
            </w:pPr>
            <w:r>
              <w:t>Foods can be deadly to human</w:t>
            </w:r>
            <w:r w:rsidR="00E00593">
              <w:t>s</w:t>
            </w:r>
            <w:r>
              <w:t xml:space="preserve"> alongside being lifesaving. It is known that adulterated, rotten and other types of manufacturing problems can make foods deadly. However, most people ignore the fact that foods that are fine for some, can be deadly for others. The discussion of food allergy and food intolerance is based on that. If those foods were not good for anybody then those would not be consumed. But, it can be seen that while maximum consumers have no problem with them, some find them </w:t>
            </w:r>
            <w:r w:rsidR="00501DF7">
              <w:t>problematic</w:t>
            </w:r>
            <w:r>
              <w:t xml:space="preserve">. </w:t>
            </w:r>
            <w:r w:rsidR="00501DF7">
              <w:t>This is where the problem arises. In the last 20 years</w:t>
            </w:r>
            <w:r w:rsidR="00E00593">
              <w:t>,</w:t>
            </w:r>
            <w:r w:rsidR="00501DF7">
              <w:t xml:space="preserve"> around 30,000 people were admitted to hospitals in the UK because of severe allergic reaction</w:t>
            </w:r>
            <w:r w:rsidR="00E00593">
              <w:t>s</w:t>
            </w:r>
            <w:r w:rsidR="00501DF7">
              <w:t xml:space="preserve"> towards foods</w:t>
            </w:r>
            <w:r w:rsidR="00E00593">
              <w:t xml:space="preserve"> </w:t>
            </w:r>
            <w:r w:rsidR="00E00593" w:rsidRPr="00E00593">
              <w:t>(BMJ, 2021)</w:t>
            </w:r>
            <w:r w:rsidR="00501DF7">
              <w:t>. Thus, it is important to work on ways to stop events like these to happen again.</w:t>
            </w:r>
          </w:p>
          <w:p w14:paraId="30167EB4" w14:textId="33FDFAD2" w:rsidR="007B7AF7" w:rsidRDefault="00501DF7" w:rsidP="00126E74">
            <w:pPr>
              <w:jc w:val="both"/>
            </w:pPr>
            <w:r>
              <w:t xml:space="preserve">Food is a big part of </w:t>
            </w:r>
            <w:r w:rsidR="00E00593">
              <w:t xml:space="preserve">the </w:t>
            </w:r>
            <w:r>
              <w:t xml:space="preserve">hospitality industry. People who travel for work or travel just touring around, both want to explore new and delicious foods. The interest </w:t>
            </w:r>
            <w:r w:rsidR="00E00593">
              <w:t>in</w:t>
            </w:r>
            <w:r>
              <w:t xml:space="preserve"> global cuisine has grown among people with the increased use of social media and shared networks. But, when the travellers are trying out new items they are unknown to the components being used in those items</w:t>
            </w:r>
            <w:r w:rsidR="00E00593">
              <w:t xml:space="preserve"> </w:t>
            </w:r>
            <w:r w:rsidR="00E00593" w:rsidRPr="00E00593">
              <w:t>(Lee and Sozen, 2016)</w:t>
            </w:r>
            <w:r>
              <w:t xml:space="preserve">. Hence, </w:t>
            </w:r>
            <w:r w:rsidR="00E00593">
              <w:t>the hospitality service providers or the food sellers need</w:t>
            </w:r>
            <w:r>
              <w:t xml:space="preserve"> to confirm </w:t>
            </w:r>
            <w:r w:rsidR="00E00593">
              <w:t xml:space="preserve">with </w:t>
            </w:r>
            <w:r>
              <w:t xml:space="preserve">the consumer about the products or ingredients been used in the items. Nobody wants their customers </w:t>
            </w:r>
            <w:r w:rsidR="00E00593">
              <w:t xml:space="preserve">to </w:t>
            </w:r>
            <w:r>
              <w:t>fall seek and return with a bad experience. Hence, hospitality businesses are required to be concerned about food allergies and intolerances.</w:t>
            </w:r>
          </w:p>
          <w:p w14:paraId="1B94AE83" w14:textId="29BF8C0E" w:rsidR="00BF6B1D" w:rsidRDefault="00501DF7" w:rsidP="00077DF2">
            <w:pPr>
              <w:jc w:val="both"/>
            </w:pPr>
            <w:r>
              <w:t>There are different ways to control food aller</w:t>
            </w:r>
            <w:r w:rsidR="00077DF2">
              <w:t xml:space="preserve">gy and food intolerance problems. Both the customers and the businesses need to be aware </w:t>
            </w:r>
            <w:r w:rsidR="00E00593">
              <w:t>of</w:t>
            </w:r>
            <w:r w:rsidR="00077DF2">
              <w:t xml:space="preserve"> those factors. The customers need to know what kind of food cause allergy to them. They also need to focus on understanding the recipe or ingredient list well before consuming the foods. While the businesses inc</w:t>
            </w:r>
            <w:r w:rsidR="00B30A3C">
              <w:t>luding the manufacture</w:t>
            </w:r>
            <w:r w:rsidR="00E00593">
              <w:t>r</w:t>
            </w:r>
            <w:r w:rsidR="00B30A3C">
              <w:t xml:space="preserve">s need to reveal the ingredients. The manufacturers can highlight the allergens in their ingredient list or can provide a different caution </w:t>
            </w:r>
            <w:r w:rsidR="006A415E">
              <w:t>to</w:t>
            </w:r>
            <w:r w:rsidR="00B30A3C">
              <w:t xml:space="preserve"> the consumer about </w:t>
            </w:r>
            <w:r w:rsidR="00DE2090">
              <w:t>the presence of the allergen</w:t>
            </w:r>
            <w:r w:rsidR="006A415E">
              <w:t xml:space="preserve"> and intolerances</w:t>
            </w:r>
            <w:r w:rsidR="00E00593">
              <w:t xml:space="preserve"> </w:t>
            </w:r>
            <w:r w:rsidR="00E00593" w:rsidRPr="00E00593">
              <w:t>(Varshney and Pongracic, 2020)</w:t>
            </w:r>
            <w:r w:rsidR="00DE2090">
              <w:t xml:space="preserve">. </w:t>
            </w:r>
            <w:r w:rsidR="006A415E">
              <w:t xml:space="preserve">Thus, the consumers can avoid allergens and intolerances. </w:t>
            </w:r>
            <w:r w:rsidR="00E00593">
              <w:t>J</w:t>
            </w:r>
            <w:r w:rsidR="006A415E">
              <w:t>oint awareness can be beneficial for both the customers as well as for businesses.</w:t>
            </w:r>
          </w:p>
          <w:p w14:paraId="3B344F1E" w14:textId="605F1B82" w:rsidR="00B30A3C" w:rsidRPr="003C3341" w:rsidRDefault="002E6BA0" w:rsidP="00E00593">
            <w:pPr>
              <w:jc w:val="both"/>
            </w:pPr>
            <w:r>
              <w:t xml:space="preserve">Food is a crucial part of human life. It is also a crucial part of </w:t>
            </w:r>
            <w:r w:rsidR="00E00593">
              <w:t xml:space="preserve">the </w:t>
            </w:r>
            <w:r>
              <w:t xml:space="preserve">travel, tourism and hospitality business. No business wants </w:t>
            </w:r>
            <w:r w:rsidR="00E00593">
              <w:t>its</w:t>
            </w:r>
            <w:r>
              <w:t xml:space="preserve"> customers to fall sick because of food allergens and intolerances. To avoid such incidents, the business need</w:t>
            </w:r>
            <w:r w:rsidR="00E00593">
              <w:t>s</w:t>
            </w:r>
            <w:r>
              <w:t xml:space="preserve"> to communicate about the presence of such ingredients in their foods. </w:t>
            </w:r>
            <w:r w:rsidR="00E00593">
              <w:t>C</w:t>
            </w:r>
            <w:r>
              <w:t>onsumers also need to have control o</w:t>
            </w:r>
            <w:r w:rsidR="00E00593">
              <w:t>ver</w:t>
            </w:r>
            <w:r>
              <w:t xml:space="preserve"> what they are eating. Thus, the proper awareness and focus can solve this problem and facilitate the operations of hospitality businesses.</w:t>
            </w:r>
          </w:p>
        </w:tc>
      </w:tr>
    </w:tbl>
    <w:p w14:paraId="7D9A52CF" w14:textId="77777777" w:rsidR="00B00678" w:rsidRDefault="00B00678" w:rsidP="00B945EA">
      <w:pPr>
        <w:rPr>
          <w:rFonts w:ascii="Tahoma" w:hAnsi="Tahoma" w:cs="Tahoma"/>
          <w:b/>
        </w:rPr>
      </w:pPr>
    </w:p>
    <w:tbl>
      <w:tblPr>
        <w:tblStyle w:val="Tabelgril"/>
        <w:tblW w:w="0" w:type="auto"/>
        <w:tblLook w:val="01E0" w:firstRow="1" w:lastRow="1" w:firstColumn="1" w:lastColumn="1" w:noHBand="0" w:noVBand="0"/>
      </w:tblPr>
      <w:tblGrid>
        <w:gridCol w:w="10910"/>
        <w:gridCol w:w="272"/>
      </w:tblGrid>
      <w:tr w:rsidR="00375882" w:rsidRPr="003C3341" w14:paraId="693FCD7B" w14:textId="77777777" w:rsidTr="00375882">
        <w:tc>
          <w:tcPr>
            <w:tcW w:w="10910" w:type="dxa"/>
            <w:shd w:val="clear" w:color="auto" w:fill="FBD4B4" w:themeFill="accent6" w:themeFillTint="66"/>
          </w:tcPr>
          <w:p w14:paraId="0731D9DE" w14:textId="3AF3D5E7" w:rsidR="00375882" w:rsidRPr="00946B23" w:rsidRDefault="00375882" w:rsidP="007F6692">
            <w:pPr>
              <w:rPr>
                <w:rFonts w:ascii="Tahoma" w:hAnsi="Tahoma" w:cs="Tahoma"/>
                <w:b/>
                <w:sz w:val="20"/>
                <w:szCs w:val="20"/>
              </w:rPr>
            </w:pPr>
            <w:r>
              <w:rPr>
                <w:rFonts w:ascii="Tahoma" w:hAnsi="Tahoma" w:cs="Tahoma"/>
                <w:b/>
                <w:sz w:val="20"/>
                <w:szCs w:val="20"/>
              </w:rPr>
              <w:t xml:space="preserve">REFERENCE LIST </w:t>
            </w:r>
          </w:p>
        </w:tc>
        <w:tc>
          <w:tcPr>
            <w:tcW w:w="272" w:type="dxa"/>
            <w:shd w:val="clear" w:color="auto" w:fill="FBD4B4" w:themeFill="accent6" w:themeFillTint="66"/>
          </w:tcPr>
          <w:p w14:paraId="2A993785" w14:textId="77777777" w:rsidR="00375882" w:rsidRDefault="00375882" w:rsidP="007F6692">
            <w:pPr>
              <w:jc w:val="center"/>
              <w:rPr>
                <w:rFonts w:ascii="Tahoma" w:hAnsi="Tahoma" w:cs="Tahoma"/>
                <w:b/>
                <w:sz w:val="20"/>
                <w:szCs w:val="20"/>
              </w:rPr>
            </w:pPr>
          </w:p>
          <w:p w14:paraId="52F3ACFA" w14:textId="77777777" w:rsidR="00375882" w:rsidRPr="003C3341" w:rsidRDefault="00375882" w:rsidP="007F6692">
            <w:pPr>
              <w:jc w:val="center"/>
              <w:rPr>
                <w:rFonts w:ascii="Tahoma" w:hAnsi="Tahoma" w:cs="Tahoma"/>
                <w:b/>
                <w:sz w:val="20"/>
                <w:szCs w:val="20"/>
              </w:rPr>
            </w:pPr>
          </w:p>
        </w:tc>
      </w:tr>
      <w:tr w:rsidR="00375882" w:rsidRPr="003C3341" w14:paraId="130E5631" w14:textId="77777777" w:rsidTr="007F6692">
        <w:trPr>
          <w:trHeight w:val="2494"/>
        </w:trPr>
        <w:tc>
          <w:tcPr>
            <w:tcW w:w="11182" w:type="dxa"/>
            <w:gridSpan w:val="2"/>
          </w:tcPr>
          <w:p w14:paraId="2D39E3B5" w14:textId="77777777" w:rsidR="00E00593" w:rsidRPr="00E00593" w:rsidRDefault="00E00593" w:rsidP="00E00593">
            <w:pPr>
              <w:jc w:val="both"/>
            </w:pPr>
            <w:r w:rsidRPr="00E00593">
              <w:t xml:space="preserve">Ballard, C. (2013). </w:t>
            </w:r>
            <w:r w:rsidRPr="00E00593">
              <w:rPr>
                <w:i/>
                <w:iCs/>
              </w:rPr>
              <w:t>Food allergy</w:t>
            </w:r>
            <w:r w:rsidRPr="00E00593">
              <w:t>. London: Franklin Watts.</w:t>
            </w:r>
          </w:p>
          <w:p w14:paraId="20E15E76" w14:textId="77777777" w:rsidR="00E00593" w:rsidRPr="00E00593" w:rsidRDefault="00E00593" w:rsidP="00E00593">
            <w:pPr>
              <w:jc w:val="both"/>
            </w:pPr>
            <w:r w:rsidRPr="00E00593">
              <w:t xml:space="preserve">BMJ. (2021). </w:t>
            </w:r>
            <w:r w:rsidRPr="00E00593">
              <w:rPr>
                <w:i/>
                <w:iCs/>
              </w:rPr>
              <w:t>UK hospital admissions for food-induced anaphylaxis triple over 20 year period but death rate falls | BMJ</w:t>
            </w:r>
            <w:r w:rsidRPr="00E00593">
              <w:t>. [online] Available at: https://www.bmj.com/company/newsroom/uk-hospital-admissions-for-food-induced-anaphylaxis-triple-over-20-year-period-but-death-rate-falls/#:~:text=Between%201998%20and%202018%2C%20101%2C891.</w:t>
            </w:r>
          </w:p>
          <w:p w14:paraId="00F1A831" w14:textId="77777777" w:rsidR="00E00593" w:rsidRPr="00E00593" w:rsidRDefault="00E00593" w:rsidP="00E00593">
            <w:pPr>
              <w:jc w:val="both"/>
            </w:pPr>
            <w:r w:rsidRPr="00E00593">
              <w:t xml:space="preserve">Haynes, A.J. and Savill, A. (2008). </w:t>
            </w:r>
            <w:r w:rsidRPr="00E00593">
              <w:rPr>
                <w:i/>
                <w:iCs/>
              </w:rPr>
              <w:t>The food intolerance bible : a nutritionist’s plan to beat food cravings, fatigue, mood swings, celiac disease, headaches, IBS, and deal with food allergies</w:t>
            </w:r>
            <w:r w:rsidRPr="00E00593">
              <w:t>. San Francisco: Conari Press.</w:t>
            </w:r>
          </w:p>
          <w:p w14:paraId="51CE12AD" w14:textId="77777777" w:rsidR="00E00593" w:rsidRPr="00E00593" w:rsidRDefault="00E00593" w:rsidP="00E00593">
            <w:pPr>
              <w:jc w:val="both"/>
            </w:pPr>
            <w:r w:rsidRPr="00E00593">
              <w:t xml:space="preserve">Lee, Y.M. and Sozen, E. (2016). Food allergy knowledge and training among restaurant employees. </w:t>
            </w:r>
            <w:r w:rsidRPr="00E00593">
              <w:rPr>
                <w:i/>
                <w:iCs/>
              </w:rPr>
              <w:t>International Journal of Hospitality Management</w:t>
            </w:r>
            <w:r w:rsidRPr="00E00593">
              <w:t>, 57, pp.52–59.</w:t>
            </w:r>
          </w:p>
          <w:p w14:paraId="69AF5D80" w14:textId="77777777" w:rsidR="00E00593" w:rsidRPr="00E00593" w:rsidRDefault="00E00593" w:rsidP="00E00593">
            <w:pPr>
              <w:jc w:val="both"/>
            </w:pPr>
            <w:r w:rsidRPr="00E00593">
              <w:t xml:space="preserve">Tan, J. (2015). Food allergy week #2 - other types of food allergies. </w:t>
            </w:r>
            <w:r w:rsidRPr="00E00593">
              <w:rPr>
                <w:i/>
                <w:iCs/>
              </w:rPr>
              <w:t>Don’t Forget The Bubbles</w:t>
            </w:r>
            <w:r w:rsidRPr="00E00593">
              <w:t>.</w:t>
            </w:r>
          </w:p>
          <w:p w14:paraId="47FB6995" w14:textId="03D3CFFC" w:rsidR="00375882" w:rsidRPr="003C3341" w:rsidRDefault="00E00593" w:rsidP="00E00593">
            <w:pPr>
              <w:jc w:val="both"/>
            </w:pPr>
            <w:r w:rsidRPr="00E00593">
              <w:t xml:space="preserve">Varshney, P. and Pongracic, J.A. (2020). Clinical manifestations of immunoglobulin E‐mediated food allergy, including pollen‐food allergy syndrome. </w:t>
            </w:r>
            <w:r w:rsidRPr="00E00593">
              <w:rPr>
                <w:i/>
                <w:iCs/>
              </w:rPr>
              <w:t>Journal of Food Allergy</w:t>
            </w:r>
            <w:r w:rsidRPr="00E00593">
              <w:t>, 2(1), pp.22–25.</w:t>
            </w:r>
          </w:p>
        </w:tc>
      </w:tr>
    </w:tbl>
    <w:p w14:paraId="3A480543" w14:textId="77777777" w:rsidR="00B00678" w:rsidRDefault="00B00678" w:rsidP="00B945EA">
      <w:pPr>
        <w:rPr>
          <w:rFonts w:ascii="Tahoma" w:hAnsi="Tahoma" w:cs="Tahoma"/>
          <w:b/>
        </w:rPr>
      </w:pPr>
    </w:p>
    <w:p w14:paraId="02BE48C6" w14:textId="77777777" w:rsidR="00B00678" w:rsidRDefault="00B00678" w:rsidP="00B945EA">
      <w:pPr>
        <w:rPr>
          <w:rFonts w:ascii="Tahoma" w:hAnsi="Tahoma" w:cs="Tahoma"/>
          <w:b/>
        </w:rPr>
      </w:pPr>
    </w:p>
    <w:p w14:paraId="1D4EFC49" w14:textId="77777777" w:rsidR="00B00678" w:rsidRDefault="00B00678" w:rsidP="00B945EA">
      <w:pPr>
        <w:rPr>
          <w:rFonts w:ascii="Tahoma" w:hAnsi="Tahoma" w:cs="Tahoma"/>
          <w:b/>
        </w:rPr>
      </w:pPr>
    </w:p>
    <w:p w14:paraId="505DC984" w14:textId="77777777" w:rsidR="00B00678" w:rsidRDefault="00B00678" w:rsidP="00B945EA">
      <w:pPr>
        <w:rPr>
          <w:rFonts w:ascii="Tahoma" w:hAnsi="Tahoma" w:cs="Tahoma"/>
          <w:b/>
        </w:rPr>
      </w:pPr>
    </w:p>
    <w:p w14:paraId="1F96E185" w14:textId="77777777" w:rsidR="00B00678" w:rsidRDefault="00B00678" w:rsidP="00B945EA">
      <w:pPr>
        <w:rPr>
          <w:rFonts w:ascii="Tahoma" w:hAnsi="Tahoma" w:cs="Tahoma"/>
          <w:b/>
        </w:rPr>
      </w:pPr>
    </w:p>
    <w:p w14:paraId="5F8D9742" w14:textId="77777777" w:rsidR="00B00678" w:rsidRDefault="00B00678" w:rsidP="00B945EA">
      <w:pPr>
        <w:rPr>
          <w:rFonts w:ascii="Tahoma" w:hAnsi="Tahoma" w:cs="Tahoma"/>
          <w:b/>
        </w:rPr>
      </w:pPr>
    </w:p>
    <w:p w14:paraId="25B9E4A6" w14:textId="77777777" w:rsidR="00A45D42" w:rsidRDefault="00A45D42" w:rsidP="00B945EA">
      <w:pPr>
        <w:rPr>
          <w:rFonts w:ascii="Tahoma" w:hAnsi="Tahoma" w:cs="Tahoma"/>
          <w:b/>
        </w:rPr>
      </w:pPr>
    </w:p>
    <w:sectPr w:rsidR="00A45D42" w:rsidSect="00C21568">
      <w:headerReference w:type="default" r:id="rId7"/>
      <w:footerReference w:type="default" r:id="rId8"/>
      <w:pgSz w:w="11906" w:h="16838"/>
      <w:pgMar w:top="360" w:right="357" w:bottom="0" w:left="35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D685459" w14:textId="77777777" w:rsidR="00793206" w:rsidRDefault="00793206">
      <w:r>
        <w:separator/>
      </w:r>
    </w:p>
  </w:endnote>
  <w:endnote w:type="continuationSeparator" w:id="0">
    <w:p w14:paraId="0B3280DF" w14:textId="77777777" w:rsidR="00793206" w:rsidRDefault="0079320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altName w:val="Arial"/>
    <w:panose1 w:val="02020603050405020304"/>
    <w:charset w:val="00"/>
    <w:family w:val="roman"/>
    <w:pitch w:val="variable"/>
    <w:sig w:usb0="00000000"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Vrinda">
    <w:panose1 w:val="020B0502040204020203"/>
    <w:charset w:val="00"/>
    <w:family w:val="swiss"/>
    <w:pitch w:val="variable"/>
    <w:sig w:usb0="0001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4016876"/>
      <w:docPartObj>
        <w:docPartGallery w:val="Page Numbers (Bottom of Page)"/>
        <w:docPartUnique/>
      </w:docPartObj>
    </w:sdtPr>
    <w:sdtEndPr>
      <w:rPr>
        <w:noProof/>
      </w:rPr>
    </w:sdtEndPr>
    <w:sdtContent>
      <w:p w14:paraId="68738646" w14:textId="623ADE88" w:rsidR="00B44B68" w:rsidRDefault="00B44B68">
        <w:pPr>
          <w:pStyle w:val="Subsol"/>
          <w:jc w:val="right"/>
        </w:pPr>
        <w:r>
          <w:fldChar w:fldCharType="begin"/>
        </w:r>
        <w:r>
          <w:instrText xml:space="preserve"> PAGE   \* MERGEFORMAT </w:instrText>
        </w:r>
        <w:r>
          <w:fldChar w:fldCharType="separate"/>
        </w:r>
        <w:r w:rsidR="00E00593">
          <w:rPr>
            <w:noProof/>
          </w:rPr>
          <w:t>1</w:t>
        </w:r>
        <w:r>
          <w:rPr>
            <w:noProof/>
          </w:rPr>
          <w:fldChar w:fldCharType="end"/>
        </w:r>
      </w:p>
    </w:sdtContent>
  </w:sdt>
  <w:p w14:paraId="32F3178D" w14:textId="0C9E4A4E" w:rsidR="00112CE0" w:rsidRDefault="00112CE0">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C541581" w14:textId="77777777" w:rsidR="00793206" w:rsidRDefault="00793206">
      <w:r>
        <w:separator/>
      </w:r>
    </w:p>
  </w:footnote>
  <w:footnote w:type="continuationSeparator" w:id="0">
    <w:p w14:paraId="583DA90E" w14:textId="77777777" w:rsidR="00793206" w:rsidRDefault="0079320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CC4992" w14:textId="5F66779D" w:rsidR="00F34E01" w:rsidRPr="001B69C8" w:rsidRDefault="00B21F2E" w:rsidP="00112CE0">
    <w:pPr>
      <w:pStyle w:val="Antet"/>
      <w:jc w:val="right"/>
      <w:rPr>
        <w:rFonts w:asciiTheme="minorHAnsi" w:hAnsiTheme="minorHAnsi"/>
      </w:rPr>
    </w:pPr>
    <w:r w:rsidRPr="001B69C8">
      <w:rPr>
        <w:rFonts w:asciiTheme="minorHAnsi" w:hAnsiTheme="minorHAnsi"/>
        <w:noProof/>
        <w:lang w:bidi="bn-BD"/>
      </w:rPr>
      <w:drawing>
        <wp:anchor distT="0" distB="0" distL="114300" distR="114300" simplePos="0" relativeHeight="251658240" behindDoc="0" locked="0" layoutInCell="1" allowOverlap="1" wp14:anchorId="74FC1045" wp14:editId="7E59DA52">
          <wp:simplePos x="0" y="0"/>
          <wp:positionH relativeFrom="margin">
            <wp:posOffset>1380</wp:posOffset>
          </wp:positionH>
          <wp:positionV relativeFrom="margin">
            <wp:posOffset>-357615</wp:posOffset>
          </wp:positionV>
          <wp:extent cx="2303780" cy="765175"/>
          <wp:effectExtent l="0" t="0" r="0" b="0"/>
          <wp:wrapSquare wrapText="bothSides"/>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pic:nvPicPr>
                <pic:blipFill>
                  <a:blip r:embed="rId1">
                    <a:extLst>
                      <a:ext uri="{28A0092B-C50C-407E-A947-70E740481C1C}">
                        <a14:useLocalDpi xmlns:a14="http://schemas.microsoft.com/office/drawing/2010/main" val="0"/>
                      </a:ext>
                    </a:extLst>
                  </a:blip>
                  <a:stretch>
                    <a:fillRect/>
                  </a:stretch>
                </pic:blipFill>
                <pic:spPr>
                  <a:xfrm>
                    <a:off x="0" y="0"/>
                    <a:ext cx="2303780" cy="765175"/>
                  </a:xfrm>
                  <a:prstGeom prst="rect">
                    <a:avLst/>
                  </a:prstGeom>
                </pic:spPr>
              </pic:pic>
            </a:graphicData>
          </a:graphic>
          <wp14:sizeRelH relativeFrom="margin">
            <wp14:pctWidth>0</wp14:pctWidth>
          </wp14:sizeRelH>
          <wp14:sizeRelV relativeFrom="margin">
            <wp14:pctHeight>0</wp14:pctHeight>
          </wp14:sizeRelV>
        </wp:anchor>
      </w:drawing>
    </w:r>
    <w:r w:rsidR="001B69C8" w:rsidRPr="001B69C8">
      <w:rPr>
        <w:rFonts w:asciiTheme="minorHAnsi" w:hAnsiTheme="minorHAnsi"/>
      </w:rPr>
      <w:t>International Hotel Management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9D3865"/>
    <w:multiLevelType w:val="hybridMultilevel"/>
    <w:tmpl w:val="A5D8C0B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2E04738"/>
    <w:multiLevelType w:val="hybridMultilevel"/>
    <w:tmpl w:val="79DA058E"/>
    <w:lvl w:ilvl="0" w:tplc="5602F40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6D76D7E"/>
    <w:multiLevelType w:val="hybridMultilevel"/>
    <w:tmpl w:val="F7FE88EE"/>
    <w:lvl w:ilvl="0" w:tplc="1E6ECE10">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9B57439"/>
    <w:multiLevelType w:val="hybridMultilevel"/>
    <w:tmpl w:val="B8BEDD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F1459A"/>
    <w:multiLevelType w:val="hybridMultilevel"/>
    <w:tmpl w:val="E7D8053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B64783E"/>
    <w:multiLevelType w:val="hybridMultilevel"/>
    <w:tmpl w:val="95101EE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E666A2E"/>
    <w:multiLevelType w:val="hybridMultilevel"/>
    <w:tmpl w:val="20E44B0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6541595"/>
    <w:multiLevelType w:val="hybridMultilevel"/>
    <w:tmpl w:val="50C04A5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 w15:restartNumberingAfterBreak="0">
    <w:nsid w:val="2E5E110A"/>
    <w:multiLevelType w:val="hybridMultilevel"/>
    <w:tmpl w:val="AC0A9AE6"/>
    <w:lvl w:ilvl="0" w:tplc="2A14C4A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92E4A4B"/>
    <w:multiLevelType w:val="hybridMultilevel"/>
    <w:tmpl w:val="E60C03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9372DBC"/>
    <w:multiLevelType w:val="hybridMultilevel"/>
    <w:tmpl w:val="8744A45E"/>
    <w:lvl w:ilvl="0" w:tplc="C090DDC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B086928"/>
    <w:multiLevelType w:val="hybridMultilevel"/>
    <w:tmpl w:val="1396C034"/>
    <w:lvl w:ilvl="0" w:tplc="C698318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E050072"/>
    <w:multiLevelType w:val="hybridMultilevel"/>
    <w:tmpl w:val="9A4A78A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32C43D1"/>
    <w:multiLevelType w:val="hybridMultilevel"/>
    <w:tmpl w:val="BB0A11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70C5A98"/>
    <w:multiLevelType w:val="multilevel"/>
    <w:tmpl w:val="64E03D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4BF840A0"/>
    <w:multiLevelType w:val="hybridMultilevel"/>
    <w:tmpl w:val="D8AE33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02C5C15"/>
    <w:multiLevelType w:val="hybridMultilevel"/>
    <w:tmpl w:val="DE0898C2"/>
    <w:lvl w:ilvl="0" w:tplc="9CBECC7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75D556C"/>
    <w:multiLevelType w:val="hybridMultilevel"/>
    <w:tmpl w:val="9880F71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8" w15:restartNumberingAfterBreak="0">
    <w:nsid w:val="57860309"/>
    <w:multiLevelType w:val="hybridMultilevel"/>
    <w:tmpl w:val="3EA83C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CF57BAD"/>
    <w:multiLevelType w:val="hybridMultilevel"/>
    <w:tmpl w:val="D6260A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DED0AC1"/>
    <w:multiLevelType w:val="hybridMultilevel"/>
    <w:tmpl w:val="C4A8D226"/>
    <w:lvl w:ilvl="0" w:tplc="2460E6D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5FFA47E2"/>
    <w:multiLevelType w:val="hybridMultilevel"/>
    <w:tmpl w:val="FD0A22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2B86C57"/>
    <w:multiLevelType w:val="hybridMultilevel"/>
    <w:tmpl w:val="072EDF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4D51D4D"/>
    <w:multiLevelType w:val="hybridMultilevel"/>
    <w:tmpl w:val="8CE485D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65970D0E"/>
    <w:multiLevelType w:val="hybridMultilevel"/>
    <w:tmpl w:val="E048A560"/>
    <w:lvl w:ilvl="0" w:tplc="722CA0C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8427F50"/>
    <w:multiLevelType w:val="hybridMultilevel"/>
    <w:tmpl w:val="2DAA1BB6"/>
    <w:lvl w:ilvl="0" w:tplc="6F466DF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744302F4"/>
    <w:multiLevelType w:val="hybridMultilevel"/>
    <w:tmpl w:val="D752ED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7B5C4D81"/>
    <w:multiLevelType w:val="hybridMultilevel"/>
    <w:tmpl w:val="0D3E6AB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16cid:durableId="1716347943">
    <w:abstractNumId w:val="12"/>
  </w:num>
  <w:num w:numId="2" w16cid:durableId="546646369">
    <w:abstractNumId w:val="4"/>
  </w:num>
  <w:num w:numId="3" w16cid:durableId="675695512">
    <w:abstractNumId w:val="27"/>
  </w:num>
  <w:num w:numId="4" w16cid:durableId="955908729">
    <w:abstractNumId w:val="5"/>
  </w:num>
  <w:num w:numId="5" w16cid:durableId="536043481">
    <w:abstractNumId w:val="23"/>
  </w:num>
  <w:num w:numId="6" w16cid:durableId="1638491834">
    <w:abstractNumId w:val="6"/>
  </w:num>
  <w:num w:numId="7" w16cid:durableId="473759805">
    <w:abstractNumId w:val="0"/>
  </w:num>
  <w:num w:numId="8" w16cid:durableId="755446089">
    <w:abstractNumId w:val="26"/>
  </w:num>
  <w:num w:numId="9" w16cid:durableId="1360006258">
    <w:abstractNumId w:val="15"/>
  </w:num>
  <w:num w:numId="10" w16cid:durableId="63919746">
    <w:abstractNumId w:val="18"/>
  </w:num>
  <w:num w:numId="11" w16cid:durableId="1013924190">
    <w:abstractNumId w:val="3"/>
  </w:num>
  <w:num w:numId="12" w16cid:durableId="177233492">
    <w:abstractNumId w:val="13"/>
  </w:num>
  <w:num w:numId="13" w16cid:durableId="362100388">
    <w:abstractNumId w:val="2"/>
  </w:num>
  <w:num w:numId="14" w16cid:durableId="492837923">
    <w:abstractNumId w:val="9"/>
  </w:num>
  <w:num w:numId="15" w16cid:durableId="1889103082">
    <w:abstractNumId w:val="17"/>
  </w:num>
  <w:num w:numId="16" w16cid:durableId="1806122848">
    <w:abstractNumId w:val="19"/>
  </w:num>
  <w:num w:numId="17" w16cid:durableId="933826867">
    <w:abstractNumId w:val="1"/>
  </w:num>
  <w:num w:numId="18" w16cid:durableId="838279341">
    <w:abstractNumId w:val="25"/>
  </w:num>
  <w:num w:numId="19" w16cid:durableId="1782264307">
    <w:abstractNumId w:val="8"/>
  </w:num>
  <w:num w:numId="20" w16cid:durableId="1721516770">
    <w:abstractNumId w:val="20"/>
  </w:num>
  <w:num w:numId="21" w16cid:durableId="1330713436">
    <w:abstractNumId w:val="11"/>
  </w:num>
  <w:num w:numId="22" w16cid:durableId="865560356">
    <w:abstractNumId w:val="16"/>
  </w:num>
  <w:num w:numId="23" w16cid:durableId="1469009684">
    <w:abstractNumId w:val="24"/>
  </w:num>
  <w:num w:numId="24" w16cid:durableId="708064933">
    <w:abstractNumId w:val="10"/>
  </w:num>
  <w:num w:numId="25" w16cid:durableId="775708536">
    <w:abstractNumId w:val="22"/>
  </w:num>
  <w:num w:numId="26" w16cid:durableId="1687518324">
    <w:abstractNumId w:val="7"/>
  </w:num>
  <w:num w:numId="27" w16cid:durableId="1181042046">
    <w:abstractNumId w:val="21"/>
  </w:num>
  <w:num w:numId="28" w16cid:durableId="1670861329">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6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inkAnnotations="0"/>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yMDc1MDY3MjG2NDY1NDdW0lEKTi0uzszPAykwrAUAZXtMQiwAAAA="/>
  </w:docVars>
  <w:rsids>
    <w:rsidRoot w:val="00301AD0"/>
    <w:rsid w:val="000304DF"/>
    <w:rsid w:val="00040CE8"/>
    <w:rsid w:val="0004729E"/>
    <w:rsid w:val="00076F40"/>
    <w:rsid w:val="00077DF2"/>
    <w:rsid w:val="00077E55"/>
    <w:rsid w:val="00085CFD"/>
    <w:rsid w:val="000A0C53"/>
    <w:rsid w:val="000B2F4F"/>
    <w:rsid w:val="000F2E7C"/>
    <w:rsid w:val="00112CE0"/>
    <w:rsid w:val="00126E74"/>
    <w:rsid w:val="00162FE2"/>
    <w:rsid w:val="001703BD"/>
    <w:rsid w:val="00170A87"/>
    <w:rsid w:val="0018449A"/>
    <w:rsid w:val="001A59E7"/>
    <w:rsid w:val="001B69C8"/>
    <w:rsid w:val="001B6DB4"/>
    <w:rsid w:val="001C5C4E"/>
    <w:rsid w:val="001D4719"/>
    <w:rsid w:val="001E720E"/>
    <w:rsid w:val="00202878"/>
    <w:rsid w:val="002314D4"/>
    <w:rsid w:val="002430D4"/>
    <w:rsid w:val="00244B89"/>
    <w:rsid w:val="00244F84"/>
    <w:rsid w:val="002659F5"/>
    <w:rsid w:val="00283BE2"/>
    <w:rsid w:val="00294842"/>
    <w:rsid w:val="002E127C"/>
    <w:rsid w:val="002E6BA0"/>
    <w:rsid w:val="002F7DD0"/>
    <w:rsid w:val="00301AD0"/>
    <w:rsid w:val="003036C9"/>
    <w:rsid w:val="0032684A"/>
    <w:rsid w:val="00332099"/>
    <w:rsid w:val="00340C62"/>
    <w:rsid w:val="003478CE"/>
    <w:rsid w:val="003605B1"/>
    <w:rsid w:val="003617CF"/>
    <w:rsid w:val="00364940"/>
    <w:rsid w:val="00365786"/>
    <w:rsid w:val="00366D9C"/>
    <w:rsid w:val="00375882"/>
    <w:rsid w:val="00382DB9"/>
    <w:rsid w:val="00396412"/>
    <w:rsid w:val="003C3341"/>
    <w:rsid w:val="003C7C45"/>
    <w:rsid w:val="003E36D1"/>
    <w:rsid w:val="003E46A6"/>
    <w:rsid w:val="003F52F1"/>
    <w:rsid w:val="00414F02"/>
    <w:rsid w:val="004325B5"/>
    <w:rsid w:val="00433DBF"/>
    <w:rsid w:val="004341F2"/>
    <w:rsid w:val="00442F02"/>
    <w:rsid w:val="0044343A"/>
    <w:rsid w:val="00444EC9"/>
    <w:rsid w:val="00445A58"/>
    <w:rsid w:val="00447AEC"/>
    <w:rsid w:val="00451947"/>
    <w:rsid w:val="00456590"/>
    <w:rsid w:val="004639B7"/>
    <w:rsid w:val="00474A29"/>
    <w:rsid w:val="00486E62"/>
    <w:rsid w:val="004B113B"/>
    <w:rsid w:val="004C08E2"/>
    <w:rsid w:val="004C7E23"/>
    <w:rsid w:val="00501DF7"/>
    <w:rsid w:val="005036DE"/>
    <w:rsid w:val="00517154"/>
    <w:rsid w:val="00522B05"/>
    <w:rsid w:val="00542C5B"/>
    <w:rsid w:val="00552EED"/>
    <w:rsid w:val="00554C50"/>
    <w:rsid w:val="00566333"/>
    <w:rsid w:val="005C6352"/>
    <w:rsid w:val="005D0DDE"/>
    <w:rsid w:val="005D5D0B"/>
    <w:rsid w:val="0062012D"/>
    <w:rsid w:val="00643CB9"/>
    <w:rsid w:val="0066732A"/>
    <w:rsid w:val="00677D1F"/>
    <w:rsid w:val="00697481"/>
    <w:rsid w:val="006A415E"/>
    <w:rsid w:val="006A4F97"/>
    <w:rsid w:val="006C4640"/>
    <w:rsid w:val="006F4FB6"/>
    <w:rsid w:val="006F501B"/>
    <w:rsid w:val="00702077"/>
    <w:rsid w:val="00703E69"/>
    <w:rsid w:val="00725F0E"/>
    <w:rsid w:val="00734189"/>
    <w:rsid w:val="00735BB1"/>
    <w:rsid w:val="00744482"/>
    <w:rsid w:val="007451E8"/>
    <w:rsid w:val="00781304"/>
    <w:rsid w:val="007821AE"/>
    <w:rsid w:val="0078654A"/>
    <w:rsid w:val="0079230B"/>
    <w:rsid w:val="00793206"/>
    <w:rsid w:val="00797115"/>
    <w:rsid w:val="007A5E44"/>
    <w:rsid w:val="007B7AF7"/>
    <w:rsid w:val="007D18CA"/>
    <w:rsid w:val="007E500C"/>
    <w:rsid w:val="007E7BB4"/>
    <w:rsid w:val="007F055A"/>
    <w:rsid w:val="007F418B"/>
    <w:rsid w:val="00814801"/>
    <w:rsid w:val="0082407E"/>
    <w:rsid w:val="00826699"/>
    <w:rsid w:val="0083621A"/>
    <w:rsid w:val="008418A9"/>
    <w:rsid w:val="00895843"/>
    <w:rsid w:val="008B4B9C"/>
    <w:rsid w:val="008B534C"/>
    <w:rsid w:val="008E2A5A"/>
    <w:rsid w:val="008F0B0D"/>
    <w:rsid w:val="008F0D83"/>
    <w:rsid w:val="008F62AE"/>
    <w:rsid w:val="00911C43"/>
    <w:rsid w:val="009139BF"/>
    <w:rsid w:val="00923E76"/>
    <w:rsid w:val="009448FE"/>
    <w:rsid w:val="00946B23"/>
    <w:rsid w:val="00985CF1"/>
    <w:rsid w:val="0099191F"/>
    <w:rsid w:val="009B1D87"/>
    <w:rsid w:val="009C438C"/>
    <w:rsid w:val="009C6CAE"/>
    <w:rsid w:val="009D0DDA"/>
    <w:rsid w:val="00A02728"/>
    <w:rsid w:val="00A14DA0"/>
    <w:rsid w:val="00A43B8E"/>
    <w:rsid w:val="00A44FA9"/>
    <w:rsid w:val="00A45D42"/>
    <w:rsid w:val="00A551C6"/>
    <w:rsid w:val="00A5520C"/>
    <w:rsid w:val="00A656E2"/>
    <w:rsid w:val="00A65C1D"/>
    <w:rsid w:val="00A77C7A"/>
    <w:rsid w:val="00A8432F"/>
    <w:rsid w:val="00A90107"/>
    <w:rsid w:val="00AA11D8"/>
    <w:rsid w:val="00AA1309"/>
    <w:rsid w:val="00AA1380"/>
    <w:rsid w:val="00AC67EF"/>
    <w:rsid w:val="00AD310F"/>
    <w:rsid w:val="00AE467F"/>
    <w:rsid w:val="00AE799D"/>
    <w:rsid w:val="00B00678"/>
    <w:rsid w:val="00B03469"/>
    <w:rsid w:val="00B10EAB"/>
    <w:rsid w:val="00B11E4B"/>
    <w:rsid w:val="00B21F2E"/>
    <w:rsid w:val="00B30A3C"/>
    <w:rsid w:val="00B44B68"/>
    <w:rsid w:val="00B60FDF"/>
    <w:rsid w:val="00B61256"/>
    <w:rsid w:val="00B73A1C"/>
    <w:rsid w:val="00B824BF"/>
    <w:rsid w:val="00B9183B"/>
    <w:rsid w:val="00B945EA"/>
    <w:rsid w:val="00B949BC"/>
    <w:rsid w:val="00BA53CD"/>
    <w:rsid w:val="00BB5FB3"/>
    <w:rsid w:val="00BC4D17"/>
    <w:rsid w:val="00BC7F1B"/>
    <w:rsid w:val="00BE2584"/>
    <w:rsid w:val="00BF432D"/>
    <w:rsid w:val="00BF6B1D"/>
    <w:rsid w:val="00C10069"/>
    <w:rsid w:val="00C21568"/>
    <w:rsid w:val="00C40656"/>
    <w:rsid w:val="00C414B0"/>
    <w:rsid w:val="00C421F0"/>
    <w:rsid w:val="00C44B74"/>
    <w:rsid w:val="00C50AE7"/>
    <w:rsid w:val="00C6009E"/>
    <w:rsid w:val="00C70969"/>
    <w:rsid w:val="00C72708"/>
    <w:rsid w:val="00C76757"/>
    <w:rsid w:val="00C85B9B"/>
    <w:rsid w:val="00CA1BF5"/>
    <w:rsid w:val="00CA7607"/>
    <w:rsid w:val="00CB67B6"/>
    <w:rsid w:val="00CC557E"/>
    <w:rsid w:val="00CC63E6"/>
    <w:rsid w:val="00CC6DCB"/>
    <w:rsid w:val="00CD008D"/>
    <w:rsid w:val="00CD461B"/>
    <w:rsid w:val="00D1657F"/>
    <w:rsid w:val="00D80D6E"/>
    <w:rsid w:val="00D833FD"/>
    <w:rsid w:val="00D95816"/>
    <w:rsid w:val="00DA09FA"/>
    <w:rsid w:val="00DC7ABF"/>
    <w:rsid w:val="00DD00CB"/>
    <w:rsid w:val="00DE2090"/>
    <w:rsid w:val="00DE6434"/>
    <w:rsid w:val="00E00580"/>
    <w:rsid w:val="00E00593"/>
    <w:rsid w:val="00E26639"/>
    <w:rsid w:val="00E30C3C"/>
    <w:rsid w:val="00E42568"/>
    <w:rsid w:val="00E672A4"/>
    <w:rsid w:val="00EB1AD3"/>
    <w:rsid w:val="00EB4BAF"/>
    <w:rsid w:val="00EC294D"/>
    <w:rsid w:val="00ED52B6"/>
    <w:rsid w:val="00EF2251"/>
    <w:rsid w:val="00EF41E3"/>
    <w:rsid w:val="00F007E2"/>
    <w:rsid w:val="00F118EC"/>
    <w:rsid w:val="00F34E01"/>
    <w:rsid w:val="00F37A71"/>
    <w:rsid w:val="00F43CED"/>
    <w:rsid w:val="00F51904"/>
    <w:rsid w:val="00F537E9"/>
    <w:rsid w:val="00F720CF"/>
    <w:rsid w:val="00FB2CA9"/>
    <w:rsid w:val="00FC7773"/>
    <w:rsid w:val="00FD0ECE"/>
    <w:rsid w:val="00FE2B7D"/>
    <w:rsid w:val="00FE2C83"/>
    <w:rsid w:val="00FF2DCB"/>
    <w:rsid w:val="6985092B"/>
  </w:rsids>
  <m:mathPr>
    <m:mathFont m:val="Cambria Math"/>
    <m:brkBin m:val="before"/>
    <m:brkBinSub m:val="--"/>
    <m:smallFrac m:val="0"/>
    <m:dispDef/>
    <m:lMargin m:val="0"/>
    <m:rMargin m:val="0"/>
    <m:defJc m:val="centerGroup"/>
    <m:wrapIndent m:val="1440"/>
    <m:intLim m:val="subSup"/>
    <m:naryLim m:val="undOvr"/>
  </m:mathPr>
  <w:themeFontLang w:val="en-GB" w:bidi="bn-BD"/>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DDB537D"/>
  <w15:docId w15:val="{EE55EFAD-E45A-48F8-9EE5-834D3F60DD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3478CE"/>
    <w:rPr>
      <w:sz w:val="24"/>
      <w:szCs w:val="24"/>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Antet">
    <w:name w:val="header"/>
    <w:basedOn w:val="Normal"/>
    <w:rsid w:val="00301AD0"/>
    <w:pPr>
      <w:tabs>
        <w:tab w:val="center" w:pos="4153"/>
        <w:tab w:val="right" w:pos="8306"/>
      </w:tabs>
    </w:pPr>
  </w:style>
  <w:style w:type="paragraph" w:styleId="Subsol">
    <w:name w:val="footer"/>
    <w:basedOn w:val="Normal"/>
    <w:link w:val="SubsolCaracter"/>
    <w:uiPriority w:val="99"/>
    <w:rsid w:val="00301AD0"/>
    <w:pPr>
      <w:tabs>
        <w:tab w:val="center" w:pos="4153"/>
        <w:tab w:val="right" w:pos="8306"/>
      </w:tabs>
    </w:pPr>
  </w:style>
  <w:style w:type="table" w:styleId="Tabelgril">
    <w:name w:val="Table Grid"/>
    <w:basedOn w:val="TabelNormal"/>
    <w:rsid w:val="00301AD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nBalon">
    <w:name w:val="Balloon Text"/>
    <w:basedOn w:val="Normal"/>
    <w:semiHidden/>
    <w:rsid w:val="00294842"/>
    <w:rPr>
      <w:rFonts w:ascii="Tahoma" w:hAnsi="Tahoma" w:cs="Tahoma"/>
      <w:sz w:val="16"/>
      <w:szCs w:val="16"/>
    </w:rPr>
  </w:style>
  <w:style w:type="paragraph" w:styleId="Listparagraf">
    <w:name w:val="List Paragraph"/>
    <w:basedOn w:val="Normal"/>
    <w:uiPriority w:val="34"/>
    <w:qFormat/>
    <w:rsid w:val="00162FE2"/>
    <w:pPr>
      <w:ind w:left="720"/>
      <w:contextualSpacing/>
    </w:pPr>
  </w:style>
  <w:style w:type="character" w:customStyle="1" w:styleId="SubsolCaracter">
    <w:name w:val="Subsol Caracter"/>
    <w:basedOn w:val="Fontdeparagrafimplicit"/>
    <w:link w:val="Subsol"/>
    <w:uiPriority w:val="99"/>
    <w:rsid w:val="00B44B68"/>
    <w:rPr>
      <w:sz w:val="24"/>
      <w:szCs w:val="24"/>
    </w:rPr>
  </w:style>
  <w:style w:type="paragraph" w:styleId="NormalWeb">
    <w:name w:val="Normal (Web)"/>
    <w:basedOn w:val="Normal"/>
    <w:uiPriority w:val="99"/>
    <w:semiHidden/>
    <w:unhideWhenUsed/>
    <w:rsid w:val="0079230B"/>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4564186">
      <w:bodyDiv w:val="1"/>
      <w:marLeft w:val="0"/>
      <w:marRight w:val="0"/>
      <w:marTop w:val="0"/>
      <w:marBottom w:val="0"/>
      <w:divBdr>
        <w:top w:val="none" w:sz="0" w:space="0" w:color="auto"/>
        <w:left w:val="none" w:sz="0" w:space="0" w:color="auto"/>
        <w:bottom w:val="none" w:sz="0" w:space="0" w:color="auto"/>
        <w:right w:val="none" w:sz="0" w:space="0" w:color="auto"/>
      </w:divBdr>
    </w:div>
    <w:div w:id="420294592">
      <w:bodyDiv w:val="1"/>
      <w:marLeft w:val="0"/>
      <w:marRight w:val="0"/>
      <w:marTop w:val="0"/>
      <w:marBottom w:val="0"/>
      <w:divBdr>
        <w:top w:val="none" w:sz="0" w:space="0" w:color="auto"/>
        <w:left w:val="none" w:sz="0" w:space="0" w:color="auto"/>
        <w:bottom w:val="none" w:sz="0" w:space="0" w:color="auto"/>
        <w:right w:val="none" w:sz="0" w:space="0" w:color="auto"/>
      </w:divBdr>
    </w:div>
    <w:div w:id="580523658">
      <w:bodyDiv w:val="1"/>
      <w:marLeft w:val="0"/>
      <w:marRight w:val="0"/>
      <w:marTop w:val="0"/>
      <w:marBottom w:val="0"/>
      <w:divBdr>
        <w:top w:val="none" w:sz="0" w:space="0" w:color="auto"/>
        <w:left w:val="none" w:sz="0" w:space="0" w:color="auto"/>
        <w:bottom w:val="none" w:sz="0" w:space="0" w:color="auto"/>
        <w:right w:val="none" w:sz="0" w:space="0" w:color="auto"/>
      </w:divBdr>
    </w:div>
    <w:div w:id="833225771">
      <w:bodyDiv w:val="1"/>
      <w:marLeft w:val="0"/>
      <w:marRight w:val="0"/>
      <w:marTop w:val="0"/>
      <w:marBottom w:val="0"/>
      <w:divBdr>
        <w:top w:val="none" w:sz="0" w:space="0" w:color="auto"/>
        <w:left w:val="none" w:sz="0" w:space="0" w:color="auto"/>
        <w:bottom w:val="none" w:sz="0" w:space="0" w:color="auto"/>
        <w:right w:val="none" w:sz="0" w:space="0" w:color="auto"/>
      </w:divBdr>
    </w:div>
    <w:div w:id="878933129">
      <w:bodyDiv w:val="1"/>
      <w:marLeft w:val="0"/>
      <w:marRight w:val="0"/>
      <w:marTop w:val="0"/>
      <w:marBottom w:val="0"/>
      <w:divBdr>
        <w:top w:val="none" w:sz="0" w:space="0" w:color="auto"/>
        <w:left w:val="none" w:sz="0" w:space="0" w:color="auto"/>
        <w:bottom w:val="none" w:sz="0" w:space="0" w:color="auto"/>
        <w:right w:val="none" w:sz="0" w:space="0" w:color="auto"/>
      </w:divBdr>
    </w:div>
    <w:div w:id="1226643204">
      <w:bodyDiv w:val="1"/>
      <w:marLeft w:val="0"/>
      <w:marRight w:val="0"/>
      <w:marTop w:val="0"/>
      <w:marBottom w:val="0"/>
      <w:divBdr>
        <w:top w:val="none" w:sz="0" w:space="0" w:color="auto"/>
        <w:left w:val="none" w:sz="0" w:space="0" w:color="auto"/>
        <w:bottom w:val="none" w:sz="0" w:space="0" w:color="auto"/>
        <w:right w:val="none" w:sz="0" w:space="0" w:color="auto"/>
      </w:divBdr>
    </w:div>
    <w:div w:id="1417631439">
      <w:bodyDiv w:val="1"/>
      <w:marLeft w:val="0"/>
      <w:marRight w:val="0"/>
      <w:marTop w:val="0"/>
      <w:marBottom w:val="0"/>
      <w:divBdr>
        <w:top w:val="none" w:sz="0" w:space="0" w:color="auto"/>
        <w:left w:val="none" w:sz="0" w:space="0" w:color="auto"/>
        <w:bottom w:val="none" w:sz="0" w:space="0" w:color="auto"/>
        <w:right w:val="none" w:sz="0" w:space="0" w:color="auto"/>
      </w:divBdr>
    </w:div>
    <w:div w:id="1423406924">
      <w:bodyDiv w:val="1"/>
      <w:marLeft w:val="0"/>
      <w:marRight w:val="0"/>
      <w:marTop w:val="0"/>
      <w:marBottom w:val="0"/>
      <w:divBdr>
        <w:top w:val="none" w:sz="0" w:space="0" w:color="auto"/>
        <w:left w:val="none" w:sz="0" w:space="0" w:color="auto"/>
        <w:bottom w:val="none" w:sz="0" w:space="0" w:color="auto"/>
        <w:right w:val="none" w:sz="0" w:space="0" w:color="auto"/>
      </w:divBdr>
    </w:div>
    <w:div w:id="1671134076">
      <w:bodyDiv w:val="1"/>
      <w:marLeft w:val="0"/>
      <w:marRight w:val="0"/>
      <w:marTop w:val="0"/>
      <w:marBottom w:val="0"/>
      <w:divBdr>
        <w:top w:val="none" w:sz="0" w:space="0" w:color="auto"/>
        <w:left w:val="none" w:sz="0" w:space="0" w:color="auto"/>
        <w:bottom w:val="none" w:sz="0" w:space="0" w:color="auto"/>
        <w:right w:val="none" w:sz="0" w:space="0" w:color="auto"/>
      </w:divBdr>
      <w:divsChild>
        <w:div w:id="215357427">
          <w:marLeft w:val="0"/>
          <w:marRight w:val="0"/>
          <w:marTop w:val="0"/>
          <w:marBottom w:val="0"/>
          <w:divBdr>
            <w:top w:val="none" w:sz="0" w:space="0" w:color="auto"/>
            <w:left w:val="none" w:sz="0" w:space="0" w:color="auto"/>
            <w:bottom w:val="none" w:sz="0" w:space="0" w:color="auto"/>
            <w:right w:val="none" w:sz="0" w:space="0" w:color="auto"/>
          </w:divBdr>
          <w:divsChild>
            <w:div w:id="1953129916">
              <w:marLeft w:val="0"/>
              <w:marRight w:val="0"/>
              <w:marTop w:val="0"/>
              <w:marBottom w:val="0"/>
              <w:divBdr>
                <w:top w:val="none" w:sz="0" w:space="0" w:color="auto"/>
                <w:left w:val="none" w:sz="0" w:space="0" w:color="auto"/>
                <w:bottom w:val="none" w:sz="0" w:space="0" w:color="auto"/>
                <w:right w:val="none" w:sz="0" w:space="0" w:color="auto"/>
              </w:divBdr>
              <w:divsChild>
                <w:div w:id="10566656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1385252">
      <w:bodyDiv w:val="1"/>
      <w:marLeft w:val="0"/>
      <w:marRight w:val="0"/>
      <w:marTop w:val="0"/>
      <w:marBottom w:val="0"/>
      <w:divBdr>
        <w:top w:val="none" w:sz="0" w:space="0" w:color="auto"/>
        <w:left w:val="none" w:sz="0" w:space="0" w:color="auto"/>
        <w:bottom w:val="none" w:sz="0" w:space="0" w:color="auto"/>
        <w:right w:val="none" w:sz="0" w:space="0" w:color="auto"/>
      </w:divBdr>
    </w:div>
    <w:div w:id="1883051105">
      <w:bodyDiv w:val="1"/>
      <w:marLeft w:val="0"/>
      <w:marRight w:val="0"/>
      <w:marTop w:val="0"/>
      <w:marBottom w:val="0"/>
      <w:divBdr>
        <w:top w:val="none" w:sz="0" w:space="0" w:color="auto"/>
        <w:left w:val="none" w:sz="0" w:space="0" w:color="auto"/>
        <w:bottom w:val="none" w:sz="0" w:space="0" w:color="auto"/>
        <w:right w:val="none" w:sz="0" w:space="0" w:color="auto"/>
      </w:divBdr>
    </w:div>
    <w:div w:id="1913660171">
      <w:bodyDiv w:val="1"/>
      <w:marLeft w:val="0"/>
      <w:marRight w:val="0"/>
      <w:marTop w:val="0"/>
      <w:marBottom w:val="0"/>
      <w:divBdr>
        <w:top w:val="none" w:sz="0" w:space="0" w:color="auto"/>
        <w:left w:val="none" w:sz="0" w:space="0" w:color="auto"/>
        <w:bottom w:val="none" w:sz="0" w:space="0" w:color="auto"/>
        <w:right w:val="none" w:sz="0" w:space="0" w:color="auto"/>
      </w:divBdr>
    </w:div>
    <w:div w:id="2058386558">
      <w:bodyDiv w:val="1"/>
      <w:marLeft w:val="0"/>
      <w:marRight w:val="0"/>
      <w:marTop w:val="0"/>
      <w:marBottom w:val="0"/>
      <w:divBdr>
        <w:top w:val="none" w:sz="0" w:space="0" w:color="auto"/>
        <w:left w:val="none" w:sz="0" w:space="0" w:color="auto"/>
        <w:bottom w:val="none" w:sz="0" w:space="0" w:color="auto"/>
        <w:right w:val="none" w:sz="0" w:space="0" w:color="auto"/>
      </w:divBdr>
      <w:divsChild>
        <w:div w:id="99911533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 /><Relationship Id="rId3" Type="http://schemas.openxmlformats.org/officeDocument/2006/relationships/settings" Target="settings.xml" /><Relationship Id="rId7" Type="http://schemas.openxmlformats.org/officeDocument/2006/relationships/header" Target="header1.xml"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endnotes" Target="endnotes.xml" /><Relationship Id="rId5" Type="http://schemas.openxmlformats.org/officeDocument/2006/relationships/footnotes" Target="footnotes.xml" /><Relationship Id="rId10" Type="http://schemas.openxmlformats.org/officeDocument/2006/relationships/theme" Target="theme/theme1.xml" /><Relationship Id="rId4" Type="http://schemas.openxmlformats.org/officeDocument/2006/relationships/webSettings" Target="webSettings.xml" /><Relationship Id="rId9" Type="http://schemas.openxmlformats.org/officeDocument/2006/relationships/fontTable" Target="fontTable.xml" /></Relationships>
</file>

<file path=word/_rels/header1.xml.rels><?xml version="1.0" encoding="UTF-8" standalone="yes"?>
<Relationships xmlns="http://schemas.openxmlformats.org/package/2006/relationships"><Relationship Id="rId1" Type="http://schemas.openxmlformats.org/officeDocument/2006/relationships/image" Target="media/image1.jp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859</Words>
  <Characters>4690</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West Cluster Probationary Period Development Plan</vt:lpstr>
    </vt:vector>
  </TitlesOfParts>
  <Company>Marriott International</Company>
  <LinksUpToDate>false</LinksUpToDate>
  <CharactersWithSpaces>5538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West Cluster Probationary Period Development Plan</dc:title>
  <dc:creator>lrbal454</dc:creator>
  <cp:lastModifiedBy>Ramona Magdas</cp:lastModifiedBy>
  <cp:revision>2</cp:revision>
  <cp:lastPrinted>2020-09-28T20:53:00Z</cp:lastPrinted>
  <dcterms:created xsi:type="dcterms:W3CDTF">2022-05-12T10:24:00Z</dcterms:created>
  <dcterms:modified xsi:type="dcterms:W3CDTF">2022-05-12T10:24:00Z</dcterms:modified>
</cp:coreProperties>
</file>