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E859AB" w:rsidRPr="00342927" w:rsidRDefault="00E859AB">
      <w:pPr>
        <w:pStyle w:val="Normal1"/>
        <w:rPr>
          <w:lang w:val="en-GB"/>
        </w:rPr>
      </w:pPr>
    </w:p>
    <w:p w:rsidR="00E859AB" w:rsidRDefault="00F47C86">
      <w:pPr>
        <w:pStyle w:val="Normal1"/>
        <w:jc w:val="center"/>
      </w:pPr>
      <w:r>
        <w:rPr>
          <w:noProof/>
        </w:rPr>
        <w:drawing>
          <wp:inline distT="19050" distB="19050" distL="19050" distR="19050">
            <wp:extent cx="1809750" cy="7239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1809750" cy="723900"/>
                    </a:xfrm>
                    <a:prstGeom prst="rect">
                      <a:avLst/>
                    </a:prstGeom>
                    <a:ln/>
                  </pic:spPr>
                </pic:pic>
              </a:graphicData>
            </a:graphic>
          </wp:inline>
        </w:drawing>
      </w:r>
    </w:p>
    <w:p w:rsidR="00E859AB" w:rsidRDefault="00E859AB">
      <w:pPr>
        <w:pStyle w:val="Normal1"/>
        <w:rPr>
          <w:rFonts w:ascii="Times New Roman" w:eastAsia="Times New Roman" w:hAnsi="Times New Roman" w:cs="Times New Roman"/>
          <w:b/>
          <w:sz w:val="28"/>
          <w:szCs w:val="28"/>
        </w:rPr>
      </w:pPr>
    </w:p>
    <w:p w:rsidR="00E859AB" w:rsidRDefault="00E859AB">
      <w:pPr>
        <w:pStyle w:val="Normal1"/>
        <w:jc w:val="center"/>
        <w:rPr>
          <w:rFonts w:ascii="Times New Roman" w:eastAsia="Times New Roman" w:hAnsi="Times New Roman" w:cs="Times New Roman"/>
          <w:b/>
          <w:sz w:val="40"/>
          <w:szCs w:val="40"/>
        </w:rPr>
      </w:pPr>
    </w:p>
    <w:p w:rsidR="00E859AB" w:rsidRDefault="00E859AB">
      <w:pPr>
        <w:pStyle w:val="Normal1"/>
        <w:jc w:val="center"/>
        <w:rPr>
          <w:rFonts w:ascii="Times New Roman" w:eastAsia="Times New Roman" w:hAnsi="Times New Roman" w:cs="Times New Roman"/>
          <w:b/>
          <w:sz w:val="40"/>
          <w:szCs w:val="40"/>
        </w:rPr>
      </w:pPr>
    </w:p>
    <w:p w:rsidR="00E859AB" w:rsidRDefault="00E859AB">
      <w:pPr>
        <w:pStyle w:val="Normal1"/>
        <w:jc w:val="center"/>
        <w:rPr>
          <w:rFonts w:ascii="Times New Roman" w:eastAsia="Times New Roman" w:hAnsi="Times New Roman" w:cs="Times New Roman"/>
          <w:b/>
          <w:sz w:val="40"/>
          <w:szCs w:val="40"/>
        </w:rPr>
      </w:pPr>
    </w:p>
    <w:p w:rsidR="00E859AB" w:rsidRDefault="00E859AB">
      <w:pPr>
        <w:pStyle w:val="Normal1"/>
        <w:jc w:val="center"/>
        <w:rPr>
          <w:rFonts w:ascii="Times New Roman" w:eastAsia="Times New Roman" w:hAnsi="Times New Roman" w:cs="Times New Roman"/>
          <w:b/>
          <w:sz w:val="40"/>
          <w:szCs w:val="40"/>
        </w:rPr>
      </w:pPr>
    </w:p>
    <w:p w:rsidR="00E859AB" w:rsidRDefault="00F47C86">
      <w:pPr>
        <w:pStyle w:val="Normal1"/>
        <w:jc w:val="center"/>
        <w:rPr>
          <w:rFonts w:ascii="Times New Roman" w:eastAsia="Times New Roman" w:hAnsi="Times New Roman" w:cs="Times New Roman"/>
          <w:b/>
          <w:sz w:val="40"/>
          <w:szCs w:val="40"/>
        </w:rPr>
      </w:pPr>
      <w:proofErr w:type="spellStart"/>
      <w:r>
        <w:rPr>
          <w:rFonts w:ascii="Times New Roman" w:eastAsia="Times New Roman" w:hAnsi="Times New Roman" w:cs="Times New Roman"/>
          <w:b/>
          <w:sz w:val="40"/>
          <w:szCs w:val="40"/>
        </w:rPr>
        <w:t>Programme</w:t>
      </w:r>
      <w:proofErr w:type="spellEnd"/>
      <w:r>
        <w:rPr>
          <w:rFonts w:ascii="Times New Roman" w:eastAsia="Times New Roman" w:hAnsi="Times New Roman" w:cs="Times New Roman"/>
          <w:b/>
          <w:sz w:val="40"/>
          <w:szCs w:val="40"/>
        </w:rPr>
        <w:t>: MBA – Master of Business Administration</w:t>
      </w:r>
    </w:p>
    <w:p w:rsidR="00E859AB" w:rsidRDefault="00E859AB">
      <w:pPr>
        <w:pStyle w:val="Normal1"/>
        <w:jc w:val="center"/>
        <w:rPr>
          <w:rFonts w:ascii="Times New Roman" w:eastAsia="Times New Roman" w:hAnsi="Times New Roman" w:cs="Times New Roman"/>
          <w:b/>
          <w:sz w:val="40"/>
          <w:szCs w:val="40"/>
        </w:rPr>
      </w:pPr>
    </w:p>
    <w:p w:rsidR="00E859AB" w:rsidRDefault="00F47C86">
      <w:pPr>
        <w:pStyle w:val="Normal1"/>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Strategic Management</w:t>
      </w:r>
    </w:p>
    <w:p w:rsidR="00E859AB" w:rsidRDefault="00E859AB">
      <w:pPr>
        <w:pStyle w:val="Normal1"/>
        <w:jc w:val="center"/>
        <w:rPr>
          <w:rFonts w:ascii="Times New Roman" w:eastAsia="Times New Roman" w:hAnsi="Times New Roman" w:cs="Times New Roman"/>
          <w:b/>
          <w:sz w:val="40"/>
          <w:szCs w:val="40"/>
        </w:rPr>
      </w:pPr>
    </w:p>
    <w:p w:rsidR="00E859AB" w:rsidRDefault="00F47C86">
      <w:pPr>
        <w:pStyle w:val="Normal1"/>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Module code: LCMB7003</w:t>
      </w:r>
    </w:p>
    <w:p w:rsidR="00E859AB" w:rsidRDefault="00E859AB">
      <w:pPr>
        <w:pStyle w:val="Normal1"/>
        <w:jc w:val="center"/>
        <w:rPr>
          <w:rFonts w:ascii="Times New Roman" w:eastAsia="Times New Roman" w:hAnsi="Times New Roman" w:cs="Times New Roman"/>
          <w:b/>
          <w:sz w:val="40"/>
          <w:szCs w:val="40"/>
        </w:rPr>
      </w:pPr>
    </w:p>
    <w:p w:rsidR="00E859AB" w:rsidRDefault="00E859AB">
      <w:pPr>
        <w:pStyle w:val="Normal1"/>
        <w:jc w:val="center"/>
        <w:rPr>
          <w:rFonts w:ascii="Times New Roman" w:eastAsia="Times New Roman" w:hAnsi="Times New Roman" w:cs="Times New Roman"/>
          <w:b/>
          <w:sz w:val="40"/>
          <w:szCs w:val="40"/>
        </w:rPr>
      </w:pPr>
    </w:p>
    <w:p w:rsidR="00E859AB" w:rsidRDefault="00F47C86">
      <w:pPr>
        <w:pStyle w:val="Normal1"/>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Name</w:t>
      </w:r>
      <w:r w:rsidRPr="001E02B3">
        <w:rPr>
          <w:rFonts w:ascii="Times New Roman" w:eastAsia="Times New Roman" w:hAnsi="Times New Roman" w:cs="Times New Roman"/>
          <w:bCs/>
          <w:sz w:val="40"/>
          <w:szCs w:val="40"/>
        </w:rPr>
        <w:t>:</w:t>
      </w:r>
      <w:r w:rsidR="001E02B3" w:rsidRPr="001E02B3">
        <w:rPr>
          <w:bCs/>
        </w:rPr>
        <w:t xml:space="preserve">   </w:t>
      </w:r>
      <w:r w:rsidR="001E02B3" w:rsidRPr="001E02B3">
        <w:rPr>
          <w:bCs/>
          <w:sz w:val="36"/>
          <w:szCs w:val="36"/>
        </w:rPr>
        <w:t>SONA VADAKKEKARA</w:t>
      </w:r>
    </w:p>
    <w:p w:rsidR="00E859AB" w:rsidRDefault="00F47C86">
      <w:pPr>
        <w:pStyle w:val="Normal1"/>
        <w:jc w:val="center"/>
        <w:rPr>
          <w:rFonts w:ascii="Times New Roman" w:eastAsia="Times New Roman" w:hAnsi="Times New Roman" w:cs="Times New Roman"/>
          <w:b/>
          <w:sz w:val="40"/>
          <w:szCs w:val="40"/>
        </w:rPr>
      </w:pPr>
      <w:r>
        <w:rPr>
          <w:rFonts w:ascii="Times New Roman" w:eastAsia="Times New Roman" w:hAnsi="Times New Roman" w:cs="Times New Roman"/>
          <w:b/>
          <w:sz w:val="40"/>
          <w:szCs w:val="40"/>
        </w:rPr>
        <w:t>Student ID:</w:t>
      </w:r>
      <w:r w:rsidR="001E02B3" w:rsidRPr="001E02B3">
        <w:rPr>
          <w:sz w:val="36"/>
          <w:szCs w:val="36"/>
        </w:rPr>
        <w:t xml:space="preserve"> </w:t>
      </w:r>
      <w:r w:rsidR="001E02B3" w:rsidRPr="001E02B3">
        <w:rPr>
          <w:b/>
          <w:bCs/>
          <w:sz w:val="36"/>
          <w:szCs w:val="36"/>
        </w:rPr>
        <w:t>2212235</w:t>
      </w:r>
      <w:r>
        <w:br w:type="page"/>
      </w:r>
    </w:p>
    <w:bookmarkStart w:id="0" w:name="_u4m20evpf3ac" w:colFirst="0" w:colLast="0" w:displacedByCustomXml="next"/>
    <w:bookmarkEnd w:id="0" w:displacedByCustomXml="next"/>
    <w:sdt>
      <w:sdtPr>
        <w:rPr>
          <w:rFonts w:ascii="Times New Roman" w:eastAsia="Arial" w:hAnsi="Times New Roman" w:cs="Times New Roman"/>
          <w:b w:val="0"/>
          <w:bCs w:val="0"/>
          <w:color w:val="auto"/>
          <w:sz w:val="22"/>
          <w:szCs w:val="22"/>
          <w:lang w:val="en-GB"/>
        </w:rPr>
        <w:id w:val="49158422"/>
        <w:docPartObj>
          <w:docPartGallery w:val="Table of Contents"/>
          <w:docPartUnique/>
        </w:docPartObj>
      </w:sdtPr>
      <w:sdtEndPr>
        <w:rPr>
          <w:sz w:val="24"/>
          <w:szCs w:val="24"/>
        </w:rPr>
      </w:sdtEndPr>
      <w:sdtContent>
        <w:p w:rsidR="003C1C3B" w:rsidRPr="003C1C3B" w:rsidRDefault="003C1C3B" w:rsidP="003C1C3B">
          <w:pPr>
            <w:pStyle w:val="TOCHeading"/>
            <w:jc w:val="center"/>
            <w:rPr>
              <w:rFonts w:ascii="Times New Roman" w:hAnsi="Times New Roman" w:cs="Times New Roman"/>
              <w:color w:val="auto"/>
            </w:rPr>
          </w:pPr>
          <w:r w:rsidRPr="003C1C3B">
            <w:rPr>
              <w:rFonts w:ascii="Times New Roman" w:hAnsi="Times New Roman" w:cs="Times New Roman"/>
              <w:color w:val="auto"/>
            </w:rPr>
            <w:t>Table of Contents</w:t>
          </w:r>
        </w:p>
        <w:p w:rsidR="008D685A" w:rsidRPr="008D685A" w:rsidRDefault="00331FB1">
          <w:pPr>
            <w:pStyle w:val="TOC1"/>
            <w:tabs>
              <w:tab w:val="right" w:leader="dot" w:pos="9019"/>
            </w:tabs>
            <w:rPr>
              <w:rFonts w:ascii="Times New Roman" w:eastAsiaTheme="minorEastAsia" w:hAnsi="Times New Roman" w:cs="Times New Roman"/>
              <w:noProof/>
              <w:sz w:val="24"/>
              <w:szCs w:val="24"/>
              <w:lang w:val="en-US"/>
            </w:rPr>
          </w:pPr>
          <w:r w:rsidRPr="008D685A">
            <w:rPr>
              <w:rFonts w:ascii="Times New Roman" w:hAnsi="Times New Roman" w:cs="Times New Roman"/>
              <w:sz w:val="24"/>
              <w:szCs w:val="24"/>
            </w:rPr>
            <w:fldChar w:fldCharType="begin"/>
          </w:r>
          <w:r w:rsidR="003C1C3B" w:rsidRPr="008D685A">
            <w:rPr>
              <w:rFonts w:ascii="Times New Roman" w:hAnsi="Times New Roman" w:cs="Times New Roman"/>
              <w:sz w:val="24"/>
              <w:szCs w:val="24"/>
            </w:rPr>
            <w:instrText xml:space="preserve"> TOC \o "1-3" \h \z \u </w:instrText>
          </w:r>
          <w:r w:rsidRPr="008D685A">
            <w:rPr>
              <w:rFonts w:ascii="Times New Roman" w:hAnsi="Times New Roman" w:cs="Times New Roman"/>
              <w:sz w:val="24"/>
              <w:szCs w:val="24"/>
            </w:rPr>
            <w:fldChar w:fldCharType="separate"/>
          </w:r>
          <w:hyperlink w:anchor="_Toc134355913" w:history="1">
            <w:r w:rsidR="008D685A" w:rsidRPr="008D685A">
              <w:rPr>
                <w:rStyle w:val="Hyperlink"/>
                <w:rFonts w:ascii="Times New Roman" w:hAnsi="Times New Roman" w:cs="Times New Roman"/>
                <w:noProof/>
                <w:sz w:val="24"/>
                <w:szCs w:val="24"/>
              </w:rPr>
              <w:t>Introduction</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_Toc134355913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3</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14" w:history="1">
            <w:r w:rsidR="008D685A" w:rsidRPr="008D685A">
              <w:rPr>
                <w:rStyle w:val="Hyperlink"/>
                <w:rFonts w:ascii="Times New Roman" w:hAnsi="Times New Roman" w:cs="Times New Roman"/>
                <w:noProof/>
                <w:sz w:val="24"/>
                <w:szCs w:val="24"/>
              </w:rPr>
              <w:t>Background</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_Toc134355914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4</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15" w:history="1">
            <w:r w:rsidR="008D685A" w:rsidRPr="008D685A">
              <w:rPr>
                <w:rStyle w:val="Hyperlink"/>
                <w:rFonts w:ascii="Times New Roman" w:hAnsi="Times New Roman" w:cs="Times New Roman"/>
                <w:noProof/>
                <w:sz w:val="24"/>
                <w:szCs w:val="24"/>
              </w:rPr>
              <w:t>American Express's Mission and Objectives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_Toc134355915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5</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16" w:history="1">
            <w:r w:rsidR="008D685A" w:rsidRPr="008D685A">
              <w:rPr>
                <w:rStyle w:val="Hyperlink"/>
                <w:rFonts w:ascii="Times New Roman" w:hAnsi="Times New Roman" w:cs="Times New Roman"/>
                <w:noProof/>
                <w:sz w:val="24"/>
                <w:szCs w:val="24"/>
              </w:rPr>
              <w:t>Macro-Environment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_Toc134355916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17" w:history="1">
            <w:r w:rsidR="008D685A" w:rsidRPr="008D685A">
              <w:rPr>
                <w:rStyle w:val="Hyperlink"/>
                <w:rFonts w:ascii="Times New Roman" w:hAnsi="Times New Roman" w:cs="Times New Roman"/>
                <w:noProof/>
                <w:sz w:val="24"/>
                <w:szCs w:val="24"/>
              </w:rPr>
              <w:t>Political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_Toc134355917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18" w:history="1">
            <w:r w:rsidR="008D685A" w:rsidRPr="008D685A">
              <w:rPr>
                <w:rStyle w:val="Hyperlink"/>
                <w:rFonts w:ascii="Times New Roman" w:hAnsi="Times New Roman" w:cs="Times New Roman"/>
                <w:noProof/>
                <w:sz w:val="24"/>
                <w:szCs w:val="24"/>
              </w:rPr>
              <w:t>Economic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_Toc134355918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19" w:history="1">
            <w:r w:rsidR="008D685A" w:rsidRPr="008D685A">
              <w:rPr>
                <w:rStyle w:val="Hyperlink"/>
                <w:rFonts w:ascii="Times New Roman" w:hAnsi="Times New Roman" w:cs="Times New Roman"/>
                <w:noProof/>
                <w:sz w:val="24"/>
                <w:szCs w:val="24"/>
              </w:rPr>
              <w:t>Social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_Toc134355919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0" w:history="1">
            <w:r w:rsidR="008D685A" w:rsidRPr="008D685A">
              <w:rPr>
                <w:rStyle w:val="Hyperlink"/>
                <w:rFonts w:ascii="Times New Roman" w:hAnsi="Times New Roman" w:cs="Times New Roman"/>
                <w:noProof/>
                <w:sz w:val="24"/>
                <w:szCs w:val="24"/>
              </w:rPr>
              <w:t>Technological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_Toc134355920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7</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1" w:history="1">
            <w:r w:rsidR="008D685A" w:rsidRPr="008D685A">
              <w:rPr>
                <w:rStyle w:val="Hyperlink"/>
                <w:rFonts w:ascii="Times New Roman" w:hAnsi="Times New Roman" w:cs="Times New Roman"/>
                <w:noProof/>
                <w:sz w:val="24"/>
                <w:szCs w:val="24"/>
              </w:rPr>
              <w:t>Environmental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_Toc134355921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7</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2" w:history="1">
            <w:r w:rsidR="008D685A" w:rsidRPr="008D685A">
              <w:rPr>
                <w:rStyle w:val="Hyperlink"/>
                <w:rFonts w:ascii="Times New Roman" w:hAnsi="Times New Roman" w:cs="Times New Roman"/>
                <w:noProof/>
                <w:sz w:val="24"/>
                <w:szCs w:val="24"/>
              </w:rPr>
              <w:t>Legal factors: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_Toc134355922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8</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23" w:history="1">
            <w:r w:rsidR="008D685A" w:rsidRPr="008D685A">
              <w:rPr>
                <w:rStyle w:val="Hyperlink"/>
                <w:rFonts w:ascii="Times New Roman" w:hAnsi="Times New Roman" w:cs="Times New Roman"/>
                <w:noProof/>
                <w:sz w:val="24"/>
                <w:szCs w:val="24"/>
              </w:rPr>
              <w:t>Micro-Environment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_Toc134355923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8</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4" w:history="1">
            <w:r w:rsidR="008D685A" w:rsidRPr="008D685A">
              <w:rPr>
                <w:rStyle w:val="Hyperlink"/>
                <w:rFonts w:ascii="Times New Roman" w:hAnsi="Times New Roman" w:cs="Times New Roman"/>
                <w:noProof/>
                <w:sz w:val="24"/>
                <w:szCs w:val="24"/>
              </w:rPr>
              <w:t>Industry Life Cycle:</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_Toc134355924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8</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5" w:history="1">
            <w:r w:rsidR="008D685A" w:rsidRPr="008D685A">
              <w:rPr>
                <w:rStyle w:val="Hyperlink"/>
                <w:rFonts w:ascii="Times New Roman" w:hAnsi="Times New Roman" w:cs="Times New Roman"/>
                <w:noProof/>
                <w:sz w:val="24"/>
                <w:szCs w:val="24"/>
              </w:rPr>
              <w:t>Porter's Industry Five Forces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_Toc134355925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9</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26" w:history="1">
            <w:r w:rsidR="008D685A" w:rsidRPr="008D685A">
              <w:rPr>
                <w:rStyle w:val="Hyperlink"/>
                <w:rFonts w:ascii="Times New Roman" w:hAnsi="Times New Roman" w:cs="Times New Roman"/>
                <w:noProof/>
                <w:sz w:val="24"/>
                <w:szCs w:val="24"/>
              </w:rPr>
              <w:t>Internal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_Toc134355926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10</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7" w:history="1">
            <w:r w:rsidR="008D685A" w:rsidRPr="008D685A">
              <w:rPr>
                <w:rStyle w:val="Hyperlink"/>
                <w:rFonts w:ascii="Times New Roman" w:hAnsi="Times New Roman" w:cs="Times New Roman"/>
                <w:noProof/>
                <w:sz w:val="24"/>
                <w:szCs w:val="24"/>
              </w:rPr>
              <w:t>American Express's Strategic Resources and Capabilities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_Toc134355927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10</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8" w:history="1">
            <w:r w:rsidR="008D685A" w:rsidRPr="008D685A">
              <w:rPr>
                <w:rStyle w:val="Hyperlink"/>
                <w:rFonts w:ascii="Times New Roman" w:hAnsi="Times New Roman" w:cs="Times New Roman"/>
                <w:noProof/>
                <w:sz w:val="24"/>
                <w:szCs w:val="24"/>
              </w:rPr>
              <w:t>Value Chain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_Toc134355928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11</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29" w:history="1">
            <w:r w:rsidR="008D685A" w:rsidRPr="008D685A">
              <w:rPr>
                <w:rStyle w:val="Hyperlink"/>
                <w:rFonts w:ascii="Times New Roman" w:hAnsi="Times New Roman" w:cs="Times New Roman"/>
                <w:noProof/>
                <w:sz w:val="24"/>
                <w:szCs w:val="24"/>
              </w:rPr>
              <w:t>VRIO Analysis of Distinctive Resources and Capabilities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_Toc134355929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13</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30" w:history="1">
            <w:r w:rsidR="008D685A" w:rsidRPr="008D685A">
              <w:rPr>
                <w:rStyle w:val="Hyperlink"/>
                <w:rFonts w:ascii="Times New Roman" w:hAnsi="Times New Roman" w:cs="Times New Roman"/>
                <w:noProof/>
                <w:sz w:val="24"/>
                <w:szCs w:val="24"/>
              </w:rPr>
              <w:t>SWOT Analysis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_Toc134355930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14</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31" w:history="1">
            <w:r w:rsidR="008D685A" w:rsidRPr="008D685A">
              <w:rPr>
                <w:rStyle w:val="Hyperlink"/>
                <w:rFonts w:ascii="Times New Roman" w:hAnsi="Times New Roman" w:cs="Times New Roman"/>
                <w:noProof/>
                <w:sz w:val="24"/>
                <w:szCs w:val="24"/>
              </w:rPr>
              <w:t>Strategies to Sustain Competitive Advantage</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_Toc134355931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32" w:history="1">
            <w:r w:rsidR="008D685A" w:rsidRPr="008D685A">
              <w:rPr>
                <w:rStyle w:val="Hyperlink"/>
                <w:rFonts w:ascii="Times New Roman" w:hAnsi="Times New Roman" w:cs="Times New Roman"/>
                <w:noProof/>
                <w:sz w:val="24"/>
                <w:szCs w:val="24"/>
              </w:rPr>
              <w:t>Growth Strategies:</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_Toc134355932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16</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2"/>
            <w:tabs>
              <w:tab w:val="right" w:leader="dot" w:pos="9019"/>
            </w:tabs>
            <w:rPr>
              <w:rFonts w:ascii="Times New Roman" w:hAnsi="Times New Roman" w:cs="Times New Roman"/>
              <w:noProof/>
              <w:sz w:val="24"/>
              <w:szCs w:val="24"/>
            </w:rPr>
          </w:pPr>
          <w:hyperlink w:anchor="_Toc134355933" w:history="1">
            <w:r w:rsidR="008D685A" w:rsidRPr="008D685A">
              <w:rPr>
                <w:rStyle w:val="Hyperlink"/>
                <w:rFonts w:ascii="Times New Roman" w:hAnsi="Times New Roman" w:cs="Times New Roman"/>
                <w:noProof/>
                <w:sz w:val="24"/>
                <w:szCs w:val="24"/>
              </w:rPr>
              <w:t>Green Strategy and CSR:</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_Toc134355933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18</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34" w:history="1">
            <w:r w:rsidR="008D685A" w:rsidRPr="008D685A">
              <w:rPr>
                <w:rStyle w:val="Hyperlink"/>
                <w:rFonts w:ascii="Times New Roman" w:hAnsi="Times New Roman" w:cs="Times New Roman"/>
                <w:noProof/>
                <w:sz w:val="24"/>
                <w:szCs w:val="24"/>
              </w:rPr>
              <w:t>Recommendation</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_Toc134355934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20</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35" w:history="1">
            <w:r w:rsidR="008D685A" w:rsidRPr="008D685A">
              <w:rPr>
                <w:rStyle w:val="Hyperlink"/>
                <w:rFonts w:ascii="Times New Roman" w:hAnsi="Times New Roman" w:cs="Times New Roman"/>
                <w:noProof/>
                <w:sz w:val="24"/>
                <w:szCs w:val="24"/>
              </w:rPr>
              <w:t>Conclusion</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_Toc134355935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22</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36" w:history="1">
            <w:r w:rsidR="008D685A" w:rsidRPr="008D685A">
              <w:rPr>
                <w:rStyle w:val="Hyperlink"/>
                <w:rFonts w:ascii="Times New Roman" w:hAnsi="Times New Roman" w:cs="Times New Roman"/>
                <w:noProof/>
                <w:sz w:val="24"/>
                <w:szCs w:val="24"/>
              </w:rPr>
              <w:t>Reference</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_Toc134355936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24</w:t>
            </w:r>
            <w:r w:rsidR="008D685A" w:rsidRPr="008D685A">
              <w:rPr>
                <w:rFonts w:ascii="Times New Roman" w:hAnsi="Times New Roman" w:cs="Times New Roman"/>
                <w:noProof/>
                <w:webHidden/>
                <w:sz w:val="24"/>
                <w:szCs w:val="24"/>
              </w:rPr>
              <w:fldChar w:fldCharType="end"/>
            </w:r>
          </w:hyperlink>
        </w:p>
        <w:p w:rsidR="008D685A" w:rsidRPr="008D685A" w:rsidRDefault="00000000">
          <w:pPr>
            <w:pStyle w:val="TOC1"/>
            <w:tabs>
              <w:tab w:val="right" w:leader="dot" w:pos="9019"/>
            </w:tabs>
            <w:rPr>
              <w:rFonts w:ascii="Times New Roman" w:eastAsiaTheme="minorEastAsia" w:hAnsi="Times New Roman" w:cs="Times New Roman"/>
              <w:noProof/>
              <w:sz w:val="24"/>
              <w:szCs w:val="24"/>
              <w:lang w:val="en-US"/>
            </w:rPr>
          </w:pPr>
          <w:hyperlink w:anchor="_Toc134355937" w:history="1">
            <w:r w:rsidR="008D685A" w:rsidRPr="008D685A">
              <w:rPr>
                <w:rStyle w:val="Hyperlink"/>
                <w:rFonts w:ascii="Times New Roman" w:hAnsi="Times New Roman" w:cs="Times New Roman"/>
                <w:noProof/>
                <w:sz w:val="24"/>
                <w:szCs w:val="24"/>
              </w:rPr>
              <w:t>Appendix:</w:t>
            </w:r>
            <w:r w:rsidR="008D685A" w:rsidRPr="008D685A">
              <w:rPr>
                <w:rFonts w:ascii="Times New Roman" w:hAnsi="Times New Roman" w:cs="Times New Roman"/>
                <w:noProof/>
                <w:webHidden/>
                <w:sz w:val="24"/>
                <w:szCs w:val="24"/>
              </w:rPr>
              <w:tab/>
            </w:r>
            <w:r w:rsidR="008D685A" w:rsidRPr="008D685A">
              <w:rPr>
                <w:rFonts w:ascii="Times New Roman" w:hAnsi="Times New Roman" w:cs="Times New Roman"/>
                <w:noProof/>
                <w:webHidden/>
                <w:sz w:val="24"/>
                <w:szCs w:val="24"/>
              </w:rPr>
              <w:fldChar w:fldCharType="begin"/>
            </w:r>
            <w:r w:rsidR="008D685A" w:rsidRPr="008D685A">
              <w:rPr>
                <w:rFonts w:ascii="Times New Roman" w:hAnsi="Times New Roman" w:cs="Times New Roman"/>
                <w:noProof/>
                <w:webHidden/>
                <w:sz w:val="24"/>
                <w:szCs w:val="24"/>
              </w:rPr>
              <w:instrText xml:space="preserve"> PAGEREF _Toc134355937 \h </w:instrText>
            </w:r>
            <w:r w:rsidR="008D685A" w:rsidRPr="008D685A">
              <w:rPr>
                <w:rFonts w:ascii="Times New Roman" w:hAnsi="Times New Roman" w:cs="Times New Roman"/>
                <w:noProof/>
                <w:webHidden/>
                <w:sz w:val="24"/>
                <w:szCs w:val="24"/>
              </w:rPr>
            </w:r>
            <w:r w:rsidR="008D685A" w:rsidRPr="008D685A">
              <w:rPr>
                <w:rFonts w:ascii="Times New Roman" w:hAnsi="Times New Roman" w:cs="Times New Roman"/>
                <w:noProof/>
                <w:webHidden/>
                <w:sz w:val="24"/>
                <w:szCs w:val="24"/>
              </w:rPr>
              <w:fldChar w:fldCharType="separate"/>
            </w:r>
            <w:r w:rsidR="008D685A" w:rsidRPr="008D685A">
              <w:rPr>
                <w:rFonts w:ascii="Times New Roman" w:hAnsi="Times New Roman" w:cs="Times New Roman"/>
                <w:noProof/>
                <w:webHidden/>
                <w:sz w:val="24"/>
                <w:szCs w:val="24"/>
              </w:rPr>
              <w:t>30</w:t>
            </w:r>
            <w:r w:rsidR="008D685A" w:rsidRPr="008D685A">
              <w:rPr>
                <w:rFonts w:ascii="Times New Roman" w:hAnsi="Times New Roman" w:cs="Times New Roman"/>
                <w:noProof/>
                <w:webHidden/>
                <w:sz w:val="24"/>
                <w:szCs w:val="24"/>
              </w:rPr>
              <w:fldChar w:fldCharType="end"/>
            </w:r>
          </w:hyperlink>
        </w:p>
        <w:p w:rsidR="003C1C3B" w:rsidRPr="008D685A" w:rsidRDefault="00331FB1">
          <w:pPr>
            <w:rPr>
              <w:rFonts w:ascii="Times New Roman" w:hAnsi="Times New Roman" w:cs="Times New Roman"/>
              <w:sz w:val="24"/>
              <w:szCs w:val="24"/>
            </w:rPr>
          </w:pPr>
          <w:r w:rsidRPr="008D685A">
            <w:rPr>
              <w:rFonts w:ascii="Times New Roman" w:hAnsi="Times New Roman" w:cs="Times New Roman"/>
              <w:sz w:val="24"/>
              <w:szCs w:val="24"/>
            </w:rPr>
            <w:fldChar w:fldCharType="end"/>
          </w:r>
        </w:p>
      </w:sdtContent>
    </w:sdt>
    <w:p w:rsidR="003C1C3B" w:rsidRPr="008D685A" w:rsidRDefault="003C1C3B">
      <w:pPr>
        <w:rPr>
          <w:rFonts w:ascii="Times New Roman" w:eastAsia="Times New Roman" w:hAnsi="Times New Roman" w:cs="Times New Roman"/>
          <w:b/>
          <w:sz w:val="24"/>
          <w:szCs w:val="24"/>
        </w:rPr>
      </w:pPr>
      <w:r w:rsidRPr="008D685A">
        <w:rPr>
          <w:rFonts w:ascii="Times New Roman" w:hAnsi="Times New Roman" w:cs="Times New Roman"/>
          <w:sz w:val="24"/>
          <w:szCs w:val="24"/>
        </w:rPr>
        <w:br w:type="page"/>
      </w:r>
    </w:p>
    <w:p w:rsidR="00E859AB" w:rsidRDefault="00F47C86">
      <w:pPr>
        <w:pStyle w:val="Heading1"/>
      </w:pPr>
      <w:bookmarkStart w:id="1" w:name="_Toc134355913"/>
      <w:r>
        <w:lastRenderedPageBreak/>
        <w:t>Introduction</w:t>
      </w:r>
      <w:bookmarkEnd w:id="1"/>
      <w:r>
        <w:t xml:space="preserve"> </w:t>
      </w:r>
    </w:p>
    <w:p w:rsidR="00E859AB" w:rsidRDefault="00E859AB">
      <w:pPr>
        <w:pStyle w:val="Normal1"/>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Instituted in 1850, American Express stands as a preeminent multinational financial services conglomerate, with its headquarters nestled in the bustling metropolis of New York City, USA. Initially emerging as an express mail establishment, the venerated firm has subsequently transformed into an illustrious institution proffering an extensive range of charge and credit card commodities, travel-related conveniences, and financial advisory services transcending international boundaries. In the current year of 2021, American Express holds the 9th position in the U.S. banking industry in relation to its total assets. Furthermore, its credit cards contribute to roughly 23% of the overall dollar volume of credit card transactions in the United States </w:t>
      </w:r>
      <w:proofErr w:type="gramStart"/>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Pokora</w:t>
      </w:r>
      <w:proofErr w:type="spellEnd"/>
      <w:r>
        <w:rPr>
          <w:rFonts w:ascii="Times New Roman" w:eastAsia="Times New Roman" w:hAnsi="Times New Roman" w:cs="Times New Roman"/>
          <w:sz w:val="24"/>
          <w:szCs w:val="24"/>
        </w:rPr>
        <w:t>, 2023).</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objective of this document is to conduct an analysis of the strategic management of American Express, with the aim of comprehending the means by which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attained its competitive edge within the financial services sector. The proposed task entails a comprehensive analysis of American Express's macro and micro-environment, internal resources and capabilities, and its strategies aimed at maintaining its competitive edge. The objective of this report is to furnish perspectives on the strategic decision-making process of the company and proffer suggestions for its future expansion and triumph.</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structure of the report shall be as follows: Initially, the paper will provide an overview of American Express, encompassing a concise chronicle and the corporation's vision and goals. Subsequently, an evaluation of the macro-environment will be undertaken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the PESTEL framework, succeeded by an appraisal of the micro-environment, which encompasses the industry life cycle and Porter's Five Forces Analysis. The forthcoming internal analysis will encompass an evaluation of American Express's strategic resources and capabilities, a comprehensive value chain analysis, and a VRIO analysis of its unique resources and capabilities. Subsequently, a SWOT analysis shall be proffered to provide a concise overview of the organization's internal strengths and weaknesses, as well as external opportunities and threats.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concluding segments of the report will </w:t>
      </w:r>
      <w:proofErr w:type="spellStart"/>
      <w:r>
        <w:rPr>
          <w:rFonts w:ascii="Times New Roman" w:eastAsia="Times New Roman" w:hAnsi="Times New Roman" w:cs="Times New Roman"/>
          <w:sz w:val="24"/>
          <w:szCs w:val="24"/>
        </w:rPr>
        <w:t>centre</w:t>
      </w:r>
      <w:proofErr w:type="spellEnd"/>
      <w:r>
        <w:rPr>
          <w:rFonts w:ascii="Times New Roman" w:eastAsia="Times New Roman" w:hAnsi="Times New Roman" w:cs="Times New Roman"/>
          <w:sz w:val="24"/>
          <w:szCs w:val="24"/>
        </w:rPr>
        <w:t xml:space="preserve"> on the methodologies implemented by American Express to maintain its competitive edge, with particular emphasis on expansion tactics, environmental sustainability initiatives, and corporate social responsibility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The document will culminate by presenting a synopsis of significant discoveries and suggestions for American Express to uphold or augment its competitive edge within the financial services sector.</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062538" cy="2060335"/>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062538" cy="2060335"/>
                    </a:xfrm>
                    <a:prstGeom prst="rect">
                      <a:avLst/>
                    </a:prstGeom>
                    <a:ln/>
                  </pic:spPr>
                </pic:pic>
              </a:graphicData>
            </a:graphic>
          </wp:inline>
        </w:drawing>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Company Logo</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Americanexpress</w:t>
      </w:r>
      <w:proofErr w:type="spellEnd"/>
      <w:r>
        <w:rPr>
          <w:rFonts w:ascii="Times New Roman" w:eastAsia="Times New Roman" w:hAnsi="Times New Roman" w:cs="Times New Roman"/>
          <w:sz w:val="24"/>
          <w:szCs w:val="24"/>
        </w:rPr>
        <w:t>, 2023).</w:t>
      </w:r>
    </w:p>
    <w:p w:rsidR="00E859AB" w:rsidRDefault="00E859AB">
      <w:pPr>
        <w:pStyle w:val="Normal1"/>
      </w:pPr>
    </w:p>
    <w:p w:rsidR="00E859AB" w:rsidRDefault="00E859AB">
      <w:pPr>
        <w:pStyle w:val="Normal1"/>
      </w:pPr>
    </w:p>
    <w:p w:rsidR="00E859AB" w:rsidRDefault="00F47C86">
      <w:pPr>
        <w:pStyle w:val="Heading1"/>
      </w:pPr>
      <w:bookmarkStart w:id="2" w:name="_fhjuex98nsak" w:colFirst="0" w:colLast="0"/>
      <w:bookmarkStart w:id="3" w:name="_Toc134355914"/>
      <w:bookmarkEnd w:id="2"/>
      <w:r>
        <w:t>Background</w:t>
      </w:r>
      <w:bookmarkEnd w:id="3"/>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American Express Company, which is headquartered in Buffalo, originated as a provider of express mail delivery services in the year 1850. A joint-stock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was formed by the express businesses of Henry Wells, William G. Fargo, and John Warren Butterfield. For almost seven decades, American Express has been engaged in the transportation of financial documents, parcels, goods, gold, currencies, and household items </w:t>
      </w:r>
      <w:proofErr w:type="gramStart"/>
      <w:r>
        <w:rPr>
          <w:rFonts w:ascii="Times New Roman" w:eastAsia="Times New Roman" w:hAnsi="Times New Roman" w:cs="Times New Roman"/>
          <w:sz w:val="24"/>
          <w:szCs w:val="24"/>
        </w:rPr>
        <w:t>‌(</w:t>
      </w:r>
      <w:proofErr w:type="spellStart"/>
      <w:proofErr w:type="gramEnd"/>
      <w:r>
        <w:rPr>
          <w:rFonts w:ascii="Times New Roman" w:eastAsia="Times New Roman" w:hAnsi="Times New Roman" w:cs="Times New Roman"/>
          <w:sz w:val="24"/>
          <w:szCs w:val="24"/>
        </w:rPr>
        <w:t>Americanexpress</w:t>
      </w:r>
      <w:proofErr w:type="spellEnd"/>
      <w:r>
        <w:rPr>
          <w:rFonts w:ascii="Times New Roman" w:eastAsia="Times New Roman" w:hAnsi="Times New Roman" w:cs="Times New Roman"/>
          <w:sz w:val="24"/>
          <w:szCs w:val="24"/>
        </w:rPr>
        <w:t>, 2021).</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During the late 19th century, American Express introduced novel banking and travel services to cater to its clientele. American Express transitioned into a </w:t>
      </w:r>
      <w:proofErr w:type="gramStart"/>
      <w:r>
        <w:rPr>
          <w:rFonts w:ascii="Times New Roman" w:eastAsia="Times New Roman" w:hAnsi="Times New Roman" w:cs="Times New Roman"/>
          <w:sz w:val="24"/>
          <w:szCs w:val="24"/>
        </w:rPr>
        <w:t>payments</w:t>
      </w:r>
      <w:proofErr w:type="gramEnd"/>
      <w:r>
        <w:rPr>
          <w:rFonts w:ascii="Times New Roman" w:eastAsia="Times New Roman" w:hAnsi="Times New Roman" w:cs="Times New Roman"/>
          <w:sz w:val="24"/>
          <w:szCs w:val="24"/>
        </w:rPr>
        <w:t xml:space="preserve"> corporation subsequent to the introduction of its initial financial offerings, namely the Money Order and </w:t>
      </w:r>
      <w:proofErr w:type="spellStart"/>
      <w:r>
        <w:rPr>
          <w:rFonts w:ascii="Times New Roman" w:eastAsia="Times New Roman" w:hAnsi="Times New Roman" w:cs="Times New Roman"/>
          <w:sz w:val="24"/>
          <w:szCs w:val="24"/>
        </w:rPr>
        <w:t>Travellers</w:t>
      </w:r>
      <w:proofErr w:type="spellEnd"/>
      <w:r>
        <w:rPr>
          <w:rFonts w:ascii="Times New Roman" w:eastAsia="Times New Roman" w:hAnsi="Times New Roman" w:cs="Times New Roman"/>
          <w:sz w:val="24"/>
          <w:szCs w:val="24"/>
        </w:rPr>
        <w:t xml:space="preserve"> Cheque, during the latter part of the 1800s. During the 1950s, American Express developed a charge card to enhance the convenience of its clientele. American Express unveiled paper-based charge cards in 1958, followed by gold cards in 1966, green cards in 1969, platinum cards in 1984, and centurion cards in 1999 (</w:t>
      </w:r>
      <w:proofErr w:type="spellStart"/>
      <w:r>
        <w:rPr>
          <w:rFonts w:ascii="Times New Roman" w:eastAsia="Times New Roman" w:hAnsi="Times New Roman" w:cs="Times New Roman"/>
          <w:sz w:val="24"/>
          <w:szCs w:val="24"/>
        </w:rPr>
        <w:t>Zippia</w:t>
      </w:r>
      <w:proofErr w:type="spellEnd"/>
      <w:r>
        <w:rPr>
          <w:rFonts w:ascii="Times New Roman" w:eastAsia="Times New Roman" w:hAnsi="Times New Roman" w:cs="Times New Roman"/>
          <w:sz w:val="24"/>
          <w:szCs w:val="24"/>
        </w:rPr>
        <w:t>, 2020).</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 is a multinational corporation that provides a wide range of services, knowledge, and opportunities aimed at enhancing the quality of life and operations of individuals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American Express is among the 30 most valuable companies in the Dow Jones Industrial Average. American Express, the leading global payment network, </w:t>
      </w:r>
      <w:proofErr w:type="spellStart"/>
      <w:r>
        <w:rPr>
          <w:rFonts w:ascii="Times New Roman" w:eastAsia="Times New Roman" w:hAnsi="Times New Roman" w:cs="Times New Roman"/>
          <w:sz w:val="24"/>
          <w:szCs w:val="24"/>
        </w:rPr>
        <w:t>prioritises</w:t>
      </w:r>
      <w:proofErr w:type="spellEnd"/>
      <w:r>
        <w:rPr>
          <w:rFonts w:ascii="Times New Roman" w:eastAsia="Times New Roman" w:hAnsi="Times New Roman" w:cs="Times New Roman"/>
          <w:sz w:val="24"/>
          <w:szCs w:val="24"/>
        </w:rPr>
        <w:t xml:space="preserve"> customer-centricity and exhibits a proactive approach.</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 experienced a </w:t>
      </w:r>
      <w:proofErr w:type="spellStart"/>
      <w:r>
        <w:rPr>
          <w:rFonts w:ascii="Times New Roman" w:eastAsia="Times New Roman" w:hAnsi="Times New Roman" w:cs="Times New Roman"/>
          <w:sz w:val="24"/>
          <w:szCs w:val="24"/>
        </w:rPr>
        <w:t>favourable</w:t>
      </w:r>
      <w:proofErr w:type="spellEnd"/>
      <w:r>
        <w:rPr>
          <w:rFonts w:ascii="Times New Roman" w:eastAsia="Times New Roman" w:hAnsi="Times New Roman" w:cs="Times New Roman"/>
          <w:sz w:val="24"/>
          <w:szCs w:val="24"/>
        </w:rPr>
        <w:t xml:space="preserve"> financial quarter. The corporation's net profits for the fourth quarter ending December 31, 2022, amounted to $3.5 billion, representing an increase from the previous year's figure of $1.4 billion. In the year 2022, American Express achieved a revenue growth rate in double digits and an EPS growth rate in the mid-teens, </w:t>
      </w:r>
      <w:r>
        <w:rPr>
          <w:rFonts w:ascii="Times New Roman" w:eastAsia="Times New Roman" w:hAnsi="Times New Roman" w:cs="Times New Roman"/>
          <w:sz w:val="24"/>
          <w:szCs w:val="24"/>
        </w:rPr>
        <w:lastRenderedPageBreak/>
        <w:t xml:space="preserve">surpassing its long-term growth plan objectives by 12% and 20%, correspondingly. In Q1 of 2023, American Express generated a net income of $14.3 billion after accounting for interest expense, surpassing the projections of financial analysts. The quarter ending on December 31, 2022, saw a 23.69% increase in revenue, amounting to $15.383 billion. American Express has exhibited strong financial performance in recent quarters‌ (SNPM, 2023). American Express is a globally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financial and travel services institution that provides its customers with a range of products, insights, and experiences aimed at enhancing their quality of life and promoting their business growth. The company is renowned for its innovation, profitability, and integrity. In recent times, American Express has focused on expanding its range of offerings and enhancing the overall customer experience. </w:t>
      </w:r>
    </w:p>
    <w:p w:rsidR="00E859AB" w:rsidRDefault="00E859AB">
      <w:pPr>
        <w:pStyle w:val="Normal1"/>
      </w:pPr>
    </w:p>
    <w:p w:rsidR="00E859AB" w:rsidRDefault="00F47C86">
      <w:pPr>
        <w:pStyle w:val="Heading1"/>
      </w:pPr>
      <w:bookmarkStart w:id="4" w:name="_e2ywne5n8ras" w:colFirst="0" w:colLast="0"/>
      <w:bookmarkStart w:id="5" w:name="_Toc134355915"/>
      <w:bookmarkEnd w:id="4"/>
      <w:r>
        <w:t>American Express's Mission and Objectives</w:t>
      </w:r>
      <w:bookmarkEnd w:id="5"/>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Express's chief aim is to offer distinct products and services tailored to assist clients in accomplishing their objectives, ultimately becoming an indispensable partner for them. Their objective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around providing an optimal experience to all clients. Several core values are </w:t>
      </w:r>
      <w:proofErr w:type="spellStart"/>
      <w:r>
        <w:rPr>
          <w:rFonts w:ascii="Times New Roman" w:eastAsia="Times New Roman" w:hAnsi="Times New Roman" w:cs="Times New Roman"/>
          <w:sz w:val="24"/>
          <w:szCs w:val="24"/>
        </w:rPr>
        <w:t>prioritised</w:t>
      </w:r>
      <w:proofErr w:type="spellEnd"/>
      <w:r>
        <w:rPr>
          <w:rFonts w:ascii="Times New Roman" w:eastAsia="Times New Roman" w:hAnsi="Times New Roman" w:cs="Times New Roman"/>
          <w:sz w:val="24"/>
          <w:szCs w:val="24"/>
        </w:rPr>
        <w:t xml:space="preserve"> by American Express, such as a commitment to customer satisfaction, dedication to excellence, focus on ethical conduct, respect for diversity, a collaborative approach, and robust community engagement. The company's main objective is ensuring customer satisfaction by offering </w:t>
      </w:r>
      <w:proofErr w:type="spellStart"/>
      <w:r>
        <w:rPr>
          <w:rFonts w:ascii="Times New Roman" w:eastAsia="Times New Roman" w:hAnsi="Times New Roman" w:cs="Times New Roman"/>
          <w:sz w:val="24"/>
          <w:szCs w:val="24"/>
        </w:rPr>
        <w:t>personalised</w:t>
      </w:r>
      <w:proofErr w:type="spellEnd"/>
      <w:r>
        <w:rPr>
          <w:rFonts w:ascii="Times New Roman" w:eastAsia="Times New Roman" w:hAnsi="Times New Roman" w:cs="Times New Roman"/>
          <w:sz w:val="24"/>
          <w:szCs w:val="24"/>
        </w:rPr>
        <w:t xml:space="preserve"> financial services addressing specific needs and promoting financial autonomy. As a multinational corporation in the financial services industry, American Express highly values diversity and inclusivity among its customers. The ideal level of business operation is achieved when all employees feel included, valued, and listened to. The roots of American Express lie in its unwavering commitment to delivering exceptional service. Upholding a tradition of exceptional customer service across all operations, the company integrates customer feedback into the development of innovative tools and provides proactive support to </w:t>
      </w:r>
      <w:proofErr w:type="spellStart"/>
      <w:r>
        <w:rPr>
          <w:rFonts w:ascii="Times New Roman" w:eastAsia="Times New Roman" w:hAnsi="Times New Roman" w:cs="Times New Roman"/>
          <w:sz w:val="24"/>
          <w:szCs w:val="24"/>
        </w:rPr>
        <w:t>travellers</w:t>
      </w:r>
      <w:proofErr w:type="spellEnd"/>
      <w:r>
        <w:rPr>
          <w:rFonts w:ascii="Times New Roman" w:eastAsia="Times New Roman" w:hAnsi="Times New Roman" w:cs="Times New Roman"/>
          <w:sz w:val="24"/>
          <w:szCs w:val="24"/>
        </w:rPr>
        <w:t>. Enhancing the efficiency and safety of corporate travel is the primary goal of American Express (</w:t>
      </w:r>
      <w:proofErr w:type="spellStart"/>
      <w:r>
        <w:rPr>
          <w:rFonts w:ascii="Times New Roman" w:eastAsia="Times New Roman" w:hAnsi="Times New Roman" w:cs="Times New Roman"/>
          <w:sz w:val="24"/>
          <w:szCs w:val="24"/>
        </w:rPr>
        <w:t>Americanexpress</w:t>
      </w:r>
      <w:proofErr w:type="spellEnd"/>
      <w:r>
        <w:rPr>
          <w:rFonts w:ascii="Times New Roman" w:eastAsia="Times New Roman" w:hAnsi="Times New Roman" w:cs="Times New Roman"/>
          <w:sz w:val="24"/>
          <w:szCs w:val="24"/>
        </w:rPr>
        <w:t>, 2023).</w:t>
      </w:r>
    </w:p>
    <w:p w:rsidR="00E859AB" w:rsidRDefault="00E859AB">
      <w:pPr>
        <w:pStyle w:val="Normal1"/>
      </w:pPr>
    </w:p>
    <w:p w:rsidR="00E859AB" w:rsidRDefault="00E859AB">
      <w:pPr>
        <w:pStyle w:val="Normal1"/>
      </w:pPr>
    </w:p>
    <w:p w:rsidR="00E859AB" w:rsidRDefault="00E859AB">
      <w:pPr>
        <w:pStyle w:val="Normal1"/>
      </w:pPr>
    </w:p>
    <w:p w:rsidR="00E859AB" w:rsidRDefault="00E859AB">
      <w:pPr>
        <w:pStyle w:val="Normal1"/>
      </w:pPr>
    </w:p>
    <w:p w:rsidR="00E859AB" w:rsidRDefault="00E859AB">
      <w:pPr>
        <w:pStyle w:val="Normal1"/>
      </w:pPr>
    </w:p>
    <w:p w:rsidR="00E859AB" w:rsidRDefault="00E859AB">
      <w:pPr>
        <w:pStyle w:val="Normal1"/>
      </w:pPr>
    </w:p>
    <w:p w:rsidR="00E859AB" w:rsidRDefault="00E859AB">
      <w:pPr>
        <w:pStyle w:val="Normal1"/>
      </w:pPr>
    </w:p>
    <w:p w:rsidR="00E859AB" w:rsidRDefault="00F47C86">
      <w:pPr>
        <w:pStyle w:val="Heading1"/>
      </w:pPr>
      <w:bookmarkStart w:id="6" w:name="_qksk85k44xiy" w:colFirst="0" w:colLast="0"/>
      <w:bookmarkStart w:id="7" w:name="_Toc134355916"/>
      <w:bookmarkEnd w:id="6"/>
      <w:r>
        <w:lastRenderedPageBreak/>
        <w:t>Macro-Environment Analysis</w:t>
      </w:r>
      <w:bookmarkEnd w:id="7"/>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multinational corporation </w:t>
      </w:r>
      <w:proofErr w:type="spellStart"/>
      <w:r>
        <w:rPr>
          <w:rFonts w:ascii="Times New Roman" w:eastAsia="Times New Roman" w:hAnsi="Times New Roman" w:cs="Times New Roman"/>
          <w:sz w:val="24"/>
          <w:szCs w:val="24"/>
        </w:rPr>
        <w:t>specialising</w:t>
      </w:r>
      <w:proofErr w:type="spellEnd"/>
      <w:r>
        <w:rPr>
          <w:rFonts w:ascii="Times New Roman" w:eastAsia="Times New Roman" w:hAnsi="Times New Roman" w:cs="Times New Roman"/>
          <w:sz w:val="24"/>
          <w:szCs w:val="24"/>
        </w:rPr>
        <w:t xml:space="preserve"> in financial services, American Express (Amex) is best known for its credit card, charge card, and </w:t>
      </w:r>
      <w:proofErr w:type="spellStart"/>
      <w:r>
        <w:rPr>
          <w:rFonts w:ascii="Times New Roman" w:eastAsia="Times New Roman" w:hAnsi="Times New Roman" w:cs="Times New Roman"/>
          <w:sz w:val="24"/>
          <w:szCs w:val="24"/>
        </w:rPr>
        <w:t>traveller's</w:t>
      </w:r>
      <w:proofErr w:type="spellEnd"/>
      <w:r>
        <w:rPr>
          <w:rFonts w:ascii="Times New Roman" w:eastAsia="Times New Roman" w:hAnsi="Times New Roman" w:cs="Times New Roman"/>
          <w:sz w:val="24"/>
          <w:szCs w:val="24"/>
        </w:rPr>
        <w:t xml:space="preserve"> cheque businesses. This PESTEL analysis delves into the political, economic, social, technological, environmental, and legal factors that influence Amex, using genuine secondary data and pertinent examples.</w:t>
      </w:r>
    </w:p>
    <w:p w:rsidR="00E859AB" w:rsidRDefault="00F47C86" w:rsidP="008D685A">
      <w:pPr>
        <w:pStyle w:val="Heading2"/>
        <w:rPr>
          <w:b w:val="0"/>
        </w:rPr>
      </w:pPr>
      <w:bookmarkStart w:id="8" w:name="_Toc134355917"/>
      <w:r>
        <w:t>Political Factors:</w:t>
      </w:r>
      <w:bookmarkEnd w:id="8"/>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Regulatory Climate</w:t>
      </w:r>
      <w:r>
        <w:rPr>
          <w:rFonts w:ascii="Times New Roman" w:eastAsia="Times New Roman" w:hAnsi="Times New Roman" w:cs="Times New Roman"/>
          <w:sz w:val="24"/>
          <w:szCs w:val="24"/>
        </w:rPr>
        <w:t>: The financial services sector is subject to stringent regulations, affecting Amex's operations. Legislation such as the Dodd-Frank Wall Street Reform and Consumer Protection Act and the Card Act shape Amex's business practices, fees, and interest rates (‌</w:t>
      </w:r>
      <w:r>
        <w:rPr>
          <w:rFonts w:ascii="Times New Roman" w:eastAsia="Times New Roman" w:hAnsi="Times New Roman" w:cs="Times New Roman"/>
          <w:sz w:val="24"/>
          <w:szCs w:val="24"/>
          <w:highlight w:val="white"/>
        </w:rPr>
        <w:t>Murakami, 2022)</w:t>
      </w:r>
      <w:r>
        <w:rPr>
          <w:rFonts w:ascii="Times New Roman" w:eastAsia="Times New Roman" w:hAnsi="Times New Roman" w:cs="Times New Roman"/>
          <w:sz w:val="24"/>
          <w:szCs w:val="24"/>
        </w:rPr>
        <w:t>.</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Global Relations</w:t>
      </w:r>
      <w:r>
        <w:rPr>
          <w:rFonts w:ascii="Times New Roman" w:eastAsia="Times New Roman" w:hAnsi="Times New Roman" w:cs="Times New Roman"/>
          <w:sz w:val="24"/>
          <w:szCs w:val="24"/>
        </w:rPr>
        <w:t>: With Amex operating in numerous countries, fluctuations in international relations can have an impact on their business. For example, ongoing trade disputes or economic sanctions could hinder Amex's expansion in the affected regions.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Political Stability:</w:t>
      </w:r>
      <w:r>
        <w:rPr>
          <w:rFonts w:ascii="Times New Roman" w:eastAsia="Times New Roman" w:hAnsi="Times New Roman" w:cs="Times New Roman"/>
          <w:sz w:val="24"/>
          <w:szCs w:val="24"/>
        </w:rPr>
        <w:t xml:space="preserve"> In some countries, volatile political environments might cause currency fluctuations, ultimately impacting Amex's revenue and profitability.</w:t>
      </w:r>
    </w:p>
    <w:p w:rsidR="00E859AB" w:rsidRDefault="00F47C86" w:rsidP="008D685A">
      <w:pPr>
        <w:pStyle w:val="Heading2"/>
      </w:pPr>
      <w:bookmarkStart w:id="9" w:name="_Toc134355918"/>
      <w:r>
        <w:t>Economic Factors:</w:t>
      </w:r>
      <w:bookmarkEnd w:id="9"/>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Economic Expansion:</w:t>
      </w:r>
      <w:r>
        <w:rPr>
          <w:rFonts w:ascii="Times New Roman" w:eastAsia="Times New Roman" w:hAnsi="Times New Roman" w:cs="Times New Roman"/>
          <w:sz w:val="24"/>
          <w:szCs w:val="24"/>
        </w:rPr>
        <w:t xml:space="preserve"> Global economic growth has a direct effect on consumer spending and Amex's business. Strong economies typically result in greater consumer expenditure and increased credit card usage, benefiting Amex.</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Interest Rates: </w:t>
      </w:r>
      <w:r>
        <w:rPr>
          <w:rFonts w:ascii="Times New Roman" w:eastAsia="Times New Roman" w:hAnsi="Times New Roman" w:cs="Times New Roman"/>
          <w:sz w:val="24"/>
          <w:szCs w:val="24"/>
        </w:rPr>
        <w:t>Variations in interest rates can influence Amex's profitability. Higher interest rates, for instance, can increase borrowing costs and potentially decrease consumer credit card usage, affecting Amex's revenue.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Currency Rates</w:t>
      </w:r>
      <w:r>
        <w:rPr>
          <w:rFonts w:ascii="Times New Roman" w:eastAsia="Times New Roman" w:hAnsi="Times New Roman" w:cs="Times New Roman"/>
          <w:sz w:val="24"/>
          <w:szCs w:val="24"/>
        </w:rPr>
        <w:t>: As an international company, Amex is vulnerable to currency risks that can impact its profitability. Foreign exchange rate volatility can affect the firm's earnings across different markets.</w:t>
      </w:r>
    </w:p>
    <w:p w:rsidR="00E859AB" w:rsidRDefault="00F47C86" w:rsidP="008D685A">
      <w:pPr>
        <w:pStyle w:val="Heading2"/>
      </w:pPr>
      <w:bookmarkStart w:id="10" w:name="_Toc134355919"/>
      <w:r>
        <w:t>Social Factors:</w:t>
      </w:r>
      <w:bookmarkEnd w:id="10"/>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Population</w:t>
      </w:r>
      <w:r>
        <w:rPr>
          <w:rFonts w:ascii="Times New Roman" w:eastAsia="Times New Roman" w:hAnsi="Times New Roman" w:cs="Times New Roman"/>
          <w:sz w:val="24"/>
          <w:szCs w:val="24"/>
        </w:rPr>
        <w:t xml:space="preserve">: To cater to the preferences of the increasingly prominent millennial and Gen Z consumer market, Amex must adapt its offerings. These groups </w:t>
      </w:r>
      <w:proofErr w:type="spellStart"/>
      <w:r>
        <w:rPr>
          <w:rFonts w:ascii="Times New Roman" w:eastAsia="Times New Roman" w:hAnsi="Times New Roman" w:cs="Times New Roman"/>
          <w:sz w:val="24"/>
          <w:szCs w:val="24"/>
        </w:rPr>
        <w:t>favour</w:t>
      </w:r>
      <w:proofErr w:type="spellEnd"/>
      <w:r>
        <w:rPr>
          <w:rFonts w:ascii="Times New Roman" w:eastAsia="Times New Roman" w:hAnsi="Times New Roman" w:cs="Times New Roman"/>
          <w:sz w:val="24"/>
          <w:szCs w:val="24"/>
        </w:rPr>
        <w:t xml:space="preserve"> digital payment methods and are more socially aware, impacting Amex's marketing approaches and corporate social responsibility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Financial Awareness</w:t>
      </w:r>
      <w:r>
        <w:rPr>
          <w:rFonts w:ascii="Times New Roman" w:eastAsia="Times New Roman" w:hAnsi="Times New Roman" w:cs="Times New Roman"/>
          <w:sz w:val="24"/>
          <w:szCs w:val="24"/>
        </w:rPr>
        <w:t>: Improved financial literacy results in a more knowledgeable customer base, which can lead to increased demand for Amex's financial services and products.</w:t>
      </w:r>
    </w:p>
    <w:p w:rsidR="00E859AB" w:rsidRDefault="00F47C86" w:rsidP="008D685A">
      <w:pPr>
        <w:pStyle w:val="Heading2"/>
      </w:pPr>
      <w:bookmarkStart w:id="11" w:name="_Toc134355920"/>
      <w:r>
        <w:t>Technological Factors:</w:t>
      </w:r>
      <w:bookmarkEnd w:id="11"/>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Digital Evolution</w:t>
      </w:r>
      <w:r>
        <w:rPr>
          <w:rFonts w:ascii="Times New Roman" w:eastAsia="Times New Roman" w:hAnsi="Times New Roman" w:cs="Times New Roman"/>
          <w:sz w:val="24"/>
          <w:szCs w:val="24"/>
        </w:rPr>
        <w:t>: Technological advancements are rapidly transforming how individuals conduct financial transactions (</w:t>
      </w:r>
      <w:proofErr w:type="spellStart"/>
      <w:r>
        <w:rPr>
          <w:rFonts w:ascii="Times New Roman" w:eastAsia="Times New Roman" w:hAnsi="Times New Roman" w:cs="Times New Roman"/>
          <w:sz w:val="24"/>
          <w:szCs w:val="24"/>
          <w:highlight w:val="white"/>
        </w:rPr>
        <w:t>Palmié</w:t>
      </w:r>
      <w:proofErr w:type="spellEnd"/>
      <w:r>
        <w:rPr>
          <w:rFonts w:ascii="Times New Roman" w:eastAsia="Times New Roman" w:hAnsi="Times New Roman" w:cs="Times New Roman"/>
          <w:sz w:val="24"/>
          <w:szCs w:val="24"/>
          <w:highlight w:val="white"/>
        </w:rPr>
        <w:t xml:space="preserve"> </w:t>
      </w:r>
      <w:r>
        <w:rPr>
          <w:rFonts w:ascii="Times New Roman" w:eastAsia="Times New Roman" w:hAnsi="Times New Roman" w:cs="Times New Roman"/>
          <w:i/>
          <w:sz w:val="24"/>
          <w:szCs w:val="24"/>
          <w:highlight w:val="white"/>
        </w:rPr>
        <w:t>et al.</w:t>
      </w:r>
      <w:r>
        <w:rPr>
          <w:rFonts w:ascii="Times New Roman" w:eastAsia="Times New Roman" w:hAnsi="Times New Roman" w:cs="Times New Roman"/>
          <w:sz w:val="24"/>
          <w:szCs w:val="24"/>
          <w:highlight w:val="white"/>
        </w:rPr>
        <w:t xml:space="preserve"> 2020).</w:t>
      </w:r>
      <w:r>
        <w:rPr>
          <w:rFonts w:ascii="Times New Roman" w:eastAsia="Times New Roman" w:hAnsi="Times New Roman" w:cs="Times New Roman"/>
          <w:sz w:val="24"/>
          <w:szCs w:val="24"/>
        </w:rPr>
        <w:t xml:space="preserve"> To remain competitive, Amex must invest in digital technologies, including mobile payments, digital wallets, and contactless payments.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Cybersecurity:</w:t>
      </w:r>
      <w:r>
        <w:rPr>
          <w:rFonts w:ascii="Times New Roman" w:eastAsia="Times New Roman" w:hAnsi="Times New Roman" w:cs="Times New Roman"/>
          <w:sz w:val="24"/>
          <w:szCs w:val="24"/>
        </w:rPr>
        <w:t xml:space="preserve"> Since Amex processes and stores sensitive customer information, cybersecurity must be a priority to maintain trust and protect customers. Data breaches and cyber-attacks can cause significant damage to Amex's financial performance and reputation.</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Fintech Disruption: </w:t>
      </w:r>
      <w:r>
        <w:rPr>
          <w:rFonts w:ascii="Times New Roman" w:eastAsia="Times New Roman" w:hAnsi="Times New Roman" w:cs="Times New Roman"/>
          <w:sz w:val="24"/>
          <w:szCs w:val="24"/>
        </w:rPr>
        <w:t>The emergence of fintech firms offering innovative financial solutions threatens traditional financial institutions like Amex. To stay relevant, Amex must adapt and collaborate with fintech companies.</w:t>
      </w:r>
    </w:p>
    <w:p w:rsidR="00E859AB" w:rsidRDefault="00F47C86" w:rsidP="008D685A">
      <w:pPr>
        <w:pStyle w:val="Heading2"/>
      </w:pPr>
      <w:bookmarkStart w:id="12" w:name="_Toc134355921"/>
      <w:r>
        <w:t>Environmental factors:</w:t>
      </w:r>
      <w:bookmarkEnd w:id="12"/>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Physical, chemical, and biological elements of nature can affect living things and their </w:t>
      </w:r>
      <w:proofErr w:type="spellStart"/>
      <w:r>
        <w:rPr>
          <w:rFonts w:ascii="Times New Roman" w:eastAsia="Times New Roman" w:hAnsi="Times New Roman" w:cs="Times New Roman"/>
          <w:sz w:val="24"/>
          <w:szCs w:val="24"/>
        </w:rPr>
        <w:t>behaviours</w:t>
      </w:r>
      <w:proofErr w:type="spellEnd"/>
      <w:r>
        <w:rPr>
          <w:rFonts w:ascii="Times New Roman" w:eastAsia="Times New Roman" w:hAnsi="Times New Roman" w:cs="Times New Roman"/>
          <w:sz w:val="24"/>
          <w:szCs w:val="24"/>
        </w:rPr>
        <w:t>. Temperature, humidity, air quality, water quality, and ecological organisms are examples. Ecology, biology, and environmental science require environmental component knowledge.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Amex, a banking institution, has committed to carbon neutrality by 2030. The company promotes environmentally sustainable business practices and has taken many steps to reduce its environmental impact. The commitments include reducing greenhouse gas emissions by 35% from 2011 to 2021 and using 100% renewable energy (</w:t>
      </w:r>
      <w:r>
        <w:rPr>
          <w:rFonts w:ascii="Times New Roman" w:eastAsia="Times New Roman" w:hAnsi="Times New Roman" w:cs="Times New Roman"/>
          <w:color w:val="222222"/>
          <w:sz w:val="24"/>
          <w:szCs w:val="24"/>
          <w:highlight w:val="white"/>
        </w:rPr>
        <w:t>AmEx, 2021)</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a Morgan Stanley socially responsible investment survey, sustainable investment increased in 2020. The survey found that 85% of individual investors liked this method (</w:t>
      </w:r>
      <w:r>
        <w:rPr>
          <w:rFonts w:ascii="Times New Roman" w:eastAsia="Times New Roman" w:hAnsi="Times New Roman" w:cs="Times New Roman"/>
          <w:color w:val="222222"/>
          <w:sz w:val="24"/>
          <w:szCs w:val="24"/>
          <w:highlight w:val="white"/>
        </w:rPr>
        <w:t>Cooper</w:t>
      </w:r>
      <w:r>
        <w:rPr>
          <w:rFonts w:ascii="Times New Roman" w:eastAsia="Times New Roman" w:hAnsi="Times New Roman" w:cs="Times New Roman"/>
          <w:i/>
          <w:color w:val="222222"/>
          <w:sz w:val="24"/>
          <w:szCs w:val="24"/>
          <w:highlight w:val="white"/>
        </w:rPr>
        <w:t xml:space="preserve"> et al.</w:t>
      </w:r>
      <w:r>
        <w:rPr>
          <w:rFonts w:ascii="Times New Roman" w:eastAsia="Times New Roman" w:hAnsi="Times New Roman" w:cs="Times New Roman"/>
          <w:color w:val="222222"/>
          <w:sz w:val="24"/>
          <w:szCs w:val="24"/>
          <w:highlight w:val="white"/>
        </w:rPr>
        <w:t xml:space="preserve"> 2019). </w:t>
      </w:r>
      <w:r>
        <w:rPr>
          <w:rFonts w:ascii="Times New Roman" w:eastAsia="Times New Roman" w:hAnsi="Times New Roman" w:cs="Times New Roman"/>
          <w:sz w:val="24"/>
          <w:szCs w:val="24"/>
        </w:rPr>
        <w:t>Amex should incorporate environmental, social, and governance (ESG) elements into its investment selections to meet the growing demand for socially responsible investments. The company could address ESG issues and offer socially responsible investments.</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rsidP="008D685A">
      <w:pPr>
        <w:pStyle w:val="Heading2"/>
      </w:pPr>
      <w:bookmarkStart w:id="13" w:name="_Toc134355922"/>
      <w:r>
        <w:lastRenderedPageBreak/>
        <w:t>Legal factors:</w:t>
      </w:r>
      <w:bookmarkEnd w:id="13"/>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Data-protection laws</w:t>
      </w:r>
      <w:r>
        <w:rPr>
          <w:rFonts w:ascii="Times New Roman" w:eastAsia="Times New Roman" w:hAnsi="Times New Roman" w:cs="Times New Roman"/>
          <w:sz w:val="24"/>
          <w:szCs w:val="24"/>
        </w:rPr>
        <w:t>: The 2018 EU General Data Protection Regulation (GDPR) has had a significant impact on companies like Amex that handle personal data. According to the International Association of Privacy Professionals, non-compliance with the General Data Protection Regulation (GDPR) can result in fines of 4% of a company's global annual revenue or €20 million (</w:t>
      </w:r>
      <w:r>
        <w:rPr>
          <w:rFonts w:ascii="Times New Roman" w:eastAsia="Times New Roman" w:hAnsi="Times New Roman" w:cs="Times New Roman"/>
          <w:color w:val="222222"/>
          <w:sz w:val="24"/>
          <w:szCs w:val="24"/>
          <w:highlight w:val="white"/>
        </w:rPr>
        <w:t xml:space="preserve">Mondschein and </w:t>
      </w:r>
      <w:proofErr w:type="spellStart"/>
      <w:r>
        <w:rPr>
          <w:rFonts w:ascii="Times New Roman" w:eastAsia="Times New Roman" w:hAnsi="Times New Roman" w:cs="Times New Roman"/>
          <w:color w:val="222222"/>
          <w:sz w:val="24"/>
          <w:szCs w:val="24"/>
          <w:highlight w:val="white"/>
        </w:rPr>
        <w:t>Monda</w:t>
      </w:r>
      <w:proofErr w:type="spellEnd"/>
      <w:r>
        <w:rPr>
          <w:rFonts w:ascii="Times New Roman" w:eastAsia="Times New Roman" w:hAnsi="Times New Roman" w:cs="Times New Roman"/>
          <w:color w:val="222222"/>
          <w:sz w:val="24"/>
          <w:szCs w:val="24"/>
          <w:highlight w:val="white"/>
        </w:rPr>
        <w:t>, 2019)</w:t>
      </w:r>
      <w:r>
        <w:rPr>
          <w:rFonts w:ascii="Times New Roman" w:eastAsia="Times New Roman" w:hAnsi="Times New Roman" w:cs="Times New Roman"/>
          <w:sz w:val="24"/>
          <w:szCs w:val="24"/>
        </w:rPr>
        <w:t>. Amex must follow these data privacy standards to avoid fines and brand harm.</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AML/CTF regulations are covered in this text. FinCEN </w:t>
      </w:r>
      <w:proofErr w:type="spellStart"/>
      <w:r>
        <w:rPr>
          <w:rFonts w:ascii="Times New Roman" w:eastAsia="Times New Roman" w:hAnsi="Times New Roman" w:cs="Times New Roman"/>
          <w:sz w:val="24"/>
          <w:szCs w:val="24"/>
        </w:rPr>
        <w:t>penalised</w:t>
      </w:r>
      <w:proofErr w:type="spellEnd"/>
      <w:r>
        <w:rPr>
          <w:rFonts w:ascii="Times New Roman" w:eastAsia="Times New Roman" w:hAnsi="Times New Roman" w:cs="Times New Roman"/>
          <w:sz w:val="24"/>
          <w:szCs w:val="24"/>
        </w:rPr>
        <w:t xml:space="preserve"> American Express Bank International $55 million in 2012 for inadequate anti-money laundering and counterterrorism funding procedures (</w:t>
      </w:r>
      <w:r>
        <w:rPr>
          <w:rFonts w:ascii="Times New Roman" w:eastAsia="Times New Roman" w:hAnsi="Times New Roman" w:cs="Times New Roman"/>
          <w:color w:val="222222"/>
          <w:sz w:val="24"/>
          <w:szCs w:val="24"/>
          <w:highlight w:val="white"/>
        </w:rPr>
        <w:t>UNISET, 2021)</w:t>
      </w:r>
      <w:r>
        <w:rPr>
          <w:rFonts w:ascii="Times New Roman" w:eastAsia="Times New Roman" w:hAnsi="Times New Roman" w:cs="Times New Roman"/>
          <w:sz w:val="24"/>
          <w:szCs w:val="24"/>
        </w:rPr>
        <w:t xml:space="preserve">. Amex must comply with AML/CTF regulations to prevent financial crimes and regulatory fines. To achieve this goal,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should create strict customer identification and verification methods and ongoing transaction monitoring to detect potentially unlawful activities.</w:t>
      </w:r>
    </w:p>
    <w:p w:rsidR="00E859AB" w:rsidRDefault="00E859AB">
      <w:pPr>
        <w:pStyle w:val="Normal1"/>
        <w:rPr>
          <w:rFonts w:ascii="Times New Roman" w:eastAsia="Times New Roman" w:hAnsi="Times New Roman" w:cs="Times New Roman"/>
          <w:b/>
          <w:sz w:val="24"/>
          <w:szCs w:val="24"/>
        </w:rPr>
      </w:pPr>
    </w:p>
    <w:p w:rsidR="00E859AB" w:rsidRDefault="00F47C86" w:rsidP="008D685A">
      <w:pPr>
        <w:pStyle w:val="Heading1"/>
      </w:pPr>
      <w:bookmarkStart w:id="14" w:name="_dromvbtxrndb" w:colFirst="0" w:colLast="0"/>
      <w:bookmarkStart w:id="15" w:name="_Toc134355923"/>
      <w:bookmarkEnd w:id="14"/>
      <w:r>
        <w:t>Micro-Environment Analysis</w:t>
      </w:r>
      <w:bookmarkEnd w:id="15"/>
      <w:r>
        <w:t xml:space="preserve"> </w:t>
      </w:r>
    </w:p>
    <w:p w:rsidR="00E859AB" w:rsidRDefault="00F47C86" w:rsidP="008D685A">
      <w:pPr>
        <w:pStyle w:val="Heading2"/>
      </w:pPr>
      <w:bookmarkStart w:id="16" w:name="_Toc134355924"/>
      <w:r>
        <w:t>Industry Life Cycle:</w:t>
      </w:r>
      <w:bookmarkEnd w:id="16"/>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Authorization, clearing, and settlement compose the credit card life cycle. The consumer gives the merchant their credit card details to start the </w:t>
      </w:r>
      <w:proofErr w:type="spellStart"/>
      <w:r>
        <w:rPr>
          <w:rFonts w:ascii="Times New Roman" w:eastAsia="Times New Roman" w:hAnsi="Times New Roman" w:cs="Times New Roman"/>
          <w:sz w:val="24"/>
          <w:szCs w:val="24"/>
        </w:rPr>
        <w:t>authorisation</w:t>
      </w:r>
      <w:proofErr w:type="spellEnd"/>
      <w:r>
        <w:rPr>
          <w:rFonts w:ascii="Times New Roman" w:eastAsia="Times New Roman" w:hAnsi="Times New Roman" w:cs="Times New Roman"/>
          <w:sz w:val="24"/>
          <w:szCs w:val="24"/>
        </w:rPr>
        <w:t xml:space="preserve"> procedure. The seller sends transaction details to the acquiring financial institution during clearing. For permission, the purchasing bank sends the relevant data to the issuing bank. The final step is "settlement." The issuing bank transfers monies to the acquiring bank, which pays the merchant.</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Innovation will change the credit card market for clients and suppliers in 2019 and 2020. New suppliers, including major and small financial institutions and startup and mainstream technology companies, will drive this shift. Despite macroeconomic disruptions, the credit card sector has remained steady as of this research.</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Credit card companies are maturing. This means that growth has slowed and the market is saturated with many competitors. Credit card providers face difficulties from consumer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digital payment choices, and non-traditional businesses including major technological firms. The industry is affected by several factors. Despite this, the credit card industry is profitable, and suppliers can review their value propositions and tactics to match customers' shifting needs (</w:t>
      </w:r>
      <w:r>
        <w:rPr>
          <w:rFonts w:ascii="Times New Roman" w:eastAsia="Times New Roman" w:hAnsi="Times New Roman" w:cs="Times New Roman"/>
          <w:color w:val="222222"/>
          <w:sz w:val="24"/>
          <w:szCs w:val="24"/>
          <w:highlight w:val="white"/>
        </w:rPr>
        <w:t>‌</w:t>
      </w:r>
      <w:proofErr w:type="spellStart"/>
      <w:r>
        <w:rPr>
          <w:rFonts w:ascii="Times New Roman" w:eastAsia="Times New Roman" w:hAnsi="Times New Roman" w:cs="Times New Roman"/>
          <w:color w:val="222222"/>
          <w:sz w:val="24"/>
          <w:szCs w:val="24"/>
          <w:highlight w:val="white"/>
        </w:rPr>
        <w:t>Herkenhoff</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Raveendranathan</w:t>
      </w:r>
      <w:proofErr w:type="spellEnd"/>
      <w:r>
        <w:rPr>
          <w:rFonts w:ascii="Times New Roman" w:eastAsia="Times New Roman" w:hAnsi="Times New Roman" w:cs="Times New Roman"/>
          <w:color w:val="222222"/>
          <w:sz w:val="24"/>
          <w:szCs w:val="24"/>
          <w:highlight w:val="white"/>
        </w:rPr>
        <w:t>, 2020).</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American Express is a top credit card company. As the company grows, American Express must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customer retention and expansion. To meet customer expectations, the company must reevaluate its value proposition and strategy. American Express must also keep up with industry developments including digital payment choices and faster payment transaction processing times. The company will need new skills to </w:t>
      </w:r>
      <w:proofErr w:type="spellStart"/>
      <w:r>
        <w:rPr>
          <w:rFonts w:ascii="Times New Roman" w:eastAsia="Times New Roman" w:hAnsi="Times New Roman" w:cs="Times New Roman"/>
          <w:sz w:val="24"/>
          <w:szCs w:val="24"/>
        </w:rPr>
        <w:t>capitalise</w:t>
      </w:r>
      <w:proofErr w:type="spellEnd"/>
      <w:r>
        <w:rPr>
          <w:rFonts w:ascii="Times New Roman" w:eastAsia="Times New Roman" w:hAnsi="Times New Roman" w:cs="Times New Roman"/>
          <w:sz w:val="24"/>
          <w:szCs w:val="24"/>
        </w:rPr>
        <w:t xml:space="preserve"> on these prospects and grow profitably.</w:t>
      </w:r>
    </w:p>
    <w:p w:rsidR="00E859AB" w:rsidRDefault="00F47C86">
      <w:pPr>
        <w:pStyle w:val="Normal1"/>
        <w:spacing w:line="360" w:lineRule="auto"/>
        <w:jc w:val="both"/>
      </w:pPr>
      <w:r>
        <w:rPr>
          <w:rFonts w:ascii="Times New Roman" w:eastAsia="Times New Roman" w:hAnsi="Times New Roman" w:cs="Times New Roman"/>
          <w:sz w:val="24"/>
          <w:szCs w:val="24"/>
        </w:rPr>
        <w:t xml:space="preserve">American Express can </w:t>
      </w:r>
      <w:proofErr w:type="spellStart"/>
      <w:r>
        <w:rPr>
          <w:rFonts w:ascii="Times New Roman" w:eastAsia="Times New Roman" w:hAnsi="Times New Roman" w:cs="Times New Roman"/>
          <w:sz w:val="24"/>
          <w:szCs w:val="24"/>
        </w:rPr>
        <w:t>capitalise</w:t>
      </w:r>
      <w:proofErr w:type="spellEnd"/>
      <w:r>
        <w:rPr>
          <w:rFonts w:ascii="Times New Roman" w:eastAsia="Times New Roman" w:hAnsi="Times New Roman" w:cs="Times New Roman"/>
          <w:sz w:val="24"/>
          <w:szCs w:val="24"/>
        </w:rPr>
        <w:t xml:space="preserve"> on the rise in consumer spending on holidays and other leisure activities. Incentives and bonuses can persuade interested customers to apply for American Express credit cards.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might focus on new areas like payment options and member perks. American Express can stay ahead of its competitors in the credit card business by sticking to its existing strategy.</w:t>
      </w:r>
    </w:p>
    <w:p w:rsidR="00E859AB" w:rsidRDefault="00E859AB">
      <w:pPr>
        <w:pStyle w:val="Normal1"/>
      </w:pPr>
    </w:p>
    <w:p w:rsidR="00E859AB" w:rsidRDefault="00F47C86" w:rsidP="008D685A">
      <w:pPr>
        <w:pStyle w:val="Heading2"/>
      </w:pPr>
      <w:bookmarkStart w:id="17" w:name="_Toc134355925"/>
      <w:r>
        <w:t>Porter's Industry Five Forces Analysis:</w:t>
      </w:r>
      <w:bookmarkEnd w:id="17"/>
      <w:r>
        <w:t xml:space="preserve"> </w:t>
      </w:r>
    </w:p>
    <w:p w:rsidR="00E859AB" w:rsidRDefault="00E859AB">
      <w:pPr>
        <w:pStyle w:val="Normal1"/>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New entrants Threat:</w:t>
      </w:r>
      <w:r>
        <w:rPr>
          <w:rFonts w:ascii="Times New Roman" w:eastAsia="Times New Roman" w:hAnsi="Times New Roman" w:cs="Times New Roman"/>
          <w:sz w:val="24"/>
          <w:szCs w:val="24"/>
        </w:rPr>
        <w:t xml:space="preserve"> Credit card companies face regulatory restrictions, financial needs, and brand awareness requirements. New market entrants pose a modest threat. Fintech firms have increased financial services volatility and opened doors for newcomers. PayPal, Square, and Stripe, among others, have expanded the market's payment choices.</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Buyers' Bargaining power:</w:t>
      </w:r>
      <w:r>
        <w:rPr>
          <w:rFonts w:ascii="Times New Roman" w:eastAsia="Times New Roman" w:hAnsi="Times New Roman" w:cs="Times New Roman"/>
          <w:sz w:val="24"/>
          <w:szCs w:val="24"/>
        </w:rPr>
        <w:t xml:space="preserve"> Payment processors and technology providers dominate credit card industry suppliers, reducing negotiating strength. Visa, Mastercard, and American Express dominate the market and have strong brand recognition, reducing suppliers' bargaining strength. New technologies and payment processing options have created a more competitive supplier market, diminishing suppliers' bargaining leverage.</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Suppliers' Bargaining power:</w:t>
      </w:r>
      <w:r>
        <w:rPr>
          <w:rFonts w:ascii="Times New Roman" w:eastAsia="Times New Roman" w:hAnsi="Times New Roman" w:cs="Times New Roman"/>
          <w:sz w:val="24"/>
          <w:szCs w:val="24"/>
        </w:rPr>
        <w:t xml:space="preserve"> Credit card customers have intermediate negotiating power. Most consumers have multiple credit cards from different banking institutions. Switching providers may require clients to settle debts, close accounts, and reestablish credit, which can be costly. Loyalty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and credit card rewards can also cause consumer lock-in, reducing customers' bargaining power.</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New substitute threats:</w:t>
      </w:r>
      <w:r>
        <w:rPr>
          <w:rFonts w:ascii="Times New Roman" w:eastAsia="Times New Roman" w:hAnsi="Times New Roman" w:cs="Times New Roman"/>
          <w:sz w:val="24"/>
          <w:szCs w:val="24"/>
        </w:rPr>
        <w:t xml:space="preserve"> Mobile wallets, digital currencies, and peer-to-peer payment platforms threaten the credit card industry. Apple Pay, Google Pay, and Samsung Pay have </w:t>
      </w:r>
      <w:r>
        <w:rPr>
          <w:rFonts w:ascii="Times New Roman" w:eastAsia="Times New Roman" w:hAnsi="Times New Roman" w:cs="Times New Roman"/>
          <w:sz w:val="24"/>
          <w:szCs w:val="24"/>
        </w:rPr>
        <w:lastRenderedPageBreak/>
        <w:t>increased industry competition. Bitcoin, Ethereum, and other cryptocurrencies enable alternative payment mechanisms that circumvent established banking institutions.</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Competitive Rivalry</w:t>
      </w:r>
      <w:r>
        <w:rPr>
          <w:rFonts w:ascii="Times New Roman" w:eastAsia="Times New Roman" w:hAnsi="Times New Roman" w:cs="Times New Roman"/>
          <w:sz w:val="24"/>
          <w:szCs w:val="24"/>
        </w:rPr>
        <w:t xml:space="preserve">: Visa, Mastercard, American Express, and Discover compete in the credit card business. Industry competition is high. Assertive marketing methods, diversified incentives and loyalty systems, and constant product innovation provide the aforementioned companies with a competitive edge. Financial technology startups and other payment solutions have increased industry competition. </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extent cx="4927648" cy="3128963"/>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4927648" cy="3128963"/>
                    </a:xfrm>
                    <a:prstGeom prst="rect">
                      <a:avLst/>
                    </a:prstGeom>
                    <a:ln/>
                  </pic:spPr>
                </pic:pic>
              </a:graphicData>
            </a:graphic>
          </wp:inline>
        </w:drawing>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Credit card market share US (2007-2021)</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Statista 2021).</w:t>
      </w:r>
    </w:p>
    <w:p w:rsidR="00E859AB" w:rsidRDefault="00E859AB">
      <w:pPr>
        <w:pStyle w:val="Normal1"/>
      </w:pPr>
    </w:p>
    <w:p w:rsidR="00E859AB" w:rsidRDefault="00F47C86">
      <w:pPr>
        <w:pStyle w:val="Heading1"/>
      </w:pPr>
      <w:bookmarkStart w:id="18" w:name="_2g7lxsz8nwkc" w:colFirst="0" w:colLast="0"/>
      <w:bookmarkStart w:id="19" w:name="_Toc134355926"/>
      <w:bookmarkEnd w:id="18"/>
      <w:r>
        <w:t>Internal Analysis</w:t>
      </w:r>
      <w:bookmarkEnd w:id="19"/>
      <w:r>
        <w:t xml:space="preserve"> </w:t>
      </w:r>
    </w:p>
    <w:p w:rsidR="00E859AB" w:rsidRDefault="00E859AB">
      <w:pPr>
        <w:pStyle w:val="Normal1"/>
      </w:pPr>
    </w:p>
    <w:p w:rsidR="00E859AB" w:rsidRDefault="00F47C86" w:rsidP="008D685A">
      <w:pPr>
        <w:pStyle w:val="Heading2"/>
      </w:pPr>
      <w:bookmarkStart w:id="20" w:name="_Toc134355927"/>
      <w:r>
        <w:t>American Express's Strategic Resources and Capabilities</w:t>
      </w:r>
      <w:bookmarkEnd w:id="20"/>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of the most well-known financial services companies in the US is American Express. This company has a wide range of resources and competencies. Some of American Express's strategic resources and capabilities include a proprietary network, risk management, brand recognition, and customer loyalty. As a leading issuer of premium credit cards and financial services, American Express enjoys a solid reputation. Customers continue to trust the business, which has allowed it to develop a solid clientele of devoted clients. A message on the company's official website reads, “Since the outbreak of the pandemic, SMEs have acted </w:t>
      </w:r>
      <w:r>
        <w:rPr>
          <w:rFonts w:ascii="Times New Roman" w:eastAsia="Times New Roman" w:hAnsi="Times New Roman" w:cs="Times New Roman"/>
          <w:sz w:val="24"/>
          <w:szCs w:val="24"/>
        </w:rPr>
        <w:lastRenderedPageBreak/>
        <w:t>swiftly and strategically to maintain their operations and will continue to do so in the future.” (American Express, 2021).</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American Express has made significant investments in technology. As a result, the business has been able to create new goods and services. One of the various online competitions that American Express runs are the "</w:t>
      </w:r>
      <w:proofErr w:type="spellStart"/>
      <w:r>
        <w:rPr>
          <w:rFonts w:ascii="Times New Roman" w:eastAsia="Times New Roman" w:hAnsi="Times New Roman" w:cs="Times New Roman"/>
          <w:sz w:val="24"/>
          <w:szCs w:val="24"/>
        </w:rPr>
        <w:t>YourBuzz</w:t>
      </w:r>
      <w:proofErr w:type="spellEnd"/>
      <w:r>
        <w:rPr>
          <w:rFonts w:ascii="Times New Roman" w:eastAsia="Times New Roman" w:hAnsi="Times New Roman" w:cs="Times New Roman"/>
          <w:sz w:val="24"/>
          <w:szCs w:val="24"/>
        </w:rPr>
        <w:t>" application (</w:t>
      </w:r>
      <w:proofErr w:type="spellStart"/>
      <w:r>
        <w:rPr>
          <w:rFonts w:ascii="Times New Roman" w:eastAsia="Times New Roman" w:hAnsi="Times New Roman" w:cs="Times New Roman"/>
          <w:color w:val="222222"/>
          <w:sz w:val="24"/>
          <w:szCs w:val="24"/>
          <w:highlight w:val="white"/>
        </w:rPr>
        <w:t>Muninger</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Hammedi</w:t>
      </w:r>
      <w:proofErr w:type="spellEnd"/>
      <w:r>
        <w:rPr>
          <w:rFonts w:ascii="Times New Roman" w:eastAsia="Times New Roman" w:hAnsi="Times New Roman" w:cs="Times New Roman"/>
          <w:color w:val="222222"/>
          <w:sz w:val="24"/>
          <w:szCs w:val="24"/>
          <w:highlight w:val="white"/>
        </w:rPr>
        <w:t xml:space="preserve"> and Mahr, 2019</w:t>
      </w:r>
      <w:r>
        <w:rPr>
          <w:rFonts w:ascii="Times New Roman" w:eastAsia="Times New Roman" w:hAnsi="Times New Roman" w:cs="Times New Roman"/>
          <w:sz w:val="24"/>
          <w:szCs w:val="24"/>
        </w:rPr>
        <w:t xml:space="preserve">). This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gathers user reviews from CitySearch, Yelp, Facebook, Twitter, and other well-known websites. Multidirectional comment exchanges between customers, their colleagues, and the company occur in crowdsourcing communities. Customers can also manage their accounts, check their rewards, and make payments from their smartphones via the business' mobile app.</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 makes significant investments in the Environmental, Social, and Governance Strategy in addition to its technological skills. Long-term brand image is enhanced by doing this. Additionally, the company's ESG goal is to support individuals and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as they prosper and build just, resilient, and sustainable communities throughout the world (</w:t>
      </w:r>
      <w:r>
        <w:rPr>
          <w:rFonts w:ascii="Times New Roman" w:eastAsia="Times New Roman" w:hAnsi="Times New Roman" w:cs="Times New Roman"/>
          <w:color w:val="222222"/>
          <w:sz w:val="24"/>
          <w:szCs w:val="24"/>
          <w:highlight w:val="white"/>
        </w:rPr>
        <w:t>AmEx ESG Strategy, 2023</w:t>
      </w:r>
      <w:r>
        <w:rPr>
          <w:rFonts w:ascii="Times New Roman" w:eastAsia="Times New Roman" w:hAnsi="Times New Roman" w:cs="Times New Roman"/>
          <w:sz w:val="24"/>
          <w:szCs w:val="24"/>
        </w:rPr>
        <w:t>). The business unveiled a new plan for the global ESG strategy in 2021. The objectives were to advance climate solutions, foster diversity, equity, and inclusion (DE&amp;I), and foster financial confidence.</w:t>
      </w:r>
    </w:p>
    <w:p w:rsidR="00E859AB" w:rsidRDefault="00E859AB">
      <w:pPr>
        <w:pStyle w:val="Normal1"/>
      </w:pPr>
    </w:p>
    <w:p w:rsidR="00E859AB" w:rsidRDefault="00F47C86" w:rsidP="008D685A">
      <w:pPr>
        <w:pStyle w:val="Heading2"/>
      </w:pPr>
      <w:bookmarkStart w:id="21" w:name="_Toc134355928"/>
      <w:r>
        <w:t>Value Chain Analysis</w:t>
      </w:r>
      <w:bookmarkEnd w:id="21"/>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Porter's value chain model is a very well-liked analytical technique in business. American Express must understand that not all activities or functions require the same level of inspection for the Value Chain Analysis to be effective. The next section provides descriptions of the various activities, including main and secondary activities. </w:t>
      </w:r>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Primary Activities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Inbound Logistics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American Express purchases the supplies and services needed to run its business. For example, data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and managers of customer transactions. However, since their assistance is required to acquire, store, and distribute the merchandise, it is critical for American Express to develop strong connections with suppliers (Larrinaga, 2021). However, the business may encounter a number of difficulties throughout the product development process without knowledge of inbound logistics.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Operations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Customer transactions are processed and managed by American Express.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and comprehending operational tasks that increase when raw materials arrive is essential. American Express is prepared to transform the raw material into the finished </w:t>
      </w:r>
      <w:r>
        <w:rPr>
          <w:rFonts w:ascii="Times New Roman" w:eastAsia="Times New Roman" w:hAnsi="Times New Roman" w:cs="Times New Roman"/>
          <w:sz w:val="24"/>
          <w:szCs w:val="24"/>
        </w:rPr>
        <w:lastRenderedPageBreak/>
        <w:t>product and promote it. Operational operations include things like testing, machining, packaging, and assembling. This includes servicing and maintaining equipment as well.</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Outbound Logistics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Customers of American Express receive their goods and services through a variety of channels. The key outbound operations are those that bring the product to the client after going through many middlemen (Rajesh and Rajan, 2022). Material handling, scheduling, order processing, warehousing, and other outbound logistics tasks are a few. American Express may evaluate and </w:t>
      </w:r>
      <w:proofErr w:type="spellStart"/>
      <w:r>
        <w:rPr>
          <w:rFonts w:ascii="Times New Roman" w:eastAsia="Times New Roman" w:hAnsi="Times New Roman" w:cs="Times New Roman"/>
          <w:sz w:val="24"/>
          <w:szCs w:val="24"/>
        </w:rPr>
        <w:t>optimise</w:t>
      </w:r>
      <w:proofErr w:type="spellEnd"/>
      <w:r>
        <w:rPr>
          <w:rFonts w:ascii="Times New Roman" w:eastAsia="Times New Roman" w:hAnsi="Times New Roman" w:cs="Times New Roman"/>
          <w:sz w:val="24"/>
          <w:szCs w:val="24"/>
        </w:rPr>
        <w:t xml:space="preserve"> the outbound logistics to study and comprehend competitive advantage. The channels include customer service departments, mobile apps, and web portals.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Marketing and Sales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American Express uses a variety of avenues to promote and sell its goods. These channels include social networking, digital advertising, and direct mail. American Express will, however, </w:t>
      </w:r>
      <w:proofErr w:type="spellStart"/>
      <w:r>
        <w:rPr>
          <w:rFonts w:ascii="Times New Roman" w:eastAsia="Times New Roman" w:hAnsi="Times New Roman" w:cs="Times New Roman"/>
          <w:sz w:val="24"/>
          <w:szCs w:val="24"/>
        </w:rPr>
        <w:t>emphasise</w:t>
      </w:r>
      <w:proofErr w:type="spellEnd"/>
      <w:r>
        <w:rPr>
          <w:rFonts w:ascii="Times New Roman" w:eastAsia="Times New Roman" w:hAnsi="Times New Roman" w:cs="Times New Roman"/>
          <w:sz w:val="24"/>
          <w:szCs w:val="24"/>
        </w:rPr>
        <w:t xml:space="preserve"> the advantages and product unique selling factors in this paragraph (</w:t>
      </w:r>
      <w:proofErr w:type="spellStart"/>
      <w:r>
        <w:rPr>
          <w:rFonts w:ascii="Times New Roman" w:eastAsia="Times New Roman" w:hAnsi="Times New Roman" w:cs="Times New Roman"/>
          <w:sz w:val="24"/>
          <w:szCs w:val="24"/>
        </w:rPr>
        <w:t>Hovenkamp</w:t>
      </w:r>
      <w:proofErr w:type="spellEnd"/>
      <w:r>
        <w:rPr>
          <w:rFonts w:ascii="Times New Roman" w:eastAsia="Times New Roman" w:hAnsi="Times New Roman" w:cs="Times New Roman"/>
          <w:sz w:val="24"/>
          <w:szCs w:val="24"/>
        </w:rPr>
        <w:t xml:space="preserve">, 2019). This aids the business in convincing customers that its product or service is superior to that of rivals.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Services</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Through a number of ways, American Express offers customer service and assistance. American Express provides two different services. Pre- and post-sale services are what these are. These are crucial in creating a loyal consumer base (Kirkwood, 2019). Customers today value post-purchase services on par with marketing. However, to protect the reputation of the brand, the corporation must also examine its support operations. </w:t>
      </w:r>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Secondary Activities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Firm Infrastructure: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It is a significant ancillary activity. This refers to a variety of tasks including planning, managing, accounting, and funding. American Express purchases the supplies it needs to run its business, including IT hardware and software </w:t>
      </w:r>
      <w:proofErr w:type="spellStart"/>
      <w:r>
        <w:rPr>
          <w:rFonts w:ascii="Times New Roman" w:eastAsia="Times New Roman" w:hAnsi="Times New Roman" w:cs="Times New Roman"/>
          <w:sz w:val="24"/>
          <w:szCs w:val="24"/>
        </w:rPr>
        <w:t>licences</w:t>
      </w:r>
      <w:proofErr w:type="spellEnd"/>
      <w:r>
        <w:rPr>
          <w:rFonts w:ascii="Times New Roman" w:eastAsia="Times New Roman" w:hAnsi="Times New Roman" w:cs="Times New Roman"/>
          <w:sz w:val="24"/>
          <w:szCs w:val="24"/>
        </w:rPr>
        <w:t xml:space="preserve">. Additionally, American Express may be able to </w:t>
      </w:r>
      <w:proofErr w:type="spellStart"/>
      <w:r>
        <w:rPr>
          <w:rFonts w:ascii="Times New Roman" w:eastAsia="Times New Roman" w:hAnsi="Times New Roman" w:cs="Times New Roman"/>
          <w:sz w:val="24"/>
          <w:szCs w:val="24"/>
        </w:rPr>
        <w:t>maximise</w:t>
      </w:r>
      <w:proofErr w:type="spellEnd"/>
      <w:r>
        <w:rPr>
          <w:rFonts w:ascii="Times New Roman" w:eastAsia="Times New Roman" w:hAnsi="Times New Roman" w:cs="Times New Roman"/>
          <w:sz w:val="24"/>
          <w:szCs w:val="24"/>
        </w:rPr>
        <w:t xml:space="preserve"> the value of the whole value chain with proper infrastructure management. This ancillary activity may improve the market's competitive stance.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HRM</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Through an analysis of human resource management, the business may also evaluate several areas of HR. A few of the tasks include hiring, choosing, training, evaluating performance, awarding, and other management tasks. This guarantees that the staff members have the abilities and information required to deliver top-notch customer service (</w:t>
      </w:r>
      <w:proofErr w:type="spellStart"/>
      <w:r>
        <w:rPr>
          <w:rFonts w:ascii="Times New Roman" w:eastAsia="Times New Roman" w:hAnsi="Times New Roman" w:cs="Times New Roman"/>
          <w:sz w:val="24"/>
          <w:szCs w:val="24"/>
        </w:rPr>
        <w:t>Kabene</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Baadel</w:t>
      </w:r>
      <w:proofErr w:type="spellEnd"/>
      <w:r>
        <w:rPr>
          <w:rFonts w:ascii="Times New Roman" w:eastAsia="Times New Roman" w:hAnsi="Times New Roman" w:cs="Times New Roman"/>
          <w:sz w:val="24"/>
          <w:szCs w:val="24"/>
        </w:rPr>
        <w:t>, 2021). American Express can lessen the strain of competition based on incentives with effective HRM.</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Technology Development: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American Express makes significant investments in technology to create and enhance its goods and services. The corporation may, however, incorporate </w:t>
      </w:r>
      <w:r>
        <w:rPr>
          <w:rFonts w:ascii="Times New Roman" w:eastAsia="Times New Roman" w:hAnsi="Times New Roman" w:cs="Times New Roman"/>
          <w:sz w:val="24"/>
          <w:szCs w:val="24"/>
        </w:rPr>
        <w:lastRenderedPageBreak/>
        <w:t>technology into its manufacturing, distribution, marketing, and human resource activities in this era of advanced technology (</w:t>
      </w:r>
      <w:proofErr w:type="spellStart"/>
      <w:r>
        <w:rPr>
          <w:rFonts w:ascii="Times New Roman" w:eastAsia="Times New Roman" w:hAnsi="Times New Roman" w:cs="Times New Roman"/>
          <w:sz w:val="24"/>
          <w:szCs w:val="24"/>
        </w:rPr>
        <w:t>Moldoveanu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Narayandas</w:t>
      </w:r>
      <w:proofErr w:type="spellEnd"/>
      <w:r>
        <w:rPr>
          <w:rFonts w:ascii="Times New Roman" w:eastAsia="Times New Roman" w:hAnsi="Times New Roman" w:cs="Times New Roman"/>
          <w:sz w:val="24"/>
          <w:szCs w:val="24"/>
        </w:rPr>
        <w:t xml:space="preserve">, 2019). American Express has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how crucial technology is. However, American Express's research and development division falls under this category.</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Procurement</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American Express purchases the supplies and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needed to run its business. The term "procurement" refers to the procedures used to buy inputs, which might include everything from machinery to raw materials to equipment (</w:t>
      </w:r>
      <w:proofErr w:type="spellStart"/>
      <w:r>
        <w:rPr>
          <w:rFonts w:ascii="Times New Roman" w:eastAsia="Times New Roman" w:hAnsi="Times New Roman" w:cs="Times New Roman"/>
          <w:sz w:val="24"/>
          <w:szCs w:val="24"/>
        </w:rPr>
        <w:t>Carmicheal</w:t>
      </w:r>
      <w:proofErr w:type="spellEnd"/>
      <w:r>
        <w:rPr>
          <w:rFonts w:ascii="Times New Roman" w:eastAsia="Times New Roman" w:hAnsi="Times New Roman" w:cs="Times New Roman"/>
          <w:sz w:val="24"/>
          <w:szCs w:val="24"/>
        </w:rPr>
        <w:t xml:space="preserve">, 2020). Due to its connections to several value chain operations, the company must strategically and carefully </w:t>
      </w:r>
      <w:proofErr w:type="spellStart"/>
      <w:r>
        <w:rPr>
          <w:rFonts w:ascii="Times New Roman" w:eastAsia="Times New Roman" w:hAnsi="Times New Roman" w:cs="Times New Roman"/>
          <w:sz w:val="24"/>
          <w:szCs w:val="24"/>
        </w:rPr>
        <w:t>analyse</w:t>
      </w:r>
      <w:proofErr w:type="spellEnd"/>
      <w:r>
        <w:rPr>
          <w:rFonts w:ascii="Times New Roman" w:eastAsia="Times New Roman" w:hAnsi="Times New Roman" w:cs="Times New Roman"/>
          <w:sz w:val="24"/>
          <w:szCs w:val="24"/>
        </w:rPr>
        <w:t xml:space="preserve"> its procurement. </w:t>
      </w:r>
    </w:p>
    <w:p w:rsidR="00E859AB" w:rsidRDefault="00F47C86" w:rsidP="008D685A">
      <w:pPr>
        <w:pStyle w:val="Heading2"/>
      </w:pPr>
      <w:bookmarkStart w:id="22" w:name="_Toc134355929"/>
      <w:r>
        <w:t>VRIO Analysis of Distinctive Resources and Capabilities</w:t>
      </w:r>
      <w:bookmarkEnd w:id="22"/>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Valuable</w:t>
      </w:r>
      <w:r>
        <w:rPr>
          <w:rFonts w:ascii="Times New Roman" w:eastAsia="Times New Roman" w:hAnsi="Times New Roman" w:cs="Times New Roman"/>
          <w:sz w:val="24"/>
          <w:szCs w:val="24"/>
        </w:rPr>
        <w:t xml:space="preserve">: The American Express is able to take advantage of the prospects by </w:t>
      </w:r>
      <w:proofErr w:type="spellStart"/>
      <w:r>
        <w:rPr>
          <w:rFonts w:ascii="Times New Roman" w:eastAsia="Times New Roman" w:hAnsi="Times New Roman" w:cs="Times New Roman"/>
          <w:sz w:val="24"/>
          <w:szCs w:val="24"/>
        </w:rPr>
        <w:t>utilising</w:t>
      </w:r>
      <w:proofErr w:type="spellEnd"/>
      <w:r>
        <w:rPr>
          <w:rFonts w:ascii="Times New Roman" w:eastAsia="Times New Roman" w:hAnsi="Times New Roman" w:cs="Times New Roman"/>
          <w:sz w:val="24"/>
          <w:szCs w:val="24"/>
        </w:rPr>
        <w:t xml:space="preserve"> a variety of important components. Some important factors include brand reputation for social responsibility, relationships with suppliers, capacity for raising funds,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Hovenkamp</w:t>
      </w:r>
      <w:proofErr w:type="spellEnd"/>
      <w:r>
        <w:rPr>
          <w:rFonts w:ascii="Times New Roman" w:eastAsia="Times New Roman" w:hAnsi="Times New Roman" w:cs="Times New Roman"/>
          <w:sz w:val="24"/>
          <w:szCs w:val="24"/>
        </w:rPr>
        <w:t xml:space="preserve">, 2019). Through its capacity to generate funds, American Express has also been able to improve market penetration and access. The company's human capital is another important asset. To preserve its competitive edge, the business has efficiently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its people resources.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Rarity</w:t>
      </w:r>
      <w:r>
        <w:rPr>
          <w:rFonts w:ascii="Times New Roman" w:eastAsia="Times New Roman" w:hAnsi="Times New Roman" w:cs="Times New Roman"/>
          <w:sz w:val="24"/>
          <w:szCs w:val="24"/>
        </w:rPr>
        <w:t xml:space="preserve">: The various characteristics are also quite uncommon. These resources are scarce and difficult for rivals to locate or develop since they are not often encountered. The global reach, problem-solving aptitude, risk-taking propensities, adaptability, etc., are all quite uncommon traits of American Express. The American Express is present around the world and has operations in several nations and areas. The business has a sizable consumer base and high levels of brand loyalty. Other financial services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find it difficult to replicate this reputation.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Imitable</w:t>
      </w:r>
      <w:r>
        <w:rPr>
          <w:rFonts w:ascii="Times New Roman" w:eastAsia="Times New Roman" w:hAnsi="Times New Roman" w:cs="Times New Roman"/>
          <w:sz w:val="24"/>
          <w:szCs w:val="24"/>
        </w:rPr>
        <w:t xml:space="preserve">: These components assist a business in enhancing its competitive edge and long-term </w:t>
      </w:r>
      <w:proofErr w:type="spellStart"/>
      <w:r>
        <w:rPr>
          <w:rFonts w:ascii="Times New Roman" w:eastAsia="Times New Roman" w:hAnsi="Times New Roman" w:cs="Times New Roman"/>
          <w:sz w:val="24"/>
          <w:szCs w:val="24"/>
        </w:rPr>
        <w:t>organisational</w:t>
      </w:r>
      <w:proofErr w:type="spellEnd"/>
      <w:r>
        <w:rPr>
          <w:rFonts w:ascii="Times New Roman" w:eastAsia="Times New Roman" w:hAnsi="Times New Roman" w:cs="Times New Roman"/>
          <w:sz w:val="24"/>
          <w:szCs w:val="24"/>
        </w:rPr>
        <w:t xml:space="preserve"> sustainability. The following are unique components: the quality of the products offered, retail placement, marketing communications, </w:t>
      </w:r>
      <w:proofErr w:type="spellStart"/>
      <w:r>
        <w:rPr>
          <w:rFonts w:ascii="Times New Roman" w:eastAsia="Times New Roman" w:hAnsi="Times New Roman" w:cs="Times New Roman"/>
          <w:sz w:val="24"/>
          <w:szCs w:val="24"/>
        </w:rPr>
        <w:t>etc</w:t>
      </w:r>
      <w:proofErr w:type="spellEnd"/>
      <w:r>
        <w:rPr>
          <w:rFonts w:ascii="Times New Roman" w:eastAsia="Times New Roman" w:hAnsi="Times New Roman" w:cs="Times New Roman"/>
          <w:sz w:val="24"/>
          <w:szCs w:val="24"/>
        </w:rPr>
        <w:t xml:space="preserve"> (Villanova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 xml:space="preserve">2021). The American Express works through a number of locations in various nations and areas. To preserve its competitive edge, the corporation has also efficiently </w:t>
      </w:r>
      <w:proofErr w:type="spellStart"/>
      <w:r>
        <w:rPr>
          <w:rFonts w:ascii="Times New Roman" w:eastAsia="Times New Roman" w:hAnsi="Times New Roman" w:cs="Times New Roman"/>
          <w:sz w:val="24"/>
          <w:szCs w:val="24"/>
        </w:rPr>
        <w:t>organised</w:t>
      </w:r>
      <w:proofErr w:type="spellEnd"/>
      <w:r>
        <w:rPr>
          <w:rFonts w:ascii="Times New Roman" w:eastAsia="Times New Roman" w:hAnsi="Times New Roman" w:cs="Times New Roman"/>
          <w:sz w:val="24"/>
          <w:szCs w:val="24"/>
        </w:rPr>
        <w:t xml:space="preserve"> its financial resources.</w:t>
      </w:r>
    </w:p>
    <w:p w:rsidR="00E859AB" w:rsidRDefault="00F47C86">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b/>
          <w:i/>
          <w:sz w:val="24"/>
          <w:szCs w:val="24"/>
        </w:rPr>
        <w:t>Organisation</w:t>
      </w:r>
      <w:proofErr w:type="spellEnd"/>
      <w:r>
        <w:rPr>
          <w:rFonts w:ascii="Times New Roman" w:eastAsia="Times New Roman" w:hAnsi="Times New Roman" w:cs="Times New Roman"/>
          <w:sz w:val="24"/>
          <w:szCs w:val="24"/>
        </w:rPr>
        <w:t xml:space="preserve">: Some of the resources that are specifically built for the American Express include financial stability, technical integration and progress, personnel training, etc. These </w:t>
      </w:r>
      <w:r>
        <w:rPr>
          <w:rFonts w:ascii="Times New Roman" w:eastAsia="Times New Roman" w:hAnsi="Times New Roman" w:cs="Times New Roman"/>
          <w:sz w:val="24"/>
          <w:szCs w:val="24"/>
        </w:rPr>
        <w:lastRenderedPageBreak/>
        <w:t>are characteristics that cannot be substituted, making it impossible for businesses other than American Express to use them. In conclusion, American Express possesses a number of assets and skills that provide it a tenable competitive edge.  These assets and skills are precious, uncommon, hard to duplicate, and well-managed.</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00"/>
        <w:gridCol w:w="1500"/>
        <w:gridCol w:w="1485"/>
        <w:gridCol w:w="1470"/>
        <w:gridCol w:w="1680"/>
        <w:gridCol w:w="1725"/>
      </w:tblGrid>
      <w:tr w:rsidR="00E859AB">
        <w:trPr>
          <w:cantSplit/>
          <w:tblHeader/>
        </w:trPr>
        <w:tc>
          <w:tcPr>
            <w:tcW w:w="1500" w:type="dxa"/>
            <w:shd w:val="clear" w:color="auto" w:fill="auto"/>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Resources</w:t>
            </w:r>
          </w:p>
        </w:tc>
        <w:tc>
          <w:tcPr>
            <w:tcW w:w="1500" w:type="dxa"/>
            <w:shd w:val="clear" w:color="auto" w:fill="E6913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Valuable</w:t>
            </w:r>
          </w:p>
        </w:tc>
        <w:tc>
          <w:tcPr>
            <w:tcW w:w="1485" w:type="dxa"/>
            <w:shd w:val="clear" w:color="auto" w:fill="E6913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Rarity</w:t>
            </w:r>
          </w:p>
        </w:tc>
        <w:tc>
          <w:tcPr>
            <w:tcW w:w="1470" w:type="dxa"/>
            <w:shd w:val="clear" w:color="auto" w:fill="E6913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Imitate</w:t>
            </w:r>
          </w:p>
        </w:tc>
        <w:tc>
          <w:tcPr>
            <w:tcW w:w="1680" w:type="dxa"/>
            <w:shd w:val="clear" w:color="auto" w:fill="E6913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proofErr w:type="spellStart"/>
            <w:r>
              <w:rPr>
                <w:rFonts w:ascii="Times New Roman" w:eastAsia="Times New Roman" w:hAnsi="Times New Roman" w:cs="Times New Roman"/>
                <w:b/>
                <w:sz w:val="24"/>
                <w:szCs w:val="24"/>
              </w:rPr>
              <w:t>Organisation</w:t>
            </w:r>
            <w:proofErr w:type="spellEnd"/>
          </w:p>
        </w:tc>
        <w:tc>
          <w:tcPr>
            <w:tcW w:w="1725" w:type="dxa"/>
            <w:shd w:val="clear" w:color="auto" w:fill="E6913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Competitive Advantage</w:t>
            </w:r>
          </w:p>
        </w:tc>
      </w:tr>
      <w:tr w:rsidR="00E859AB">
        <w:trPr>
          <w:cantSplit/>
          <w:tblHeader/>
        </w:trPr>
        <w:tc>
          <w:tcPr>
            <w:tcW w:w="1500" w:type="dxa"/>
            <w:shd w:val="clear" w:color="auto" w:fill="FF9900"/>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Network Flexibility</w:t>
            </w:r>
          </w:p>
        </w:tc>
        <w:tc>
          <w:tcPr>
            <w:tcW w:w="1500" w:type="dxa"/>
            <w:shd w:val="clear" w:color="auto" w:fill="D9D2E9"/>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85" w:type="dxa"/>
            <w:shd w:val="clear" w:color="auto" w:fill="CFE2F3"/>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70" w:type="dxa"/>
            <w:shd w:val="clear" w:color="auto" w:fill="B6D7A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Close sharing</w:t>
            </w:r>
          </w:p>
        </w:tc>
        <w:tc>
          <w:tcPr>
            <w:tcW w:w="1680" w:type="dxa"/>
            <w:shd w:val="clear" w:color="auto" w:fill="FFF2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Completely consumed</w:t>
            </w:r>
          </w:p>
        </w:tc>
        <w:tc>
          <w:tcPr>
            <w:tcW w:w="1725" w:type="dxa"/>
            <w:shd w:val="clear" w:color="auto" w:fill="F4CC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Unused Competitive Advantage</w:t>
            </w:r>
          </w:p>
        </w:tc>
      </w:tr>
      <w:tr w:rsidR="00E859AB">
        <w:trPr>
          <w:cantSplit/>
          <w:tblHeader/>
        </w:trPr>
        <w:tc>
          <w:tcPr>
            <w:tcW w:w="1500" w:type="dxa"/>
            <w:shd w:val="clear" w:color="auto" w:fill="FF9900"/>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Market Position</w:t>
            </w:r>
          </w:p>
        </w:tc>
        <w:tc>
          <w:tcPr>
            <w:tcW w:w="1500" w:type="dxa"/>
            <w:shd w:val="clear" w:color="auto" w:fill="D9D2E9"/>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85" w:type="dxa"/>
            <w:shd w:val="clear" w:color="auto" w:fill="CFE2F3"/>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70" w:type="dxa"/>
            <w:shd w:val="clear" w:color="auto" w:fill="B6D7A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Challenging</w:t>
            </w:r>
          </w:p>
        </w:tc>
        <w:tc>
          <w:tcPr>
            <w:tcW w:w="1680" w:type="dxa"/>
            <w:shd w:val="clear" w:color="auto" w:fill="FFF2CC"/>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725" w:type="dxa"/>
            <w:shd w:val="clear" w:color="auto" w:fill="F4CCCC"/>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Competitive advantage</w:t>
            </w:r>
          </w:p>
        </w:tc>
      </w:tr>
      <w:tr w:rsidR="00E859AB">
        <w:trPr>
          <w:cantSplit/>
          <w:tblHeader/>
        </w:trPr>
        <w:tc>
          <w:tcPr>
            <w:tcW w:w="1500" w:type="dxa"/>
            <w:shd w:val="clear" w:color="auto" w:fill="FF9900"/>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Leadership Team</w:t>
            </w:r>
          </w:p>
        </w:tc>
        <w:tc>
          <w:tcPr>
            <w:tcW w:w="1500" w:type="dxa"/>
            <w:shd w:val="clear" w:color="auto" w:fill="D9D2E9"/>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85" w:type="dxa"/>
            <w:shd w:val="clear" w:color="auto" w:fill="CFE2F3"/>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70" w:type="dxa"/>
            <w:shd w:val="clear" w:color="auto" w:fill="B6D7A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No</w:t>
            </w:r>
          </w:p>
        </w:tc>
        <w:tc>
          <w:tcPr>
            <w:tcW w:w="1680" w:type="dxa"/>
            <w:shd w:val="clear" w:color="auto" w:fill="FFF2CC"/>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725" w:type="dxa"/>
            <w:shd w:val="clear" w:color="auto" w:fill="F4CC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Strong Competitive advantage</w:t>
            </w:r>
          </w:p>
        </w:tc>
      </w:tr>
      <w:tr w:rsidR="00E859AB">
        <w:trPr>
          <w:cantSplit/>
          <w:tblHeader/>
        </w:trPr>
        <w:tc>
          <w:tcPr>
            <w:tcW w:w="1500" w:type="dxa"/>
            <w:shd w:val="clear" w:color="auto" w:fill="FF9900"/>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Brand Reputation and customer loyalty</w:t>
            </w:r>
          </w:p>
        </w:tc>
        <w:tc>
          <w:tcPr>
            <w:tcW w:w="1500" w:type="dxa"/>
            <w:shd w:val="clear" w:color="auto" w:fill="D9D2E9"/>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High Value</w:t>
            </w:r>
          </w:p>
        </w:tc>
        <w:tc>
          <w:tcPr>
            <w:tcW w:w="1485" w:type="dxa"/>
            <w:shd w:val="clear" w:color="auto" w:fill="CFE2F3"/>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Rare</w:t>
            </w:r>
          </w:p>
        </w:tc>
        <w:tc>
          <w:tcPr>
            <w:tcW w:w="1470" w:type="dxa"/>
            <w:shd w:val="clear" w:color="auto" w:fill="B6D7A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Difficult to imitate</w:t>
            </w:r>
          </w:p>
        </w:tc>
        <w:tc>
          <w:tcPr>
            <w:tcW w:w="1680" w:type="dxa"/>
            <w:shd w:val="clear" w:color="auto" w:fill="FFF2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Properly </w:t>
            </w:r>
            <w:proofErr w:type="spellStart"/>
            <w:r>
              <w:rPr>
                <w:rFonts w:ascii="Times New Roman" w:eastAsia="Times New Roman" w:hAnsi="Times New Roman" w:cs="Times New Roman"/>
                <w:sz w:val="24"/>
                <w:szCs w:val="24"/>
              </w:rPr>
              <w:t>Organised</w:t>
            </w:r>
            <w:proofErr w:type="spellEnd"/>
          </w:p>
        </w:tc>
        <w:tc>
          <w:tcPr>
            <w:tcW w:w="1725" w:type="dxa"/>
            <w:shd w:val="clear" w:color="auto" w:fill="F4CC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Sustainable Competitive advantage</w:t>
            </w:r>
          </w:p>
        </w:tc>
      </w:tr>
      <w:tr w:rsidR="00E859AB">
        <w:trPr>
          <w:cantSplit/>
          <w:tblHeader/>
        </w:trPr>
        <w:tc>
          <w:tcPr>
            <w:tcW w:w="1500" w:type="dxa"/>
            <w:shd w:val="clear" w:color="auto" w:fill="FF9900"/>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Financial Resource</w:t>
            </w:r>
          </w:p>
        </w:tc>
        <w:tc>
          <w:tcPr>
            <w:tcW w:w="1500" w:type="dxa"/>
            <w:shd w:val="clear" w:color="auto" w:fill="D9D2E9"/>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85" w:type="dxa"/>
            <w:shd w:val="clear" w:color="auto" w:fill="CFE2F3"/>
            <w:tcMar>
              <w:top w:w="100" w:type="dxa"/>
              <w:left w:w="100" w:type="dxa"/>
              <w:bottom w:w="100" w:type="dxa"/>
              <w:right w:w="100" w:type="dxa"/>
            </w:tcMar>
          </w:tcPr>
          <w:p w:rsidR="00E859AB" w:rsidRDefault="00F47C86">
            <w:pPr>
              <w:pStyle w:val="Normal1"/>
              <w:widowControl w:val="0"/>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Yes</w:t>
            </w:r>
          </w:p>
        </w:tc>
        <w:tc>
          <w:tcPr>
            <w:tcW w:w="1470" w:type="dxa"/>
            <w:shd w:val="clear" w:color="auto" w:fill="B6D7A8"/>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Compatible with all rivals</w:t>
            </w:r>
          </w:p>
        </w:tc>
        <w:tc>
          <w:tcPr>
            <w:tcW w:w="1680" w:type="dxa"/>
            <w:shd w:val="clear" w:color="auto" w:fill="FFF2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Financial Status is sustainable</w:t>
            </w:r>
          </w:p>
        </w:tc>
        <w:tc>
          <w:tcPr>
            <w:tcW w:w="1725" w:type="dxa"/>
            <w:shd w:val="clear" w:color="auto" w:fill="F4CCCC"/>
            <w:tcMar>
              <w:top w:w="100" w:type="dxa"/>
              <w:left w:w="100" w:type="dxa"/>
              <w:bottom w:w="100" w:type="dxa"/>
              <w:right w:w="100" w:type="dxa"/>
            </w:tcMar>
          </w:tcPr>
          <w:p w:rsidR="00E859AB" w:rsidRDefault="00F47C86">
            <w:pPr>
              <w:pStyle w:val="Normal1"/>
              <w:widowControl w:val="0"/>
              <w:pBdr>
                <w:top w:val="nil"/>
                <w:left w:val="nil"/>
                <w:bottom w:val="nil"/>
                <w:right w:val="nil"/>
                <w:between w:val="nil"/>
              </w:pBdr>
              <w:spacing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Temporary competitive advantage</w:t>
            </w:r>
          </w:p>
        </w:tc>
      </w:tr>
    </w:tbl>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Table 1: VRIO Analysis of American Express</w:t>
      </w:r>
    </w:p>
    <w:p w:rsidR="00E859AB" w:rsidRDefault="00F47C86" w:rsidP="008D685A">
      <w:pPr>
        <w:pStyle w:val="Heading2"/>
        <w:rPr>
          <w:szCs w:val="24"/>
        </w:rPr>
      </w:pPr>
      <w:bookmarkStart w:id="23" w:name="_Toc134355930"/>
      <w:r>
        <w:t>SWOT Analysis</w:t>
      </w:r>
      <w:bookmarkEnd w:id="23"/>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Strengths</w:t>
      </w:r>
    </w:p>
    <w:p w:rsidR="00E859AB" w:rsidRDefault="00F47C86">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reputation this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has established for itself is one of its key assets. One of the most well-known brands in the financial services sector is American Express. Because of the high customer retention rate, consumers are more likely to make repeat purchases when the brand image is good (Islam, 2019).</w:t>
      </w:r>
    </w:p>
    <w:p w:rsidR="00E859AB" w:rsidRDefault="00F47C86">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company's solid and devoted customer base is another one of its strengths. </w:t>
      </w:r>
    </w:p>
    <w:p w:rsidR="00E859AB" w:rsidRDefault="00F47C86">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has also had success combining complementary businesses through mergers and acquisitions. A robust balance sheet with significant liquidity and a low debt-to-equity ratio is another asset.</w:t>
      </w:r>
    </w:p>
    <w:p w:rsidR="00E859AB" w:rsidRDefault="00F47C86">
      <w:pPr>
        <w:pStyle w:val="Normal1"/>
        <w:numPr>
          <w:ilvl w:val="0"/>
          <w:numId w:val="4"/>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wide variety of card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and the company's track record of generating new goods is another one of its key strengths (AmEx, 2023). Additionally, the business has effectively merged a number of technology firms throughout recent years to streamline operations and create a trustworthy supply chain.</w:t>
      </w:r>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Weaknesses</w:t>
      </w:r>
    </w:p>
    <w:p w:rsidR="00E859AB" w:rsidRDefault="00F47C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Despite its advantages, this business has significant drawbacks. Some potential consumers may be turned off by American Express' higher costs compared to those of competing credit card companies (Shapiro, 2019). </w:t>
      </w:r>
    </w:p>
    <w:p w:rsidR="00E859AB" w:rsidRDefault="00F47C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American Express's </w:t>
      </w:r>
      <w:proofErr w:type="spellStart"/>
      <w:r>
        <w:rPr>
          <w:rFonts w:ascii="Times New Roman" w:eastAsia="Times New Roman" w:hAnsi="Times New Roman" w:cs="Times New Roman"/>
          <w:sz w:val="24"/>
          <w:szCs w:val="24"/>
        </w:rPr>
        <w:t>traveller</w:t>
      </w:r>
      <w:proofErr w:type="spellEnd"/>
      <w:r>
        <w:rPr>
          <w:rFonts w:ascii="Times New Roman" w:eastAsia="Times New Roman" w:hAnsi="Times New Roman" w:cs="Times New Roman"/>
          <w:sz w:val="24"/>
          <w:szCs w:val="24"/>
        </w:rPr>
        <w:t xml:space="preserve"> cheque business must be revived as it is rapidly declining. </w:t>
      </w:r>
    </w:p>
    <w:p w:rsidR="00E859AB" w:rsidRDefault="00F47C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Debit cards are also in low supply, and American Express cards are not widely </w:t>
      </w:r>
      <w:proofErr w:type="spellStart"/>
      <w:r>
        <w:rPr>
          <w:rFonts w:ascii="Times New Roman" w:eastAsia="Times New Roman" w:hAnsi="Times New Roman" w:cs="Times New Roman"/>
          <w:sz w:val="24"/>
          <w:szCs w:val="24"/>
        </w:rPr>
        <w:t>recognised</w:t>
      </w:r>
      <w:proofErr w:type="spellEnd"/>
      <w:r>
        <w:rPr>
          <w:rFonts w:ascii="Times New Roman" w:eastAsia="Times New Roman" w:hAnsi="Times New Roman" w:cs="Times New Roman"/>
          <w:sz w:val="24"/>
          <w:szCs w:val="24"/>
        </w:rPr>
        <w:t xml:space="preserve"> as Visa or Mastercard are. Some clients find it inconvenient as a result.</w:t>
      </w:r>
    </w:p>
    <w:p w:rsidR="00E859AB" w:rsidRDefault="00F47C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significantly depends on ventures in the tourism industry. Thus, when a worldwide phenomenon like the pandemic affects travel, a significant portion of the income is likewise impeded (</w:t>
      </w:r>
      <w:proofErr w:type="spellStart"/>
      <w:r>
        <w:rPr>
          <w:rFonts w:ascii="Times New Roman" w:eastAsia="Times New Roman" w:hAnsi="Times New Roman" w:cs="Times New Roman"/>
          <w:sz w:val="24"/>
          <w:szCs w:val="24"/>
        </w:rPr>
        <w:t>Florido</w:t>
      </w:r>
      <w:proofErr w:type="spellEnd"/>
      <w:r>
        <w:rPr>
          <w:rFonts w:ascii="Times New Roman" w:eastAsia="Times New Roman" w:hAnsi="Times New Roman" w:cs="Times New Roman"/>
          <w:sz w:val="24"/>
          <w:szCs w:val="24"/>
        </w:rPr>
        <w:t xml:space="preserve">-Benitez, 2022). </w:t>
      </w:r>
    </w:p>
    <w:p w:rsidR="00E859AB" w:rsidRDefault="00F47C86">
      <w:pPr>
        <w:pStyle w:val="Normal1"/>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Other than this, there is frequently a lack of available goods. However, if the corporation can create additional financial and cross-sales goods specifically for the US, it will reap significant rewards.</w:t>
      </w:r>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Opportunities</w:t>
      </w:r>
    </w:p>
    <w:p w:rsidR="00E859AB" w:rsidRDefault="00F47C86">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this firm has a number of disadvantages, it also has some chances. It can grow its business by entering new markets. The business will compete in global markets despite having a small global footprint (</w:t>
      </w:r>
      <w:proofErr w:type="spellStart"/>
      <w:r>
        <w:rPr>
          <w:rFonts w:ascii="Times New Roman" w:eastAsia="Times New Roman" w:hAnsi="Times New Roman" w:cs="Times New Roman"/>
          <w:color w:val="222222"/>
          <w:sz w:val="24"/>
          <w:szCs w:val="24"/>
          <w:highlight w:val="white"/>
        </w:rPr>
        <w:t>Katsikeas</w:t>
      </w:r>
      <w:proofErr w:type="spellEnd"/>
      <w:r>
        <w:rPr>
          <w:rFonts w:ascii="Times New Roman" w:eastAsia="Times New Roman" w:hAnsi="Times New Roman" w:cs="Times New Roman"/>
          <w:color w:val="222222"/>
          <w:sz w:val="24"/>
          <w:szCs w:val="24"/>
          <w:highlight w:val="white"/>
        </w:rPr>
        <w:t xml:space="preserve">, </w:t>
      </w:r>
      <w:proofErr w:type="spellStart"/>
      <w:r>
        <w:rPr>
          <w:rFonts w:ascii="Times New Roman" w:eastAsia="Times New Roman" w:hAnsi="Times New Roman" w:cs="Times New Roman"/>
          <w:color w:val="222222"/>
          <w:sz w:val="24"/>
          <w:szCs w:val="24"/>
          <w:highlight w:val="white"/>
        </w:rPr>
        <w:t>Leonidou</w:t>
      </w:r>
      <w:proofErr w:type="spellEnd"/>
      <w:r>
        <w:rPr>
          <w:rFonts w:ascii="Times New Roman" w:eastAsia="Times New Roman" w:hAnsi="Times New Roman" w:cs="Times New Roman"/>
          <w:color w:val="222222"/>
          <w:sz w:val="24"/>
          <w:szCs w:val="24"/>
          <w:highlight w:val="white"/>
        </w:rPr>
        <w:t xml:space="preserve"> and </w:t>
      </w:r>
      <w:proofErr w:type="spellStart"/>
      <w:r>
        <w:rPr>
          <w:rFonts w:ascii="Times New Roman" w:eastAsia="Times New Roman" w:hAnsi="Times New Roman" w:cs="Times New Roman"/>
          <w:color w:val="222222"/>
          <w:sz w:val="24"/>
          <w:szCs w:val="24"/>
          <w:highlight w:val="white"/>
        </w:rPr>
        <w:t>Zeriti</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It may also concentrate on areas with a developing middle class.</w:t>
      </w:r>
    </w:p>
    <w:p w:rsidR="00E859AB" w:rsidRDefault="00F47C86">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business might collaborate with other regional businesses to access the global market. As a result, the business will be able to accept additional payment methods and provide clients with better value.</w:t>
      </w:r>
    </w:p>
    <w:p w:rsidR="00E859AB" w:rsidRDefault="00F47C86">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firm has a decent possibility of increasing the penetration of credit cards. There are a huge number of credit card users in developing countries (Katz and Melamed, 2019). Therefore, creating credit cards is significant potential. </w:t>
      </w:r>
    </w:p>
    <w:p w:rsidR="00E859AB" w:rsidRDefault="00F47C86">
      <w:pPr>
        <w:pStyle w:val="Normal1"/>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it can benefit from emerging trends and client patterns. It offers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 fantastic chance to develop new revenue sources. The business may serve a variety of customers by creating a varied product category.</w:t>
      </w:r>
    </w:p>
    <w:p w:rsidR="00E859AB" w:rsidRDefault="00F47C86">
      <w:pPr>
        <w:pStyle w:val="Normal1"/>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Threats</w:t>
      </w:r>
    </w:p>
    <w:p w:rsidR="00E859AB" w:rsidRDefault="00F47C86">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Despite the potential, American Express faces certain threats in the industry. The corporation will face significant dangers from the fierce competition. Both Visa and MasterCard are significant rivals to American Express and have </w:t>
      </w:r>
      <w:proofErr w:type="spellStart"/>
      <w:r>
        <w:rPr>
          <w:rFonts w:ascii="Times New Roman" w:eastAsia="Times New Roman" w:hAnsi="Times New Roman" w:cs="Times New Roman"/>
          <w:sz w:val="24"/>
          <w:szCs w:val="24"/>
        </w:rPr>
        <w:t>recognisable</w:t>
      </w:r>
      <w:proofErr w:type="spellEnd"/>
      <w:r>
        <w:rPr>
          <w:rFonts w:ascii="Times New Roman" w:eastAsia="Times New Roman" w:hAnsi="Times New Roman" w:cs="Times New Roman"/>
          <w:sz w:val="24"/>
          <w:szCs w:val="24"/>
        </w:rPr>
        <w:t xml:space="preserve"> names (Machete, 2020). Additionally, these two businesses control a sizable portion of the global market. </w:t>
      </w:r>
    </w:p>
    <w:p w:rsidR="00E859AB" w:rsidRDefault="00F47C86">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prospect of new competitors entering the market is also constant. </w:t>
      </w:r>
    </w:p>
    <w:p w:rsidR="00E859AB" w:rsidRDefault="00F47C86">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competitors, the dread of unpredictable phenomena is constant. Economic downturns are brought on by such tragic occurrences (</w:t>
      </w:r>
      <w:proofErr w:type="spellStart"/>
      <w:r>
        <w:rPr>
          <w:rFonts w:ascii="Times New Roman" w:eastAsia="Times New Roman" w:hAnsi="Times New Roman" w:cs="Times New Roman"/>
          <w:sz w:val="24"/>
          <w:szCs w:val="24"/>
        </w:rPr>
        <w:t>Steinbaum</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Stucke</w:t>
      </w:r>
      <w:proofErr w:type="spellEnd"/>
      <w:r>
        <w:rPr>
          <w:rFonts w:ascii="Times New Roman" w:eastAsia="Times New Roman" w:hAnsi="Times New Roman" w:cs="Times New Roman"/>
          <w:sz w:val="24"/>
          <w:szCs w:val="24"/>
        </w:rPr>
        <w:t xml:space="preserve">, 2020). Consumer spending may decline as a result, which might affect the business's income. </w:t>
      </w:r>
    </w:p>
    <w:p w:rsidR="00E859AB" w:rsidRDefault="00F47C86">
      <w:pPr>
        <w:pStyle w:val="Normal1"/>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Another issue that most businesses, including American Express, are concerned about is the evolving client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w:t>
      </w:r>
    </w:p>
    <w:p w:rsidR="00E859AB" w:rsidRDefault="00E859AB">
      <w:pPr>
        <w:pStyle w:val="Normal1"/>
      </w:pPr>
    </w:p>
    <w:p w:rsidR="00E859AB" w:rsidRDefault="00F47C86" w:rsidP="008D685A">
      <w:pPr>
        <w:pStyle w:val="Heading1"/>
      </w:pPr>
      <w:bookmarkStart w:id="24" w:name="_hnlh476iip9" w:colFirst="0" w:colLast="0"/>
      <w:bookmarkStart w:id="25" w:name="_Toc134355931"/>
      <w:bookmarkEnd w:id="24"/>
      <w:r>
        <w:t>Strategies to Sustain Competitive Advantage</w:t>
      </w:r>
      <w:bookmarkEnd w:id="25"/>
      <w:r>
        <w:t xml:space="preserve"> </w:t>
      </w:r>
    </w:p>
    <w:p w:rsidR="00E859AB" w:rsidRDefault="00F47C86" w:rsidP="008D685A">
      <w:pPr>
        <w:pStyle w:val="Heading2"/>
      </w:pPr>
      <w:bookmarkStart w:id="26" w:name="_Toc134355932"/>
      <w:r>
        <w:t>Growth Strategies:</w:t>
      </w:r>
      <w:bookmarkEnd w:id="26"/>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recent years, American Express (AmEx) has exhibited remarkable expansion due to its targeted and efficient tactics, thereby sustaining a competitive edge in the market. The company's financial results serve as a testament to its ability to retain this advantage.</w:t>
      </w:r>
    </w:p>
    <w:p w:rsidR="00E859AB" w:rsidRDefault="00F47C86">
      <w:pPr>
        <w:pStyle w:val="Normal1"/>
        <w:jc w:val="center"/>
      </w:pPr>
      <w:r>
        <w:rPr>
          <w:noProof/>
        </w:rPr>
        <w:drawing>
          <wp:inline distT="114300" distB="114300" distL="114300" distR="114300">
            <wp:extent cx="4529138" cy="3334887"/>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29138" cy="3334887"/>
                    </a:xfrm>
                    <a:prstGeom prst="rect">
                      <a:avLst/>
                    </a:prstGeom>
                    <a:ln/>
                  </pic:spPr>
                </pic:pic>
              </a:graphicData>
            </a:graphic>
          </wp:inline>
        </w:drawing>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Worldwide network volume</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Goel, 2023). </w:t>
      </w:r>
    </w:p>
    <w:p w:rsidR="00E859AB" w:rsidRDefault="00E859AB">
      <w:pPr>
        <w:pStyle w:val="Normal1"/>
        <w:jc w:val="cente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During Q4 2022, AmEx announced consolidated total revenues net of interest expense amounting to £14.29 billion, a 24.9% increase from £11.39 billion the previous year. This notable growth can be attributed to a variety of factors, including elevated net interest income, resulting from increased average loan volumes and heightened Card Member expenditure (</w:t>
      </w:r>
      <w:r>
        <w:rPr>
          <w:rFonts w:ascii="Times New Roman" w:eastAsia="Times New Roman" w:hAnsi="Times New Roman" w:cs="Times New Roman"/>
          <w:color w:val="222222"/>
          <w:sz w:val="24"/>
          <w:szCs w:val="24"/>
          <w:highlight w:val="white"/>
        </w:rPr>
        <w:t>Washington, 2023).</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AmEx has astutely invested in </w:t>
      </w:r>
      <w:r>
        <w:rPr>
          <w:rFonts w:ascii="Times New Roman" w:eastAsia="Times New Roman" w:hAnsi="Times New Roman" w:cs="Times New Roman"/>
          <w:b/>
          <w:sz w:val="24"/>
          <w:szCs w:val="24"/>
        </w:rPr>
        <w:t>customer engagement</w:t>
      </w:r>
      <w:r>
        <w:rPr>
          <w:rFonts w:ascii="Times New Roman" w:eastAsia="Times New Roman" w:hAnsi="Times New Roman" w:cs="Times New Roman"/>
          <w:sz w:val="24"/>
          <w:szCs w:val="24"/>
        </w:rPr>
        <w:t>, as evidenced by the disclosed total expenses for U.S. Consumer Services and International Card Services. These expenses were mainly driven by elevated customer engagement costs, network volumes, and augmented use of travel-related benefits. By allocating resources to customer engagement, AmEx has effectively attracted and retained high-spending clients, which has significantly contributed to its overall expansion.</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Moreover, AmEx's growth strategies have proven successful in fortifying its various divisions. For example, U.S. Consumer Services reported a Q4 pretax income of £1.29 billion, with total revenues net of interest expense reaching £6.49 billion, a 23% increase from £5.29 billion the previous year. Commercial Services also experienced growth, as total revenues net of interest expense climbed to £3.59 billion, a 14.9%rise from £3.1 billion the previous year. These increments primarily resulted from heightened Card Member expenditure (</w:t>
      </w:r>
      <w:r>
        <w:rPr>
          <w:rFonts w:ascii="Times New Roman" w:eastAsia="Times New Roman" w:hAnsi="Times New Roman" w:cs="Times New Roman"/>
          <w:color w:val="222222"/>
          <w:sz w:val="24"/>
          <w:szCs w:val="24"/>
          <w:highlight w:val="white"/>
        </w:rPr>
        <w:t xml:space="preserve">Goel, 2023).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Global Merchant and Network Services reported a Q4 pretax income of £691 million, up from £475 million a year prior, with total revenues net of interest expense </w:t>
      </w:r>
      <w:proofErr w:type="spellStart"/>
      <w:r>
        <w:rPr>
          <w:rFonts w:ascii="Times New Roman" w:eastAsia="Times New Roman" w:hAnsi="Times New Roman" w:cs="Times New Roman"/>
          <w:sz w:val="24"/>
          <w:szCs w:val="24"/>
        </w:rPr>
        <w:t>totalling</w:t>
      </w:r>
      <w:proofErr w:type="spellEnd"/>
      <w:r>
        <w:rPr>
          <w:rFonts w:ascii="Times New Roman" w:eastAsia="Times New Roman" w:hAnsi="Times New Roman" w:cs="Times New Roman"/>
          <w:sz w:val="24"/>
          <w:szCs w:val="24"/>
        </w:rPr>
        <w:t xml:space="preserve"> £1.8 billion, a 20% increase from £1.5 billion the previous year. This expansion is predominantly driven by elevated network volumes, highlighting the effectiveness of AmEx's strategy to reinforce its global integrated network.</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Provisions for credit losses increased across all segments, reflecting AmEx's cautious</w:t>
      </w:r>
      <w:r>
        <w:rPr>
          <w:rFonts w:ascii="Times New Roman" w:eastAsia="Times New Roman" w:hAnsi="Times New Roman" w:cs="Times New Roman"/>
          <w:b/>
          <w:sz w:val="24"/>
          <w:szCs w:val="24"/>
        </w:rPr>
        <w:t xml:space="preserve"> risk management approach</w:t>
      </w:r>
      <w:r>
        <w:rPr>
          <w:rFonts w:ascii="Times New Roman" w:eastAsia="Times New Roman" w:hAnsi="Times New Roman" w:cs="Times New Roman"/>
          <w:sz w:val="24"/>
          <w:szCs w:val="24"/>
        </w:rPr>
        <w:t>. In U.S. Consumer Services, provisions for credit losses reached £542 million, while they amounted to £271 million in Commercial Services. These provisions demonstrate that the company is prepared to face potential risks while still supporting its growth strategies.</w:t>
      </w:r>
    </w:p>
    <w:p w:rsidR="00E859AB" w:rsidRDefault="00F47C86">
      <w:pPr>
        <w:pStyle w:val="Normal1"/>
        <w:spacing w:line="360" w:lineRule="auto"/>
        <w:jc w:val="center"/>
        <w:rPr>
          <w:rFonts w:ascii="Times New Roman" w:eastAsia="Times New Roman" w:hAnsi="Times New Roman" w:cs="Times New Roman"/>
        </w:rPr>
      </w:pPr>
      <w:r>
        <w:rPr>
          <w:rFonts w:ascii="Times New Roman" w:eastAsia="Times New Roman" w:hAnsi="Times New Roman" w:cs="Times New Roman"/>
          <w:noProof/>
        </w:rPr>
        <w:lastRenderedPageBreak/>
        <w:drawing>
          <wp:inline distT="114300" distB="114300" distL="114300" distR="114300">
            <wp:extent cx="5731200" cy="20828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2"/>
                    <a:srcRect/>
                    <a:stretch>
                      <a:fillRect/>
                    </a:stretch>
                  </pic:blipFill>
                  <pic:spPr>
                    <a:xfrm>
                      <a:off x="0" y="0"/>
                      <a:ext cx="5731200" cy="2082800"/>
                    </a:xfrm>
                    <a:prstGeom prst="rect">
                      <a:avLst/>
                    </a:prstGeom>
                    <a:ln/>
                  </pic:spPr>
                </pic:pic>
              </a:graphicData>
            </a:graphic>
          </wp:inline>
        </w:drawing>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Revenue comparison (2021-22)</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Sources: </w:t>
      </w:r>
      <w:r>
        <w:rPr>
          <w:rFonts w:ascii="Times New Roman" w:eastAsia="Times New Roman" w:hAnsi="Times New Roman" w:cs="Times New Roman"/>
          <w:color w:val="222222"/>
          <w:sz w:val="24"/>
          <w:szCs w:val="24"/>
          <w:highlight w:val="white"/>
        </w:rPr>
        <w:t>American Express Company</w:t>
      </w:r>
      <w:r>
        <w:rPr>
          <w:rFonts w:ascii="Times New Roman" w:eastAsia="Times New Roman" w:hAnsi="Times New Roman" w:cs="Times New Roman"/>
          <w:i/>
          <w:color w:val="222222"/>
          <w:sz w:val="24"/>
          <w:szCs w:val="24"/>
          <w:highlight w:val="white"/>
        </w:rPr>
        <w:t xml:space="preserve"> </w:t>
      </w:r>
      <w:r>
        <w:rPr>
          <w:rFonts w:ascii="Times New Roman" w:eastAsia="Times New Roman" w:hAnsi="Times New Roman" w:cs="Times New Roman"/>
          <w:color w:val="222222"/>
          <w:sz w:val="24"/>
          <w:szCs w:val="24"/>
          <w:highlight w:val="white"/>
        </w:rPr>
        <w:t>(2021)</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AmEx has expressed confidence in its expansion and profitability by announcing a planned 14.9% rise in the regular quarterly dividend on its common shares, from £0.52 to £0.60 per share, commencing with the first quarter 2023 dividend declaration (</w:t>
      </w:r>
      <w:r>
        <w:rPr>
          <w:rFonts w:ascii="Times New Roman" w:eastAsia="Times New Roman" w:hAnsi="Times New Roman" w:cs="Times New Roman"/>
          <w:color w:val="222222"/>
          <w:sz w:val="24"/>
          <w:szCs w:val="24"/>
          <w:highlight w:val="white"/>
        </w:rPr>
        <w:t>Goel, 2023).</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 has effectively executed growth strategies that have enabled it to maintain a competitive edge in the payments sector. The company's financial results and segment performances clearly illustrate that its emphasis on customer engagement, reinforcement of its global integrated network, cautious risk management, and targeted investment in growth opportunities have been successful in driving revenue and profits. By </w:t>
      </w:r>
      <w:proofErr w:type="spellStart"/>
      <w:r>
        <w:rPr>
          <w:rFonts w:ascii="Times New Roman" w:eastAsia="Times New Roman" w:hAnsi="Times New Roman" w:cs="Times New Roman"/>
          <w:sz w:val="24"/>
          <w:szCs w:val="24"/>
        </w:rPr>
        <w:t>analysing</w:t>
      </w:r>
      <w:proofErr w:type="spellEnd"/>
      <w:r>
        <w:rPr>
          <w:rFonts w:ascii="Times New Roman" w:eastAsia="Times New Roman" w:hAnsi="Times New Roman" w:cs="Times New Roman"/>
          <w:sz w:val="24"/>
          <w:szCs w:val="24"/>
        </w:rPr>
        <w:t xml:space="preserve"> this information, it is evident that AmEx will continue to prosper in the fiercely competitive market, ensuring sustained success for the company in the future.</w:t>
      </w:r>
    </w:p>
    <w:p w:rsidR="00E859AB" w:rsidRDefault="00E859AB">
      <w:pPr>
        <w:pStyle w:val="Normal1"/>
      </w:pPr>
    </w:p>
    <w:p w:rsidR="00E859AB" w:rsidRDefault="00F47C86" w:rsidP="008D685A">
      <w:pPr>
        <w:pStyle w:val="Heading2"/>
      </w:pPr>
      <w:bookmarkStart w:id="27" w:name="_Toc134355933"/>
      <w:r>
        <w:t>Green Strategy and CSR:</w:t>
      </w:r>
      <w:bookmarkEnd w:id="27"/>
      <w:r>
        <w:t xml:space="preserve"> </w:t>
      </w:r>
    </w:p>
    <w:p w:rsidR="00E859AB" w:rsidRDefault="00E859AB">
      <w:pPr>
        <w:pStyle w:val="Normal1"/>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American Express (AmEx) has exhibited a steadfast dedication to sustainability and corporate social responsibility (CSR), which has positively influenced its competitiveness within the market. The firm's multi-faceted strategy encompasses championing equal futures, empowering small businesses, advocating financial literacy, endorsing low-carbon communities, and </w:t>
      </w:r>
      <w:proofErr w:type="spellStart"/>
      <w:r>
        <w:rPr>
          <w:rFonts w:ascii="Times New Roman" w:eastAsia="Times New Roman" w:hAnsi="Times New Roman" w:cs="Times New Roman"/>
          <w:sz w:val="24"/>
          <w:szCs w:val="24"/>
        </w:rPr>
        <w:t>optimising</w:t>
      </w:r>
      <w:proofErr w:type="spellEnd"/>
      <w:r>
        <w:rPr>
          <w:rFonts w:ascii="Times New Roman" w:eastAsia="Times New Roman" w:hAnsi="Times New Roman" w:cs="Times New Roman"/>
          <w:sz w:val="24"/>
          <w:szCs w:val="24"/>
        </w:rPr>
        <w:t xml:space="preserve"> workspaces.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AmEx's "Championing Equal Futures"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centres</w:t>
      </w:r>
      <w:proofErr w:type="spellEnd"/>
      <w:r>
        <w:rPr>
          <w:rFonts w:ascii="Times New Roman" w:eastAsia="Times New Roman" w:hAnsi="Times New Roman" w:cs="Times New Roman"/>
          <w:sz w:val="24"/>
          <w:szCs w:val="24"/>
        </w:rPr>
        <w:t xml:space="preserve"> on providing underrepresented youth with skills and pathways in areas such as the green economy, digital futures, and STEAM fields. By delivering education, training, and mentoring, AmEx aids these individuals in transitioning to meaningful employment or self-reliance. The corporation also </w:t>
      </w:r>
      <w:r>
        <w:rPr>
          <w:rFonts w:ascii="Times New Roman" w:eastAsia="Times New Roman" w:hAnsi="Times New Roman" w:cs="Times New Roman"/>
          <w:sz w:val="24"/>
          <w:szCs w:val="24"/>
        </w:rPr>
        <w:lastRenderedPageBreak/>
        <w:t xml:space="preserve">supports advocacy for education and workforce development in underrepresented communities, reinforcing its reputation as an inclusive and ethically responsible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"Empowering Small" initiative exemplifies AmEx's commitment to assisting underrepresented and economically vulnerable small business owners and entrepreneurs. Through grants, mentoring, and technical support, the firm has established various schemes, including Inclusive Empowerment, Coalition to Support Black Businesses, and Empowering Historic Small Restaurants (</w:t>
      </w:r>
      <w:r>
        <w:rPr>
          <w:rFonts w:ascii="Times New Roman" w:eastAsia="Times New Roman" w:hAnsi="Times New Roman" w:cs="Times New Roman"/>
          <w:color w:val="222222"/>
          <w:sz w:val="24"/>
          <w:szCs w:val="24"/>
          <w:highlight w:val="white"/>
        </w:rPr>
        <w:t>AmEx, 2021)</w:t>
      </w:r>
      <w:r>
        <w:rPr>
          <w:rFonts w:ascii="Times New Roman" w:eastAsia="Times New Roman" w:hAnsi="Times New Roman" w:cs="Times New Roman"/>
          <w:sz w:val="24"/>
          <w:szCs w:val="24"/>
        </w:rPr>
        <w:t xml:space="preserve"> These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xml:space="preserve"> foster an inclusive commercial environment and augment the company's competitive edge.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further key aspect of AmEx's CSR approach is the promotion of financial literacy. The company offers education, training, and mentoring to underrepresented individuals and families to develop financial awareness and success. By enabling these communities, AmEx fortifies its reputation as a socially responsible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and cultivates a robust base of potential clientele.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AmEx's dedication to sustainability is manifest in its "Endorsing Low-Carbon Communities" </w:t>
      </w:r>
      <w:proofErr w:type="spellStart"/>
      <w:r>
        <w:rPr>
          <w:rFonts w:ascii="Times New Roman" w:eastAsia="Times New Roman" w:hAnsi="Times New Roman" w:cs="Times New Roman"/>
          <w:sz w:val="24"/>
          <w:szCs w:val="24"/>
        </w:rPr>
        <w:t>programme</w:t>
      </w:r>
      <w:proofErr w:type="spellEnd"/>
      <w:r>
        <w:rPr>
          <w:rFonts w:ascii="Times New Roman" w:eastAsia="Times New Roman" w:hAnsi="Times New Roman" w:cs="Times New Roman"/>
          <w:sz w:val="24"/>
          <w:szCs w:val="24"/>
        </w:rPr>
        <w:t xml:space="preserve">, which concentrates on promoting climate innovation and solutions. The company backs initiatives and partnerships addressing energy transition, emissions reduction, and efficiency in urban settings. Moreover, AmEx contributes to community-led climate projects, disaster relief, and resilience-building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xml:space="preserve">. These efforts not only help mitigate climate change but also consolidate the company's status as an environmentally conscientious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Within its operations, AmEx has introduced energy efficiency measures such as lighting retrofits, HVAC equipment upgrades, and new building control systems. The company has also diminished its energy consumption by approximately 57% compared to its 2011 baseline, underlining its commitment to reducing its environmental impact. Since 2018, AmEx has powered its global operations with 100% renewable electricity, employing onsite solar electricity generation, energy attribute certificates (EACs), and carbon offsets (</w:t>
      </w:r>
      <w:r>
        <w:rPr>
          <w:rFonts w:ascii="Times New Roman" w:eastAsia="Times New Roman" w:hAnsi="Times New Roman" w:cs="Times New Roman"/>
          <w:color w:val="222222"/>
          <w:sz w:val="24"/>
          <w:szCs w:val="24"/>
          <w:highlight w:val="white"/>
        </w:rPr>
        <w:t>AmEx, 2021).</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AmEx's approach to </w:t>
      </w:r>
      <w:proofErr w:type="spellStart"/>
      <w:r>
        <w:rPr>
          <w:rFonts w:ascii="Times New Roman" w:eastAsia="Times New Roman" w:hAnsi="Times New Roman" w:cs="Times New Roman"/>
          <w:sz w:val="24"/>
          <w:szCs w:val="24"/>
        </w:rPr>
        <w:t>optimising</w:t>
      </w:r>
      <w:proofErr w:type="spellEnd"/>
      <w:r>
        <w:rPr>
          <w:rFonts w:ascii="Times New Roman" w:eastAsia="Times New Roman" w:hAnsi="Times New Roman" w:cs="Times New Roman"/>
          <w:sz w:val="24"/>
          <w:szCs w:val="24"/>
        </w:rPr>
        <w:t xml:space="preserve"> workspaces involves designing, constructing, and managing facilities with decreased resource consumption, reduced greenhouse gas emissions, and enhanced indoor environments for employee well-being. AmEx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xml:space="preserve"> to adhere to sustainability best practices and green building standards, aiming to achieve green building certifications for 60% of its operations by 2025 (</w:t>
      </w:r>
      <w:r>
        <w:rPr>
          <w:rFonts w:ascii="Times New Roman" w:eastAsia="Times New Roman" w:hAnsi="Times New Roman" w:cs="Times New Roman"/>
          <w:color w:val="222222"/>
          <w:sz w:val="24"/>
          <w:szCs w:val="24"/>
          <w:highlight w:val="white"/>
        </w:rPr>
        <w:t>AmEx, 2021).</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extent cx="5157788" cy="3110094"/>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157788" cy="3110094"/>
                    </a:xfrm>
                    <a:prstGeom prst="rect">
                      <a:avLst/>
                    </a:prstGeom>
                    <a:ln/>
                  </pic:spPr>
                </pic:pic>
              </a:graphicData>
            </a:graphic>
          </wp:inline>
        </w:drawing>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Figure: Environmental Goals 2022</w:t>
      </w:r>
    </w:p>
    <w:p w:rsidR="00E859AB" w:rsidRDefault="00F47C86">
      <w:pPr>
        <w:pStyle w:val="Normal1"/>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AmEx, 2021)</w:t>
      </w:r>
    </w:p>
    <w:p w:rsidR="00E859AB" w:rsidRDefault="00F47C86">
      <w:pPr>
        <w:pStyle w:val="Normal1"/>
        <w:spacing w:line="360" w:lineRule="auto"/>
        <w:jc w:val="both"/>
      </w:pPr>
      <w:r>
        <w:rPr>
          <w:rFonts w:ascii="Times New Roman" w:eastAsia="Times New Roman" w:hAnsi="Times New Roman" w:cs="Times New Roman"/>
          <w:sz w:val="24"/>
          <w:szCs w:val="24"/>
        </w:rPr>
        <w:t xml:space="preserve">American Express's holistic approach to sustainability and corporate social responsibility has substantially bolstered its competitiveness. The company's efforts in championing equal futures, empowering small businesses, advocating financial literacy, endorsing low-carbon communities, and </w:t>
      </w:r>
      <w:proofErr w:type="spellStart"/>
      <w:r>
        <w:rPr>
          <w:rFonts w:ascii="Times New Roman" w:eastAsia="Times New Roman" w:hAnsi="Times New Roman" w:cs="Times New Roman"/>
          <w:sz w:val="24"/>
          <w:szCs w:val="24"/>
        </w:rPr>
        <w:t>optimising</w:t>
      </w:r>
      <w:proofErr w:type="spellEnd"/>
      <w:r>
        <w:rPr>
          <w:rFonts w:ascii="Times New Roman" w:eastAsia="Times New Roman" w:hAnsi="Times New Roman" w:cs="Times New Roman"/>
          <w:sz w:val="24"/>
          <w:szCs w:val="24"/>
        </w:rPr>
        <w:t xml:space="preserve"> workspaces have not only elevated its reputation as a responsible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but have also engendered a loyal customer base and potential new business prospects. By consistently </w:t>
      </w:r>
      <w:proofErr w:type="spellStart"/>
      <w:r>
        <w:rPr>
          <w:rFonts w:ascii="Times New Roman" w:eastAsia="Times New Roman" w:hAnsi="Times New Roman" w:cs="Times New Roman"/>
          <w:sz w:val="24"/>
          <w:szCs w:val="24"/>
        </w:rPr>
        <w:t>prioritising</w:t>
      </w:r>
      <w:proofErr w:type="spellEnd"/>
      <w:r>
        <w:rPr>
          <w:rFonts w:ascii="Times New Roman" w:eastAsia="Times New Roman" w:hAnsi="Times New Roman" w:cs="Times New Roman"/>
          <w:sz w:val="24"/>
          <w:szCs w:val="24"/>
        </w:rPr>
        <w:t xml:space="preserve"> sustainability and CSR, AmEx is poised to preserve its competitive advantage within the market.</w:t>
      </w:r>
    </w:p>
    <w:p w:rsidR="00E859AB" w:rsidRDefault="00E859AB">
      <w:pPr>
        <w:pStyle w:val="Normal1"/>
      </w:pPr>
    </w:p>
    <w:p w:rsidR="00E859AB" w:rsidRDefault="00F47C86">
      <w:pPr>
        <w:pStyle w:val="Heading1"/>
        <w:rPr>
          <w:sz w:val="24"/>
          <w:szCs w:val="24"/>
        </w:rPr>
      </w:pPr>
      <w:bookmarkStart w:id="28" w:name="_bjnwxrj040ni" w:colFirst="0" w:colLast="0"/>
      <w:bookmarkStart w:id="29" w:name="_Toc134355934"/>
      <w:bookmarkEnd w:id="28"/>
      <w:r>
        <w:t>Recommendation</w:t>
      </w:r>
      <w:bookmarkEnd w:id="29"/>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Bolstering digital innovation and adoption</w:t>
      </w:r>
      <w:r>
        <w:rPr>
          <w:rFonts w:ascii="Times New Roman" w:eastAsia="Times New Roman" w:hAnsi="Times New Roman" w:cs="Times New Roman"/>
          <w:sz w:val="24"/>
          <w:szCs w:val="24"/>
        </w:rPr>
        <w:t>: AmEx ought to persist in investing in digital advancements and technologies that elevate the customer experience, boost operational efficiency, and facilitate seamless integration of online and offline services. This might entail investments in AI, blockchain, data analytics, and mobile technologies to outpace competitors and better address the evolving demands of consumers (</w:t>
      </w:r>
      <w:proofErr w:type="spellStart"/>
      <w:r>
        <w:rPr>
          <w:rFonts w:ascii="Times New Roman" w:eastAsia="Times New Roman" w:hAnsi="Times New Roman" w:cs="Times New Roman"/>
          <w:color w:val="222222"/>
          <w:sz w:val="24"/>
          <w:szCs w:val="24"/>
          <w:highlight w:val="white"/>
        </w:rPr>
        <w:t>Akter</w:t>
      </w:r>
      <w:proofErr w:type="spellEnd"/>
      <w:r>
        <w:rPr>
          <w:rFonts w:ascii="Times New Roman" w:eastAsia="Times New Roman" w:hAnsi="Times New Roman" w:cs="Times New Roman"/>
          <w:color w:val="222222"/>
          <w:sz w:val="24"/>
          <w:szCs w:val="24"/>
          <w:highlight w:val="white"/>
        </w:rPr>
        <w:t>, 2022).</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Widening financial inclusion initiatives</w:t>
      </w:r>
      <w:r>
        <w:rPr>
          <w:rFonts w:ascii="Times New Roman" w:eastAsia="Times New Roman" w:hAnsi="Times New Roman" w:cs="Times New Roman"/>
          <w:sz w:val="24"/>
          <w:szCs w:val="24"/>
        </w:rPr>
        <w:t xml:space="preserve">: AmEx should broaden its </w:t>
      </w:r>
      <w:proofErr w:type="spellStart"/>
      <w:r>
        <w:rPr>
          <w:rFonts w:ascii="Times New Roman" w:eastAsia="Times New Roman" w:hAnsi="Times New Roman" w:cs="Times New Roman"/>
          <w:sz w:val="24"/>
          <w:szCs w:val="24"/>
        </w:rPr>
        <w:t>endeavours</w:t>
      </w:r>
      <w:proofErr w:type="spellEnd"/>
      <w:r>
        <w:rPr>
          <w:rFonts w:ascii="Times New Roman" w:eastAsia="Times New Roman" w:hAnsi="Times New Roman" w:cs="Times New Roman"/>
          <w:sz w:val="24"/>
          <w:szCs w:val="24"/>
        </w:rPr>
        <w:t xml:space="preserve"> to advocate financial literacy and inclusion among underrepresented and economically vulnerable populations. By collaborating with local </w:t>
      </w:r>
      <w:proofErr w:type="spellStart"/>
      <w:r>
        <w:rPr>
          <w:rFonts w:ascii="Times New Roman" w:eastAsia="Times New Roman" w:hAnsi="Times New Roman" w:cs="Times New Roman"/>
          <w:sz w:val="24"/>
          <w:szCs w:val="24"/>
        </w:rPr>
        <w:t>organisations</w:t>
      </w:r>
      <w:proofErr w:type="spellEnd"/>
      <w:r>
        <w:rPr>
          <w:rFonts w:ascii="Times New Roman" w:eastAsia="Times New Roman" w:hAnsi="Times New Roman" w:cs="Times New Roman"/>
          <w:sz w:val="24"/>
          <w:szCs w:val="24"/>
        </w:rPr>
        <w:t xml:space="preserve">, AmEx can devise bespoke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that cater to the distinct financial requirements of these communities, ultimately cultivating long-term customer loyalty and generating new markets for its products and services.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Intensifying partnerships with small and medium-sized enterprises (SMEs):</w:t>
      </w:r>
      <w:r>
        <w:rPr>
          <w:rFonts w:ascii="Times New Roman" w:eastAsia="Times New Roman" w:hAnsi="Times New Roman" w:cs="Times New Roman"/>
          <w:sz w:val="24"/>
          <w:szCs w:val="24"/>
        </w:rPr>
        <w:t xml:space="preserve"> In order to maintain a competitive edge, AmEx should reinforce its relationships with SMEs by providing tailored financial solutions, advisory services, and networking opportunities. By becoming a reliable partner for SMEs, AmEx can </w:t>
      </w:r>
      <w:proofErr w:type="spellStart"/>
      <w:r>
        <w:rPr>
          <w:rFonts w:ascii="Times New Roman" w:eastAsia="Times New Roman" w:hAnsi="Times New Roman" w:cs="Times New Roman"/>
          <w:sz w:val="24"/>
          <w:szCs w:val="24"/>
        </w:rPr>
        <w:t>capitalise</w:t>
      </w:r>
      <w:proofErr w:type="spellEnd"/>
      <w:r>
        <w:rPr>
          <w:rFonts w:ascii="Times New Roman" w:eastAsia="Times New Roman" w:hAnsi="Times New Roman" w:cs="Times New Roman"/>
          <w:sz w:val="24"/>
          <w:szCs w:val="24"/>
        </w:rPr>
        <w:t xml:space="preserve"> on the growth potential of this market segment and create new revenue streams.</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Concentrating on ESG (Environmental, Social, and Governance) integration</w:t>
      </w:r>
      <w:r>
        <w:rPr>
          <w:rFonts w:ascii="Times New Roman" w:eastAsia="Times New Roman" w:hAnsi="Times New Roman" w:cs="Times New Roman"/>
          <w:sz w:val="24"/>
          <w:szCs w:val="24"/>
        </w:rPr>
        <w:t>: AmEx should persist in incorporating ESG factors into its business strategy and decision-making processes. This could involve setting ambitious sustainability objectives, enhancing transparency in reporting, and actively engaging with stakeholders (</w:t>
      </w:r>
      <w:proofErr w:type="spellStart"/>
      <w:r>
        <w:rPr>
          <w:rFonts w:ascii="Times New Roman" w:eastAsia="Times New Roman" w:hAnsi="Times New Roman" w:cs="Times New Roman"/>
          <w:color w:val="222222"/>
          <w:sz w:val="24"/>
          <w:szCs w:val="24"/>
          <w:highlight w:val="white"/>
        </w:rPr>
        <w:t>Aldowaish</w:t>
      </w:r>
      <w:proofErr w:type="spellEnd"/>
      <w:r>
        <w:rPr>
          <w:rFonts w:ascii="Times New Roman" w:eastAsia="Times New Roman" w:hAnsi="Times New Roman" w:cs="Times New Roman"/>
          <w:color w:val="222222"/>
          <w:sz w:val="24"/>
          <w:szCs w:val="24"/>
          <w:highlight w:val="white"/>
        </w:rPr>
        <w:t xml:space="preserve">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2022)</w:t>
      </w:r>
      <w:r>
        <w:rPr>
          <w:rFonts w:ascii="Times New Roman" w:eastAsia="Times New Roman" w:hAnsi="Times New Roman" w:cs="Times New Roman"/>
          <w:sz w:val="24"/>
          <w:szCs w:val="24"/>
        </w:rPr>
        <w:t>. By manifesting its dedication to ESG, AmEx can attract socially responsible investors and strengthen its brand reputation.</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Allocating resources to employee development and diversity: </w:t>
      </w:r>
      <w:r>
        <w:rPr>
          <w:rFonts w:ascii="Times New Roman" w:eastAsia="Times New Roman" w:hAnsi="Times New Roman" w:cs="Times New Roman"/>
          <w:sz w:val="24"/>
          <w:szCs w:val="24"/>
        </w:rPr>
        <w:t xml:space="preserve">In order to sustain a competitive advantage, AmEx should dedicate resources to employee development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with an emphasis on upskilling and reskilling its workforce to adapt to the shifting business landscape. Furthermore, AmEx should continue to </w:t>
      </w:r>
      <w:proofErr w:type="spellStart"/>
      <w:r>
        <w:rPr>
          <w:rFonts w:ascii="Times New Roman" w:eastAsia="Times New Roman" w:hAnsi="Times New Roman" w:cs="Times New Roman"/>
          <w:sz w:val="24"/>
          <w:szCs w:val="24"/>
        </w:rPr>
        <w:t>prioritise</w:t>
      </w:r>
      <w:proofErr w:type="spellEnd"/>
      <w:r>
        <w:rPr>
          <w:rFonts w:ascii="Times New Roman" w:eastAsia="Times New Roman" w:hAnsi="Times New Roman" w:cs="Times New Roman"/>
          <w:sz w:val="24"/>
          <w:szCs w:val="24"/>
        </w:rPr>
        <w:t xml:space="preserve"> diversity and inclusion, ensuring that its workforce represents the heterogeneous communities it serves.</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Possible risks and challenges linked with the execution of these recommendations encompass</w:t>
      </w:r>
    </w:p>
    <w:p w:rsidR="00E859AB" w:rsidRDefault="00E859AB">
      <w:pPr>
        <w:pStyle w:val="Normal1"/>
        <w:spacing w:line="360" w:lineRule="auto"/>
        <w:jc w:val="both"/>
        <w:rPr>
          <w:rFonts w:ascii="Times New Roman" w:eastAsia="Times New Roman" w:hAnsi="Times New Roman" w:cs="Times New Roman"/>
          <w:sz w:val="24"/>
          <w:szCs w:val="24"/>
        </w:rPr>
      </w:pP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Elevated costs of digital innovation:</w:t>
      </w:r>
      <w:r>
        <w:rPr>
          <w:rFonts w:ascii="Times New Roman" w:eastAsia="Times New Roman" w:hAnsi="Times New Roman" w:cs="Times New Roman"/>
          <w:sz w:val="24"/>
          <w:szCs w:val="24"/>
        </w:rPr>
        <w:t xml:space="preserve"> Investing in digital innovations can be expensive, and there is a possibility that these investments might not generate the anticipated returns (</w:t>
      </w:r>
      <w:r>
        <w:rPr>
          <w:rFonts w:ascii="Times New Roman" w:eastAsia="Times New Roman" w:hAnsi="Times New Roman" w:cs="Times New Roman"/>
          <w:color w:val="222222"/>
          <w:sz w:val="24"/>
          <w:szCs w:val="24"/>
          <w:highlight w:val="white"/>
        </w:rPr>
        <w:t xml:space="preserve">Berger </w:t>
      </w:r>
      <w:r>
        <w:rPr>
          <w:rFonts w:ascii="Times New Roman" w:eastAsia="Times New Roman" w:hAnsi="Times New Roman" w:cs="Times New Roman"/>
          <w:i/>
          <w:color w:val="222222"/>
          <w:sz w:val="24"/>
          <w:szCs w:val="24"/>
          <w:highlight w:val="white"/>
        </w:rPr>
        <w:t>et al.</w:t>
      </w:r>
      <w:r>
        <w:rPr>
          <w:rFonts w:ascii="Times New Roman" w:eastAsia="Times New Roman" w:hAnsi="Times New Roman" w:cs="Times New Roman"/>
          <w:color w:val="222222"/>
          <w:sz w:val="24"/>
          <w:szCs w:val="24"/>
          <w:highlight w:val="white"/>
        </w:rPr>
        <w:t xml:space="preserve"> 2021).</w:t>
      </w:r>
      <w:r>
        <w:rPr>
          <w:rFonts w:ascii="Times New Roman" w:eastAsia="Times New Roman" w:hAnsi="Times New Roman" w:cs="Times New Roman"/>
          <w:sz w:val="24"/>
          <w:szCs w:val="24"/>
        </w:rPr>
        <w:t xml:space="preserve"> To alleviate this risk, AmEx should focus on investments that align with its central business strategy and offer a distinct value proposition for its clientele.</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Regulatory and compliance hurdles:</w:t>
      </w:r>
      <w:r>
        <w:rPr>
          <w:rFonts w:ascii="Times New Roman" w:eastAsia="Times New Roman" w:hAnsi="Times New Roman" w:cs="Times New Roman"/>
          <w:sz w:val="24"/>
          <w:szCs w:val="24"/>
        </w:rPr>
        <w:t xml:space="preserve"> As AmEx broadens its financial inclusion initiatives and collaborates with SMEs, it may encounter intensified regulatory scrutiny and compliance obligations. To tackle these challenges, AmEx should meticulously monitor regulatory shifts and proactively liaise with regulators to ensure adherence to relevant laws and regulations.</w:t>
      </w:r>
    </w:p>
    <w:p w:rsidR="00E859AB" w:rsidRDefault="00F47C86">
      <w:pPr>
        <w:pStyle w:val="Normal1"/>
        <w:spacing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i/>
          <w:sz w:val="24"/>
          <w:szCs w:val="24"/>
        </w:rPr>
        <w:t>Harmonising</w:t>
      </w:r>
      <w:proofErr w:type="spellEnd"/>
      <w:r>
        <w:rPr>
          <w:rFonts w:ascii="Times New Roman" w:eastAsia="Times New Roman" w:hAnsi="Times New Roman" w:cs="Times New Roman"/>
          <w:i/>
          <w:sz w:val="24"/>
          <w:szCs w:val="24"/>
        </w:rPr>
        <w:t xml:space="preserve"> stakeholder interests:</w:t>
      </w:r>
      <w:r>
        <w:rPr>
          <w:rFonts w:ascii="Times New Roman" w:eastAsia="Times New Roman" w:hAnsi="Times New Roman" w:cs="Times New Roman"/>
          <w:sz w:val="24"/>
          <w:szCs w:val="24"/>
        </w:rPr>
        <w:t xml:space="preserve"> Incorporating ESG factors into AmEx's business strategy may necessitate compromises between stakeholder interests. For instance, investing in eco-friendly projects or complying with elevated </w:t>
      </w:r>
      <w:proofErr w:type="spellStart"/>
      <w:r>
        <w:rPr>
          <w:rFonts w:ascii="Times New Roman" w:eastAsia="Times New Roman" w:hAnsi="Times New Roman" w:cs="Times New Roman"/>
          <w:sz w:val="24"/>
          <w:szCs w:val="24"/>
        </w:rPr>
        <w:t>labour</w:t>
      </w:r>
      <w:proofErr w:type="spellEnd"/>
      <w:r>
        <w:rPr>
          <w:rFonts w:ascii="Times New Roman" w:eastAsia="Times New Roman" w:hAnsi="Times New Roman" w:cs="Times New Roman"/>
          <w:sz w:val="24"/>
          <w:szCs w:val="24"/>
        </w:rPr>
        <w:t xml:space="preserve"> standards could raise operating costs, potentially affecting short-term profitability. To </w:t>
      </w:r>
      <w:proofErr w:type="spellStart"/>
      <w:r>
        <w:rPr>
          <w:rFonts w:ascii="Times New Roman" w:eastAsia="Times New Roman" w:hAnsi="Times New Roman" w:cs="Times New Roman"/>
          <w:sz w:val="24"/>
          <w:szCs w:val="24"/>
        </w:rPr>
        <w:t>manoeuvre</w:t>
      </w:r>
      <w:proofErr w:type="spellEnd"/>
      <w:r>
        <w:rPr>
          <w:rFonts w:ascii="Times New Roman" w:eastAsia="Times New Roman" w:hAnsi="Times New Roman" w:cs="Times New Roman"/>
          <w:sz w:val="24"/>
          <w:szCs w:val="24"/>
        </w:rPr>
        <w:t xml:space="preserve"> these trade-offs, AmEx should engage in a transparent dialogue with stakeholders and demonstrate the long-term value of ESG integration.</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lastRenderedPageBreak/>
        <w:t>Objections to change:</w:t>
      </w:r>
      <w:r>
        <w:rPr>
          <w:rFonts w:ascii="Times New Roman" w:eastAsia="Times New Roman" w:hAnsi="Times New Roman" w:cs="Times New Roman"/>
          <w:sz w:val="24"/>
          <w:szCs w:val="24"/>
        </w:rPr>
        <w:t xml:space="preserve"> Implementing employee development and diversity initiatives may encounter resistance from staff who view these changes as disruptive or unwarranted. To surmount this challenge, AmEx should effectively convey the advantages of these initiatives and involve employees in the planning and execution process, cultivating a culture of continuous learning and inclusion (</w:t>
      </w:r>
      <w:r>
        <w:rPr>
          <w:rFonts w:ascii="Times New Roman" w:eastAsia="Times New Roman" w:hAnsi="Times New Roman" w:cs="Times New Roman"/>
          <w:color w:val="222222"/>
          <w:sz w:val="24"/>
          <w:szCs w:val="24"/>
          <w:highlight w:val="white"/>
        </w:rPr>
        <w:t>Leslie, 2019).</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Rivalry for talent</w:t>
      </w:r>
      <w:r>
        <w:rPr>
          <w:rFonts w:ascii="Times New Roman" w:eastAsia="Times New Roman" w:hAnsi="Times New Roman" w:cs="Times New Roman"/>
          <w:sz w:val="24"/>
          <w:szCs w:val="24"/>
        </w:rPr>
        <w:t>: As AmEx allocates resources to employee development and diversity, it may confront competition for top talent from other firms with analogous initiatives. To attract and retain exceptional talent, AmEx should establish a robust employer brand that highlights its commitment to employee growth, diversity, and inclusion.</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By embracing the recommendations delineated above, American Express can preserve and bolster its competitive advantage in the market. However, it is crucial to </w:t>
      </w:r>
      <w:proofErr w:type="spellStart"/>
      <w:r>
        <w:rPr>
          <w:rFonts w:ascii="Times New Roman" w:eastAsia="Times New Roman" w:hAnsi="Times New Roman" w:cs="Times New Roman"/>
          <w:sz w:val="24"/>
          <w:szCs w:val="24"/>
        </w:rPr>
        <w:t>recognise</w:t>
      </w:r>
      <w:proofErr w:type="spellEnd"/>
      <w:r>
        <w:rPr>
          <w:rFonts w:ascii="Times New Roman" w:eastAsia="Times New Roman" w:hAnsi="Times New Roman" w:cs="Times New Roman"/>
          <w:sz w:val="24"/>
          <w:szCs w:val="24"/>
        </w:rPr>
        <w:t xml:space="preserve"> the potential risks and challenges linked with implementing these recommendations and devise suitable strategies to mitigate them. By proactively addressing these risks and challenges, AmEx can ensure the triumphant implementation of these recommendations and secure its enduring competitive advantage.</w:t>
      </w:r>
    </w:p>
    <w:p w:rsidR="00E859AB" w:rsidRDefault="00E859AB">
      <w:pPr>
        <w:pStyle w:val="Normal1"/>
      </w:pPr>
    </w:p>
    <w:p w:rsidR="00E859AB" w:rsidRDefault="00E859AB">
      <w:pPr>
        <w:pStyle w:val="Normal1"/>
      </w:pPr>
    </w:p>
    <w:p w:rsidR="00E859AB" w:rsidRDefault="00F47C86">
      <w:pPr>
        <w:pStyle w:val="Heading1"/>
      </w:pPr>
      <w:bookmarkStart w:id="30" w:name="_fsirld5ac5g0" w:colFirst="0" w:colLast="0"/>
      <w:bookmarkStart w:id="31" w:name="_Toc134355935"/>
      <w:bookmarkEnd w:id="30"/>
      <w:r>
        <w:t>Conclusion</w:t>
      </w:r>
      <w:bookmarkEnd w:id="31"/>
      <w:r>
        <w:t xml:space="preserve"> </w:t>
      </w:r>
    </w:p>
    <w:p w:rsidR="00E859AB" w:rsidRDefault="00F47C86">
      <w:pPr>
        <w:pStyle w:val="Normal1"/>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conclusion, it can be said that American Express, the industry leader in financial services, has a variety of resources and skills that have aided in its growth as a top supplier of credit cards, payment processing, etc. The company continues to expand its operations while maintaining a competitive position in the financial services sector. The company's emphasis on customer service, innovation, and investment in infrastructure and technology is also reflected in its value chain. Using American Express's resources and talents effectively is crucial, despite the fact that they are distinctive and fascinating.  The firm has a long-lasting competitive edge because of these qualities. Additionally, this business may continue to set itself apart from rivals and offer value to its clients by making investments and </w:t>
      </w:r>
      <w:proofErr w:type="spellStart"/>
      <w:r>
        <w:rPr>
          <w:rFonts w:ascii="Times New Roman" w:eastAsia="Times New Roman" w:hAnsi="Times New Roman" w:cs="Times New Roman"/>
          <w:sz w:val="24"/>
          <w:szCs w:val="24"/>
        </w:rPr>
        <w:t>prioritising</w:t>
      </w:r>
      <w:proofErr w:type="spellEnd"/>
      <w:r>
        <w:rPr>
          <w:rFonts w:ascii="Times New Roman" w:eastAsia="Times New Roman" w:hAnsi="Times New Roman" w:cs="Times New Roman"/>
          <w:sz w:val="24"/>
          <w:szCs w:val="24"/>
        </w:rPr>
        <w:t xml:space="preserve"> the areas that need development. </w:t>
      </w:r>
    </w:p>
    <w:p w:rsidR="00E859AB" w:rsidRDefault="00F47C86">
      <w:pPr>
        <w:pStyle w:val="Normal1"/>
        <w:spacing w:line="360" w:lineRule="auto"/>
        <w:jc w:val="both"/>
      </w:pPr>
      <w:r>
        <w:rPr>
          <w:rFonts w:ascii="Times New Roman" w:eastAsia="Times New Roman" w:hAnsi="Times New Roman" w:cs="Times New Roman"/>
          <w:sz w:val="24"/>
          <w:szCs w:val="24"/>
        </w:rPr>
        <w:t xml:space="preserve">American Express places a great focus on the variety and inclusiveness of its clientele. When all employees have a sense of inclusion, value, and listening, the optimal level of corporate operation is reached. As a result, it is imperative to uphold the firm commitment to providing great service. The distinct internal and exterior environment components were made obvious after employing a number of analytical tools. These will be useful in the future as the </w:t>
      </w:r>
      <w:proofErr w:type="spellStart"/>
      <w:r>
        <w:rPr>
          <w:rFonts w:ascii="Times New Roman" w:eastAsia="Times New Roman" w:hAnsi="Times New Roman" w:cs="Times New Roman"/>
          <w:sz w:val="24"/>
          <w:szCs w:val="24"/>
        </w:rPr>
        <w:t>organisation</w:t>
      </w:r>
      <w:proofErr w:type="spellEnd"/>
      <w:r>
        <w:rPr>
          <w:rFonts w:ascii="Times New Roman" w:eastAsia="Times New Roman" w:hAnsi="Times New Roman" w:cs="Times New Roman"/>
          <w:sz w:val="24"/>
          <w:szCs w:val="24"/>
        </w:rPr>
        <w:t xml:space="preserve"> continues to build its marketing strategy or sustainable development plan. The </w:t>
      </w:r>
      <w:r>
        <w:rPr>
          <w:rFonts w:ascii="Times New Roman" w:eastAsia="Times New Roman" w:hAnsi="Times New Roman" w:cs="Times New Roman"/>
          <w:sz w:val="24"/>
          <w:szCs w:val="24"/>
        </w:rPr>
        <w:lastRenderedPageBreak/>
        <w:t>business must manage all of its resources, competencies, and skills successfully for the future. The company's ultimate goal should always be the building of a sustainable future.</w:t>
      </w:r>
    </w:p>
    <w:p w:rsidR="00E859AB" w:rsidRDefault="00F47C86">
      <w:pPr>
        <w:pStyle w:val="Normal1"/>
        <w:rPr>
          <w:rFonts w:ascii="Times New Roman" w:eastAsia="Times New Roman" w:hAnsi="Times New Roman" w:cs="Times New Roman"/>
          <w:b/>
          <w:sz w:val="28"/>
          <w:szCs w:val="28"/>
        </w:rPr>
      </w:pPr>
      <w:r>
        <w:br w:type="page"/>
      </w:r>
    </w:p>
    <w:p w:rsidR="003C1C3B" w:rsidRPr="003C1C3B" w:rsidRDefault="00F47C86" w:rsidP="003C1C3B">
      <w:pPr>
        <w:pStyle w:val="Heading1"/>
      </w:pPr>
      <w:bookmarkStart w:id="32" w:name="_cf5khbz3ajby" w:colFirst="0" w:colLast="0"/>
      <w:bookmarkStart w:id="33" w:name="_Toc134355936"/>
      <w:bookmarkEnd w:id="32"/>
      <w:r>
        <w:lastRenderedPageBreak/>
        <w:t>Reference</w:t>
      </w:r>
      <w:bookmarkEnd w:id="33"/>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Akter</w:t>
      </w:r>
      <w:proofErr w:type="spellEnd"/>
      <w:r w:rsidRPr="003C1C3B">
        <w:rPr>
          <w:rFonts w:ascii="Times New Roman" w:eastAsia="Times New Roman" w:hAnsi="Times New Roman" w:cs="Times New Roman"/>
          <w:color w:val="222222"/>
          <w:sz w:val="24"/>
          <w:szCs w:val="24"/>
          <w:highlight w:val="white"/>
        </w:rPr>
        <w:t xml:space="preserve">, S., Michael, K., Uddin, M.R., McCarthy, G. and Rahman, M., 2022. Transforming business using digital innovations: The application of AI, blockchain, cloud and data analytics. </w:t>
      </w:r>
      <w:r w:rsidRPr="003C1C3B">
        <w:rPr>
          <w:rFonts w:ascii="Times New Roman" w:eastAsia="Times New Roman" w:hAnsi="Times New Roman" w:cs="Times New Roman"/>
          <w:i/>
          <w:color w:val="222222"/>
          <w:sz w:val="24"/>
          <w:szCs w:val="24"/>
          <w:highlight w:val="white"/>
        </w:rPr>
        <w:t>Annals of Operations Research</w:t>
      </w:r>
      <w:r w:rsidRPr="003C1C3B">
        <w:rPr>
          <w:rFonts w:ascii="Times New Roman" w:eastAsia="Times New Roman" w:hAnsi="Times New Roman" w:cs="Times New Roman"/>
          <w:color w:val="222222"/>
          <w:sz w:val="24"/>
          <w:szCs w:val="24"/>
          <w:highlight w:val="white"/>
        </w:rPr>
        <w:t xml:space="preserve">, pp.1-33. Available at: </w:t>
      </w:r>
      <w:hyperlink r:id="rId14">
        <w:r w:rsidRPr="003C1C3B">
          <w:rPr>
            <w:rFonts w:ascii="Times New Roman" w:eastAsia="Times New Roman" w:hAnsi="Times New Roman" w:cs="Times New Roman"/>
            <w:color w:val="1155CC"/>
            <w:sz w:val="24"/>
            <w:szCs w:val="24"/>
            <w:highlight w:val="white"/>
            <w:u w:val="single"/>
          </w:rPr>
          <w:t>https://ro.uow.edu.au/cgi/viewcontent.cgi?article=1630&amp;context=gsbpapers</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Aldowaish</w:t>
      </w:r>
      <w:proofErr w:type="spellEnd"/>
      <w:r w:rsidRPr="003C1C3B">
        <w:rPr>
          <w:rFonts w:ascii="Times New Roman" w:eastAsia="Times New Roman" w:hAnsi="Times New Roman" w:cs="Times New Roman"/>
          <w:color w:val="222222"/>
          <w:sz w:val="24"/>
          <w:szCs w:val="24"/>
          <w:highlight w:val="white"/>
        </w:rPr>
        <w:t xml:space="preserve">, A., </w:t>
      </w:r>
      <w:proofErr w:type="spellStart"/>
      <w:r w:rsidRPr="003C1C3B">
        <w:rPr>
          <w:rFonts w:ascii="Times New Roman" w:eastAsia="Times New Roman" w:hAnsi="Times New Roman" w:cs="Times New Roman"/>
          <w:color w:val="222222"/>
          <w:sz w:val="24"/>
          <w:szCs w:val="24"/>
          <w:highlight w:val="white"/>
        </w:rPr>
        <w:t>Kokuryo</w:t>
      </w:r>
      <w:proofErr w:type="spellEnd"/>
      <w:r w:rsidRPr="003C1C3B">
        <w:rPr>
          <w:rFonts w:ascii="Times New Roman" w:eastAsia="Times New Roman" w:hAnsi="Times New Roman" w:cs="Times New Roman"/>
          <w:color w:val="222222"/>
          <w:sz w:val="24"/>
          <w:szCs w:val="24"/>
          <w:highlight w:val="white"/>
        </w:rPr>
        <w:t xml:space="preserve">, J., </w:t>
      </w:r>
      <w:proofErr w:type="spellStart"/>
      <w:r w:rsidRPr="003C1C3B">
        <w:rPr>
          <w:rFonts w:ascii="Times New Roman" w:eastAsia="Times New Roman" w:hAnsi="Times New Roman" w:cs="Times New Roman"/>
          <w:color w:val="222222"/>
          <w:sz w:val="24"/>
          <w:szCs w:val="24"/>
          <w:highlight w:val="white"/>
        </w:rPr>
        <w:t>Almazyad</w:t>
      </w:r>
      <w:proofErr w:type="spellEnd"/>
      <w:r w:rsidRPr="003C1C3B">
        <w:rPr>
          <w:rFonts w:ascii="Times New Roman" w:eastAsia="Times New Roman" w:hAnsi="Times New Roman" w:cs="Times New Roman"/>
          <w:color w:val="222222"/>
          <w:sz w:val="24"/>
          <w:szCs w:val="24"/>
          <w:highlight w:val="white"/>
        </w:rPr>
        <w:t xml:space="preserve">, O. and Goi, H.C., 2022. Environmental, Social, and Governance Integration into the Business Model: Literature Review and Research Agenda. </w:t>
      </w:r>
      <w:r w:rsidRPr="003C1C3B">
        <w:rPr>
          <w:rFonts w:ascii="Times New Roman" w:eastAsia="Times New Roman" w:hAnsi="Times New Roman" w:cs="Times New Roman"/>
          <w:i/>
          <w:color w:val="222222"/>
          <w:sz w:val="24"/>
          <w:szCs w:val="24"/>
          <w:highlight w:val="white"/>
        </w:rPr>
        <w:t>Sustainability</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14</w:t>
      </w:r>
      <w:r w:rsidRPr="003C1C3B">
        <w:rPr>
          <w:rFonts w:ascii="Times New Roman" w:eastAsia="Times New Roman" w:hAnsi="Times New Roman" w:cs="Times New Roman"/>
          <w:color w:val="222222"/>
          <w:sz w:val="24"/>
          <w:szCs w:val="24"/>
          <w:highlight w:val="white"/>
        </w:rPr>
        <w:t xml:space="preserve">(5), p.2959.Available at: </w:t>
      </w:r>
      <w:hyperlink r:id="rId15">
        <w:r w:rsidRPr="003C1C3B">
          <w:rPr>
            <w:rFonts w:ascii="Times New Roman" w:eastAsia="Times New Roman" w:hAnsi="Times New Roman" w:cs="Times New Roman"/>
            <w:color w:val="1155CC"/>
            <w:sz w:val="24"/>
            <w:szCs w:val="24"/>
            <w:highlight w:val="white"/>
            <w:u w:val="single"/>
          </w:rPr>
          <w:t>https://www.mdpi.com/2071-1050/14/5/2959/pdf</w:t>
        </w:r>
      </w:hyperlink>
      <w:proofErr w:type="gramStart"/>
      <w:r w:rsidRPr="003C1C3B">
        <w:rPr>
          <w:rFonts w:ascii="Times New Roman" w:eastAsia="Times New Roman" w:hAnsi="Times New Roman" w:cs="Times New Roman"/>
          <w:color w:val="222222"/>
          <w:sz w:val="24"/>
          <w:szCs w:val="24"/>
          <w:highlight w:val="white"/>
        </w:rPr>
        <w:t xml:space="preserve">   [</w:t>
      </w:r>
      <w:proofErr w:type="gramEnd"/>
      <w:r w:rsidRPr="003C1C3B">
        <w:rPr>
          <w:rFonts w:ascii="Times New Roman" w:eastAsia="Times New Roman" w:hAnsi="Times New Roman" w:cs="Times New Roman"/>
          <w:color w:val="222222"/>
          <w:sz w:val="24"/>
          <w:szCs w:val="24"/>
          <w:highlight w:val="white"/>
        </w:rPr>
        <w:t>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color w:val="222222"/>
          <w:sz w:val="24"/>
          <w:szCs w:val="24"/>
          <w:highlight w:val="white"/>
        </w:rPr>
        <w:t>‌</w:t>
      </w:r>
      <w:r w:rsidRPr="003C1C3B">
        <w:rPr>
          <w:rFonts w:ascii="Times New Roman" w:eastAsia="Times New Roman" w:hAnsi="Times New Roman" w:cs="Times New Roman"/>
          <w:sz w:val="24"/>
          <w:szCs w:val="24"/>
        </w:rPr>
        <w:t xml:space="preserve">American Express (2021) </w:t>
      </w:r>
      <w:r w:rsidRPr="003C1C3B">
        <w:rPr>
          <w:rFonts w:ascii="Times New Roman" w:eastAsia="Times New Roman" w:hAnsi="Times New Roman" w:cs="Times New Roman"/>
          <w:i/>
          <w:sz w:val="24"/>
          <w:szCs w:val="24"/>
        </w:rPr>
        <w:t>Strategic planning for 2021: Innovative Solutions for growing in an uncertain economy</w:t>
      </w:r>
      <w:r w:rsidRPr="003C1C3B">
        <w:rPr>
          <w:rFonts w:ascii="Times New Roman" w:eastAsia="Times New Roman" w:hAnsi="Times New Roman" w:cs="Times New Roman"/>
          <w:sz w:val="24"/>
          <w:szCs w:val="24"/>
        </w:rPr>
        <w:t xml:space="preserve">, </w:t>
      </w:r>
      <w:r w:rsidRPr="003C1C3B">
        <w:rPr>
          <w:rFonts w:ascii="Times New Roman" w:eastAsia="Times New Roman" w:hAnsi="Times New Roman" w:cs="Times New Roman"/>
          <w:i/>
          <w:sz w:val="24"/>
          <w:szCs w:val="24"/>
        </w:rPr>
        <w:t>Business Class: Trends and Insights | American Express</w:t>
      </w:r>
      <w:r w:rsidRPr="003C1C3B">
        <w:rPr>
          <w:rFonts w:ascii="Times New Roman" w:eastAsia="Times New Roman" w:hAnsi="Times New Roman" w:cs="Times New Roman"/>
          <w:sz w:val="24"/>
          <w:szCs w:val="24"/>
        </w:rPr>
        <w:t xml:space="preserve">. Available at: </w:t>
      </w:r>
      <w:hyperlink r:id="rId16">
        <w:r w:rsidRPr="003C1C3B">
          <w:rPr>
            <w:rFonts w:ascii="Times New Roman" w:eastAsia="Times New Roman" w:hAnsi="Times New Roman" w:cs="Times New Roman"/>
            <w:color w:val="1155CC"/>
            <w:sz w:val="24"/>
            <w:szCs w:val="24"/>
            <w:u w:val="single"/>
          </w:rPr>
          <w:t>https://www.americanexpress.com/en-ca/business/trends-and-insights/articles/innovative-solutions-for-growing-in-an-uncertain-economy/</w:t>
        </w:r>
      </w:hyperlink>
      <w:r w:rsidRPr="003C1C3B">
        <w:rPr>
          <w:rFonts w:ascii="Times New Roman" w:eastAsia="Times New Roman" w:hAnsi="Times New Roman" w:cs="Times New Roman"/>
          <w:sz w:val="24"/>
          <w:szCs w:val="24"/>
        </w:rPr>
        <w:t xml:space="preserve">  (Accessed: April 24, 2023). </w:t>
      </w:r>
    </w:p>
    <w:p w:rsidR="003C1C3B" w:rsidRPr="003C1C3B" w:rsidRDefault="003C1C3B" w:rsidP="003C1C3B">
      <w:pPr>
        <w:pStyle w:val="Normal1"/>
        <w:spacing w:after="240" w:line="360" w:lineRule="auto"/>
        <w:jc w:val="both"/>
        <w:rPr>
          <w:rFonts w:ascii="Times New Roman" w:eastAsia="Times New Roman" w:hAnsi="Times New Roman" w:cs="Times New Roman"/>
          <w:sz w:val="24"/>
          <w:szCs w:val="24"/>
        </w:rPr>
      </w:pPr>
      <w:proofErr w:type="gramStart"/>
      <w:r w:rsidRPr="003C1C3B">
        <w:rPr>
          <w:rFonts w:ascii="Times New Roman" w:eastAsia="Times New Roman" w:hAnsi="Times New Roman" w:cs="Times New Roman"/>
          <w:sz w:val="24"/>
          <w:szCs w:val="24"/>
        </w:rPr>
        <w:t>American express</w:t>
      </w:r>
      <w:proofErr w:type="gramEnd"/>
      <w:r w:rsidRPr="003C1C3B">
        <w:rPr>
          <w:rFonts w:ascii="Times New Roman" w:eastAsia="Times New Roman" w:hAnsi="Times New Roman" w:cs="Times New Roman"/>
          <w:sz w:val="24"/>
          <w:szCs w:val="24"/>
        </w:rPr>
        <w:t xml:space="preserve"> (2023). </w:t>
      </w:r>
      <w:r w:rsidRPr="003C1C3B">
        <w:rPr>
          <w:rFonts w:ascii="Times New Roman" w:eastAsia="Times New Roman" w:hAnsi="Times New Roman" w:cs="Times New Roman"/>
          <w:i/>
          <w:sz w:val="24"/>
          <w:szCs w:val="24"/>
        </w:rPr>
        <w:t>growth strategies</w:t>
      </w:r>
      <w:r w:rsidRPr="003C1C3B">
        <w:rPr>
          <w:rFonts w:ascii="Times New Roman" w:eastAsia="Times New Roman" w:hAnsi="Times New Roman" w:cs="Times New Roman"/>
          <w:sz w:val="24"/>
          <w:szCs w:val="24"/>
        </w:rPr>
        <w:t xml:space="preserve">. [online] Business Class: Trends and Insights | American Express. Available at: </w:t>
      </w:r>
      <w:hyperlink r:id="rId17">
        <w:r w:rsidRPr="003C1C3B">
          <w:rPr>
            <w:rFonts w:ascii="Times New Roman" w:eastAsia="Times New Roman" w:hAnsi="Times New Roman" w:cs="Times New Roman"/>
            <w:color w:val="1155CC"/>
            <w:sz w:val="24"/>
            <w:szCs w:val="24"/>
            <w:u w:val="single"/>
          </w:rPr>
          <w:t>https://www.americanexpress.com/en-us/business/trends-and-insights/keywords/growth-strategies</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i/>
          <w:color w:val="222222"/>
          <w:sz w:val="24"/>
          <w:szCs w:val="24"/>
          <w:highlight w:val="white"/>
        </w:rPr>
        <w:t xml:space="preserve">American Express Company </w:t>
      </w:r>
      <w:r w:rsidRPr="003C1C3B">
        <w:rPr>
          <w:rFonts w:ascii="Times New Roman" w:eastAsia="Times New Roman" w:hAnsi="Times New Roman" w:cs="Times New Roman"/>
          <w:color w:val="222222"/>
          <w:sz w:val="24"/>
          <w:szCs w:val="24"/>
          <w:highlight w:val="white"/>
        </w:rPr>
        <w:t>(2021)</w:t>
      </w:r>
      <w:r w:rsidRPr="003C1C3B">
        <w:rPr>
          <w:rFonts w:ascii="Times New Roman" w:eastAsia="Times New Roman" w:hAnsi="Times New Roman" w:cs="Times New Roman"/>
          <w:i/>
          <w:color w:val="222222"/>
          <w:sz w:val="24"/>
          <w:szCs w:val="24"/>
          <w:highlight w:val="white"/>
        </w:rPr>
        <w:t xml:space="preserve"> </w:t>
      </w:r>
      <w:r w:rsidRPr="003C1C3B">
        <w:rPr>
          <w:rFonts w:ascii="Times New Roman" w:eastAsia="Times New Roman" w:hAnsi="Times New Roman" w:cs="Times New Roman"/>
          <w:color w:val="222222"/>
          <w:sz w:val="24"/>
          <w:szCs w:val="24"/>
          <w:highlight w:val="white"/>
        </w:rPr>
        <w:t>‌</w:t>
      </w:r>
      <w:r w:rsidRPr="003C1C3B">
        <w:rPr>
          <w:rFonts w:ascii="Times New Roman" w:eastAsia="Times New Roman" w:hAnsi="Times New Roman" w:cs="Times New Roman"/>
          <w:i/>
          <w:color w:val="222222"/>
          <w:sz w:val="24"/>
          <w:szCs w:val="24"/>
          <w:highlight w:val="white"/>
        </w:rPr>
        <w:t>Annual reports &amp; proxy statements</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American Express Company - Financials - Annual Reports &amp; Proxy Statements</w:t>
      </w:r>
      <w:r w:rsidRPr="003C1C3B">
        <w:rPr>
          <w:rFonts w:ascii="Times New Roman" w:eastAsia="Times New Roman" w:hAnsi="Times New Roman" w:cs="Times New Roman"/>
          <w:color w:val="222222"/>
          <w:sz w:val="24"/>
          <w:szCs w:val="24"/>
          <w:highlight w:val="white"/>
        </w:rPr>
        <w:t xml:space="preserve">. Available at: </w:t>
      </w:r>
      <w:hyperlink r:id="rId18">
        <w:r w:rsidRPr="003C1C3B">
          <w:rPr>
            <w:rFonts w:ascii="Times New Roman" w:eastAsia="Times New Roman" w:hAnsi="Times New Roman" w:cs="Times New Roman"/>
            <w:color w:val="1155CC"/>
            <w:sz w:val="24"/>
            <w:szCs w:val="24"/>
            <w:highlight w:val="white"/>
            <w:u w:val="single"/>
          </w:rPr>
          <w:t>https://ir.americanexpress.com/financials/annual-reports-and-proxy-statements/default.aspx</w:t>
        </w:r>
      </w:hyperlink>
      <w:r w:rsidRPr="003C1C3B">
        <w:rPr>
          <w:rFonts w:ascii="Times New Roman" w:eastAsia="Times New Roman" w:hAnsi="Times New Roman" w:cs="Times New Roman"/>
          <w:color w:val="222222"/>
          <w:sz w:val="24"/>
          <w:szCs w:val="24"/>
          <w:highlight w:val="white"/>
        </w:rPr>
        <w:t xml:space="preserve">  (Accessed: April 25, 2023). </w:t>
      </w:r>
    </w:p>
    <w:p w:rsidR="003C1C3B" w:rsidRPr="003C1C3B" w:rsidRDefault="003C1C3B" w:rsidP="003C1C3B">
      <w:pPr>
        <w:pStyle w:val="Normal1"/>
        <w:spacing w:before="240"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w:t>
      </w:r>
      <w:proofErr w:type="spellStart"/>
      <w:r w:rsidRPr="003C1C3B">
        <w:rPr>
          <w:rFonts w:ascii="Times New Roman" w:eastAsia="Times New Roman" w:hAnsi="Times New Roman" w:cs="Times New Roman"/>
          <w:sz w:val="24"/>
          <w:szCs w:val="24"/>
        </w:rPr>
        <w:t>Americanexpress</w:t>
      </w:r>
      <w:proofErr w:type="spellEnd"/>
      <w:r w:rsidRPr="003C1C3B">
        <w:rPr>
          <w:rFonts w:ascii="Times New Roman" w:eastAsia="Times New Roman" w:hAnsi="Times New Roman" w:cs="Times New Roman"/>
          <w:sz w:val="24"/>
          <w:szCs w:val="24"/>
        </w:rPr>
        <w:t xml:space="preserve"> (2021). </w:t>
      </w:r>
      <w:r w:rsidRPr="003C1C3B">
        <w:rPr>
          <w:rFonts w:ascii="Times New Roman" w:eastAsia="Times New Roman" w:hAnsi="Times New Roman" w:cs="Times New Roman"/>
          <w:i/>
          <w:sz w:val="24"/>
          <w:szCs w:val="24"/>
        </w:rPr>
        <w:t>American Express - Who We Are</w:t>
      </w:r>
      <w:r w:rsidRPr="003C1C3B">
        <w:rPr>
          <w:rFonts w:ascii="Times New Roman" w:eastAsia="Times New Roman" w:hAnsi="Times New Roman" w:cs="Times New Roman"/>
          <w:sz w:val="24"/>
          <w:szCs w:val="24"/>
        </w:rPr>
        <w:t xml:space="preserve">. [online] Available at: </w:t>
      </w:r>
      <w:hyperlink r:id="rId19">
        <w:r w:rsidRPr="003C1C3B">
          <w:rPr>
            <w:rFonts w:ascii="Times New Roman" w:eastAsia="Times New Roman" w:hAnsi="Times New Roman" w:cs="Times New Roman"/>
            <w:color w:val="1155CC"/>
            <w:sz w:val="24"/>
            <w:szCs w:val="24"/>
            <w:u w:val="single"/>
          </w:rPr>
          <w:t>https://about.americanexpress.com/our-company/who-we-are/who-we-are/default.aspx</w:t>
        </w:r>
      </w:hyperlink>
      <w:r w:rsidRPr="003C1C3B">
        <w:rPr>
          <w:rFonts w:ascii="Times New Roman" w:eastAsia="Times New Roman" w:hAnsi="Times New Roman" w:cs="Times New Roman"/>
          <w:sz w:val="24"/>
          <w:szCs w:val="24"/>
        </w:rPr>
        <w:t xml:space="preserve">  [Accessed 20 Apr. 2023].</w:t>
      </w:r>
    </w:p>
    <w:p w:rsidR="003C1C3B" w:rsidRPr="003C1C3B" w:rsidRDefault="003C1C3B" w:rsidP="003C1C3B">
      <w:pPr>
        <w:pStyle w:val="Normal1"/>
        <w:spacing w:after="240" w:line="360" w:lineRule="auto"/>
        <w:jc w:val="both"/>
        <w:rPr>
          <w:rFonts w:ascii="Times New Roman" w:eastAsia="Times New Roman" w:hAnsi="Times New Roman" w:cs="Times New Roman"/>
          <w:sz w:val="24"/>
          <w:szCs w:val="24"/>
        </w:rPr>
      </w:pPr>
      <w:proofErr w:type="spellStart"/>
      <w:r w:rsidRPr="003C1C3B">
        <w:rPr>
          <w:rFonts w:ascii="Times New Roman" w:eastAsia="Times New Roman" w:hAnsi="Times New Roman" w:cs="Times New Roman"/>
          <w:sz w:val="24"/>
          <w:szCs w:val="24"/>
        </w:rPr>
        <w:t>Americanexpress</w:t>
      </w:r>
      <w:proofErr w:type="spellEnd"/>
      <w:r w:rsidRPr="003C1C3B">
        <w:rPr>
          <w:rFonts w:ascii="Times New Roman" w:eastAsia="Times New Roman" w:hAnsi="Times New Roman" w:cs="Times New Roman"/>
          <w:sz w:val="24"/>
          <w:szCs w:val="24"/>
        </w:rPr>
        <w:t xml:space="preserve"> (2023). </w:t>
      </w:r>
      <w:r w:rsidRPr="003C1C3B">
        <w:rPr>
          <w:rFonts w:ascii="Times New Roman" w:eastAsia="Times New Roman" w:hAnsi="Times New Roman" w:cs="Times New Roman"/>
          <w:i/>
          <w:sz w:val="24"/>
          <w:szCs w:val="24"/>
        </w:rPr>
        <w:t>Vision and Mission | American Express</w:t>
      </w:r>
      <w:r w:rsidRPr="003C1C3B">
        <w:rPr>
          <w:rFonts w:ascii="Times New Roman" w:eastAsia="Times New Roman" w:hAnsi="Times New Roman" w:cs="Times New Roman"/>
          <w:sz w:val="24"/>
          <w:szCs w:val="24"/>
        </w:rPr>
        <w:t xml:space="preserve">. [online] Americanexpress.com. Available at: </w:t>
      </w:r>
      <w:hyperlink r:id="rId20">
        <w:r w:rsidRPr="003C1C3B">
          <w:rPr>
            <w:rFonts w:ascii="Times New Roman" w:eastAsia="Times New Roman" w:hAnsi="Times New Roman" w:cs="Times New Roman"/>
            <w:color w:val="1155CC"/>
            <w:sz w:val="24"/>
            <w:szCs w:val="24"/>
            <w:u w:val="single"/>
          </w:rPr>
          <w:t>https://www.americanexpress.com/in/company/mission.html</w:t>
        </w:r>
      </w:hyperlink>
      <w:r w:rsidRPr="003C1C3B">
        <w:rPr>
          <w:rFonts w:ascii="Times New Roman" w:eastAsia="Times New Roman" w:hAnsi="Times New Roman" w:cs="Times New Roman"/>
          <w:sz w:val="24"/>
          <w:szCs w:val="24"/>
        </w:rPr>
        <w:t xml:space="preserve">  [Accessed 20 Apr. 2023].</w:t>
      </w:r>
    </w:p>
    <w:p w:rsidR="003C1C3B" w:rsidRPr="003C1C3B" w:rsidRDefault="003C1C3B" w:rsidP="003C1C3B">
      <w:pPr>
        <w:pStyle w:val="Normal1"/>
        <w:spacing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 xml:space="preserve">Americanexpress.com. (2022). </w:t>
      </w:r>
      <w:r w:rsidRPr="003C1C3B">
        <w:rPr>
          <w:rFonts w:ascii="Times New Roman" w:eastAsia="Times New Roman" w:hAnsi="Times New Roman" w:cs="Times New Roman"/>
          <w:i/>
          <w:sz w:val="24"/>
          <w:szCs w:val="24"/>
        </w:rPr>
        <w:t xml:space="preserve">American Express Delivers on 2022 Growth Plan </w:t>
      </w:r>
      <w:proofErr w:type="gramStart"/>
      <w:r w:rsidRPr="003C1C3B">
        <w:rPr>
          <w:rFonts w:ascii="Times New Roman" w:eastAsia="Times New Roman" w:hAnsi="Times New Roman" w:cs="Times New Roman"/>
          <w:i/>
          <w:sz w:val="24"/>
          <w:szCs w:val="24"/>
        </w:rPr>
        <w:t>With</w:t>
      </w:r>
      <w:proofErr w:type="gramEnd"/>
      <w:r w:rsidRPr="003C1C3B">
        <w:rPr>
          <w:rFonts w:ascii="Times New Roman" w:eastAsia="Times New Roman" w:hAnsi="Times New Roman" w:cs="Times New Roman"/>
          <w:i/>
          <w:sz w:val="24"/>
          <w:szCs w:val="24"/>
        </w:rPr>
        <w:t xml:space="preserve"> Full-Year Revenue Growth of 25% and Earnings Per Share of $9.85</w:t>
      </w:r>
      <w:r w:rsidRPr="003C1C3B">
        <w:rPr>
          <w:rFonts w:ascii="Times New Roman" w:eastAsia="Times New Roman" w:hAnsi="Times New Roman" w:cs="Times New Roman"/>
          <w:sz w:val="24"/>
          <w:szCs w:val="24"/>
        </w:rPr>
        <w:t xml:space="preserve">. [online] Available at: </w:t>
      </w:r>
      <w:hyperlink r:id="rId21">
        <w:r w:rsidRPr="003C1C3B">
          <w:rPr>
            <w:rFonts w:ascii="Times New Roman" w:eastAsia="Times New Roman" w:hAnsi="Times New Roman" w:cs="Times New Roman"/>
            <w:color w:val="1155CC"/>
            <w:sz w:val="24"/>
            <w:szCs w:val="24"/>
            <w:u w:val="single"/>
          </w:rPr>
          <w:t>https://ir.americanexpress.com/news/investor-relations-news/investor-relations-news-details/2023/American-Express-Delivers-on-2022-Growth-Plan-With-Full-Year-Revenue-Growth-of-25-and-Earnings-Per-Share-of-9.85/default.aspx</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 xml:space="preserve">Americanexpress.com. (2023). </w:t>
      </w:r>
      <w:r w:rsidRPr="003C1C3B">
        <w:rPr>
          <w:rFonts w:ascii="Times New Roman" w:eastAsia="Times New Roman" w:hAnsi="Times New Roman" w:cs="Times New Roman"/>
          <w:i/>
          <w:sz w:val="24"/>
          <w:szCs w:val="24"/>
        </w:rPr>
        <w:t>American Express IN | Credit Cards, Rewards, Travel, Offers</w:t>
      </w:r>
      <w:r w:rsidRPr="003C1C3B">
        <w:rPr>
          <w:rFonts w:ascii="Times New Roman" w:eastAsia="Times New Roman" w:hAnsi="Times New Roman" w:cs="Times New Roman"/>
          <w:sz w:val="24"/>
          <w:szCs w:val="24"/>
        </w:rPr>
        <w:t xml:space="preserve">. [online] Available at: </w:t>
      </w:r>
      <w:hyperlink r:id="rId22">
        <w:r w:rsidRPr="003C1C3B">
          <w:rPr>
            <w:rFonts w:ascii="Times New Roman" w:eastAsia="Times New Roman" w:hAnsi="Times New Roman" w:cs="Times New Roman"/>
            <w:color w:val="1155CC"/>
            <w:sz w:val="24"/>
            <w:szCs w:val="24"/>
            <w:u w:val="single"/>
          </w:rPr>
          <w:t>https://www.americanexpress.com/en-in/</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AmEx (2021). </w:t>
      </w:r>
      <w:r w:rsidRPr="003C1C3B">
        <w:rPr>
          <w:rFonts w:ascii="Times New Roman" w:eastAsia="Times New Roman" w:hAnsi="Times New Roman" w:cs="Times New Roman"/>
          <w:i/>
          <w:color w:val="222222"/>
          <w:sz w:val="24"/>
          <w:szCs w:val="24"/>
          <w:highlight w:val="white"/>
        </w:rPr>
        <w:t>The Powerful Backing of American Express Environmental, Social, and Governance Report</w:t>
      </w:r>
      <w:r w:rsidRPr="003C1C3B">
        <w:rPr>
          <w:rFonts w:ascii="Times New Roman" w:eastAsia="Times New Roman" w:hAnsi="Times New Roman" w:cs="Times New Roman"/>
          <w:color w:val="222222"/>
          <w:sz w:val="24"/>
          <w:szCs w:val="24"/>
          <w:highlight w:val="white"/>
        </w:rPr>
        <w:t xml:space="preserve">. [online] Available at: </w:t>
      </w:r>
      <w:hyperlink r:id="rId23">
        <w:r w:rsidRPr="003C1C3B">
          <w:rPr>
            <w:rFonts w:ascii="Times New Roman" w:eastAsia="Times New Roman" w:hAnsi="Times New Roman" w:cs="Times New Roman"/>
            <w:color w:val="1155CC"/>
            <w:sz w:val="24"/>
            <w:szCs w:val="24"/>
            <w:highlight w:val="white"/>
            <w:u w:val="single"/>
          </w:rPr>
          <w:t>https://s29.q4cdn.com/330828691/files/doc_downloads/esg_resources/2022/AXP-2021-2022-ESG-Report.pdf</w:t>
        </w:r>
      </w:hyperlink>
      <w:r w:rsidRPr="003C1C3B">
        <w:rPr>
          <w:rFonts w:ascii="Times New Roman" w:eastAsia="Times New Roman" w:hAnsi="Times New Roman" w:cs="Times New Roman"/>
          <w:color w:val="222222"/>
          <w:sz w:val="24"/>
          <w:szCs w:val="24"/>
          <w:highlight w:val="white"/>
        </w:rPr>
        <w:t xml:space="preserve">  [Accessed 25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AmEx (2023) </w:t>
      </w:r>
      <w:r w:rsidRPr="003C1C3B">
        <w:rPr>
          <w:rFonts w:ascii="Times New Roman" w:eastAsia="Times New Roman" w:hAnsi="Times New Roman" w:cs="Times New Roman"/>
          <w:i/>
          <w:color w:val="222222"/>
          <w:sz w:val="24"/>
          <w:szCs w:val="24"/>
          <w:highlight w:val="white"/>
        </w:rPr>
        <w:t>Business &amp; Personal Gift Cards</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American Express Gift Cards</w:t>
      </w:r>
      <w:r w:rsidRPr="003C1C3B">
        <w:rPr>
          <w:rFonts w:ascii="Times New Roman" w:eastAsia="Times New Roman" w:hAnsi="Times New Roman" w:cs="Times New Roman"/>
          <w:color w:val="222222"/>
          <w:sz w:val="24"/>
          <w:szCs w:val="24"/>
          <w:highlight w:val="white"/>
        </w:rPr>
        <w:t xml:space="preserve">. Available at: </w:t>
      </w:r>
      <w:hyperlink r:id="rId24">
        <w:r w:rsidRPr="003C1C3B">
          <w:rPr>
            <w:rFonts w:ascii="Times New Roman" w:eastAsia="Times New Roman" w:hAnsi="Times New Roman" w:cs="Times New Roman"/>
            <w:color w:val="1155CC"/>
            <w:sz w:val="24"/>
            <w:szCs w:val="24"/>
            <w:highlight w:val="white"/>
            <w:u w:val="single"/>
          </w:rPr>
          <w:t>https://www.amexgiftcard.com/</w:t>
        </w:r>
      </w:hyperlink>
      <w:r w:rsidRPr="003C1C3B">
        <w:rPr>
          <w:rFonts w:ascii="Times New Roman" w:eastAsia="Times New Roman" w:hAnsi="Times New Roman" w:cs="Times New Roman"/>
          <w:color w:val="222222"/>
          <w:sz w:val="24"/>
          <w:szCs w:val="24"/>
          <w:highlight w:val="white"/>
        </w:rPr>
        <w:t xml:space="preserve">  (Accessed: April 24, 2023). </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AmEx ESG Strategy (2023) </w:t>
      </w:r>
      <w:r w:rsidRPr="003C1C3B">
        <w:rPr>
          <w:rFonts w:ascii="Times New Roman" w:eastAsia="Times New Roman" w:hAnsi="Times New Roman" w:cs="Times New Roman"/>
          <w:i/>
          <w:color w:val="222222"/>
          <w:sz w:val="24"/>
          <w:szCs w:val="24"/>
          <w:highlight w:val="white"/>
        </w:rPr>
        <w:t>Environmental, social, and governance strategy</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American Express - Environmental, Social, and Governance Strategy</w:t>
      </w:r>
      <w:r w:rsidRPr="003C1C3B">
        <w:rPr>
          <w:rFonts w:ascii="Times New Roman" w:eastAsia="Times New Roman" w:hAnsi="Times New Roman" w:cs="Times New Roman"/>
          <w:color w:val="222222"/>
          <w:sz w:val="24"/>
          <w:szCs w:val="24"/>
          <w:highlight w:val="white"/>
        </w:rPr>
        <w:t xml:space="preserve">. Available at: </w:t>
      </w:r>
      <w:hyperlink r:id="rId25">
        <w:r w:rsidRPr="003C1C3B">
          <w:rPr>
            <w:rFonts w:ascii="Times New Roman" w:eastAsia="Times New Roman" w:hAnsi="Times New Roman" w:cs="Times New Roman"/>
            <w:color w:val="1155CC"/>
            <w:sz w:val="24"/>
            <w:szCs w:val="24"/>
            <w:highlight w:val="white"/>
            <w:u w:val="single"/>
          </w:rPr>
          <w:t>https://about.americanexpress.com/corporate-sustainability/esg/esg-strategy/default.aspx</w:t>
        </w:r>
      </w:hyperlink>
      <w:r w:rsidRPr="003C1C3B">
        <w:rPr>
          <w:rFonts w:ascii="Times New Roman" w:eastAsia="Times New Roman" w:hAnsi="Times New Roman" w:cs="Times New Roman"/>
          <w:color w:val="222222"/>
          <w:sz w:val="24"/>
          <w:szCs w:val="24"/>
          <w:highlight w:val="white"/>
        </w:rPr>
        <w:t xml:space="preserve">  (Accessed: April 24, 2023). </w:t>
      </w:r>
    </w:p>
    <w:p w:rsidR="003C1C3B" w:rsidRPr="003C1C3B" w:rsidRDefault="003C1C3B" w:rsidP="003C1C3B">
      <w:pPr>
        <w:pStyle w:val="Normal1"/>
        <w:spacing w:before="240" w:after="240"/>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w:t>
      </w:r>
      <w:proofErr w:type="spellStart"/>
      <w:r w:rsidRPr="003C1C3B">
        <w:rPr>
          <w:rFonts w:ascii="Times New Roman" w:eastAsia="Times New Roman" w:hAnsi="Times New Roman" w:cs="Times New Roman"/>
          <w:sz w:val="24"/>
          <w:szCs w:val="24"/>
        </w:rPr>
        <w:t>Amexglobalbusinesstravel</w:t>
      </w:r>
      <w:proofErr w:type="spellEnd"/>
      <w:r w:rsidRPr="003C1C3B">
        <w:rPr>
          <w:rFonts w:ascii="Times New Roman" w:eastAsia="Times New Roman" w:hAnsi="Times New Roman" w:cs="Times New Roman"/>
          <w:sz w:val="24"/>
          <w:szCs w:val="24"/>
        </w:rPr>
        <w:t xml:space="preserve"> (2022). </w:t>
      </w:r>
      <w:r w:rsidRPr="003C1C3B">
        <w:rPr>
          <w:rFonts w:ascii="Times New Roman" w:eastAsia="Times New Roman" w:hAnsi="Times New Roman" w:cs="Times New Roman"/>
          <w:i/>
          <w:sz w:val="24"/>
          <w:szCs w:val="24"/>
        </w:rPr>
        <w:t>American Express Global Business Travel | Investors - Financials - Quarterly Results</w:t>
      </w:r>
      <w:r w:rsidRPr="003C1C3B">
        <w:rPr>
          <w:rFonts w:ascii="Times New Roman" w:eastAsia="Times New Roman" w:hAnsi="Times New Roman" w:cs="Times New Roman"/>
          <w:sz w:val="24"/>
          <w:szCs w:val="24"/>
        </w:rPr>
        <w:t xml:space="preserve">. [online] Available at: </w:t>
      </w:r>
      <w:hyperlink r:id="rId26">
        <w:r w:rsidRPr="003C1C3B">
          <w:rPr>
            <w:rFonts w:ascii="Times New Roman" w:eastAsia="Times New Roman" w:hAnsi="Times New Roman" w:cs="Times New Roman"/>
            <w:color w:val="1155CC"/>
            <w:sz w:val="24"/>
            <w:szCs w:val="24"/>
            <w:u w:val="single"/>
          </w:rPr>
          <w:t>https://investors.amexglobalbusinesstravel.com/investors/financials/quarterly-results/default.aspx</w:t>
        </w:r>
      </w:hyperlink>
      <w:r w:rsidRPr="003C1C3B">
        <w:rPr>
          <w:rFonts w:ascii="Times New Roman" w:eastAsia="Times New Roman" w:hAnsi="Times New Roman" w:cs="Times New Roman"/>
          <w:sz w:val="24"/>
          <w:szCs w:val="24"/>
        </w:rPr>
        <w:t xml:space="preserve">  [Accessed 20 Apr. 2023].</w:t>
      </w:r>
    </w:p>
    <w:p w:rsidR="003C1C3B" w:rsidRPr="003C1C3B" w:rsidRDefault="003C1C3B" w:rsidP="003C1C3B">
      <w:pPr>
        <w:pStyle w:val="Normal1"/>
        <w:spacing w:before="240" w:after="240"/>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 xml:space="preserve">‌Bary, E. (2023). </w:t>
      </w:r>
      <w:r w:rsidRPr="003C1C3B">
        <w:rPr>
          <w:rFonts w:ascii="Times New Roman" w:eastAsia="Times New Roman" w:hAnsi="Times New Roman" w:cs="Times New Roman"/>
          <w:i/>
          <w:sz w:val="24"/>
          <w:szCs w:val="24"/>
        </w:rPr>
        <w:t>American Express earnings show continued surge in spending as interest in traveling remains high</w:t>
      </w:r>
      <w:r w:rsidRPr="003C1C3B">
        <w:rPr>
          <w:rFonts w:ascii="Times New Roman" w:eastAsia="Times New Roman" w:hAnsi="Times New Roman" w:cs="Times New Roman"/>
          <w:sz w:val="24"/>
          <w:szCs w:val="24"/>
        </w:rPr>
        <w:t xml:space="preserve">. [online] MarketWatch. Available at: </w:t>
      </w:r>
      <w:hyperlink r:id="rId27">
        <w:r w:rsidRPr="003C1C3B">
          <w:rPr>
            <w:rFonts w:ascii="Times New Roman" w:eastAsia="Times New Roman" w:hAnsi="Times New Roman" w:cs="Times New Roman"/>
            <w:color w:val="1155CC"/>
            <w:sz w:val="24"/>
            <w:szCs w:val="24"/>
            <w:u w:val="single"/>
          </w:rPr>
          <w:t>https://www.marketwatch.com/story/amex-earnings-show-continued-surge-in-spending-though-profit-falls-short-46571d18</w:t>
        </w:r>
      </w:hyperlink>
      <w:r w:rsidRPr="003C1C3B">
        <w:rPr>
          <w:rFonts w:ascii="Times New Roman" w:eastAsia="Times New Roman" w:hAnsi="Times New Roman" w:cs="Times New Roman"/>
          <w:sz w:val="24"/>
          <w:szCs w:val="24"/>
        </w:rPr>
        <w:t xml:space="preserve">  [Accessed 20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Berger, E.S., Von </w:t>
      </w:r>
      <w:proofErr w:type="spellStart"/>
      <w:r w:rsidRPr="003C1C3B">
        <w:rPr>
          <w:rFonts w:ascii="Times New Roman" w:eastAsia="Times New Roman" w:hAnsi="Times New Roman" w:cs="Times New Roman"/>
          <w:color w:val="222222"/>
          <w:sz w:val="24"/>
          <w:szCs w:val="24"/>
          <w:highlight w:val="white"/>
        </w:rPr>
        <w:t>Briel</w:t>
      </w:r>
      <w:proofErr w:type="spellEnd"/>
      <w:r w:rsidRPr="003C1C3B">
        <w:rPr>
          <w:rFonts w:ascii="Times New Roman" w:eastAsia="Times New Roman" w:hAnsi="Times New Roman" w:cs="Times New Roman"/>
          <w:color w:val="222222"/>
          <w:sz w:val="24"/>
          <w:szCs w:val="24"/>
          <w:highlight w:val="white"/>
        </w:rPr>
        <w:t xml:space="preserve">, F., </w:t>
      </w:r>
      <w:proofErr w:type="spellStart"/>
      <w:r w:rsidRPr="003C1C3B">
        <w:rPr>
          <w:rFonts w:ascii="Times New Roman" w:eastAsia="Times New Roman" w:hAnsi="Times New Roman" w:cs="Times New Roman"/>
          <w:color w:val="222222"/>
          <w:sz w:val="24"/>
          <w:szCs w:val="24"/>
          <w:highlight w:val="white"/>
        </w:rPr>
        <w:t>Davidsson</w:t>
      </w:r>
      <w:proofErr w:type="spellEnd"/>
      <w:r w:rsidRPr="003C1C3B">
        <w:rPr>
          <w:rFonts w:ascii="Times New Roman" w:eastAsia="Times New Roman" w:hAnsi="Times New Roman" w:cs="Times New Roman"/>
          <w:color w:val="222222"/>
          <w:sz w:val="24"/>
          <w:szCs w:val="24"/>
          <w:highlight w:val="white"/>
        </w:rPr>
        <w:t xml:space="preserve">, P. and </w:t>
      </w:r>
      <w:proofErr w:type="spellStart"/>
      <w:r w:rsidRPr="003C1C3B">
        <w:rPr>
          <w:rFonts w:ascii="Times New Roman" w:eastAsia="Times New Roman" w:hAnsi="Times New Roman" w:cs="Times New Roman"/>
          <w:color w:val="222222"/>
          <w:sz w:val="24"/>
          <w:szCs w:val="24"/>
          <w:highlight w:val="white"/>
        </w:rPr>
        <w:t>Kuckertz</w:t>
      </w:r>
      <w:proofErr w:type="spellEnd"/>
      <w:r w:rsidRPr="003C1C3B">
        <w:rPr>
          <w:rFonts w:ascii="Times New Roman" w:eastAsia="Times New Roman" w:hAnsi="Times New Roman" w:cs="Times New Roman"/>
          <w:color w:val="222222"/>
          <w:sz w:val="24"/>
          <w:szCs w:val="24"/>
          <w:highlight w:val="white"/>
        </w:rPr>
        <w:t xml:space="preserve">, A., 2021. Digital or not–The future of entrepreneurship and innovation: Introduction to the special issue. </w:t>
      </w:r>
      <w:r w:rsidRPr="003C1C3B">
        <w:rPr>
          <w:rFonts w:ascii="Times New Roman" w:eastAsia="Times New Roman" w:hAnsi="Times New Roman" w:cs="Times New Roman"/>
          <w:i/>
          <w:color w:val="222222"/>
          <w:sz w:val="24"/>
          <w:szCs w:val="24"/>
          <w:highlight w:val="white"/>
        </w:rPr>
        <w:t>Journal of Business Research</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125</w:t>
      </w:r>
      <w:r w:rsidRPr="003C1C3B">
        <w:rPr>
          <w:rFonts w:ascii="Times New Roman" w:eastAsia="Times New Roman" w:hAnsi="Times New Roman" w:cs="Times New Roman"/>
          <w:color w:val="222222"/>
          <w:sz w:val="24"/>
          <w:szCs w:val="24"/>
          <w:highlight w:val="white"/>
        </w:rPr>
        <w:t xml:space="preserve">, pp.436-442. Available at: </w:t>
      </w:r>
      <w:hyperlink r:id="rId28">
        <w:r w:rsidRPr="003C1C3B">
          <w:rPr>
            <w:rFonts w:ascii="Times New Roman" w:eastAsia="Times New Roman" w:hAnsi="Times New Roman" w:cs="Times New Roman"/>
            <w:color w:val="1155CC"/>
            <w:sz w:val="24"/>
            <w:szCs w:val="24"/>
            <w:highlight w:val="white"/>
            <w:u w:val="single"/>
          </w:rPr>
          <w:t>https://eprints.qut.edu.au/200348/1/58320245.pdf</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Carmichael, D.R., 2020. Financial statement fraud by external parties: What auditors can learn from major frauds in history. </w:t>
      </w:r>
      <w:r w:rsidRPr="003C1C3B">
        <w:rPr>
          <w:rFonts w:ascii="Times New Roman" w:eastAsia="Times New Roman" w:hAnsi="Times New Roman" w:cs="Times New Roman"/>
          <w:i/>
          <w:color w:val="222222"/>
          <w:sz w:val="24"/>
          <w:szCs w:val="24"/>
          <w:highlight w:val="white"/>
        </w:rPr>
        <w:t>The CPA Journal</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90</w:t>
      </w:r>
      <w:r w:rsidRPr="003C1C3B">
        <w:rPr>
          <w:rFonts w:ascii="Times New Roman" w:eastAsia="Times New Roman" w:hAnsi="Times New Roman" w:cs="Times New Roman"/>
          <w:color w:val="222222"/>
          <w:sz w:val="24"/>
          <w:szCs w:val="24"/>
          <w:highlight w:val="white"/>
        </w:rPr>
        <w:t xml:space="preserve">(3), pp.28-34. Available at: </w:t>
      </w:r>
      <w:hyperlink r:id="rId29">
        <w:r w:rsidRPr="003C1C3B">
          <w:rPr>
            <w:rFonts w:ascii="Times New Roman" w:eastAsia="Times New Roman" w:hAnsi="Times New Roman" w:cs="Times New Roman"/>
            <w:color w:val="1155CC"/>
            <w:sz w:val="24"/>
            <w:szCs w:val="24"/>
            <w:highlight w:val="white"/>
            <w:u w:val="single"/>
          </w:rPr>
          <w:t>https://search.proquest.com/openview/f08bf77a6b855cd44073775fd1c39e05/1?pq-origsite=gscholar&amp;cbl=41798</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lastRenderedPageBreak/>
        <w:t xml:space="preserve">Cooper, E., Henderson, C. and Kish, A., 2019. Corporate social responsibility and financial stability: evidence from the Troubled Asset Relief Program. </w:t>
      </w:r>
      <w:r w:rsidRPr="003C1C3B">
        <w:rPr>
          <w:rFonts w:ascii="Times New Roman" w:eastAsia="Times New Roman" w:hAnsi="Times New Roman" w:cs="Times New Roman"/>
          <w:i/>
          <w:color w:val="222222"/>
          <w:sz w:val="24"/>
          <w:szCs w:val="24"/>
          <w:highlight w:val="white"/>
        </w:rPr>
        <w:t>Managerial Finance</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45</w:t>
      </w:r>
      <w:r w:rsidRPr="003C1C3B">
        <w:rPr>
          <w:rFonts w:ascii="Times New Roman" w:eastAsia="Times New Roman" w:hAnsi="Times New Roman" w:cs="Times New Roman"/>
          <w:color w:val="222222"/>
          <w:sz w:val="24"/>
          <w:szCs w:val="24"/>
          <w:highlight w:val="white"/>
        </w:rPr>
        <w:t xml:space="preserve">(8), pp.1111-1128. Available at: </w:t>
      </w:r>
      <w:hyperlink r:id="rId30">
        <w:r w:rsidRPr="003C1C3B">
          <w:rPr>
            <w:rFonts w:ascii="Times New Roman" w:eastAsia="Times New Roman" w:hAnsi="Times New Roman" w:cs="Times New Roman"/>
            <w:color w:val="1155CC"/>
            <w:sz w:val="24"/>
            <w:szCs w:val="24"/>
            <w:highlight w:val="white"/>
            <w:u w:val="single"/>
          </w:rPr>
          <w:t>https://www.emerald.com/insight/content/doi/10.1108/MF-09-2018-0458/full/html</w:t>
        </w:r>
      </w:hyperlink>
      <w:proofErr w:type="gramStart"/>
      <w:r w:rsidRPr="003C1C3B">
        <w:rPr>
          <w:rFonts w:ascii="Times New Roman" w:eastAsia="Times New Roman" w:hAnsi="Times New Roman" w:cs="Times New Roman"/>
          <w:color w:val="222222"/>
          <w:sz w:val="24"/>
          <w:szCs w:val="24"/>
          <w:highlight w:val="white"/>
        </w:rPr>
        <w:t xml:space="preserve">   [</w:t>
      </w:r>
      <w:proofErr w:type="gramEnd"/>
      <w:r w:rsidRPr="003C1C3B">
        <w:rPr>
          <w:rFonts w:ascii="Times New Roman" w:eastAsia="Times New Roman" w:hAnsi="Times New Roman" w:cs="Times New Roman"/>
          <w:color w:val="222222"/>
          <w:sz w:val="24"/>
          <w:szCs w:val="24"/>
          <w:highlight w:val="white"/>
        </w:rPr>
        <w:t>Accessed 25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Florido</w:t>
      </w:r>
      <w:proofErr w:type="spellEnd"/>
      <w:r w:rsidRPr="003C1C3B">
        <w:rPr>
          <w:rFonts w:ascii="Times New Roman" w:eastAsia="Times New Roman" w:hAnsi="Times New Roman" w:cs="Times New Roman"/>
          <w:color w:val="222222"/>
          <w:sz w:val="24"/>
          <w:szCs w:val="24"/>
          <w:highlight w:val="white"/>
        </w:rPr>
        <w:t xml:space="preserve">-Benítez, L., 2022. International mobile marketing: A satisfactory concept for companies and users in times of pandemic. </w:t>
      </w:r>
      <w:r w:rsidRPr="003C1C3B">
        <w:rPr>
          <w:rFonts w:ascii="Times New Roman" w:eastAsia="Times New Roman" w:hAnsi="Times New Roman" w:cs="Times New Roman"/>
          <w:i/>
          <w:color w:val="222222"/>
          <w:sz w:val="24"/>
          <w:szCs w:val="24"/>
          <w:highlight w:val="white"/>
        </w:rPr>
        <w:t>Benchmarking: An International Journal</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29</w:t>
      </w:r>
      <w:r w:rsidRPr="003C1C3B">
        <w:rPr>
          <w:rFonts w:ascii="Times New Roman" w:eastAsia="Times New Roman" w:hAnsi="Times New Roman" w:cs="Times New Roman"/>
          <w:color w:val="222222"/>
          <w:sz w:val="24"/>
          <w:szCs w:val="24"/>
          <w:highlight w:val="white"/>
        </w:rPr>
        <w:t xml:space="preserve">(6), pp.1826-1856. Available at: </w:t>
      </w:r>
      <w:hyperlink r:id="rId31">
        <w:r w:rsidRPr="003C1C3B">
          <w:rPr>
            <w:rFonts w:ascii="Times New Roman" w:eastAsia="Times New Roman" w:hAnsi="Times New Roman" w:cs="Times New Roman"/>
            <w:color w:val="1155CC"/>
            <w:sz w:val="24"/>
            <w:szCs w:val="24"/>
            <w:highlight w:val="white"/>
            <w:u w:val="single"/>
          </w:rPr>
          <w:t>https://www.emerald.com/insight/content/doi/10.1108/BIJ-06-2021-0303/full/html</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Goel, S. (2023). </w:t>
      </w:r>
      <w:r w:rsidRPr="003C1C3B">
        <w:rPr>
          <w:rFonts w:ascii="Times New Roman" w:eastAsia="Times New Roman" w:hAnsi="Times New Roman" w:cs="Times New Roman"/>
          <w:i/>
          <w:color w:val="222222"/>
          <w:sz w:val="24"/>
          <w:szCs w:val="24"/>
          <w:highlight w:val="white"/>
        </w:rPr>
        <w:t>How does American Express make money: Business Model &amp; Strategy</w:t>
      </w:r>
      <w:r w:rsidRPr="003C1C3B">
        <w:rPr>
          <w:rFonts w:ascii="Times New Roman" w:eastAsia="Times New Roman" w:hAnsi="Times New Roman" w:cs="Times New Roman"/>
          <w:color w:val="222222"/>
          <w:sz w:val="24"/>
          <w:szCs w:val="24"/>
          <w:highlight w:val="white"/>
        </w:rPr>
        <w:t xml:space="preserve">. [online] The Strategy Story. Available at: </w:t>
      </w:r>
      <w:hyperlink r:id="rId32">
        <w:r w:rsidRPr="003C1C3B">
          <w:rPr>
            <w:rFonts w:ascii="Times New Roman" w:eastAsia="Times New Roman" w:hAnsi="Times New Roman" w:cs="Times New Roman"/>
            <w:color w:val="1155CC"/>
            <w:sz w:val="24"/>
            <w:szCs w:val="24"/>
            <w:highlight w:val="white"/>
            <w:u w:val="single"/>
          </w:rPr>
          <w:t>https://thestrategystory.com/2023/02/16/how-does-american-express-make-money-business-model-strategy/</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w:t>
      </w:r>
      <w:proofErr w:type="spellStart"/>
      <w:r w:rsidRPr="003C1C3B">
        <w:rPr>
          <w:rFonts w:ascii="Times New Roman" w:eastAsia="Times New Roman" w:hAnsi="Times New Roman" w:cs="Times New Roman"/>
          <w:color w:val="222222"/>
          <w:sz w:val="24"/>
          <w:szCs w:val="24"/>
          <w:highlight w:val="white"/>
        </w:rPr>
        <w:t>Herkenhoff</w:t>
      </w:r>
      <w:proofErr w:type="spellEnd"/>
      <w:r w:rsidRPr="003C1C3B">
        <w:rPr>
          <w:rFonts w:ascii="Times New Roman" w:eastAsia="Times New Roman" w:hAnsi="Times New Roman" w:cs="Times New Roman"/>
          <w:color w:val="222222"/>
          <w:sz w:val="24"/>
          <w:szCs w:val="24"/>
          <w:highlight w:val="white"/>
        </w:rPr>
        <w:t xml:space="preserve">, K.F. and </w:t>
      </w:r>
      <w:proofErr w:type="spellStart"/>
      <w:r w:rsidRPr="003C1C3B">
        <w:rPr>
          <w:rFonts w:ascii="Times New Roman" w:eastAsia="Times New Roman" w:hAnsi="Times New Roman" w:cs="Times New Roman"/>
          <w:color w:val="222222"/>
          <w:sz w:val="24"/>
          <w:szCs w:val="24"/>
          <w:highlight w:val="white"/>
        </w:rPr>
        <w:t>Raveendranathan</w:t>
      </w:r>
      <w:proofErr w:type="spellEnd"/>
      <w:r w:rsidRPr="003C1C3B">
        <w:rPr>
          <w:rFonts w:ascii="Times New Roman" w:eastAsia="Times New Roman" w:hAnsi="Times New Roman" w:cs="Times New Roman"/>
          <w:color w:val="222222"/>
          <w:sz w:val="24"/>
          <w:szCs w:val="24"/>
          <w:highlight w:val="white"/>
        </w:rPr>
        <w:t xml:space="preserve">, G., 2020. </w:t>
      </w:r>
      <w:r w:rsidRPr="003C1C3B">
        <w:rPr>
          <w:rFonts w:ascii="Times New Roman" w:eastAsia="Times New Roman" w:hAnsi="Times New Roman" w:cs="Times New Roman"/>
          <w:i/>
          <w:color w:val="222222"/>
          <w:sz w:val="24"/>
          <w:szCs w:val="24"/>
          <w:highlight w:val="white"/>
        </w:rPr>
        <w:t>Who bears the welfare costs of monopoly? the case of the credit card industry</w:t>
      </w:r>
      <w:r w:rsidRPr="003C1C3B">
        <w:rPr>
          <w:rFonts w:ascii="Times New Roman" w:eastAsia="Times New Roman" w:hAnsi="Times New Roman" w:cs="Times New Roman"/>
          <w:color w:val="222222"/>
          <w:sz w:val="24"/>
          <w:szCs w:val="24"/>
          <w:highlight w:val="white"/>
        </w:rPr>
        <w:t xml:space="preserve"> (No. w26604). National Bureau of Economic Research. Available at: </w:t>
      </w:r>
      <w:hyperlink r:id="rId33">
        <w:r w:rsidRPr="003C1C3B">
          <w:rPr>
            <w:rFonts w:ascii="Times New Roman" w:eastAsia="Times New Roman" w:hAnsi="Times New Roman" w:cs="Times New Roman"/>
            <w:color w:val="1155CC"/>
            <w:sz w:val="24"/>
            <w:szCs w:val="24"/>
            <w:highlight w:val="white"/>
            <w:u w:val="single"/>
          </w:rPr>
          <w:t>https://www.nber.org/system/files/working_papers/w26604/w26604.pdf</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Hovenkamp</w:t>
      </w:r>
      <w:proofErr w:type="spellEnd"/>
      <w:r w:rsidRPr="003C1C3B">
        <w:rPr>
          <w:rFonts w:ascii="Times New Roman" w:eastAsia="Times New Roman" w:hAnsi="Times New Roman" w:cs="Times New Roman"/>
          <w:color w:val="222222"/>
          <w:sz w:val="24"/>
          <w:szCs w:val="24"/>
          <w:highlight w:val="white"/>
        </w:rPr>
        <w:t xml:space="preserve">, H., 2019. Platforms and the rule of reason: the American Express case. </w:t>
      </w:r>
      <w:r w:rsidRPr="003C1C3B">
        <w:rPr>
          <w:rFonts w:ascii="Times New Roman" w:eastAsia="Times New Roman" w:hAnsi="Times New Roman" w:cs="Times New Roman"/>
          <w:i/>
          <w:color w:val="222222"/>
          <w:sz w:val="24"/>
          <w:szCs w:val="24"/>
          <w:highlight w:val="white"/>
        </w:rPr>
        <w:t>Colum. Bus. L. Rev.</w:t>
      </w:r>
      <w:r w:rsidRPr="003C1C3B">
        <w:rPr>
          <w:rFonts w:ascii="Times New Roman" w:eastAsia="Times New Roman" w:hAnsi="Times New Roman" w:cs="Times New Roman"/>
          <w:color w:val="222222"/>
          <w:sz w:val="24"/>
          <w:szCs w:val="24"/>
          <w:highlight w:val="white"/>
        </w:rPr>
        <w:t xml:space="preserve">, p.35. Available at: </w:t>
      </w:r>
      <w:hyperlink r:id="rId34">
        <w:r w:rsidRPr="003C1C3B">
          <w:rPr>
            <w:rFonts w:ascii="Times New Roman" w:eastAsia="Times New Roman" w:hAnsi="Times New Roman" w:cs="Times New Roman"/>
            <w:color w:val="1155CC"/>
            <w:sz w:val="24"/>
            <w:szCs w:val="24"/>
            <w:highlight w:val="white"/>
            <w:u w:val="single"/>
          </w:rPr>
          <w:t>https://heinonline.org/hol-cgi-bin/get_pdf.cgi?handle=hein.journals/colb2019&amp;section=5</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Islam, S.B., 2019. American Express Card of The City Bank Limited. Available at: </w:t>
      </w:r>
      <w:hyperlink r:id="rId35">
        <w:r w:rsidRPr="003C1C3B">
          <w:rPr>
            <w:rFonts w:ascii="Times New Roman" w:eastAsia="Times New Roman" w:hAnsi="Times New Roman" w:cs="Times New Roman"/>
            <w:color w:val="1155CC"/>
            <w:sz w:val="24"/>
            <w:szCs w:val="24"/>
            <w:highlight w:val="white"/>
            <w:u w:val="single"/>
          </w:rPr>
          <w:t>http://dspace.uiu.ac.bd/bitstream/handle/52243/1135/Samiun-Basri-Islam-111-143-118.docx?sequence=1</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Kabene</w:t>
      </w:r>
      <w:proofErr w:type="spellEnd"/>
      <w:r w:rsidRPr="003C1C3B">
        <w:rPr>
          <w:rFonts w:ascii="Times New Roman" w:eastAsia="Times New Roman" w:hAnsi="Times New Roman" w:cs="Times New Roman"/>
          <w:color w:val="222222"/>
          <w:sz w:val="24"/>
          <w:szCs w:val="24"/>
          <w:highlight w:val="white"/>
        </w:rPr>
        <w:t xml:space="preserve">, S. and </w:t>
      </w:r>
      <w:proofErr w:type="spellStart"/>
      <w:r w:rsidRPr="003C1C3B">
        <w:rPr>
          <w:rFonts w:ascii="Times New Roman" w:eastAsia="Times New Roman" w:hAnsi="Times New Roman" w:cs="Times New Roman"/>
          <w:color w:val="222222"/>
          <w:sz w:val="24"/>
          <w:szCs w:val="24"/>
          <w:highlight w:val="white"/>
        </w:rPr>
        <w:t>Baadel</w:t>
      </w:r>
      <w:proofErr w:type="spellEnd"/>
      <w:r w:rsidRPr="003C1C3B">
        <w:rPr>
          <w:rFonts w:ascii="Times New Roman" w:eastAsia="Times New Roman" w:hAnsi="Times New Roman" w:cs="Times New Roman"/>
          <w:color w:val="222222"/>
          <w:sz w:val="24"/>
          <w:szCs w:val="24"/>
          <w:highlight w:val="white"/>
        </w:rPr>
        <w:t xml:space="preserve">, S., 2021. 20th Anniversary of 9-11: Corporate Disaster Preparedness, Lessons Learned, and Ways Forward. </w:t>
      </w:r>
      <w:r w:rsidRPr="003C1C3B">
        <w:rPr>
          <w:rFonts w:ascii="Times New Roman" w:eastAsia="Times New Roman" w:hAnsi="Times New Roman" w:cs="Times New Roman"/>
          <w:i/>
          <w:color w:val="222222"/>
          <w:sz w:val="24"/>
          <w:szCs w:val="24"/>
          <w:highlight w:val="white"/>
        </w:rPr>
        <w:t>Int. J. Management and Data Analytics</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1</w:t>
      </w:r>
      <w:r w:rsidRPr="003C1C3B">
        <w:rPr>
          <w:rFonts w:ascii="Times New Roman" w:eastAsia="Times New Roman" w:hAnsi="Times New Roman" w:cs="Times New Roman"/>
          <w:color w:val="222222"/>
          <w:sz w:val="24"/>
          <w:szCs w:val="24"/>
          <w:highlight w:val="white"/>
        </w:rPr>
        <w:t xml:space="preserve">(2), pp.29-37. Available at: </w:t>
      </w:r>
      <w:hyperlink r:id="rId36">
        <w:r w:rsidRPr="003C1C3B">
          <w:rPr>
            <w:rFonts w:ascii="Times New Roman" w:eastAsia="Times New Roman" w:hAnsi="Times New Roman" w:cs="Times New Roman"/>
            <w:color w:val="1155CC"/>
            <w:sz w:val="24"/>
            <w:szCs w:val="24"/>
            <w:highlight w:val="white"/>
            <w:u w:val="single"/>
          </w:rPr>
          <w:t>https://www.researchgate.net/profile/Said-Baadel/publication/354765943_20th_Anniversary_of_9-11_Corporate_Disaster_Preparedness_Lessons_Learned_and_Ways_Forward/links/614ba714a595d06017e4b197/20th-Anniversary-of-9-11-Corporate-Disaster-Preparedness-Lessons-Learned-and-Ways-Forward.pdf</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lastRenderedPageBreak/>
        <w:t>Katsikeas</w:t>
      </w:r>
      <w:proofErr w:type="spellEnd"/>
      <w:r w:rsidRPr="003C1C3B">
        <w:rPr>
          <w:rFonts w:ascii="Times New Roman" w:eastAsia="Times New Roman" w:hAnsi="Times New Roman" w:cs="Times New Roman"/>
          <w:color w:val="222222"/>
          <w:sz w:val="24"/>
          <w:szCs w:val="24"/>
          <w:highlight w:val="white"/>
        </w:rPr>
        <w:t xml:space="preserve">, C., </w:t>
      </w:r>
      <w:proofErr w:type="spellStart"/>
      <w:r w:rsidRPr="003C1C3B">
        <w:rPr>
          <w:rFonts w:ascii="Times New Roman" w:eastAsia="Times New Roman" w:hAnsi="Times New Roman" w:cs="Times New Roman"/>
          <w:color w:val="222222"/>
          <w:sz w:val="24"/>
          <w:szCs w:val="24"/>
          <w:highlight w:val="white"/>
        </w:rPr>
        <w:t>Leonidou</w:t>
      </w:r>
      <w:proofErr w:type="spellEnd"/>
      <w:r w:rsidRPr="003C1C3B">
        <w:rPr>
          <w:rFonts w:ascii="Times New Roman" w:eastAsia="Times New Roman" w:hAnsi="Times New Roman" w:cs="Times New Roman"/>
          <w:color w:val="222222"/>
          <w:sz w:val="24"/>
          <w:szCs w:val="24"/>
          <w:highlight w:val="white"/>
        </w:rPr>
        <w:t xml:space="preserve">, L. and </w:t>
      </w:r>
      <w:proofErr w:type="spellStart"/>
      <w:r w:rsidRPr="003C1C3B">
        <w:rPr>
          <w:rFonts w:ascii="Times New Roman" w:eastAsia="Times New Roman" w:hAnsi="Times New Roman" w:cs="Times New Roman"/>
          <w:color w:val="222222"/>
          <w:sz w:val="24"/>
          <w:szCs w:val="24"/>
          <w:highlight w:val="white"/>
        </w:rPr>
        <w:t>Zeriti</w:t>
      </w:r>
      <w:proofErr w:type="spellEnd"/>
      <w:r w:rsidRPr="003C1C3B">
        <w:rPr>
          <w:rFonts w:ascii="Times New Roman" w:eastAsia="Times New Roman" w:hAnsi="Times New Roman" w:cs="Times New Roman"/>
          <w:color w:val="222222"/>
          <w:sz w:val="24"/>
          <w:szCs w:val="24"/>
          <w:highlight w:val="white"/>
        </w:rPr>
        <w:t xml:space="preserve">, A., 2020. Revisiting international marketing strategy in a digital era: Opportunities, challenges, and research directions. </w:t>
      </w:r>
      <w:r w:rsidRPr="003C1C3B">
        <w:rPr>
          <w:rFonts w:ascii="Times New Roman" w:eastAsia="Times New Roman" w:hAnsi="Times New Roman" w:cs="Times New Roman"/>
          <w:i/>
          <w:color w:val="222222"/>
          <w:sz w:val="24"/>
          <w:szCs w:val="24"/>
          <w:highlight w:val="white"/>
        </w:rPr>
        <w:t>International Marketing Review</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37</w:t>
      </w:r>
      <w:r w:rsidRPr="003C1C3B">
        <w:rPr>
          <w:rFonts w:ascii="Times New Roman" w:eastAsia="Times New Roman" w:hAnsi="Times New Roman" w:cs="Times New Roman"/>
          <w:color w:val="222222"/>
          <w:sz w:val="24"/>
          <w:szCs w:val="24"/>
          <w:highlight w:val="white"/>
        </w:rPr>
        <w:t xml:space="preserve">(3), pp.405-424. Available at: </w:t>
      </w:r>
      <w:hyperlink r:id="rId37">
        <w:r w:rsidRPr="003C1C3B">
          <w:rPr>
            <w:rFonts w:ascii="Times New Roman" w:eastAsia="Times New Roman" w:hAnsi="Times New Roman" w:cs="Times New Roman"/>
            <w:color w:val="1155CC"/>
            <w:sz w:val="24"/>
            <w:szCs w:val="24"/>
            <w:highlight w:val="white"/>
            <w:u w:val="single"/>
          </w:rPr>
          <w:t>https://www.emerald.com/insight/content/doi/10.1108/IMR-02-2019-0080/full/html</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Katz, M.L. and Melamed, A.D., 2019. Competition Law as Common Law: American Express and the Evolution of Antitrust. </w:t>
      </w:r>
      <w:r w:rsidRPr="003C1C3B">
        <w:rPr>
          <w:rFonts w:ascii="Times New Roman" w:eastAsia="Times New Roman" w:hAnsi="Times New Roman" w:cs="Times New Roman"/>
          <w:i/>
          <w:color w:val="222222"/>
          <w:sz w:val="24"/>
          <w:szCs w:val="24"/>
          <w:highlight w:val="white"/>
        </w:rPr>
        <w:t>U. Pa. L. Rev.</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168</w:t>
      </w:r>
      <w:r w:rsidRPr="003C1C3B">
        <w:rPr>
          <w:rFonts w:ascii="Times New Roman" w:eastAsia="Times New Roman" w:hAnsi="Times New Roman" w:cs="Times New Roman"/>
          <w:color w:val="222222"/>
          <w:sz w:val="24"/>
          <w:szCs w:val="24"/>
          <w:highlight w:val="white"/>
        </w:rPr>
        <w:t xml:space="preserve">, p.2061. Available at: </w:t>
      </w:r>
      <w:hyperlink r:id="rId38">
        <w:r w:rsidRPr="003C1C3B">
          <w:rPr>
            <w:rFonts w:ascii="Times New Roman" w:eastAsia="Times New Roman" w:hAnsi="Times New Roman" w:cs="Times New Roman"/>
            <w:color w:val="1155CC"/>
            <w:sz w:val="24"/>
            <w:szCs w:val="24"/>
            <w:highlight w:val="white"/>
            <w:u w:val="single"/>
          </w:rPr>
          <w:t>https://heinonline.org/hol-cgi-bin/get_pdf.cgi?handle=hein.journals/pnlr168&amp;section=54</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Kirkwood, J.B., 2019. Antitrust and two-sided platforms: The failure of American Express. </w:t>
      </w:r>
      <w:r w:rsidRPr="003C1C3B">
        <w:rPr>
          <w:rFonts w:ascii="Times New Roman" w:eastAsia="Times New Roman" w:hAnsi="Times New Roman" w:cs="Times New Roman"/>
          <w:i/>
          <w:color w:val="222222"/>
          <w:sz w:val="24"/>
          <w:szCs w:val="24"/>
          <w:highlight w:val="white"/>
        </w:rPr>
        <w:t>Cardozo L. Rev.</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41</w:t>
      </w:r>
      <w:r w:rsidRPr="003C1C3B">
        <w:rPr>
          <w:rFonts w:ascii="Times New Roman" w:eastAsia="Times New Roman" w:hAnsi="Times New Roman" w:cs="Times New Roman"/>
          <w:color w:val="222222"/>
          <w:sz w:val="24"/>
          <w:szCs w:val="24"/>
          <w:highlight w:val="white"/>
        </w:rPr>
        <w:t xml:space="preserve">, p.1805. Available at: </w:t>
      </w:r>
      <w:hyperlink r:id="rId39">
        <w:r w:rsidRPr="003C1C3B">
          <w:rPr>
            <w:rFonts w:ascii="Times New Roman" w:eastAsia="Times New Roman" w:hAnsi="Times New Roman" w:cs="Times New Roman"/>
            <w:color w:val="1155CC"/>
            <w:sz w:val="24"/>
            <w:szCs w:val="24"/>
            <w:highlight w:val="white"/>
            <w:u w:val="single"/>
          </w:rPr>
          <w:t>https://heinonline.org/hol-cgi-bin/get_pdf.cgi?handle=hein.journals/cdozo41&amp;section=49</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Larrinaga, C., 2021. The Pioneers of the Spanish Travel Agency Business Before Mass Tourism. </w:t>
      </w:r>
      <w:r w:rsidRPr="003C1C3B">
        <w:rPr>
          <w:rFonts w:ascii="Times New Roman" w:eastAsia="Times New Roman" w:hAnsi="Times New Roman" w:cs="Times New Roman"/>
          <w:i/>
          <w:color w:val="222222"/>
          <w:sz w:val="24"/>
          <w:szCs w:val="24"/>
          <w:highlight w:val="white"/>
        </w:rPr>
        <w:t>Companies and Entrepreneurs in the History of Spain: Centuries Long Evolution in Business since the 15th century</w:t>
      </w:r>
      <w:r w:rsidRPr="003C1C3B">
        <w:rPr>
          <w:rFonts w:ascii="Times New Roman" w:eastAsia="Times New Roman" w:hAnsi="Times New Roman" w:cs="Times New Roman"/>
          <w:color w:val="222222"/>
          <w:sz w:val="24"/>
          <w:szCs w:val="24"/>
          <w:highlight w:val="white"/>
        </w:rPr>
        <w:t xml:space="preserve">, pp.181-199. Available at: </w:t>
      </w:r>
      <w:hyperlink r:id="rId40">
        <w:r w:rsidRPr="003C1C3B">
          <w:rPr>
            <w:rFonts w:ascii="Times New Roman" w:eastAsia="Times New Roman" w:hAnsi="Times New Roman" w:cs="Times New Roman"/>
            <w:color w:val="1155CC"/>
            <w:sz w:val="24"/>
            <w:szCs w:val="24"/>
            <w:highlight w:val="white"/>
            <w:u w:val="single"/>
          </w:rPr>
          <w:t>https://link.springer.com/chapter/10.1007/978-3-030-61318-1_11</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Leslie, L.M., 2019. Diversity initiative effectiveness: A typological theory of unintended consequences. </w:t>
      </w:r>
      <w:r w:rsidRPr="003C1C3B">
        <w:rPr>
          <w:rFonts w:ascii="Times New Roman" w:eastAsia="Times New Roman" w:hAnsi="Times New Roman" w:cs="Times New Roman"/>
          <w:i/>
          <w:color w:val="222222"/>
          <w:sz w:val="24"/>
          <w:szCs w:val="24"/>
          <w:highlight w:val="white"/>
        </w:rPr>
        <w:t>Academy of Management Review</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44</w:t>
      </w:r>
      <w:r w:rsidRPr="003C1C3B">
        <w:rPr>
          <w:rFonts w:ascii="Times New Roman" w:eastAsia="Times New Roman" w:hAnsi="Times New Roman" w:cs="Times New Roman"/>
          <w:color w:val="222222"/>
          <w:sz w:val="24"/>
          <w:szCs w:val="24"/>
          <w:highlight w:val="white"/>
        </w:rPr>
        <w:t xml:space="preserve">(3), pp.538-563. Available at: </w:t>
      </w:r>
      <w:hyperlink r:id="rId41">
        <w:r w:rsidRPr="003C1C3B">
          <w:rPr>
            <w:rFonts w:ascii="Times New Roman" w:eastAsia="Times New Roman" w:hAnsi="Times New Roman" w:cs="Times New Roman"/>
            <w:color w:val="1155CC"/>
            <w:sz w:val="24"/>
            <w:szCs w:val="24"/>
            <w:highlight w:val="white"/>
            <w:u w:val="single"/>
          </w:rPr>
          <w:t>https://pages.stern.nyu.edu/~eparker/syllabi/leslie2019diversityinitiativeeffectiveness.pdf</w:t>
        </w:r>
      </w:hyperlink>
      <w:proofErr w:type="gramStart"/>
      <w:r w:rsidRPr="003C1C3B">
        <w:rPr>
          <w:rFonts w:ascii="Times New Roman" w:eastAsia="Times New Roman" w:hAnsi="Times New Roman" w:cs="Times New Roman"/>
          <w:color w:val="222222"/>
          <w:sz w:val="24"/>
          <w:szCs w:val="24"/>
          <w:highlight w:val="white"/>
        </w:rPr>
        <w:t xml:space="preserve">   [</w:t>
      </w:r>
      <w:proofErr w:type="gramEnd"/>
      <w:r w:rsidRPr="003C1C3B">
        <w:rPr>
          <w:rFonts w:ascii="Times New Roman" w:eastAsia="Times New Roman" w:hAnsi="Times New Roman" w:cs="Times New Roman"/>
          <w:color w:val="222222"/>
          <w:sz w:val="24"/>
          <w:szCs w:val="24"/>
          <w:highlight w:val="white"/>
        </w:rPr>
        <w:t>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Machete, J.M.V.C.D., 2020. </w:t>
      </w:r>
      <w:r w:rsidRPr="003C1C3B">
        <w:rPr>
          <w:rFonts w:ascii="Times New Roman" w:eastAsia="Times New Roman" w:hAnsi="Times New Roman" w:cs="Times New Roman"/>
          <w:i/>
          <w:color w:val="222222"/>
          <w:sz w:val="24"/>
          <w:szCs w:val="24"/>
          <w:highlight w:val="white"/>
        </w:rPr>
        <w:t>Mastercard under threat: measuring the risk of a data breach</w:t>
      </w:r>
      <w:r w:rsidRPr="003C1C3B">
        <w:rPr>
          <w:rFonts w:ascii="Times New Roman" w:eastAsia="Times New Roman" w:hAnsi="Times New Roman" w:cs="Times New Roman"/>
          <w:color w:val="222222"/>
          <w:sz w:val="24"/>
          <w:szCs w:val="24"/>
          <w:highlight w:val="white"/>
        </w:rPr>
        <w:t xml:space="preserve"> (Doctoral dissertation). Available at: </w:t>
      </w:r>
      <w:hyperlink r:id="rId42" w:anchor="page=40">
        <w:r w:rsidRPr="003C1C3B">
          <w:rPr>
            <w:rFonts w:ascii="Times New Roman" w:eastAsia="Times New Roman" w:hAnsi="Times New Roman" w:cs="Times New Roman"/>
            <w:color w:val="1155CC"/>
            <w:sz w:val="24"/>
            <w:szCs w:val="24"/>
            <w:highlight w:val="white"/>
            <w:u w:val="single"/>
          </w:rPr>
          <w:t>https://citeseerx.ist.psu.edu/document?repid=rep1&amp;type=pdf&amp;doi=2bc0b2ec6f3dbdcb9779c75f425c21a6242fa055#page=40</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Martin, M. (2019). </w:t>
      </w:r>
      <w:r w:rsidRPr="003C1C3B">
        <w:rPr>
          <w:rFonts w:ascii="Times New Roman" w:eastAsia="Times New Roman" w:hAnsi="Times New Roman" w:cs="Times New Roman"/>
          <w:i/>
          <w:color w:val="222222"/>
          <w:sz w:val="24"/>
          <w:szCs w:val="24"/>
          <w:highlight w:val="white"/>
        </w:rPr>
        <w:t>How Porter’s Five Forces Can Help Small Businesses Analyze the Competition</w:t>
      </w:r>
      <w:r w:rsidRPr="003C1C3B">
        <w:rPr>
          <w:rFonts w:ascii="Times New Roman" w:eastAsia="Times New Roman" w:hAnsi="Times New Roman" w:cs="Times New Roman"/>
          <w:color w:val="222222"/>
          <w:sz w:val="24"/>
          <w:szCs w:val="24"/>
          <w:highlight w:val="white"/>
        </w:rPr>
        <w:t xml:space="preserve">. [online] Business News Daily. Available at: </w:t>
      </w:r>
      <w:hyperlink r:id="rId43">
        <w:r w:rsidRPr="003C1C3B">
          <w:rPr>
            <w:rFonts w:ascii="Times New Roman" w:eastAsia="Times New Roman" w:hAnsi="Times New Roman" w:cs="Times New Roman"/>
            <w:color w:val="1155CC"/>
            <w:sz w:val="24"/>
            <w:szCs w:val="24"/>
            <w:highlight w:val="white"/>
            <w:u w:val="single"/>
          </w:rPr>
          <w:t>https://www.businessnewsdaily.com/5446-porters-five-forces.html</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lastRenderedPageBreak/>
        <w:t>Moldoveanu</w:t>
      </w:r>
      <w:proofErr w:type="spellEnd"/>
      <w:r w:rsidRPr="003C1C3B">
        <w:rPr>
          <w:rFonts w:ascii="Times New Roman" w:eastAsia="Times New Roman" w:hAnsi="Times New Roman" w:cs="Times New Roman"/>
          <w:color w:val="222222"/>
          <w:sz w:val="24"/>
          <w:szCs w:val="24"/>
          <w:highlight w:val="white"/>
        </w:rPr>
        <w:t xml:space="preserve">, M. and </w:t>
      </w:r>
      <w:proofErr w:type="spellStart"/>
      <w:r w:rsidRPr="003C1C3B">
        <w:rPr>
          <w:rFonts w:ascii="Times New Roman" w:eastAsia="Times New Roman" w:hAnsi="Times New Roman" w:cs="Times New Roman"/>
          <w:color w:val="222222"/>
          <w:sz w:val="24"/>
          <w:szCs w:val="24"/>
          <w:highlight w:val="white"/>
        </w:rPr>
        <w:t>Narayandas</w:t>
      </w:r>
      <w:proofErr w:type="spellEnd"/>
      <w:r w:rsidRPr="003C1C3B">
        <w:rPr>
          <w:rFonts w:ascii="Times New Roman" w:eastAsia="Times New Roman" w:hAnsi="Times New Roman" w:cs="Times New Roman"/>
          <w:color w:val="222222"/>
          <w:sz w:val="24"/>
          <w:szCs w:val="24"/>
          <w:highlight w:val="white"/>
        </w:rPr>
        <w:t xml:space="preserve">, D., 2019. The future of leadership development. </w:t>
      </w:r>
      <w:r w:rsidRPr="003C1C3B">
        <w:rPr>
          <w:rFonts w:ascii="Times New Roman" w:eastAsia="Times New Roman" w:hAnsi="Times New Roman" w:cs="Times New Roman"/>
          <w:i/>
          <w:color w:val="222222"/>
          <w:sz w:val="24"/>
          <w:szCs w:val="24"/>
          <w:highlight w:val="white"/>
        </w:rPr>
        <w:t>Harvard business review</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97</w:t>
      </w:r>
      <w:r w:rsidRPr="003C1C3B">
        <w:rPr>
          <w:rFonts w:ascii="Times New Roman" w:eastAsia="Times New Roman" w:hAnsi="Times New Roman" w:cs="Times New Roman"/>
          <w:color w:val="222222"/>
          <w:sz w:val="24"/>
          <w:szCs w:val="24"/>
          <w:highlight w:val="white"/>
        </w:rPr>
        <w:t xml:space="preserve">(2), pp.40-48. Available at: </w:t>
      </w:r>
      <w:hyperlink r:id="rId44">
        <w:r w:rsidRPr="003C1C3B">
          <w:rPr>
            <w:rFonts w:ascii="Times New Roman" w:eastAsia="Times New Roman" w:hAnsi="Times New Roman" w:cs="Times New Roman"/>
            <w:color w:val="1155CC"/>
            <w:sz w:val="24"/>
            <w:szCs w:val="24"/>
            <w:highlight w:val="white"/>
            <w:u w:val="single"/>
          </w:rPr>
          <w:t>https://media1-production.mightynetworks.com/asset/4825190/HBR_Future_of_Leadership_Development.pdf</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Mondschein, C.F. and </w:t>
      </w:r>
      <w:proofErr w:type="spellStart"/>
      <w:r w:rsidRPr="003C1C3B">
        <w:rPr>
          <w:rFonts w:ascii="Times New Roman" w:eastAsia="Times New Roman" w:hAnsi="Times New Roman" w:cs="Times New Roman"/>
          <w:color w:val="222222"/>
          <w:sz w:val="24"/>
          <w:szCs w:val="24"/>
          <w:highlight w:val="white"/>
        </w:rPr>
        <w:t>Monda</w:t>
      </w:r>
      <w:proofErr w:type="spellEnd"/>
      <w:r w:rsidRPr="003C1C3B">
        <w:rPr>
          <w:rFonts w:ascii="Times New Roman" w:eastAsia="Times New Roman" w:hAnsi="Times New Roman" w:cs="Times New Roman"/>
          <w:color w:val="222222"/>
          <w:sz w:val="24"/>
          <w:szCs w:val="24"/>
          <w:highlight w:val="white"/>
        </w:rPr>
        <w:t xml:space="preserve">, C., 2019. The EU’s General Data Protection Regulation (GDPR) in a research context. </w:t>
      </w:r>
      <w:r w:rsidRPr="003C1C3B">
        <w:rPr>
          <w:rFonts w:ascii="Times New Roman" w:eastAsia="Times New Roman" w:hAnsi="Times New Roman" w:cs="Times New Roman"/>
          <w:i/>
          <w:color w:val="222222"/>
          <w:sz w:val="24"/>
          <w:szCs w:val="24"/>
          <w:highlight w:val="white"/>
        </w:rPr>
        <w:t>Fundamentals of clinical data science</w:t>
      </w:r>
      <w:r w:rsidRPr="003C1C3B">
        <w:rPr>
          <w:rFonts w:ascii="Times New Roman" w:eastAsia="Times New Roman" w:hAnsi="Times New Roman" w:cs="Times New Roman"/>
          <w:color w:val="222222"/>
          <w:sz w:val="24"/>
          <w:szCs w:val="24"/>
          <w:highlight w:val="white"/>
        </w:rPr>
        <w:t xml:space="preserve">, pp.55-71. Available at: </w:t>
      </w:r>
      <w:hyperlink r:id="rId45" w:anchor="page=59">
        <w:r w:rsidRPr="003C1C3B">
          <w:rPr>
            <w:rFonts w:ascii="Times New Roman" w:eastAsia="Times New Roman" w:hAnsi="Times New Roman" w:cs="Times New Roman"/>
            <w:color w:val="1155CC"/>
            <w:sz w:val="24"/>
            <w:szCs w:val="24"/>
            <w:highlight w:val="white"/>
            <w:u w:val="single"/>
          </w:rPr>
          <w:t>https://library.oapen.org/bitstream/handle/20.500.12657/22918/1007243.pdf?seque#page=59</w:t>
        </w:r>
      </w:hyperlink>
      <w:r w:rsidRPr="003C1C3B">
        <w:rPr>
          <w:rFonts w:ascii="Times New Roman" w:eastAsia="Times New Roman" w:hAnsi="Times New Roman" w:cs="Times New Roman"/>
          <w:color w:val="222222"/>
          <w:sz w:val="24"/>
          <w:szCs w:val="24"/>
          <w:highlight w:val="white"/>
        </w:rPr>
        <w:t xml:space="preserve"> [Accessed 25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Muninger</w:t>
      </w:r>
      <w:proofErr w:type="spellEnd"/>
      <w:r w:rsidRPr="003C1C3B">
        <w:rPr>
          <w:rFonts w:ascii="Times New Roman" w:eastAsia="Times New Roman" w:hAnsi="Times New Roman" w:cs="Times New Roman"/>
          <w:color w:val="222222"/>
          <w:sz w:val="24"/>
          <w:szCs w:val="24"/>
          <w:highlight w:val="white"/>
        </w:rPr>
        <w:t xml:space="preserve">, M.I., </w:t>
      </w:r>
      <w:proofErr w:type="spellStart"/>
      <w:r w:rsidRPr="003C1C3B">
        <w:rPr>
          <w:rFonts w:ascii="Times New Roman" w:eastAsia="Times New Roman" w:hAnsi="Times New Roman" w:cs="Times New Roman"/>
          <w:color w:val="222222"/>
          <w:sz w:val="24"/>
          <w:szCs w:val="24"/>
          <w:highlight w:val="white"/>
        </w:rPr>
        <w:t>Hammedi</w:t>
      </w:r>
      <w:proofErr w:type="spellEnd"/>
      <w:r w:rsidRPr="003C1C3B">
        <w:rPr>
          <w:rFonts w:ascii="Times New Roman" w:eastAsia="Times New Roman" w:hAnsi="Times New Roman" w:cs="Times New Roman"/>
          <w:color w:val="222222"/>
          <w:sz w:val="24"/>
          <w:szCs w:val="24"/>
          <w:highlight w:val="white"/>
        </w:rPr>
        <w:t xml:space="preserve">, W. and Mahr, D., 2019. The value of social media for innovation: A capability perspective. </w:t>
      </w:r>
      <w:r w:rsidRPr="003C1C3B">
        <w:rPr>
          <w:rFonts w:ascii="Times New Roman" w:eastAsia="Times New Roman" w:hAnsi="Times New Roman" w:cs="Times New Roman"/>
          <w:i/>
          <w:color w:val="222222"/>
          <w:sz w:val="24"/>
          <w:szCs w:val="24"/>
          <w:highlight w:val="white"/>
        </w:rPr>
        <w:t>Journal of Business Research</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95</w:t>
      </w:r>
      <w:r w:rsidRPr="003C1C3B">
        <w:rPr>
          <w:rFonts w:ascii="Times New Roman" w:eastAsia="Times New Roman" w:hAnsi="Times New Roman" w:cs="Times New Roman"/>
          <w:color w:val="222222"/>
          <w:sz w:val="24"/>
          <w:szCs w:val="24"/>
          <w:highlight w:val="white"/>
        </w:rPr>
        <w:t xml:space="preserve">, pp.116-127. Available at: </w:t>
      </w:r>
      <w:hyperlink r:id="rId46">
        <w:r w:rsidRPr="003C1C3B">
          <w:rPr>
            <w:rFonts w:ascii="Times New Roman" w:eastAsia="Times New Roman" w:hAnsi="Times New Roman" w:cs="Times New Roman"/>
            <w:color w:val="1155CC"/>
            <w:sz w:val="24"/>
            <w:szCs w:val="24"/>
            <w:highlight w:val="white"/>
            <w:u w:val="single"/>
          </w:rPr>
          <w:t>https://doi.org/10.1016/j.jbusres.2018.10.012</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w:t>
      </w:r>
      <w:r w:rsidRPr="003C1C3B">
        <w:rPr>
          <w:rFonts w:ascii="Times New Roman" w:eastAsia="Times New Roman" w:hAnsi="Times New Roman" w:cs="Times New Roman"/>
          <w:color w:val="222222"/>
          <w:sz w:val="24"/>
          <w:szCs w:val="24"/>
          <w:highlight w:val="white"/>
        </w:rPr>
        <w:t xml:space="preserve">Murakami, S., 2022. Impact of information disclosure on conflict resolution in resource producing countries-Assessment of Dodd-Frank Wall Street Reform and Consumer Protection Act. </w:t>
      </w:r>
      <w:r w:rsidRPr="003C1C3B">
        <w:rPr>
          <w:rFonts w:ascii="Times New Roman" w:eastAsia="Times New Roman" w:hAnsi="Times New Roman" w:cs="Times New Roman"/>
          <w:i/>
          <w:color w:val="222222"/>
          <w:sz w:val="24"/>
          <w:szCs w:val="24"/>
          <w:highlight w:val="white"/>
        </w:rPr>
        <w:t xml:space="preserve">Report of Grant-Supported Research </w:t>
      </w:r>
      <w:proofErr w:type="gramStart"/>
      <w:r w:rsidRPr="003C1C3B">
        <w:rPr>
          <w:rFonts w:ascii="Times New Roman" w:eastAsia="Times New Roman" w:hAnsi="Times New Roman" w:cs="Times New Roman"/>
          <w:i/>
          <w:color w:val="222222"/>
          <w:sz w:val="24"/>
          <w:szCs w:val="24"/>
          <w:highlight w:val="white"/>
        </w:rPr>
        <w:t>The</w:t>
      </w:r>
      <w:proofErr w:type="gramEnd"/>
      <w:r w:rsidRPr="003C1C3B">
        <w:rPr>
          <w:rFonts w:ascii="Times New Roman" w:eastAsia="Times New Roman" w:hAnsi="Times New Roman" w:cs="Times New Roman"/>
          <w:i/>
          <w:color w:val="222222"/>
          <w:sz w:val="24"/>
          <w:szCs w:val="24"/>
          <w:highlight w:val="white"/>
        </w:rPr>
        <w:t xml:space="preserve"> Asahi Glass Foundation</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91</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sz w:val="24"/>
          <w:szCs w:val="24"/>
        </w:rPr>
        <w:t xml:space="preserve">Available at: </w:t>
      </w:r>
      <w:hyperlink r:id="rId47">
        <w:r w:rsidRPr="003C1C3B">
          <w:rPr>
            <w:rFonts w:ascii="Times New Roman" w:eastAsia="Times New Roman" w:hAnsi="Times New Roman" w:cs="Times New Roman"/>
            <w:color w:val="1155CC"/>
            <w:sz w:val="24"/>
            <w:szCs w:val="24"/>
            <w:u w:val="single"/>
          </w:rPr>
          <w:t>https://www.jstage.jst.go.jp/article/afreport/91/0/91_2022_072/_pdf</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sz w:val="24"/>
          <w:szCs w:val="24"/>
        </w:rPr>
      </w:pPr>
      <w:proofErr w:type="spellStart"/>
      <w:r w:rsidRPr="003C1C3B">
        <w:rPr>
          <w:rFonts w:ascii="Times New Roman" w:eastAsia="Times New Roman" w:hAnsi="Times New Roman" w:cs="Times New Roman"/>
          <w:sz w:val="24"/>
          <w:szCs w:val="24"/>
          <w:highlight w:val="white"/>
        </w:rPr>
        <w:t>Palmié</w:t>
      </w:r>
      <w:proofErr w:type="spellEnd"/>
      <w:r w:rsidRPr="003C1C3B">
        <w:rPr>
          <w:rFonts w:ascii="Times New Roman" w:eastAsia="Times New Roman" w:hAnsi="Times New Roman" w:cs="Times New Roman"/>
          <w:sz w:val="24"/>
          <w:szCs w:val="24"/>
          <w:highlight w:val="white"/>
        </w:rPr>
        <w:t xml:space="preserve">, M., </w:t>
      </w:r>
      <w:proofErr w:type="spellStart"/>
      <w:r w:rsidRPr="003C1C3B">
        <w:rPr>
          <w:rFonts w:ascii="Times New Roman" w:eastAsia="Times New Roman" w:hAnsi="Times New Roman" w:cs="Times New Roman"/>
          <w:sz w:val="24"/>
          <w:szCs w:val="24"/>
          <w:highlight w:val="white"/>
        </w:rPr>
        <w:t>Wincent</w:t>
      </w:r>
      <w:proofErr w:type="spellEnd"/>
      <w:r w:rsidRPr="003C1C3B">
        <w:rPr>
          <w:rFonts w:ascii="Times New Roman" w:eastAsia="Times New Roman" w:hAnsi="Times New Roman" w:cs="Times New Roman"/>
          <w:sz w:val="24"/>
          <w:szCs w:val="24"/>
          <w:highlight w:val="white"/>
        </w:rPr>
        <w:t xml:space="preserve">, J., </w:t>
      </w:r>
      <w:proofErr w:type="spellStart"/>
      <w:r w:rsidRPr="003C1C3B">
        <w:rPr>
          <w:rFonts w:ascii="Times New Roman" w:eastAsia="Times New Roman" w:hAnsi="Times New Roman" w:cs="Times New Roman"/>
          <w:sz w:val="24"/>
          <w:szCs w:val="24"/>
          <w:highlight w:val="white"/>
        </w:rPr>
        <w:t>Parida</w:t>
      </w:r>
      <w:proofErr w:type="spellEnd"/>
      <w:r w:rsidRPr="003C1C3B">
        <w:rPr>
          <w:rFonts w:ascii="Times New Roman" w:eastAsia="Times New Roman" w:hAnsi="Times New Roman" w:cs="Times New Roman"/>
          <w:sz w:val="24"/>
          <w:szCs w:val="24"/>
          <w:highlight w:val="white"/>
        </w:rPr>
        <w:t xml:space="preserve">, V. and </w:t>
      </w:r>
      <w:proofErr w:type="spellStart"/>
      <w:r w:rsidRPr="003C1C3B">
        <w:rPr>
          <w:rFonts w:ascii="Times New Roman" w:eastAsia="Times New Roman" w:hAnsi="Times New Roman" w:cs="Times New Roman"/>
          <w:sz w:val="24"/>
          <w:szCs w:val="24"/>
          <w:highlight w:val="white"/>
        </w:rPr>
        <w:t>Caglar</w:t>
      </w:r>
      <w:proofErr w:type="spellEnd"/>
      <w:r w:rsidRPr="003C1C3B">
        <w:rPr>
          <w:rFonts w:ascii="Times New Roman" w:eastAsia="Times New Roman" w:hAnsi="Times New Roman" w:cs="Times New Roman"/>
          <w:sz w:val="24"/>
          <w:szCs w:val="24"/>
          <w:highlight w:val="white"/>
        </w:rPr>
        <w:t xml:space="preserve">, U., 2020. The evolution of the financial technology ecosystem: An introduction and agenda for future research on disruptive innovations in ecosystems. </w:t>
      </w:r>
      <w:r w:rsidRPr="003C1C3B">
        <w:rPr>
          <w:rFonts w:ascii="Times New Roman" w:eastAsia="Times New Roman" w:hAnsi="Times New Roman" w:cs="Times New Roman"/>
          <w:i/>
          <w:sz w:val="24"/>
          <w:szCs w:val="24"/>
          <w:highlight w:val="white"/>
        </w:rPr>
        <w:t>Technological forecasting and social change</w:t>
      </w:r>
      <w:r w:rsidRPr="003C1C3B">
        <w:rPr>
          <w:rFonts w:ascii="Times New Roman" w:eastAsia="Times New Roman" w:hAnsi="Times New Roman" w:cs="Times New Roman"/>
          <w:sz w:val="24"/>
          <w:szCs w:val="24"/>
          <w:highlight w:val="white"/>
        </w:rPr>
        <w:t xml:space="preserve">, </w:t>
      </w:r>
      <w:r w:rsidRPr="003C1C3B">
        <w:rPr>
          <w:rFonts w:ascii="Times New Roman" w:eastAsia="Times New Roman" w:hAnsi="Times New Roman" w:cs="Times New Roman"/>
          <w:i/>
          <w:sz w:val="24"/>
          <w:szCs w:val="24"/>
          <w:highlight w:val="white"/>
        </w:rPr>
        <w:t>151</w:t>
      </w:r>
      <w:r w:rsidRPr="003C1C3B">
        <w:rPr>
          <w:rFonts w:ascii="Times New Roman" w:eastAsia="Times New Roman" w:hAnsi="Times New Roman" w:cs="Times New Roman"/>
          <w:sz w:val="24"/>
          <w:szCs w:val="24"/>
          <w:highlight w:val="white"/>
        </w:rPr>
        <w:t xml:space="preserve">, p.119779. </w:t>
      </w:r>
      <w:r w:rsidRPr="003C1C3B">
        <w:rPr>
          <w:rFonts w:ascii="Times New Roman" w:eastAsia="Times New Roman" w:hAnsi="Times New Roman" w:cs="Times New Roman"/>
          <w:sz w:val="24"/>
          <w:szCs w:val="24"/>
        </w:rPr>
        <w:t xml:space="preserve">Available at: </w:t>
      </w:r>
      <w:hyperlink r:id="rId48">
        <w:r w:rsidRPr="003C1C3B">
          <w:rPr>
            <w:rFonts w:ascii="Times New Roman" w:eastAsia="Times New Roman" w:hAnsi="Times New Roman" w:cs="Times New Roman"/>
            <w:color w:val="1155CC"/>
            <w:sz w:val="24"/>
            <w:szCs w:val="24"/>
            <w:u w:val="single"/>
          </w:rPr>
          <w:t>https://osuva.uwasa.fi/bitstream/handle/10024/10315/Osuva_Palmi%C3%A9_Wincent_Parida_Caglar_2020b.pdf?sequence=2&amp;isAllowed=y</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w:t>
      </w:r>
      <w:proofErr w:type="spellStart"/>
      <w:r w:rsidRPr="003C1C3B">
        <w:rPr>
          <w:rFonts w:ascii="Times New Roman" w:eastAsia="Times New Roman" w:hAnsi="Times New Roman" w:cs="Times New Roman"/>
          <w:sz w:val="24"/>
          <w:szCs w:val="24"/>
        </w:rPr>
        <w:t>Pokora</w:t>
      </w:r>
      <w:proofErr w:type="spellEnd"/>
      <w:r w:rsidRPr="003C1C3B">
        <w:rPr>
          <w:rFonts w:ascii="Times New Roman" w:eastAsia="Times New Roman" w:hAnsi="Times New Roman" w:cs="Times New Roman"/>
          <w:sz w:val="24"/>
          <w:szCs w:val="24"/>
        </w:rPr>
        <w:t xml:space="preserve">, B. (2023). Credit Card Statistics </w:t>
      </w:r>
      <w:proofErr w:type="gramStart"/>
      <w:r w:rsidRPr="003C1C3B">
        <w:rPr>
          <w:rFonts w:ascii="Times New Roman" w:eastAsia="Times New Roman" w:hAnsi="Times New Roman" w:cs="Times New Roman"/>
          <w:sz w:val="24"/>
          <w:szCs w:val="24"/>
        </w:rPr>
        <w:t>And</w:t>
      </w:r>
      <w:proofErr w:type="gramEnd"/>
      <w:r w:rsidRPr="003C1C3B">
        <w:rPr>
          <w:rFonts w:ascii="Times New Roman" w:eastAsia="Times New Roman" w:hAnsi="Times New Roman" w:cs="Times New Roman"/>
          <w:sz w:val="24"/>
          <w:szCs w:val="24"/>
        </w:rPr>
        <w:t xml:space="preserve"> Trends 2023. </w:t>
      </w:r>
      <w:r w:rsidRPr="003C1C3B">
        <w:rPr>
          <w:rFonts w:ascii="Times New Roman" w:eastAsia="Times New Roman" w:hAnsi="Times New Roman" w:cs="Times New Roman"/>
          <w:i/>
          <w:sz w:val="24"/>
          <w:szCs w:val="24"/>
        </w:rPr>
        <w:t>Forbes</w:t>
      </w:r>
      <w:r w:rsidRPr="003C1C3B">
        <w:rPr>
          <w:rFonts w:ascii="Times New Roman" w:eastAsia="Times New Roman" w:hAnsi="Times New Roman" w:cs="Times New Roman"/>
          <w:sz w:val="24"/>
          <w:szCs w:val="24"/>
        </w:rPr>
        <w:t xml:space="preserve">. [online] 9 Mar. Available at: </w:t>
      </w:r>
      <w:hyperlink r:id="rId49">
        <w:r w:rsidRPr="003C1C3B">
          <w:rPr>
            <w:rFonts w:ascii="Times New Roman" w:eastAsia="Times New Roman" w:hAnsi="Times New Roman" w:cs="Times New Roman"/>
            <w:color w:val="1155CC"/>
            <w:sz w:val="24"/>
            <w:szCs w:val="24"/>
            <w:u w:val="single"/>
          </w:rPr>
          <w:t>https://www.forbes.com/advisor/credit-cards/credit-card-statistics/</w:t>
        </w:r>
      </w:hyperlink>
      <w:r w:rsidRPr="003C1C3B">
        <w:rPr>
          <w:rFonts w:ascii="Times New Roman" w:eastAsia="Times New Roman" w:hAnsi="Times New Roman" w:cs="Times New Roman"/>
          <w:sz w:val="24"/>
          <w:szCs w:val="24"/>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Rajesh, P.B. and Rajan, A.J., 2022. Smart Technologies for Industry 4.0 and Its Future. In </w:t>
      </w:r>
      <w:r w:rsidRPr="003C1C3B">
        <w:rPr>
          <w:rFonts w:ascii="Times New Roman" w:eastAsia="Times New Roman" w:hAnsi="Times New Roman" w:cs="Times New Roman"/>
          <w:i/>
          <w:color w:val="222222"/>
          <w:sz w:val="24"/>
          <w:szCs w:val="24"/>
          <w:highlight w:val="white"/>
        </w:rPr>
        <w:t>Smart Manufacturing Technologies for Industry 4.0</w:t>
      </w:r>
      <w:r w:rsidRPr="003C1C3B">
        <w:rPr>
          <w:rFonts w:ascii="Times New Roman" w:eastAsia="Times New Roman" w:hAnsi="Times New Roman" w:cs="Times New Roman"/>
          <w:color w:val="222222"/>
          <w:sz w:val="24"/>
          <w:szCs w:val="24"/>
          <w:highlight w:val="white"/>
        </w:rPr>
        <w:t xml:space="preserve"> (pp. 19-29). CRC Press. Available at: </w:t>
      </w:r>
      <w:hyperlink r:id="rId50">
        <w:r w:rsidRPr="003C1C3B">
          <w:rPr>
            <w:rFonts w:ascii="Times New Roman" w:eastAsia="Times New Roman" w:hAnsi="Times New Roman" w:cs="Times New Roman"/>
            <w:color w:val="1155CC"/>
            <w:sz w:val="24"/>
            <w:szCs w:val="24"/>
            <w:highlight w:val="white"/>
            <w:u w:val="single"/>
          </w:rPr>
          <w:t>https://www.taylorfrancis.com/chapters/edit/10.1201/9781003186670-3/smart-technologies-industry-4-0-future-ben-rajesh-john-rajan</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lastRenderedPageBreak/>
        <w:t xml:space="preserve">Shapiro, C., 2019. Protecting competition in the American economy: Merger control, tech titans, labor markets. </w:t>
      </w:r>
      <w:r w:rsidRPr="003C1C3B">
        <w:rPr>
          <w:rFonts w:ascii="Times New Roman" w:eastAsia="Times New Roman" w:hAnsi="Times New Roman" w:cs="Times New Roman"/>
          <w:i/>
          <w:color w:val="222222"/>
          <w:sz w:val="24"/>
          <w:szCs w:val="24"/>
          <w:highlight w:val="white"/>
        </w:rPr>
        <w:t>Journal of Economic Perspectives</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33</w:t>
      </w:r>
      <w:r w:rsidRPr="003C1C3B">
        <w:rPr>
          <w:rFonts w:ascii="Times New Roman" w:eastAsia="Times New Roman" w:hAnsi="Times New Roman" w:cs="Times New Roman"/>
          <w:color w:val="222222"/>
          <w:sz w:val="24"/>
          <w:szCs w:val="24"/>
          <w:highlight w:val="white"/>
        </w:rPr>
        <w:t xml:space="preserve">(3), pp.69-93. Available at: </w:t>
      </w:r>
      <w:hyperlink r:id="rId51">
        <w:r w:rsidRPr="003C1C3B">
          <w:rPr>
            <w:rFonts w:ascii="Times New Roman" w:eastAsia="Times New Roman" w:hAnsi="Times New Roman" w:cs="Times New Roman"/>
            <w:color w:val="1155CC"/>
            <w:sz w:val="24"/>
            <w:szCs w:val="24"/>
            <w:highlight w:val="white"/>
            <w:u w:val="single"/>
          </w:rPr>
          <w:t>https://pubs.aeaweb.org/doi/pdf/10.1257/jep.33.3.69</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before="240" w:after="240"/>
        <w:jc w:val="both"/>
        <w:rPr>
          <w:rFonts w:ascii="Times New Roman" w:eastAsia="Times New Roman" w:hAnsi="Times New Roman" w:cs="Times New Roman"/>
          <w:sz w:val="24"/>
          <w:szCs w:val="24"/>
        </w:rPr>
      </w:pPr>
      <w:r w:rsidRPr="003C1C3B">
        <w:rPr>
          <w:rFonts w:ascii="Times New Roman" w:eastAsia="Times New Roman" w:hAnsi="Times New Roman" w:cs="Times New Roman"/>
          <w:sz w:val="24"/>
          <w:szCs w:val="24"/>
        </w:rPr>
        <w:t xml:space="preserve">‌SNPM (2023). </w:t>
      </w:r>
      <w:r w:rsidRPr="003C1C3B">
        <w:rPr>
          <w:rFonts w:ascii="Times New Roman" w:eastAsia="Times New Roman" w:hAnsi="Times New Roman" w:cs="Times New Roman"/>
          <w:i/>
          <w:sz w:val="24"/>
          <w:szCs w:val="24"/>
        </w:rPr>
        <w:t>American Express</w:t>
      </w:r>
      <w:r w:rsidRPr="003C1C3B">
        <w:rPr>
          <w:rFonts w:ascii="Times New Roman" w:eastAsia="Times New Roman" w:hAnsi="Times New Roman" w:cs="Times New Roman"/>
          <w:sz w:val="24"/>
          <w:szCs w:val="24"/>
        </w:rPr>
        <w:t xml:space="preserve">. [online] Si.edu. Available at: </w:t>
      </w:r>
      <w:hyperlink r:id="rId52">
        <w:r w:rsidRPr="003C1C3B">
          <w:rPr>
            <w:rFonts w:ascii="Times New Roman" w:eastAsia="Times New Roman" w:hAnsi="Times New Roman" w:cs="Times New Roman"/>
            <w:color w:val="1155CC"/>
            <w:sz w:val="24"/>
            <w:szCs w:val="24"/>
            <w:u w:val="single"/>
          </w:rPr>
          <w:t>https://postalmuseum.si.edu/exhibition/america%E2%80%99s-mailing-industry-industry-segments-direct-marketing-advertising-agencies-and-6</w:t>
        </w:r>
      </w:hyperlink>
      <w:r w:rsidRPr="003C1C3B">
        <w:rPr>
          <w:rFonts w:ascii="Times New Roman" w:eastAsia="Times New Roman" w:hAnsi="Times New Roman" w:cs="Times New Roman"/>
          <w:sz w:val="24"/>
          <w:szCs w:val="24"/>
        </w:rPr>
        <w:t xml:space="preserve">  [Accessed 20 Apr.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Statista. (2021). </w:t>
      </w:r>
      <w:r w:rsidRPr="003C1C3B">
        <w:rPr>
          <w:rFonts w:ascii="Times New Roman" w:eastAsia="Times New Roman" w:hAnsi="Times New Roman" w:cs="Times New Roman"/>
          <w:i/>
          <w:color w:val="222222"/>
          <w:sz w:val="24"/>
          <w:szCs w:val="24"/>
          <w:highlight w:val="white"/>
        </w:rPr>
        <w:t>Visa, MasterCard, Amex market share U.S. 2007-2021 | Statista</w:t>
      </w:r>
      <w:r w:rsidRPr="003C1C3B">
        <w:rPr>
          <w:rFonts w:ascii="Times New Roman" w:eastAsia="Times New Roman" w:hAnsi="Times New Roman" w:cs="Times New Roman"/>
          <w:color w:val="222222"/>
          <w:sz w:val="24"/>
          <w:szCs w:val="24"/>
          <w:highlight w:val="white"/>
        </w:rPr>
        <w:t xml:space="preserve">. [online] Available at: </w:t>
      </w:r>
      <w:hyperlink r:id="rId53">
        <w:r w:rsidRPr="003C1C3B">
          <w:rPr>
            <w:rFonts w:ascii="Times New Roman" w:eastAsia="Times New Roman" w:hAnsi="Times New Roman" w:cs="Times New Roman"/>
            <w:color w:val="1155CC"/>
            <w:sz w:val="24"/>
            <w:szCs w:val="24"/>
            <w:highlight w:val="white"/>
            <w:u w:val="single"/>
          </w:rPr>
          <w:t>https://www.statista.com/statistics/279469/market-share-of-credit-card-companies-in-the-united-states-by-purchase-volume/</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color w:val="222222"/>
          <w:sz w:val="24"/>
          <w:szCs w:val="24"/>
          <w:highlight w:val="white"/>
        </w:rPr>
      </w:pPr>
      <w:proofErr w:type="spellStart"/>
      <w:r w:rsidRPr="003C1C3B">
        <w:rPr>
          <w:rFonts w:ascii="Times New Roman" w:eastAsia="Times New Roman" w:hAnsi="Times New Roman" w:cs="Times New Roman"/>
          <w:color w:val="222222"/>
          <w:sz w:val="24"/>
          <w:szCs w:val="24"/>
          <w:highlight w:val="white"/>
        </w:rPr>
        <w:t>Steinbaum</w:t>
      </w:r>
      <w:proofErr w:type="spellEnd"/>
      <w:r w:rsidRPr="003C1C3B">
        <w:rPr>
          <w:rFonts w:ascii="Times New Roman" w:eastAsia="Times New Roman" w:hAnsi="Times New Roman" w:cs="Times New Roman"/>
          <w:color w:val="222222"/>
          <w:sz w:val="24"/>
          <w:szCs w:val="24"/>
          <w:highlight w:val="white"/>
        </w:rPr>
        <w:t xml:space="preserve">, M. and </w:t>
      </w:r>
      <w:proofErr w:type="spellStart"/>
      <w:r w:rsidRPr="003C1C3B">
        <w:rPr>
          <w:rFonts w:ascii="Times New Roman" w:eastAsia="Times New Roman" w:hAnsi="Times New Roman" w:cs="Times New Roman"/>
          <w:color w:val="222222"/>
          <w:sz w:val="24"/>
          <w:szCs w:val="24"/>
          <w:highlight w:val="white"/>
        </w:rPr>
        <w:t>Stucke</w:t>
      </w:r>
      <w:proofErr w:type="spellEnd"/>
      <w:r w:rsidRPr="003C1C3B">
        <w:rPr>
          <w:rFonts w:ascii="Times New Roman" w:eastAsia="Times New Roman" w:hAnsi="Times New Roman" w:cs="Times New Roman"/>
          <w:color w:val="222222"/>
          <w:sz w:val="24"/>
          <w:szCs w:val="24"/>
          <w:highlight w:val="white"/>
        </w:rPr>
        <w:t xml:space="preserve">, M.E., 2020. The effective competition standard. </w:t>
      </w:r>
      <w:r w:rsidRPr="003C1C3B">
        <w:rPr>
          <w:rFonts w:ascii="Times New Roman" w:eastAsia="Times New Roman" w:hAnsi="Times New Roman" w:cs="Times New Roman"/>
          <w:i/>
          <w:color w:val="222222"/>
          <w:sz w:val="24"/>
          <w:szCs w:val="24"/>
          <w:highlight w:val="white"/>
        </w:rPr>
        <w:t>The University of Chicago Law Review</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87</w:t>
      </w:r>
      <w:r w:rsidRPr="003C1C3B">
        <w:rPr>
          <w:rFonts w:ascii="Times New Roman" w:eastAsia="Times New Roman" w:hAnsi="Times New Roman" w:cs="Times New Roman"/>
          <w:color w:val="222222"/>
          <w:sz w:val="24"/>
          <w:szCs w:val="24"/>
          <w:highlight w:val="white"/>
        </w:rPr>
        <w:t xml:space="preserve">(2), pp.595-623. Available at: </w:t>
      </w:r>
      <w:hyperlink r:id="rId54">
        <w:r w:rsidRPr="003C1C3B">
          <w:rPr>
            <w:rFonts w:ascii="Times New Roman" w:eastAsia="Times New Roman" w:hAnsi="Times New Roman" w:cs="Times New Roman"/>
            <w:color w:val="1155CC"/>
            <w:sz w:val="24"/>
            <w:szCs w:val="24"/>
            <w:highlight w:val="white"/>
            <w:u w:val="single"/>
          </w:rPr>
          <w:t>https://www.jstor.org/stable/26892422</w:t>
        </w:r>
      </w:hyperlink>
      <w:r w:rsidRPr="003C1C3B">
        <w:rPr>
          <w:rFonts w:ascii="Times New Roman" w:eastAsia="Times New Roman" w:hAnsi="Times New Roman" w:cs="Times New Roman"/>
          <w:color w:val="222222"/>
          <w:sz w:val="24"/>
          <w:szCs w:val="24"/>
          <w:highlight w:val="white"/>
        </w:rPr>
        <w:t xml:space="preserve"> [Accessed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UNISET (2021). </w:t>
      </w:r>
      <w:r w:rsidRPr="003C1C3B">
        <w:rPr>
          <w:rFonts w:ascii="Times New Roman" w:eastAsia="Times New Roman" w:hAnsi="Times New Roman" w:cs="Times New Roman"/>
          <w:i/>
          <w:color w:val="222222"/>
          <w:sz w:val="24"/>
          <w:szCs w:val="24"/>
          <w:highlight w:val="white"/>
        </w:rPr>
        <w:t>Guide to U.S. Anti-Money Laundering Requirements Frequently Asked Questions Sixth Edition</w:t>
      </w:r>
      <w:r w:rsidRPr="003C1C3B">
        <w:rPr>
          <w:rFonts w:ascii="Times New Roman" w:eastAsia="Times New Roman" w:hAnsi="Times New Roman" w:cs="Times New Roman"/>
          <w:color w:val="222222"/>
          <w:sz w:val="24"/>
          <w:szCs w:val="24"/>
          <w:highlight w:val="white"/>
        </w:rPr>
        <w:t xml:space="preserve">. [online] </w:t>
      </w:r>
      <w:r w:rsidRPr="003C1C3B">
        <w:rPr>
          <w:rFonts w:ascii="Times New Roman" w:eastAsia="Times New Roman" w:hAnsi="Times New Roman" w:cs="Times New Roman"/>
          <w:i/>
          <w:color w:val="222222"/>
          <w:sz w:val="24"/>
          <w:szCs w:val="24"/>
          <w:highlight w:val="white"/>
        </w:rPr>
        <w:t>uniset.ca</w:t>
      </w:r>
      <w:r w:rsidRPr="003C1C3B">
        <w:rPr>
          <w:rFonts w:ascii="Times New Roman" w:eastAsia="Times New Roman" w:hAnsi="Times New Roman" w:cs="Times New Roman"/>
          <w:color w:val="222222"/>
          <w:sz w:val="24"/>
          <w:szCs w:val="24"/>
          <w:highlight w:val="white"/>
        </w:rPr>
        <w:t xml:space="preserve">. Available at: </w:t>
      </w:r>
      <w:hyperlink r:id="rId55">
        <w:r w:rsidRPr="003C1C3B">
          <w:rPr>
            <w:rFonts w:ascii="Times New Roman" w:eastAsia="Times New Roman" w:hAnsi="Times New Roman" w:cs="Times New Roman"/>
            <w:color w:val="1155CC"/>
            <w:sz w:val="24"/>
            <w:szCs w:val="24"/>
            <w:highlight w:val="white"/>
            <w:u w:val="single"/>
          </w:rPr>
          <w:t>http://uniset.ca/fatca/guide-to-us-aml-requirements-6thedition-protiviti_0.pdf</w:t>
        </w:r>
      </w:hyperlink>
      <w:r w:rsidRPr="003C1C3B">
        <w:rPr>
          <w:rFonts w:ascii="Times New Roman" w:eastAsia="Times New Roman" w:hAnsi="Times New Roman" w:cs="Times New Roman"/>
          <w:color w:val="222222"/>
          <w:sz w:val="24"/>
          <w:szCs w:val="24"/>
          <w:highlight w:val="white"/>
        </w:rPr>
        <w:t xml:space="preserve">  [Accessed 24 Apr. 2023].</w:t>
      </w:r>
    </w:p>
    <w:p w:rsidR="003C1C3B" w:rsidRPr="003C1C3B" w:rsidRDefault="003C1C3B" w:rsidP="003C1C3B">
      <w:pPr>
        <w:pStyle w:val="Normal1"/>
        <w:spacing w:before="240" w:after="240" w:line="360" w:lineRule="auto"/>
        <w:jc w:val="both"/>
        <w:rPr>
          <w:rFonts w:ascii="Times New Roman" w:eastAsia="Times New Roman" w:hAnsi="Times New Roman" w:cs="Times New Roman"/>
          <w:b/>
          <w:sz w:val="24"/>
          <w:szCs w:val="24"/>
        </w:rPr>
      </w:pPr>
      <w:r w:rsidRPr="003C1C3B">
        <w:rPr>
          <w:rFonts w:ascii="Times New Roman" w:eastAsia="Times New Roman" w:hAnsi="Times New Roman" w:cs="Times New Roman"/>
          <w:color w:val="222222"/>
          <w:sz w:val="24"/>
          <w:szCs w:val="24"/>
          <w:highlight w:val="white"/>
        </w:rPr>
        <w:t xml:space="preserve">Villanova, D., </w:t>
      </w:r>
      <w:proofErr w:type="spellStart"/>
      <w:r w:rsidRPr="003C1C3B">
        <w:rPr>
          <w:rFonts w:ascii="Times New Roman" w:eastAsia="Times New Roman" w:hAnsi="Times New Roman" w:cs="Times New Roman"/>
          <w:color w:val="222222"/>
          <w:sz w:val="24"/>
          <w:szCs w:val="24"/>
          <w:highlight w:val="white"/>
        </w:rPr>
        <w:t>Bodapati</w:t>
      </w:r>
      <w:proofErr w:type="spellEnd"/>
      <w:r w:rsidRPr="003C1C3B">
        <w:rPr>
          <w:rFonts w:ascii="Times New Roman" w:eastAsia="Times New Roman" w:hAnsi="Times New Roman" w:cs="Times New Roman"/>
          <w:color w:val="222222"/>
          <w:sz w:val="24"/>
          <w:szCs w:val="24"/>
          <w:highlight w:val="white"/>
        </w:rPr>
        <w:t xml:space="preserve">, A.V., </w:t>
      </w:r>
      <w:proofErr w:type="spellStart"/>
      <w:r w:rsidRPr="003C1C3B">
        <w:rPr>
          <w:rFonts w:ascii="Times New Roman" w:eastAsia="Times New Roman" w:hAnsi="Times New Roman" w:cs="Times New Roman"/>
          <w:color w:val="222222"/>
          <w:sz w:val="24"/>
          <w:szCs w:val="24"/>
          <w:highlight w:val="white"/>
        </w:rPr>
        <w:t>Puccinelli</w:t>
      </w:r>
      <w:proofErr w:type="spellEnd"/>
      <w:r w:rsidRPr="003C1C3B">
        <w:rPr>
          <w:rFonts w:ascii="Times New Roman" w:eastAsia="Times New Roman" w:hAnsi="Times New Roman" w:cs="Times New Roman"/>
          <w:color w:val="222222"/>
          <w:sz w:val="24"/>
          <w:szCs w:val="24"/>
          <w:highlight w:val="white"/>
        </w:rPr>
        <w:t xml:space="preserve">, N.M., </w:t>
      </w:r>
      <w:proofErr w:type="spellStart"/>
      <w:r w:rsidRPr="003C1C3B">
        <w:rPr>
          <w:rFonts w:ascii="Times New Roman" w:eastAsia="Times New Roman" w:hAnsi="Times New Roman" w:cs="Times New Roman"/>
          <w:color w:val="222222"/>
          <w:sz w:val="24"/>
          <w:szCs w:val="24"/>
          <w:highlight w:val="white"/>
        </w:rPr>
        <w:t>Tsiros</w:t>
      </w:r>
      <w:proofErr w:type="spellEnd"/>
      <w:r w:rsidRPr="003C1C3B">
        <w:rPr>
          <w:rFonts w:ascii="Times New Roman" w:eastAsia="Times New Roman" w:hAnsi="Times New Roman" w:cs="Times New Roman"/>
          <w:color w:val="222222"/>
          <w:sz w:val="24"/>
          <w:szCs w:val="24"/>
          <w:highlight w:val="white"/>
        </w:rPr>
        <w:t xml:space="preserve">, M., Goodstein, R.C., Kushwaha, T., Suri, R., Ho, H., Brandon, R. and Hatfield, C., 2021. Retailer marketing communications in the digital age: getting the right message to the right shopper at the right time. </w:t>
      </w:r>
      <w:r w:rsidRPr="003C1C3B">
        <w:rPr>
          <w:rFonts w:ascii="Times New Roman" w:eastAsia="Times New Roman" w:hAnsi="Times New Roman" w:cs="Times New Roman"/>
          <w:i/>
          <w:color w:val="222222"/>
          <w:sz w:val="24"/>
          <w:szCs w:val="24"/>
          <w:highlight w:val="white"/>
        </w:rPr>
        <w:t>Journal of Retailing</w:t>
      </w:r>
      <w:r w:rsidRPr="003C1C3B">
        <w:rPr>
          <w:rFonts w:ascii="Times New Roman" w:eastAsia="Times New Roman" w:hAnsi="Times New Roman" w:cs="Times New Roman"/>
          <w:color w:val="222222"/>
          <w:sz w:val="24"/>
          <w:szCs w:val="24"/>
          <w:highlight w:val="white"/>
        </w:rPr>
        <w:t xml:space="preserve">, </w:t>
      </w:r>
      <w:r w:rsidRPr="003C1C3B">
        <w:rPr>
          <w:rFonts w:ascii="Times New Roman" w:eastAsia="Times New Roman" w:hAnsi="Times New Roman" w:cs="Times New Roman"/>
          <w:i/>
          <w:color w:val="222222"/>
          <w:sz w:val="24"/>
          <w:szCs w:val="24"/>
          <w:highlight w:val="white"/>
        </w:rPr>
        <w:t>97</w:t>
      </w:r>
      <w:r w:rsidRPr="003C1C3B">
        <w:rPr>
          <w:rFonts w:ascii="Times New Roman" w:eastAsia="Times New Roman" w:hAnsi="Times New Roman" w:cs="Times New Roman"/>
          <w:color w:val="222222"/>
          <w:sz w:val="24"/>
          <w:szCs w:val="24"/>
          <w:highlight w:val="white"/>
        </w:rPr>
        <w:t xml:space="preserve">(1), pp.116-132. Available at: </w:t>
      </w:r>
      <w:hyperlink r:id="rId56">
        <w:r w:rsidRPr="003C1C3B">
          <w:rPr>
            <w:rFonts w:ascii="Times New Roman" w:eastAsia="Times New Roman" w:hAnsi="Times New Roman" w:cs="Times New Roman"/>
            <w:color w:val="1155CC"/>
            <w:sz w:val="24"/>
            <w:szCs w:val="24"/>
            <w:highlight w:val="white"/>
            <w:u w:val="single"/>
          </w:rPr>
          <w:t>https://www.sciencedirect.com/science/article/pii/S0022435921000099</w:t>
        </w:r>
      </w:hyperlink>
      <w:r w:rsidRPr="003C1C3B">
        <w:rPr>
          <w:rFonts w:ascii="Times New Roman" w:eastAsia="Times New Roman" w:hAnsi="Times New Roman" w:cs="Times New Roman"/>
          <w:b/>
          <w:sz w:val="24"/>
          <w:szCs w:val="24"/>
        </w:rPr>
        <w:t xml:space="preserve"> </w:t>
      </w:r>
      <w:r w:rsidRPr="003C1C3B">
        <w:rPr>
          <w:rFonts w:ascii="Times New Roman" w:eastAsia="Times New Roman" w:hAnsi="Times New Roman" w:cs="Times New Roman"/>
          <w:color w:val="222222"/>
          <w:sz w:val="24"/>
          <w:szCs w:val="24"/>
          <w:highlight w:val="white"/>
        </w:rPr>
        <w:t>[Accessed on 24 April 2023]</w:t>
      </w:r>
    </w:p>
    <w:p w:rsidR="003C1C3B" w:rsidRPr="003C1C3B" w:rsidRDefault="003C1C3B" w:rsidP="003C1C3B">
      <w:pPr>
        <w:pStyle w:val="Normal1"/>
        <w:spacing w:after="240" w:line="360" w:lineRule="auto"/>
        <w:jc w:val="both"/>
        <w:rPr>
          <w:rFonts w:ascii="Times New Roman" w:eastAsia="Times New Roman" w:hAnsi="Times New Roman" w:cs="Times New Roman"/>
          <w:color w:val="222222"/>
          <w:sz w:val="24"/>
          <w:szCs w:val="24"/>
          <w:highlight w:val="white"/>
        </w:rPr>
      </w:pPr>
      <w:r w:rsidRPr="003C1C3B">
        <w:rPr>
          <w:rFonts w:ascii="Times New Roman" w:eastAsia="Times New Roman" w:hAnsi="Times New Roman" w:cs="Times New Roman"/>
          <w:color w:val="222222"/>
          <w:sz w:val="24"/>
          <w:szCs w:val="24"/>
          <w:highlight w:val="white"/>
        </w:rPr>
        <w:t xml:space="preserve">Washington, D. (2023). </w:t>
      </w:r>
      <w:r w:rsidRPr="003C1C3B">
        <w:rPr>
          <w:rFonts w:ascii="Times New Roman" w:eastAsia="Times New Roman" w:hAnsi="Times New Roman" w:cs="Times New Roman"/>
          <w:i/>
          <w:color w:val="222222"/>
          <w:sz w:val="24"/>
          <w:szCs w:val="24"/>
          <w:highlight w:val="white"/>
        </w:rPr>
        <w:t>UNITED STATES SECURITIES AND EXCHANGE COMMISSION Form 10-K ☑ ANNUAL REPORT PURSUANT TO SECTION 13 OR 15(d) OF THE SECURITIES EXCHANGE ACT OF 1934 Registrant’s telephone number, including area code: (212) 640-2000 Securities registered pursuant to Section 12(b) of the Act: Title of each class Trading Symbol(s) Name of each exchange on which registered DOCUMENTS INCORPORATED BY REFERENCE Part III: Portions of Registrant’s Proxy Statement to be filed with the Securities and Exchange Commission in connection with the Annual Meeting of Shareholders to be held on May 2</w:t>
      </w:r>
      <w:r w:rsidRPr="003C1C3B">
        <w:rPr>
          <w:rFonts w:ascii="Times New Roman" w:eastAsia="Times New Roman" w:hAnsi="Times New Roman" w:cs="Times New Roman"/>
          <w:color w:val="222222"/>
          <w:sz w:val="24"/>
          <w:szCs w:val="24"/>
          <w:highlight w:val="white"/>
        </w:rPr>
        <w:t xml:space="preserve">. [online] Available at: </w:t>
      </w:r>
      <w:hyperlink r:id="rId57">
        <w:r w:rsidRPr="003C1C3B">
          <w:rPr>
            <w:rFonts w:ascii="Times New Roman" w:eastAsia="Times New Roman" w:hAnsi="Times New Roman" w:cs="Times New Roman"/>
            <w:color w:val="1155CC"/>
            <w:sz w:val="24"/>
            <w:szCs w:val="24"/>
            <w:highlight w:val="white"/>
            <w:u w:val="single"/>
          </w:rPr>
          <w:t>https://d18rn0p25nwr6d.cloudfront.net/CIK-0000004962/aed0da34-9d16-42fc-a645-47519ce22623.pdf</w:t>
        </w:r>
      </w:hyperlink>
      <w:r w:rsidRPr="003C1C3B">
        <w:rPr>
          <w:rFonts w:ascii="Times New Roman" w:eastAsia="Times New Roman" w:hAnsi="Times New Roman" w:cs="Times New Roman"/>
          <w:color w:val="222222"/>
          <w:sz w:val="24"/>
          <w:szCs w:val="24"/>
          <w:highlight w:val="white"/>
        </w:rPr>
        <w:t xml:space="preserve">  [Accessed 24 Apr. 2023].</w:t>
      </w:r>
    </w:p>
    <w:p w:rsidR="003C1C3B" w:rsidRDefault="003C1C3B" w:rsidP="003C1C3B">
      <w:pPr>
        <w:pStyle w:val="Normal1"/>
        <w:spacing w:after="240" w:line="360" w:lineRule="auto"/>
        <w:jc w:val="both"/>
        <w:rPr>
          <w:rFonts w:ascii="Times New Roman" w:eastAsia="Times New Roman" w:hAnsi="Times New Roman" w:cs="Times New Roman"/>
          <w:sz w:val="24"/>
          <w:szCs w:val="24"/>
        </w:rPr>
      </w:pPr>
      <w:proofErr w:type="spellStart"/>
      <w:r w:rsidRPr="003C1C3B">
        <w:rPr>
          <w:rFonts w:ascii="Times New Roman" w:eastAsia="Times New Roman" w:hAnsi="Times New Roman" w:cs="Times New Roman"/>
          <w:sz w:val="24"/>
          <w:szCs w:val="24"/>
        </w:rPr>
        <w:lastRenderedPageBreak/>
        <w:t>Zippia</w:t>
      </w:r>
      <w:proofErr w:type="spellEnd"/>
      <w:r w:rsidRPr="003C1C3B">
        <w:rPr>
          <w:rFonts w:ascii="Times New Roman" w:eastAsia="Times New Roman" w:hAnsi="Times New Roman" w:cs="Times New Roman"/>
          <w:sz w:val="24"/>
          <w:szCs w:val="24"/>
        </w:rPr>
        <w:t xml:space="preserve"> (2020). </w:t>
      </w:r>
      <w:r w:rsidRPr="003C1C3B">
        <w:rPr>
          <w:rFonts w:ascii="Times New Roman" w:eastAsia="Times New Roman" w:hAnsi="Times New Roman" w:cs="Times New Roman"/>
          <w:i/>
          <w:sz w:val="24"/>
          <w:szCs w:val="24"/>
        </w:rPr>
        <w:t xml:space="preserve">American Express History: Founding, Timeline, and Milestones - </w:t>
      </w:r>
      <w:proofErr w:type="spellStart"/>
      <w:r w:rsidRPr="003C1C3B">
        <w:rPr>
          <w:rFonts w:ascii="Times New Roman" w:eastAsia="Times New Roman" w:hAnsi="Times New Roman" w:cs="Times New Roman"/>
          <w:i/>
          <w:sz w:val="24"/>
          <w:szCs w:val="24"/>
        </w:rPr>
        <w:t>Zippia</w:t>
      </w:r>
      <w:proofErr w:type="spellEnd"/>
      <w:r w:rsidRPr="003C1C3B">
        <w:rPr>
          <w:rFonts w:ascii="Times New Roman" w:eastAsia="Times New Roman" w:hAnsi="Times New Roman" w:cs="Times New Roman"/>
          <w:sz w:val="24"/>
          <w:szCs w:val="24"/>
        </w:rPr>
        <w:t xml:space="preserve">. [online] Available at: </w:t>
      </w:r>
      <w:hyperlink r:id="rId58">
        <w:r w:rsidRPr="003C1C3B">
          <w:rPr>
            <w:rFonts w:ascii="Times New Roman" w:eastAsia="Times New Roman" w:hAnsi="Times New Roman" w:cs="Times New Roman"/>
            <w:color w:val="1155CC"/>
            <w:sz w:val="24"/>
            <w:szCs w:val="24"/>
            <w:u w:val="single"/>
          </w:rPr>
          <w:t>https://www.zippia.com/american-express-careers-566/history/</w:t>
        </w:r>
      </w:hyperlink>
      <w:r w:rsidRPr="003C1C3B">
        <w:rPr>
          <w:rFonts w:ascii="Times New Roman" w:eastAsia="Times New Roman" w:hAnsi="Times New Roman" w:cs="Times New Roman"/>
          <w:sz w:val="24"/>
          <w:szCs w:val="24"/>
        </w:rPr>
        <w:t xml:space="preserve">  [Accessed 20 Apr. 2023].</w:t>
      </w:r>
    </w:p>
    <w:p w:rsidR="008D685A" w:rsidRDefault="008D685A" w:rsidP="003C1C3B">
      <w:pPr>
        <w:pStyle w:val="Normal1"/>
        <w:spacing w:after="240" w:line="360" w:lineRule="auto"/>
        <w:jc w:val="both"/>
        <w:rPr>
          <w:rFonts w:ascii="Times New Roman" w:eastAsia="Times New Roman" w:hAnsi="Times New Roman" w:cs="Times New Roman"/>
          <w:sz w:val="24"/>
          <w:szCs w:val="24"/>
        </w:rPr>
      </w:pPr>
    </w:p>
    <w:p w:rsidR="008D685A" w:rsidRDefault="008D685A" w:rsidP="003C1C3B">
      <w:pPr>
        <w:pStyle w:val="Normal1"/>
        <w:spacing w:after="240" w:line="360" w:lineRule="auto"/>
        <w:jc w:val="both"/>
        <w:rPr>
          <w:rFonts w:ascii="Times New Roman" w:eastAsia="Times New Roman" w:hAnsi="Times New Roman" w:cs="Times New Roman"/>
          <w:sz w:val="24"/>
          <w:szCs w:val="24"/>
        </w:rPr>
      </w:pPr>
    </w:p>
    <w:p w:rsidR="008D685A" w:rsidRDefault="008D685A" w:rsidP="008D685A">
      <w:pPr>
        <w:pStyle w:val="Heading1"/>
      </w:pPr>
      <w:bookmarkStart w:id="34" w:name="_Toc134355937"/>
      <w:r>
        <w:t>Appendix:</w:t>
      </w:r>
      <w:bookmarkEnd w:id="34"/>
    </w:p>
    <w:p w:rsidR="008D685A" w:rsidRDefault="008D685A" w:rsidP="003C1C3B">
      <w:pPr>
        <w:pStyle w:val="Normal1"/>
        <w:spacing w:after="240" w:line="360" w:lineRule="auto"/>
        <w:jc w:val="both"/>
        <w:rPr>
          <w:rFonts w:ascii="Times New Roman" w:eastAsia="Times New Roman" w:hAnsi="Times New Roman" w:cs="Times New Roman"/>
          <w:sz w:val="24"/>
          <w:szCs w:val="24"/>
        </w:rPr>
      </w:pPr>
    </w:p>
    <w:p w:rsidR="008D685A" w:rsidRDefault="008D685A" w:rsidP="003C1C3B">
      <w:pPr>
        <w:pStyle w:val="Normal1"/>
        <w:spacing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0" distB="0" distL="0" distR="0">
            <wp:extent cx="5733415" cy="4098964"/>
            <wp:effectExtent l="19050" t="0" r="635" b="0"/>
            <wp:docPr id="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9"/>
                    <a:srcRect/>
                    <a:stretch>
                      <a:fillRect/>
                    </a:stretch>
                  </pic:blipFill>
                  <pic:spPr bwMode="auto">
                    <a:xfrm>
                      <a:off x="0" y="0"/>
                      <a:ext cx="5733415" cy="4098964"/>
                    </a:xfrm>
                    <a:prstGeom prst="rect">
                      <a:avLst/>
                    </a:prstGeom>
                    <a:noFill/>
                    <a:ln w="9525">
                      <a:noFill/>
                      <a:miter lim="800000"/>
                      <a:headEnd/>
                      <a:tailEnd/>
                    </a:ln>
                  </pic:spPr>
                </pic:pic>
              </a:graphicData>
            </a:graphic>
          </wp:inline>
        </w:drawing>
      </w:r>
    </w:p>
    <w:p w:rsidR="008D685A" w:rsidRDefault="008D685A" w:rsidP="003C1C3B">
      <w:pPr>
        <w:pStyle w:val="Normal1"/>
        <w:spacing w:after="240" w:line="360" w:lineRule="auto"/>
        <w:jc w:val="both"/>
        <w:rPr>
          <w:rFonts w:ascii="Times New Roman" w:eastAsia="Times New Roman" w:hAnsi="Times New Roman" w:cs="Times New Roman"/>
          <w:sz w:val="24"/>
          <w:szCs w:val="24"/>
        </w:rPr>
      </w:pPr>
    </w:p>
    <w:p w:rsidR="008D685A" w:rsidRDefault="008D685A" w:rsidP="003C1C3B">
      <w:pPr>
        <w:pStyle w:val="Normal1"/>
        <w:spacing w:after="240" w:line="360" w:lineRule="auto"/>
        <w:jc w:val="both"/>
        <w:rPr>
          <w:rFonts w:ascii="Times New Roman" w:eastAsia="Times New Roman" w:hAnsi="Times New Roman" w:cs="Times New Roman"/>
          <w:sz w:val="24"/>
          <w:szCs w:val="24"/>
        </w:rPr>
      </w:pPr>
      <w:r w:rsidRPr="008D685A">
        <w:rPr>
          <w:rFonts w:ascii="Times New Roman" w:eastAsia="Times New Roman" w:hAnsi="Times New Roman" w:cs="Times New Roman"/>
          <w:noProof/>
          <w:sz w:val="24"/>
          <w:szCs w:val="24"/>
        </w:rPr>
        <w:lastRenderedPageBreak/>
        <w:drawing>
          <wp:inline distT="114300" distB="114300" distL="114300" distR="114300">
            <wp:extent cx="4529138" cy="3334887"/>
            <wp:effectExtent l="0" t="0" r="0" b="0"/>
            <wp:docPr id="8"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4529138" cy="3334887"/>
                    </a:xfrm>
                    <a:prstGeom prst="rect">
                      <a:avLst/>
                    </a:prstGeom>
                    <a:ln/>
                  </pic:spPr>
                </pic:pic>
              </a:graphicData>
            </a:graphic>
          </wp:inline>
        </w:drawing>
      </w:r>
    </w:p>
    <w:p w:rsidR="008D685A" w:rsidRDefault="008D685A" w:rsidP="003C1C3B">
      <w:pPr>
        <w:pStyle w:val="Normal1"/>
        <w:spacing w:after="240" w:line="360" w:lineRule="auto"/>
        <w:jc w:val="both"/>
        <w:rPr>
          <w:rFonts w:ascii="Times New Roman" w:eastAsia="Times New Roman" w:hAnsi="Times New Roman" w:cs="Times New Roman"/>
          <w:sz w:val="24"/>
          <w:szCs w:val="24"/>
        </w:rPr>
      </w:pPr>
    </w:p>
    <w:p w:rsidR="008D685A" w:rsidRPr="003C1C3B" w:rsidRDefault="008D685A" w:rsidP="003C1C3B">
      <w:pPr>
        <w:pStyle w:val="Normal1"/>
        <w:spacing w:after="240" w:line="360" w:lineRule="auto"/>
        <w:jc w:val="both"/>
        <w:rPr>
          <w:rFonts w:ascii="Times New Roman" w:eastAsia="Times New Roman" w:hAnsi="Times New Roman" w:cs="Times New Roman"/>
          <w:sz w:val="24"/>
          <w:szCs w:val="24"/>
        </w:rPr>
      </w:pPr>
      <w:r w:rsidRPr="008D685A">
        <w:rPr>
          <w:rFonts w:ascii="Times New Roman" w:eastAsia="Times New Roman" w:hAnsi="Times New Roman" w:cs="Times New Roman"/>
          <w:noProof/>
          <w:sz w:val="24"/>
          <w:szCs w:val="24"/>
        </w:rPr>
        <w:drawing>
          <wp:inline distT="114300" distB="114300" distL="114300" distR="114300">
            <wp:extent cx="5157788" cy="3110094"/>
            <wp:effectExtent l="0" t="0" r="0" b="0"/>
            <wp:docPr id="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3"/>
                    <a:srcRect/>
                    <a:stretch>
                      <a:fillRect/>
                    </a:stretch>
                  </pic:blipFill>
                  <pic:spPr>
                    <a:xfrm>
                      <a:off x="0" y="0"/>
                      <a:ext cx="5157788" cy="3110094"/>
                    </a:xfrm>
                    <a:prstGeom prst="rect">
                      <a:avLst/>
                    </a:prstGeom>
                    <a:ln/>
                  </pic:spPr>
                </pic:pic>
              </a:graphicData>
            </a:graphic>
          </wp:inline>
        </w:drawing>
      </w:r>
    </w:p>
    <w:sectPr w:rsidR="008D685A" w:rsidRPr="003C1C3B" w:rsidSect="003C1C3B">
      <w:footerReference w:type="default" r:id="rId60"/>
      <w:pgSz w:w="11909" w:h="16834"/>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258E9" w:rsidRDefault="006258E9" w:rsidP="003C1C3B">
      <w:pPr>
        <w:spacing w:line="240" w:lineRule="auto"/>
      </w:pPr>
      <w:r>
        <w:separator/>
      </w:r>
    </w:p>
  </w:endnote>
  <w:endnote w:type="continuationSeparator" w:id="0">
    <w:p w:rsidR="006258E9" w:rsidRDefault="006258E9" w:rsidP="003C1C3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9158427"/>
      <w:docPartObj>
        <w:docPartGallery w:val="Page Numbers (Bottom of Page)"/>
        <w:docPartUnique/>
      </w:docPartObj>
    </w:sdtPr>
    <w:sdtContent>
      <w:sdt>
        <w:sdtPr>
          <w:id w:val="565050523"/>
          <w:docPartObj>
            <w:docPartGallery w:val="Page Numbers (Top of Page)"/>
            <w:docPartUnique/>
          </w:docPartObj>
        </w:sdtPr>
        <w:sdtContent>
          <w:p w:rsidR="003C1C3B" w:rsidRDefault="003C1C3B">
            <w:pPr>
              <w:pStyle w:val="Footer"/>
              <w:jc w:val="right"/>
            </w:pPr>
            <w:r>
              <w:t xml:space="preserve">Page </w:t>
            </w:r>
            <w:r w:rsidR="00331FB1">
              <w:rPr>
                <w:b/>
                <w:sz w:val="24"/>
                <w:szCs w:val="24"/>
              </w:rPr>
              <w:fldChar w:fldCharType="begin"/>
            </w:r>
            <w:r>
              <w:rPr>
                <w:b/>
              </w:rPr>
              <w:instrText xml:space="preserve"> PAGE </w:instrText>
            </w:r>
            <w:r w:rsidR="00331FB1">
              <w:rPr>
                <w:b/>
                <w:sz w:val="24"/>
                <w:szCs w:val="24"/>
              </w:rPr>
              <w:fldChar w:fldCharType="separate"/>
            </w:r>
            <w:r w:rsidR="008D685A">
              <w:rPr>
                <w:b/>
                <w:noProof/>
              </w:rPr>
              <w:t>2</w:t>
            </w:r>
            <w:r w:rsidR="00331FB1">
              <w:rPr>
                <w:b/>
                <w:sz w:val="24"/>
                <w:szCs w:val="24"/>
              </w:rPr>
              <w:fldChar w:fldCharType="end"/>
            </w:r>
            <w:r>
              <w:t xml:space="preserve"> of </w:t>
            </w:r>
            <w:r w:rsidR="00331FB1">
              <w:rPr>
                <w:b/>
                <w:sz w:val="24"/>
                <w:szCs w:val="24"/>
              </w:rPr>
              <w:fldChar w:fldCharType="begin"/>
            </w:r>
            <w:r>
              <w:rPr>
                <w:b/>
              </w:rPr>
              <w:instrText xml:space="preserve"> NUMPAGES  </w:instrText>
            </w:r>
            <w:r w:rsidR="00331FB1">
              <w:rPr>
                <w:b/>
                <w:sz w:val="24"/>
                <w:szCs w:val="24"/>
              </w:rPr>
              <w:fldChar w:fldCharType="separate"/>
            </w:r>
            <w:r w:rsidR="008D685A">
              <w:rPr>
                <w:b/>
                <w:noProof/>
              </w:rPr>
              <w:t>31</w:t>
            </w:r>
            <w:r w:rsidR="00331FB1">
              <w:rPr>
                <w:b/>
                <w:sz w:val="24"/>
                <w:szCs w:val="24"/>
              </w:rPr>
              <w:fldChar w:fldCharType="end"/>
            </w:r>
          </w:p>
        </w:sdtContent>
      </w:sdt>
    </w:sdtContent>
  </w:sdt>
  <w:p w:rsidR="003C1C3B" w:rsidRDefault="003C1C3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258E9" w:rsidRDefault="006258E9" w:rsidP="003C1C3B">
      <w:pPr>
        <w:spacing w:line="240" w:lineRule="auto"/>
      </w:pPr>
      <w:r>
        <w:separator/>
      </w:r>
    </w:p>
  </w:footnote>
  <w:footnote w:type="continuationSeparator" w:id="0">
    <w:p w:rsidR="006258E9" w:rsidRDefault="006258E9" w:rsidP="003C1C3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07015C"/>
    <w:multiLevelType w:val="multilevel"/>
    <w:tmpl w:val="BBF431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AF010C"/>
    <w:multiLevelType w:val="multilevel"/>
    <w:tmpl w:val="34F85C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526D5671"/>
    <w:multiLevelType w:val="multilevel"/>
    <w:tmpl w:val="0ACC88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6FCB15A4"/>
    <w:multiLevelType w:val="multilevel"/>
    <w:tmpl w:val="DD70B8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15764368">
    <w:abstractNumId w:val="1"/>
  </w:num>
  <w:num w:numId="2" w16cid:durableId="735859094">
    <w:abstractNumId w:val="3"/>
  </w:num>
  <w:num w:numId="3" w16cid:durableId="623853272">
    <w:abstractNumId w:val="0"/>
  </w:num>
  <w:num w:numId="4" w16cid:durableId="16618101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AB"/>
    <w:rsid w:val="001E02B3"/>
    <w:rsid w:val="00331FB1"/>
    <w:rsid w:val="00342927"/>
    <w:rsid w:val="003C1C3B"/>
    <w:rsid w:val="005F5D59"/>
    <w:rsid w:val="006258E9"/>
    <w:rsid w:val="008D685A"/>
    <w:rsid w:val="00D4610E"/>
    <w:rsid w:val="00DF7560"/>
    <w:rsid w:val="00E859AB"/>
    <w:rsid w:val="00F47C86"/>
    <w:rsid w:val="00F85E7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452A7C"/>
  <w15:docId w15:val="{DA94B592-31CB-45B7-8B4A-8F551DAB49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E79"/>
    <w:rPr>
      <w:lang w:val="en-GB"/>
    </w:rPr>
  </w:style>
  <w:style w:type="paragraph" w:styleId="Heading1">
    <w:name w:val="heading 1"/>
    <w:basedOn w:val="Normal1"/>
    <w:next w:val="Normal1"/>
    <w:rsid w:val="00E859AB"/>
    <w:pPr>
      <w:keepNext/>
      <w:keepLines/>
      <w:spacing w:line="360" w:lineRule="auto"/>
      <w:jc w:val="both"/>
      <w:outlineLvl w:val="0"/>
    </w:pPr>
    <w:rPr>
      <w:rFonts w:ascii="Times New Roman" w:eastAsia="Times New Roman" w:hAnsi="Times New Roman" w:cs="Times New Roman"/>
      <w:b/>
      <w:sz w:val="28"/>
      <w:szCs w:val="28"/>
    </w:rPr>
  </w:style>
  <w:style w:type="paragraph" w:styleId="Heading2">
    <w:name w:val="heading 2"/>
    <w:basedOn w:val="Normal1"/>
    <w:next w:val="Normal1"/>
    <w:rsid w:val="008D685A"/>
    <w:pPr>
      <w:keepNext/>
      <w:keepLines/>
      <w:spacing w:before="360" w:after="120" w:line="360" w:lineRule="auto"/>
      <w:jc w:val="both"/>
      <w:outlineLvl w:val="1"/>
    </w:pPr>
    <w:rPr>
      <w:rFonts w:ascii="Times New Roman" w:hAnsi="Times New Roman"/>
      <w:b/>
      <w:i/>
      <w:sz w:val="24"/>
      <w:szCs w:val="32"/>
    </w:rPr>
  </w:style>
  <w:style w:type="paragraph" w:styleId="Heading3">
    <w:name w:val="heading 3"/>
    <w:basedOn w:val="Normal1"/>
    <w:next w:val="Normal1"/>
    <w:rsid w:val="00E859AB"/>
    <w:pPr>
      <w:keepNext/>
      <w:keepLines/>
      <w:spacing w:before="320" w:after="80"/>
      <w:outlineLvl w:val="2"/>
    </w:pPr>
    <w:rPr>
      <w:color w:val="434343"/>
      <w:sz w:val="28"/>
      <w:szCs w:val="28"/>
    </w:rPr>
  </w:style>
  <w:style w:type="paragraph" w:styleId="Heading4">
    <w:name w:val="heading 4"/>
    <w:basedOn w:val="Normal1"/>
    <w:next w:val="Normal1"/>
    <w:rsid w:val="00E859AB"/>
    <w:pPr>
      <w:keepNext/>
      <w:keepLines/>
      <w:spacing w:before="280" w:after="80"/>
      <w:outlineLvl w:val="3"/>
    </w:pPr>
    <w:rPr>
      <w:color w:val="666666"/>
      <w:sz w:val="24"/>
      <w:szCs w:val="24"/>
    </w:rPr>
  </w:style>
  <w:style w:type="paragraph" w:styleId="Heading5">
    <w:name w:val="heading 5"/>
    <w:basedOn w:val="Normal1"/>
    <w:next w:val="Normal1"/>
    <w:rsid w:val="00E859AB"/>
    <w:pPr>
      <w:keepNext/>
      <w:keepLines/>
      <w:spacing w:before="240" w:after="80"/>
      <w:outlineLvl w:val="4"/>
    </w:pPr>
    <w:rPr>
      <w:color w:val="666666"/>
    </w:rPr>
  </w:style>
  <w:style w:type="paragraph" w:styleId="Heading6">
    <w:name w:val="heading 6"/>
    <w:basedOn w:val="Normal1"/>
    <w:next w:val="Normal1"/>
    <w:rsid w:val="00E859AB"/>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859AB"/>
  </w:style>
  <w:style w:type="paragraph" w:styleId="Title">
    <w:name w:val="Title"/>
    <w:basedOn w:val="Normal1"/>
    <w:next w:val="Normal1"/>
    <w:rsid w:val="00E859AB"/>
    <w:pPr>
      <w:keepNext/>
      <w:keepLines/>
      <w:spacing w:after="60"/>
    </w:pPr>
    <w:rPr>
      <w:sz w:val="52"/>
      <w:szCs w:val="52"/>
    </w:rPr>
  </w:style>
  <w:style w:type="paragraph" w:styleId="Subtitle">
    <w:name w:val="Subtitle"/>
    <w:basedOn w:val="Normal1"/>
    <w:next w:val="Normal1"/>
    <w:rsid w:val="00E859AB"/>
    <w:pPr>
      <w:keepNext/>
      <w:keepLines/>
      <w:spacing w:after="320"/>
    </w:pPr>
    <w:rPr>
      <w:color w:val="666666"/>
      <w:sz w:val="30"/>
      <w:szCs w:val="30"/>
    </w:rPr>
  </w:style>
  <w:style w:type="table" w:customStyle="1" w:styleId="a">
    <w:basedOn w:val="TableNormal"/>
    <w:rsid w:val="00E859AB"/>
    <w:tblPr>
      <w:tblStyleRowBandSize w:val="1"/>
      <w:tblStyleColBandSize w:val="1"/>
      <w:tblCellMar>
        <w:top w:w="100" w:type="dxa"/>
        <w:left w:w="100" w:type="dxa"/>
        <w:bottom w:w="100" w:type="dxa"/>
        <w:right w:w="100" w:type="dxa"/>
      </w:tblCellMar>
    </w:tblPr>
  </w:style>
  <w:style w:type="paragraph" w:styleId="BalloonText">
    <w:name w:val="Balloon Text"/>
    <w:basedOn w:val="Normal"/>
    <w:link w:val="BalloonTextChar"/>
    <w:uiPriority w:val="99"/>
    <w:semiHidden/>
    <w:unhideWhenUsed/>
    <w:rsid w:val="003C1C3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C1C3B"/>
    <w:rPr>
      <w:rFonts w:ascii="Tahoma" w:hAnsi="Tahoma" w:cs="Tahoma"/>
      <w:sz w:val="16"/>
      <w:szCs w:val="16"/>
    </w:rPr>
  </w:style>
  <w:style w:type="paragraph" w:styleId="TOCHeading">
    <w:name w:val="TOC Heading"/>
    <w:basedOn w:val="Heading1"/>
    <w:next w:val="Normal"/>
    <w:uiPriority w:val="39"/>
    <w:semiHidden/>
    <w:unhideWhenUsed/>
    <w:qFormat/>
    <w:rsid w:val="003C1C3B"/>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3C1C3B"/>
    <w:pPr>
      <w:spacing w:after="100"/>
    </w:pPr>
  </w:style>
  <w:style w:type="character" w:styleId="Hyperlink">
    <w:name w:val="Hyperlink"/>
    <w:basedOn w:val="DefaultParagraphFont"/>
    <w:uiPriority w:val="99"/>
    <w:unhideWhenUsed/>
    <w:rsid w:val="003C1C3B"/>
    <w:rPr>
      <w:color w:val="0000FF" w:themeColor="hyperlink"/>
      <w:u w:val="single"/>
    </w:rPr>
  </w:style>
  <w:style w:type="paragraph" w:styleId="Header">
    <w:name w:val="header"/>
    <w:basedOn w:val="Normal"/>
    <w:link w:val="HeaderChar"/>
    <w:uiPriority w:val="99"/>
    <w:semiHidden/>
    <w:unhideWhenUsed/>
    <w:rsid w:val="003C1C3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3C1C3B"/>
  </w:style>
  <w:style w:type="paragraph" w:styleId="Footer">
    <w:name w:val="footer"/>
    <w:basedOn w:val="Normal"/>
    <w:link w:val="FooterChar"/>
    <w:uiPriority w:val="99"/>
    <w:unhideWhenUsed/>
    <w:rsid w:val="003C1C3B"/>
    <w:pPr>
      <w:tabs>
        <w:tab w:val="center" w:pos="4680"/>
        <w:tab w:val="right" w:pos="9360"/>
      </w:tabs>
      <w:spacing w:line="240" w:lineRule="auto"/>
    </w:pPr>
  </w:style>
  <w:style w:type="character" w:customStyle="1" w:styleId="FooterChar">
    <w:name w:val="Footer Char"/>
    <w:basedOn w:val="DefaultParagraphFont"/>
    <w:link w:val="Footer"/>
    <w:uiPriority w:val="99"/>
    <w:rsid w:val="003C1C3B"/>
  </w:style>
  <w:style w:type="paragraph" w:styleId="TOC2">
    <w:name w:val="toc 2"/>
    <w:basedOn w:val="Normal"/>
    <w:next w:val="Normal"/>
    <w:autoRedefine/>
    <w:uiPriority w:val="39"/>
    <w:unhideWhenUsed/>
    <w:rsid w:val="008D685A"/>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hyperlink" Target="https://ir.americanexpress.com/financials/annual-reports-and-proxy-statements/default.aspx" TargetMode="External"/><Relationship Id="rId26" Type="http://schemas.openxmlformats.org/officeDocument/2006/relationships/hyperlink" Target="https://investors.amexglobalbusinesstravel.com/investors/financials/quarterly-results/default.aspx" TargetMode="External"/><Relationship Id="rId39" Type="http://schemas.openxmlformats.org/officeDocument/2006/relationships/hyperlink" Target="https://heinonline.org/hol-cgi-bin/get_pdf.cgi?handle=hein.journals/cdozo41&amp;section=49" TargetMode="External"/><Relationship Id="rId21" Type="http://schemas.openxmlformats.org/officeDocument/2006/relationships/hyperlink" Target="https://ir.americanexpress.com/news/investor-relations-news/investor-relations-news-details/2023/American-Express-Delivers-on-2022-Growth-Plan-With-Full-Year-Revenue-Growth-of-25-and-Earnings-Per-Share-of-9.85/default.aspx" TargetMode="External"/><Relationship Id="rId34" Type="http://schemas.openxmlformats.org/officeDocument/2006/relationships/hyperlink" Target="https://heinonline.org/hol-cgi-bin/get_pdf.cgi?handle=hein.journals/colb2019&amp;section=5" TargetMode="External"/><Relationship Id="rId42" Type="http://schemas.openxmlformats.org/officeDocument/2006/relationships/hyperlink" Target="https://citeseerx.ist.psu.edu/document?repid=rep1&amp;type=pdf&amp;doi=2bc0b2ec6f3dbdcb9779c75f425c21a6242fa055" TargetMode="External"/><Relationship Id="rId47" Type="http://schemas.openxmlformats.org/officeDocument/2006/relationships/hyperlink" Target="https://www.jstage.jst.go.jp/article/afreport/91/0/91_2022_072/_pdf" TargetMode="External"/><Relationship Id="rId50" Type="http://schemas.openxmlformats.org/officeDocument/2006/relationships/hyperlink" Target="https://www.taylorfrancis.com/chapters/edit/10.1201/9781003186670-3/smart-technologies-industry-4-0-future-ben-rajesh-john-rajan" TargetMode="External"/><Relationship Id="rId55" Type="http://schemas.openxmlformats.org/officeDocument/2006/relationships/hyperlink" Target="http://uniset.ca/fatca/guide-to-us-aml-requirements-6thedition-protiviti_0.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americanexpress.com/en-ca/business/trends-and-insights/articles/innovative-solutions-for-growing-in-an-uncertain-economy/" TargetMode="External"/><Relationship Id="rId29" Type="http://schemas.openxmlformats.org/officeDocument/2006/relationships/hyperlink" Target="https://search.proquest.com/openview/f08bf77a6b855cd44073775fd1c39e05/1?pq-origsite=gscholar&amp;cbl=41798" TargetMode="External"/><Relationship Id="rId11" Type="http://schemas.openxmlformats.org/officeDocument/2006/relationships/image" Target="media/image4.png"/><Relationship Id="rId24" Type="http://schemas.openxmlformats.org/officeDocument/2006/relationships/hyperlink" Target="https://www.amexgiftcard.com/" TargetMode="External"/><Relationship Id="rId32" Type="http://schemas.openxmlformats.org/officeDocument/2006/relationships/hyperlink" Target="https://thestrategystory.com/2023/02/16/how-does-american-express-make-money-business-model-strategy/" TargetMode="External"/><Relationship Id="rId37" Type="http://schemas.openxmlformats.org/officeDocument/2006/relationships/hyperlink" Target="https://www.emerald.com/insight/content/doi/10.1108/IMR-02-2019-0080/full/html" TargetMode="External"/><Relationship Id="rId40" Type="http://schemas.openxmlformats.org/officeDocument/2006/relationships/hyperlink" Target="https://link.springer.com/chapter/10.1007/978-3-030-61318-1_11" TargetMode="External"/><Relationship Id="rId45" Type="http://schemas.openxmlformats.org/officeDocument/2006/relationships/hyperlink" Target="https://library.oapen.org/bitstream/handle/20.500.12657/22918/1007243.pdf?seque" TargetMode="External"/><Relationship Id="rId53" Type="http://schemas.openxmlformats.org/officeDocument/2006/relationships/hyperlink" Target="https://www.statista.com/statistics/279469/market-share-of-credit-card-companies-in-the-united-states-by-purchase-volume/" TargetMode="External"/><Relationship Id="rId58" Type="http://schemas.openxmlformats.org/officeDocument/2006/relationships/hyperlink" Target="https://www.zippia.com/american-express-careers-566/history/" TargetMode="External"/><Relationship Id="rId5" Type="http://schemas.openxmlformats.org/officeDocument/2006/relationships/webSettings" Target="webSettings.xml"/><Relationship Id="rId61" Type="http://schemas.openxmlformats.org/officeDocument/2006/relationships/fontTable" Target="fontTable.xml"/><Relationship Id="rId19" Type="http://schemas.openxmlformats.org/officeDocument/2006/relationships/hyperlink" Target="https://about.americanexpress.com/our-company/who-we-are/who-we-are/default.aspx" TargetMode="External"/><Relationship Id="rId14" Type="http://schemas.openxmlformats.org/officeDocument/2006/relationships/hyperlink" Target="https://ro.uow.edu.au/cgi/viewcontent.cgi?article=1630&amp;context=gsbpapers" TargetMode="External"/><Relationship Id="rId22" Type="http://schemas.openxmlformats.org/officeDocument/2006/relationships/hyperlink" Target="https://www.americanexpress.com/en-in/" TargetMode="External"/><Relationship Id="rId27" Type="http://schemas.openxmlformats.org/officeDocument/2006/relationships/hyperlink" Target="https://www.marketwatch.com/story/amex-earnings-show-continued-surge-in-spending-though-profit-falls-short-46571d18" TargetMode="External"/><Relationship Id="rId30" Type="http://schemas.openxmlformats.org/officeDocument/2006/relationships/hyperlink" Target="https://www.emerald.com/insight/content/doi/10.1108/MF-09-2018-0458/full/html" TargetMode="External"/><Relationship Id="rId35" Type="http://schemas.openxmlformats.org/officeDocument/2006/relationships/hyperlink" Target="http://dspace.uiu.ac.bd/bitstream/handle/52243/1135/Samiun-Basri-Islam-111-143-118.docx?sequence=1" TargetMode="External"/><Relationship Id="rId43" Type="http://schemas.openxmlformats.org/officeDocument/2006/relationships/hyperlink" Target="https://www.businessnewsdaily.com/5446-porters-five-forces.html" TargetMode="External"/><Relationship Id="rId48" Type="http://schemas.openxmlformats.org/officeDocument/2006/relationships/hyperlink" Target="https://osuva.uwasa.fi/bitstream/handle/10024/10315/Osuva_Palmi%C3%A9_Wincent_Parida_Caglar_2020b.pdf?sequence=2&amp;isAllowed=y" TargetMode="External"/><Relationship Id="rId56" Type="http://schemas.openxmlformats.org/officeDocument/2006/relationships/hyperlink" Target="https://www.sciencedirect.com/science/article/pii/S0022435921000099" TargetMode="External"/><Relationship Id="rId8" Type="http://schemas.openxmlformats.org/officeDocument/2006/relationships/image" Target="media/image1.png"/><Relationship Id="rId51" Type="http://schemas.openxmlformats.org/officeDocument/2006/relationships/hyperlink" Target="https://pubs.aeaweb.org/doi/pdf/10.1257/jep.33.3.69"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www.americanexpress.com/en-us/business/trends-and-insights/keywords/growth-strategies" TargetMode="External"/><Relationship Id="rId25" Type="http://schemas.openxmlformats.org/officeDocument/2006/relationships/hyperlink" Target="https://about.americanexpress.com/corporate-sustainability/esg/esg-strategy/default.aspx" TargetMode="External"/><Relationship Id="rId33" Type="http://schemas.openxmlformats.org/officeDocument/2006/relationships/hyperlink" Target="https://www.nber.org/system/files/working_papers/w26604/w26604.pdf" TargetMode="External"/><Relationship Id="rId38" Type="http://schemas.openxmlformats.org/officeDocument/2006/relationships/hyperlink" Target="https://heinonline.org/hol-cgi-bin/get_pdf.cgi?handle=hein.journals/pnlr168&amp;section=54" TargetMode="External"/><Relationship Id="rId46" Type="http://schemas.openxmlformats.org/officeDocument/2006/relationships/hyperlink" Target="https://doi.org/10.1016/j.jbusres.2018.10.012" TargetMode="External"/><Relationship Id="rId59" Type="http://schemas.openxmlformats.org/officeDocument/2006/relationships/image" Target="media/image7.png"/><Relationship Id="rId20" Type="http://schemas.openxmlformats.org/officeDocument/2006/relationships/hyperlink" Target="https://www.americanexpress.com/in/company/mission.html" TargetMode="External"/><Relationship Id="rId41" Type="http://schemas.openxmlformats.org/officeDocument/2006/relationships/hyperlink" Target="https://pages.stern.nyu.edu/~eparker/syllabi/leslie2019diversityinitiativeeffectiveness.pdf" TargetMode="External"/><Relationship Id="rId54" Type="http://schemas.openxmlformats.org/officeDocument/2006/relationships/hyperlink" Target="https://www.jstor.org/stable/26892422" TargetMode="External"/><Relationship Id="rId62"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mdpi.com/2071-1050/14/5/2959/pdf" TargetMode="External"/><Relationship Id="rId23" Type="http://schemas.openxmlformats.org/officeDocument/2006/relationships/hyperlink" Target="https://s29.q4cdn.com/330828691/files/doc_downloads/esg_resources/2022/AXP-2021-2022-ESG-Report.pdf" TargetMode="External"/><Relationship Id="rId28" Type="http://schemas.openxmlformats.org/officeDocument/2006/relationships/hyperlink" Target="https://eprints.qut.edu.au/200348/1/58320245.pdf" TargetMode="External"/><Relationship Id="rId36" Type="http://schemas.openxmlformats.org/officeDocument/2006/relationships/hyperlink" Target="https://www.researchgate.net/profile/Said-Baadel/publication/354765943_20th_Anniversary_of_9-11_Corporate_Disaster_Preparedness_Lessons_Learned_and_Ways_Forward/links/614ba714a595d06017e4b197/20th-Anniversary-of-9-11-Corporate-Disaster-Preparedness-Lessons-Learned-and-Ways-Forward.pdf" TargetMode="External"/><Relationship Id="rId49" Type="http://schemas.openxmlformats.org/officeDocument/2006/relationships/hyperlink" Target="https://www.forbes.com/advisor/credit-cards/credit-card-statistics/" TargetMode="External"/><Relationship Id="rId57" Type="http://schemas.openxmlformats.org/officeDocument/2006/relationships/hyperlink" Target="https://d18rn0p25nwr6d.cloudfront.net/CIK-0000004962/aed0da34-9d16-42fc-a645-47519ce22623.pdf" TargetMode="External"/><Relationship Id="rId10" Type="http://schemas.openxmlformats.org/officeDocument/2006/relationships/image" Target="media/image3.png"/><Relationship Id="rId31" Type="http://schemas.openxmlformats.org/officeDocument/2006/relationships/hyperlink" Target="https://www.emerald.com/insight/content/doi/10.1108/BIJ-06-2021-0303/full/html" TargetMode="External"/><Relationship Id="rId44" Type="http://schemas.openxmlformats.org/officeDocument/2006/relationships/hyperlink" Target="https://media1-production.mightynetworks.com/asset/4825190/HBR_Future_of_Leadership_Development.pdf" TargetMode="External"/><Relationship Id="rId52" Type="http://schemas.openxmlformats.org/officeDocument/2006/relationships/hyperlink" Target="https://postalmuseum.si.edu/exhibition/america%E2%80%99s-mailing-industry-industry-segments-direct-marketing-advertising-agencies-and-6"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3FD734-9707-4A7A-BB4D-E928C4C92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9472</Words>
  <Characters>53993</Characters>
  <Application>Microsoft Office Word</Application>
  <DocSecurity>0</DocSecurity>
  <Lines>449</Lines>
  <Paragraphs>126</Paragraphs>
  <ScaleCrop>false</ScaleCrop>
  <Company>Grizli777</Company>
  <LinksUpToDate>false</LinksUpToDate>
  <CharactersWithSpaces>63339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Sona</dc:creator>
  <cp:lastModifiedBy>aparna sharath</cp:lastModifiedBy>
  <cp:revision>2</cp:revision>
  <dcterms:created xsi:type="dcterms:W3CDTF">2023-05-07T19:42:00Z</dcterms:created>
  <dcterms:modified xsi:type="dcterms:W3CDTF">2023-05-07T19:42:00Z</dcterms:modified>
</cp:coreProperties>
</file>