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1">
      <w:pPr>
        <w:jc w:val="center"/>
        <w:rPr>
          <w:rFonts w:ascii="Arial" w:cs="Arial" w:eastAsia="Arial Nova" w:hAnsi="Arial"/>
          <w:b/>
          <w:bCs/>
          <w:sz w:val="36"/>
          <w:szCs w:val="36"/>
        </w:rPr>
      </w:pPr>
      <w:r>
        <w:rPr>
          <w:rFonts w:ascii="Arial" w:cs="Arial" w:eastAsia="Arial Nova" w:hAnsi="Arial"/>
          <w:b/>
          <w:bCs/>
          <w:sz w:val="36"/>
          <w:szCs w:val="36"/>
        </w:rPr>
        <w:t>STUDENT NAME:CHERRY SPENCER.</w:t>
      </w:r>
    </w:p>
    <w:p w14:paraId="00000002">
      <w:pPr>
        <w:jc w:val="center"/>
        <w:rPr>
          <w:rFonts w:ascii="Arial" w:cs="Arial" w:eastAsia="Arial Nova" w:hAnsi="Arial"/>
          <w:b/>
          <w:bCs/>
          <w:sz w:val="36"/>
          <w:szCs w:val="36"/>
        </w:rPr>
      </w:pPr>
    </w:p>
    <w:p w14:paraId="00000003">
      <w:pPr>
        <w:jc w:val="center"/>
        <w:rPr>
          <w:rFonts w:ascii="Arial" w:cs="Arial" w:eastAsia="Arial Nova" w:hAnsi="Arial"/>
          <w:b/>
          <w:bCs/>
          <w:sz w:val="36"/>
          <w:szCs w:val="36"/>
        </w:rPr>
      </w:pPr>
      <w:r>
        <w:rPr>
          <w:rFonts w:ascii="Arial" w:cs="Arial" w:eastAsia="Arial Nova" w:hAnsi="Arial"/>
          <w:b/>
          <w:bCs/>
          <w:sz w:val="36"/>
          <w:szCs w:val="36"/>
        </w:rPr>
        <w:t>STUDENT NUMBER:2315880.</w:t>
      </w:r>
    </w:p>
    <w:p w14:paraId="00000004">
      <w:pPr>
        <w:jc w:val="center"/>
        <w:rPr>
          <w:rFonts w:ascii="Arial" w:cs="Arial" w:eastAsia="Arial Nova" w:hAnsi="Arial"/>
          <w:b/>
          <w:bCs/>
          <w:sz w:val="36"/>
          <w:szCs w:val="36"/>
        </w:rPr>
      </w:pPr>
    </w:p>
    <w:p w14:paraId="00000005">
      <w:pPr>
        <w:jc w:val="center"/>
        <w:rPr>
          <w:rFonts w:ascii="Arial" w:cs="Arial" w:eastAsia="Arial Nova" w:hAnsi="Arial"/>
          <w:b/>
          <w:bCs/>
          <w:sz w:val="36"/>
          <w:szCs w:val="36"/>
        </w:rPr>
      </w:pPr>
      <w:r>
        <w:rPr>
          <w:rFonts w:ascii="Arial" w:cs="Arial" w:eastAsia="Arial Nova" w:hAnsi="Arial"/>
          <w:b/>
          <w:bCs/>
          <w:sz w:val="36"/>
          <w:szCs w:val="36"/>
        </w:rPr>
        <w:t>ASSIGNMENT TITLE:WRITTEN REPORT.</w:t>
      </w:r>
    </w:p>
    <w:p w14:paraId="00000006">
      <w:pPr>
        <w:jc w:val="center"/>
        <w:rPr>
          <w:rFonts w:ascii="Arial" w:cs="Arial" w:eastAsia="Arial Nova" w:hAnsi="Arial"/>
          <w:b/>
          <w:bCs/>
          <w:sz w:val="36"/>
          <w:szCs w:val="36"/>
        </w:rPr>
      </w:pPr>
    </w:p>
    <w:p w14:paraId="00000007">
      <w:pPr>
        <w:jc w:val="center"/>
        <w:rPr>
          <w:rFonts w:ascii="Arial" w:cs="Arial" w:eastAsia="Arial Nova" w:hAnsi="Arial"/>
          <w:b/>
          <w:bCs/>
          <w:sz w:val="36"/>
          <w:szCs w:val="36"/>
        </w:rPr>
      </w:pPr>
      <w:r>
        <w:rPr>
          <w:rFonts w:ascii="Arial" w:cs="Arial" w:eastAsia="Arial Nova" w:hAnsi="Arial"/>
          <w:b/>
          <w:bCs/>
          <w:sz w:val="36"/>
          <w:szCs w:val="36"/>
        </w:rPr>
        <w:t>MODULE TITLE:DIGITAL TRANSFORMATION IN THE HEALTH AND CARE PROFFESSIONS.</w:t>
      </w:r>
    </w:p>
    <w:p w14:paraId="00000008">
      <w:pPr>
        <w:jc w:val="center"/>
        <w:rPr>
          <w:rFonts w:ascii="Arial" w:cs="Arial" w:eastAsia="Arial Nova" w:hAnsi="Arial"/>
          <w:b/>
          <w:bCs/>
          <w:sz w:val="24"/>
          <w:szCs w:val="24"/>
        </w:rPr>
      </w:pPr>
    </w:p>
    <w:p w14:paraId="00000009">
      <w:pPr>
        <w:jc w:val="center"/>
        <w:rPr>
          <w:rFonts w:ascii="Arial" w:cs="Arial" w:eastAsia="Arial Nova" w:hAnsi="Arial"/>
          <w:b/>
          <w:bCs/>
          <w:sz w:val="36"/>
          <w:szCs w:val="36"/>
        </w:rPr>
      </w:pPr>
      <w:r>
        <w:rPr>
          <w:rFonts w:ascii="Arial" w:cs="Arial" w:eastAsia="Arial Nova" w:hAnsi="Arial"/>
          <w:b/>
          <w:bCs/>
          <w:sz w:val="36"/>
          <w:szCs w:val="36"/>
        </w:rPr>
        <w:t>MODULE CODE:BMHP6026.</w:t>
      </w:r>
    </w:p>
    <w:p w14:paraId="0000000A">
      <w:pPr>
        <w:jc w:val="center"/>
        <w:rPr>
          <w:rFonts w:ascii="Arial" w:cs="Arial" w:eastAsia="Arial Nova" w:hAnsi="Arial"/>
          <w:b/>
          <w:bCs/>
          <w:sz w:val="24"/>
          <w:szCs w:val="24"/>
        </w:rPr>
      </w:pPr>
    </w:p>
    <w:p w14:paraId="0000000B">
      <w:pPr>
        <w:jc w:val="center"/>
        <w:rPr>
          <w:rFonts w:ascii="Arial" w:cs="Arial" w:eastAsia="Arial Nova" w:hAnsi="Arial"/>
          <w:b/>
          <w:bCs/>
          <w:sz w:val="36"/>
          <w:szCs w:val="36"/>
        </w:rPr>
      </w:pPr>
      <w:r>
        <w:rPr>
          <w:rFonts w:ascii="Arial" w:cs="Arial" w:eastAsia="Arial Nova" w:hAnsi="Arial"/>
          <w:b/>
          <w:bCs/>
          <w:sz w:val="36"/>
          <w:szCs w:val="36"/>
        </w:rPr>
        <w:t>LECTURER’S NAME:ZAKIYYAH AHMED.</w:t>
      </w:r>
    </w:p>
    <w:p w14:paraId="0000000C">
      <w:pPr>
        <w:jc w:val="center"/>
        <w:rPr>
          <w:rFonts w:ascii="Arial" w:cs="Arial" w:eastAsia="Arial Nova" w:hAnsi="Arial"/>
          <w:sz w:val="24"/>
          <w:szCs w:val="24"/>
        </w:rPr>
      </w:pPr>
    </w:p>
    <w:p w14:paraId="0000000D">
      <w:pPr>
        <w:spacing w:line="360" w:lineRule="auto"/>
        <w:rPr>
          <w:rFonts w:ascii="Arial" w:cs="Arial" w:hAnsi="Arial"/>
          <w:sz w:val="24"/>
          <w:szCs w:val="24"/>
        </w:rPr>
      </w:pPr>
    </w:p>
    <w:p w14:paraId="0000000E">
      <w:pPr>
        <w:spacing w:line="360" w:lineRule="auto"/>
        <w:rPr>
          <w:rFonts w:ascii="Arial" w:cs="Arial" w:hAnsi="Arial"/>
          <w:sz w:val="24"/>
          <w:szCs w:val="24"/>
        </w:rPr>
      </w:pPr>
    </w:p>
    <w:p w14:paraId="0000000F">
      <w:pPr>
        <w:spacing w:line="360" w:lineRule="auto"/>
        <w:rPr>
          <w:rFonts w:ascii="Arial" w:cs="Arial" w:hAnsi="Arial"/>
          <w:sz w:val="24"/>
          <w:szCs w:val="24"/>
        </w:rPr>
      </w:pPr>
    </w:p>
    <w:p w14:paraId="00000010">
      <w:pPr>
        <w:spacing w:line="360" w:lineRule="auto"/>
        <w:rPr>
          <w:rFonts w:ascii="Arial" w:cs="Arial" w:hAnsi="Arial"/>
          <w:sz w:val="24"/>
          <w:szCs w:val="24"/>
        </w:rPr>
      </w:pPr>
    </w:p>
    <w:p w14:paraId="00000011">
      <w:pPr>
        <w:spacing w:line="360" w:lineRule="auto"/>
        <w:rPr>
          <w:rFonts w:ascii="Arial" w:cs="Arial" w:hAnsi="Arial"/>
          <w:sz w:val="24"/>
          <w:szCs w:val="24"/>
        </w:rPr>
      </w:pPr>
    </w:p>
    <w:p w14:paraId="00000012">
      <w:pPr>
        <w:spacing w:line="360" w:lineRule="auto"/>
        <w:rPr>
          <w:rFonts w:ascii="Arial" w:cs="Arial" w:hAnsi="Arial"/>
          <w:sz w:val="24"/>
          <w:szCs w:val="24"/>
        </w:rPr>
      </w:pPr>
    </w:p>
    <w:p w14:paraId="00000013">
      <w:pPr>
        <w:spacing w:line="360" w:lineRule="auto"/>
        <w:rPr>
          <w:rFonts w:ascii="Arial" w:cs="Arial" w:hAnsi="Arial"/>
          <w:sz w:val="24"/>
          <w:szCs w:val="24"/>
        </w:rPr>
      </w:pPr>
    </w:p>
    <w:p w14:paraId="00000014">
      <w:pPr>
        <w:spacing w:line="360" w:lineRule="auto"/>
        <w:rPr>
          <w:rFonts w:ascii="Arial" w:cs="Arial" w:hAnsi="Arial"/>
          <w:sz w:val="24"/>
          <w:szCs w:val="24"/>
        </w:rPr>
      </w:pPr>
    </w:p>
    <w:p w14:paraId="00000015">
      <w:pPr>
        <w:spacing w:line="360" w:lineRule="auto"/>
        <w:rPr>
          <w:rFonts w:ascii="Arial" w:cs="Arial" w:hAnsi="Arial"/>
          <w:b/>
          <w:bCs/>
          <w:sz w:val="24"/>
          <w:szCs w:val="24"/>
        </w:rPr>
      </w:pPr>
    </w:p>
    <w:p w14:paraId="00000016">
      <w:pPr>
        <w:spacing w:line="360" w:lineRule="auto"/>
        <w:rPr>
          <w:rFonts w:ascii="Arial" w:cs="Arial" w:hAnsi="Arial"/>
          <w:b/>
          <w:bCs/>
          <w:sz w:val="24"/>
          <w:szCs w:val="24"/>
        </w:rPr>
      </w:pPr>
    </w:p>
    <w:p w14:paraId="00000017">
      <w:pPr>
        <w:spacing w:line="360" w:lineRule="auto"/>
        <w:rPr>
          <w:rFonts w:ascii="Arial" w:cs="Arial" w:hAnsi="Arial"/>
          <w:b/>
          <w:bCs/>
          <w:sz w:val="24"/>
          <w:szCs w:val="24"/>
        </w:rPr>
      </w:pPr>
    </w:p>
    <w:p w14:paraId="0000001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color w:val="000000"/>
          <w:sz w:val="24"/>
          <w:szCs w:val="24"/>
          <w:lang w:val="en-US"/>
        </w:rPr>
      </w:pPr>
      <w:r>
        <w:rPr>
          <w:rFonts w:ascii="Arial" w:cs="Arial" w:hAnsi="Arial"/>
          <w:b/>
          <w:bCs/>
          <w:color w:val="000000"/>
          <w:sz w:val="24"/>
          <w:szCs w:val="24"/>
          <w:rtl w:val="off"/>
          <w:lang w:val="en-US"/>
        </w:rPr>
        <w:t>Critical Evaluation of Telemedicine as a Digital Innovation in UK Health and Social Care.</w:t>
      </w:r>
    </w:p>
    <w:p w14:paraId="00000019">
      <w:pPr>
        <w:tabs>
          <w:tab w:val="left" w:leader="none" w:pos="2516"/>
        </w:tabs>
        <w:spacing w:line="360" w:lineRule="auto"/>
        <w:rPr>
          <w:rFonts w:ascii="Arial" w:cs="Arial" w:hAnsi="Arial"/>
          <w:b/>
          <w:bCs/>
          <w:sz w:val="24"/>
          <w:szCs w:val="24"/>
        </w:rPr>
      </w:pPr>
    </w:p>
    <w:p w14:paraId="0000001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b/>
          <w:bCs/>
          <w:sz w:val="24"/>
          <w:szCs w:val="24"/>
        </w:rPr>
        <w:t>Introduction</w:t>
      </w:r>
    </w:p>
    <w:p w14:paraId="0000001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Telemedicine refers to the delivery of healthcare services through digital communication technologies such as video consultations, telephone calls, mobile health applications, and remote monitoring systems. These technologies enable healthcare professionals to assess, diagnose, treat, and monitor patients without requiring physical attendance in clinical settings. Telemedicine also facilitates the rapid exchange of clinical data, including imaging, test results, and electronic patient records, supporting faster clinical decision-making and improved multidisciplinary collaboration (World Health Organization, 2022). </w:t>
      </w:r>
    </w:p>
    <w:p w14:paraId="0000001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1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Although telemedicine is often seen as a modern innovation, its origins date back to the 1920s when early forms of remote healthcare communication were first introduced. One of the major early developments came through the work of the National Aeronautics and Space Administration (NASA), which used satellite communication and remote medical monitoring to provide healthcare support for astronauts in space. This demonstrated that healthcare could be delivered effectively across long distances using real-time communication technologies, helping to lay the foundation for modern telemedicine systems (Jafarzadeh et al., 2022). </w:t>
      </w:r>
    </w:p>
    <w:p w14:paraId="0000001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1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2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In the UK, telemedicine has become increasingly central to the transformation of health and social care, particularly within the National Health Service (NHS). The NHS Long Term Plan and wider digital transformation agenda have promoted digital-first healthcare delivery models aimed at improving accessibility, service efficiency, and long-term sustainability. The most significant acceleration in telemedicine adoption occurred during the COVID-19 pandemic, when face-to-face consultations were rapidly reduced to minimise infection risk and maintain service continuity. This marked a major shift in healthcare delivery, with remote consultations becoming the default approach across many primary and secondary care services (Greenhalgh et al., 2020). </w:t>
      </w:r>
    </w:p>
    <w:p w14:paraId="0000002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2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Despite its benefits, the rapid expansion of telemedicine has generated debate regarding whether improved efficiency may come at the expense of equitable access, diagnostic quality, and patient-centred care. Issues such as digital exclusion, reduced quality of physical assessment, safeguarding concerns, and cybersecurity risks raise important questions regarding the safety, fairness, and long-term effectiveness of digital healthcare delivery. This essay critically evaluates telemedicine as a digital innovation within UK health and social care, arguing that although it improves accessibility and service efficiency, its long-term success depends on addressing structural inequalities, technological barriers, and clinical limitations (Florea et al., 2022). </w:t>
      </w:r>
    </w:p>
    <w:p w14:paraId="0000002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2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 </w:t>
      </w:r>
    </w:p>
    <w:p w14:paraId="00000025">
      <w:pPr>
        <w:framePr w:w="0" w:h="0" w:vAnchor="margin" w:hAnchor="text" w:x="0" w:y="0"/>
        <w:pBdr>
          <w:top w:val="none" w:sz="4" w:space="0"/>
          <w:left w:val="none" w:sz="4" w:space="0"/>
          <w:bottom w:val="none" w:sz="4" w:space="0"/>
          <w:right w:val="none" w:sz="4" w:space="0"/>
          <w:between w:val="none" w:sz="4" w:space="0"/>
          <w:bar w:val="none" w:sz="4" w:space="0"/>
        </w:pBdr>
        <w:shd w:val="clear" w:fill="auto"/>
        <w:tabs>
          <w:tab w:val="left" w:leader="none" w:pos="2516"/>
        </w:tabs>
        <w:bidi w:val="off"/>
        <w:spacing w:before="0" w:after="0" w:line="240" w:lineRule="auto"/>
        <w:ind w:left="0" w:right="0" w:firstLine="0"/>
        <w:jc w:val="left"/>
        <w:rPr>
          <w:rFonts w:ascii="Arial" w:cs="Arial" w:hAnsi="Arial"/>
          <w:b/>
          <w:bCs/>
          <w:sz w:val="24"/>
          <w:szCs w:val="24"/>
        </w:rPr>
      </w:pPr>
    </w:p>
    <w:p w14:paraId="00000026">
      <w:pPr>
        <w:spacing w:line="360" w:lineRule="auto"/>
        <w:rPr>
          <w:rFonts w:ascii="Arial" w:cs="Arial" w:hAnsi="Arial"/>
          <w:b/>
          <w:bCs/>
          <w:sz w:val="24"/>
          <w:szCs w:val="24"/>
        </w:rPr>
      </w:pPr>
      <w:r>
        <w:rPr>
          <w:rFonts w:ascii="Arial" w:cs="Arial" w:hAnsi="Arial"/>
          <w:b/>
          <w:bCs/>
          <w:sz w:val="24"/>
          <w:szCs w:val="24"/>
        </w:rPr>
        <w:t>Implementation of Telemedicine in UK Healthc</w:t>
      </w:r>
      <w:r>
        <w:rPr>
          <w:rFonts w:ascii="Arial" w:cs="Arial" w:hAnsi="Arial"/>
          <w:b/>
          <w:bCs/>
          <w:sz w:val="24"/>
          <w:szCs w:val="24"/>
        </w:rPr>
        <w:t>are</w:t>
      </w:r>
    </w:p>
    <w:p w14:paraId="0000002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Telemedicine has become an important part of the United Kingdom healthcare system, especially within the NHS, to improve healthcare access, efficiency, and continuity of care. Its use increased rapidly during the COVID-19 pandemic when remote consultations, virtual clinics, and digital communication systems were needed to reduce physical contact and maintain healthcare services (Greenhalgh et al., 2020; World Health Organization, 2022).</w:t>
      </w:r>
    </w:p>
    <w:p w14:paraId="0000002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2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Within primary care, general practitioner (GP) services rapidly adopted online consultations, telephone triage, and video appointments to manage rising patient demand more effectively. These digital approaches enabled clinicians to assess symptoms, provide advice, prescribe medication, and determine whether face-to-face consultations were clinically necessary, thereby improving service efficiency and reducing unnecessary appointments (NHS England, 2023). </w:t>
      </w:r>
    </w:p>
    <w:p w14:paraId="0000002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2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2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Telemedicine has also been widely used in chronic disease management, particularly for diabetes, cardiovascular disease, and respiratory conditions. Remote monitoring enables real-time clinical decision-making; however, effectiveness depends heavily on patient digital literacy and access to technology (Tsou et al., 2020). Systematic evidence also indicates that outcomes vary depending on implementation quality and patient population, suggesting telemedicine is not universally effective across all contexts (Ekeland et al., 2010). </w:t>
      </w:r>
    </w:p>
    <w:p w14:paraId="0000002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w:t>
      </w:r>
    </w:p>
    <w:p w14:paraId="0000002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2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During the pandemic, telemedicine supported healthcare delivery in physiotherapy, rehabilitation, respiratory care, and mental health services through remote consultations and tele-rehabilitation programmes (Bashshur et al., 2020). Tele-mental health services allowed patients to continue receiving psychological and psychiatric support despite restrictions on face-to-face contact (Werkmeister et al., 2024).</w:t>
      </w:r>
    </w:p>
    <w:p w14:paraId="0000003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3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Specialist services including oncology, paediatrics, ophthalmology, orthopaedics, and palliative care have also integrated telemedicine into service delivery. Virtual consultations have improved access to specialist expertise, reduced travel costs, and enhanced convenience for many patients, particularly those living in remote or underserved areas (World Health Organization, 2022; Mehrotra et al., 2023). </w:t>
      </w:r>
    </w:p>
    <w:p w14:paraId="0000003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3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However, despite these benefits, several challenges remain. Digital inequality, limited technological skills, poor internet access, concerns about patient safety, and reduced face-to-face interaction continue to affect effective implementation. These barriers highlight that while telemedicine is central to the digital transformation of UK healthcare, its long-term success depends on equitable access, reliable infrastructure, and safe clinical practice (Florea et al., 2022; World Health Organization, 2022). </w:t>
      </w:r>
    </w:p>
    <w:p w14:paraId="0000003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3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36">
      <w:pPr>
        <w:spacing w:line="360" w:lineRule="auto"/>
        <w:rPr>
          <w:rFonts w:ascii="Arial" w:cs="Arial" w:hAnsi="Arial"/>
          <w:b/>
          <w:bCs/>
          <w:sz w:val="24"/>
          <w:szCs w:val="24"/>
        </w:rPr>
      </w:pPr>
    </w:p>
    <w:p w14:paraId="00000037">
      <w:pPr>
        <w:spacing w:line="360" w:lineRule="auto"/>
        <w:rPr>
          <w:rFonts w:ascii="Arial" w:cs="Arial" w:hAnsi="Arial"/>
          <w:b/>
          <w:bCs/>
          <w:sz w:val="24"/>
          <w:szCs w:val="24"/>
        </w:rPr>
      </w:pPr>
    </w:p>
    <w:p w14:paraId="00000038">
      <w:pPr>
        <w:spacing w:line="360" w:lineRule="auto"/>
        <w:rPr>
          <w:rFonts w:ascii="Arial" w:cs="Arial" w:hAnsi="Arial"/>
          <w:b/>
          <w:bCs/>
          <w:sz w:val="24"/>
          <w:szCs w:val="24"/>
        </w:rPr>
      </w:pPr>
      <w:r>
        <w:rPr>
          <w:rFonts w:ascii="Arial" w:cs="Arial" w:hAnsi="Arial"/>
          <w:b/>
          <w:bCs/>
          <w:sz w:val="24"/>
          <w:szCs w:val="24"/>
        </w:rPr>
        <w:t>IMPACT ON SERVICE DELIVERY.</w:t>
      </w:r>
    </w:p>
    <w:p w14:paraId="0000003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b/>
          <w:bCs/>
          <w:sz w:val="24"/>
          <w:szCs w:val="24"/>
        </w:rPr>
        <w:t xml:space="preserve">Positive Impact </w:t>
      </w:r>
    </w:p>
    <w:p w14:paraId="0000003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3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Telemedicine has significantly transformed healthcare service delivery by improving accessibility, efficiency, and continuity of care within the NHS. One of its most notable advantages is the reduction in waiting times, as patients can access healthcare advice more rapidly through virtual appointments rather than waiting for face-to-face consultations. This can accelerate diagnosis and treatment while enabling healthcare professionals to manage patient demand more effectively (World Health Organization, 2022). </w:t>
      </w:r>
    </w:p>
    <w:p w14:paraId="0000003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3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Telemedicine has also reduced geographical barriers to care, particularly for patients living in rural or underserved areas. Virtual consultations allow access to specialist services without the need for long-distance travel, helping to reduce regional inequalities in healthcare access. This is particularly relevant in the UK, where disparities in healthcare provision remain a persistent challenge. </w:t>
      </w:r>
    </w:p>
    <w:p w14:paraId="0000003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3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From a system perspective, telemedicine supports cost efficiency by reducing unnecessary hospital admissions, minimising travel expenses, and streamlining administrative processes through digital prescribing and electronic records (NHS England, 2023). During the COVID-19 pandemic, it also played a critical role in maintaining essential services while reducing infection risk (Greenhalgh et al., 2020).</w:t>
      </w:r>
    </w:p>
    <w:p w14:paraId="0000004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4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The use of remote monitoring technologies has further strengthened chronic disease management. Patients with long-term conditions such as diabetes, hypertension, and cardiovascular disease can transmit health data directly to healthcare professionals, enabling earlier intervention and more proactive care management (Tsou et al., 2020). These developments demonstrate telemedicine’s potential to improve both service responsiveness and long-term healthcare sustainability. </w:t>
      </w:r>
    </w:p>
    <w:p w14:paraId="0000004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sz w:val="24"/>
          <w:szCs w:val="24"/>
        </w:rPr>
      </w:pPr>
    </w:p>
    <w:p w14:paraId="0000004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Telemedicine has also improved access to specialist services. Patients living in rural or remote areas can communicate with specialists without travelling long distances, reducing geographical inequalities in healthcare access (World Health Organization, 2022).</w:t>
      </w:r>
    </w:p>
    <w:p w14:paraId="0000004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Telemedicine also improved continuity of care during the COVID-19 pandemic by allowing healthcare services to continue safely while reducing infection risks (Greenhalgh et al., 2020; Alashek &amp; Ali, 2024).</w:t>
      </w:r>
    </w:p>
    <w:p w14:paraId="0000004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4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color w:val="000000"/>
          <w:sz w:val="24"/>
          <w:szCs w:val="24"/>
          <w:rtl w:val="off"/>
          <w:lang w:val="en-US"/>
        </w:rPr>
        <w:t>Digital appointment systems and electronic prescriptions have streamlined healthcare processes and reduced administrative delays (NHS England, 2023). Telemedicine can also reduce healthcare costs by reducing unnecessary admissions and travel expenses (Wade et al., 2010).</w:t>
      </w:r>
    </w:p>
    <w:p w14:paraId="0000004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p>
    <w:p w14:paraId="0000004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p>
    <w:p w14:paraId="0000004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p>
    <w:p w14:paraId="0000004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p>
    <w:p w14:paraId="0000004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b/>
          <w:bCs/>
          <w:sz w:val="24"/>
          <w:szCs w:val="24"/>
        </w:rPr>
        <w:t>Negative Impact</w:t>
      </w:r>
    </w:p>
    <w:p w14:paraId="0000004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However, despite these benefits, telemedicine also presents significant challenges for service delivery. One of the  major concern is digital inequality, as not all patients have access to reliable internet connections, digital devices, or the technological skills required to engage with remote healthcare services. This can reduce access for vulnerable populations and widen existing health inequalities (Florea et al., 2022). </w:t>
      </w:r>
    </w:p>
    <w:p w14:paraId="0000004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4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Technical problems such as poor internet connections, software failures, or system outages can disrupt consultations (World Health Organization, 2022).</w:t>
      </w:r>
    </w:p>
    <w:p w14:paraId="0000004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Furthermore, telemedicine is not appropriate for all clinical situations, particularly cases requiring physical examination, urgent intervention, or complex assessment. Overreliance on virtual consultations may therefore increase diagnostic uncertainty and clinical risk (Elhakeem et al., 2022; Stoumpos et al., 2023). </w:t>
      </w:r>
    </w:p>
    <w:p w14:paraId="0000005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Data protection and confidentiality remain another concern because digital healthcare systems are vulnerable to cyberattacks and data breaches. Fragmented care may also occur when patients interact with multiple professionals across separate platforms, reducing continuity of care (Florea et al., 2022).</w:t>
      </w:r>
      <w:r>
        <w:rPr>
          <w:rFonts w:ascii="Arial" w:cs="Arial" w:hAnsi="Arial"/>
          <w:color w:val="000000"/>
          <w:sz w:val="24"/>
          <w:szCs w:val="24"/>
          <w:rtl w:val="off"/>
          <w:lang w:val="en-US"/>
        </w:rPr>
        <w:t xml:space="preserve"> Its benefits are not distributed equally across patient groups, with digitally capable populations often benefiting more than vulnerable individuals. Systematic evidence suggests telemedicine effectiveness varies depending on service design, infrastructure, and patient demographics, meaning it cannot be assumed to deliver uniform benefits across all healthcare settings (Ekeland et al., 2010). </w:t>
      </w:r>
    </w:p>
    <w:p w14:paraId="0000005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5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Therefore, the most effective model emerging within UK healthcare is a hybrid approach that combines telemedicine with face-to-face care. This allows digital services to support triage, monitoring, and routine follow-up while preserving in-person consultations for complex or high-risk cases. Such a model offers the best balance between efficiency, safety, equity, and quality of care (Mehrotra et al., 2023). </w:t>
      </w:r>
    </w:p>
    <w:p w14:paraId="0000005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5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5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5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5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5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color w:val="000000"/>
          <w:sz w:val="24"/>
          <w:szCs w:val="24"/>
          <w:rtl w:val="off"/>
          <w:lang w:val="en-US"/>
        </w:rPr>
      </w:pPr>
      <w:r>
        <w:rPr>
          <w:rFonts w:ascii="Arial" w:cs="Arial" w:hAnsi="Arial"/>
          <w:b/>
          <w:color w:val="000000"/>
          <w:sz w:val="24"/>
          <w:szCs w:val="24"/>
          <w:rtl w:val="off"/>
          <w:lang w:val="en-US"/>
        </w:rPr>
        <w:t>Critical Analysis on Service Delivery</w:t>
      </w:r>
    </w:p>
    <w:p w14:paraId="0000005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5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Critically, while telemedicine improves NHS efficiency and service capacity, it introduces important structural trade-offs between convenience and clinical depth (World Health Organization, 2022; NHS England, 2023). Its benefits are not distributed equally across patient groups, with digitally capable populations often benefiting more than vulnerable individuals, including older adults and low-income populations, who may face barriers to accessing digital healthcare services (Florea et al., 2022).</w:t>
      </w:r>
    </w:p>
    <w:p w14:paraId="0000005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5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Systematic evidence suggests that telemedicine effectiveness varies depending on service design, infrastructure, and patient demographics, meaning it cannot be assumed to deliver uniform benefits across all healthcare settings (Ekeland et al., 2010). In some cases, remote consultations may improve efficiency but reduce diagnostic confidence, particularly in situations requiring physical examination or detailed clinical observation (Elhakeem et al., 2022; Stoumpos et al., 2023). </w:t>
      </w:r>
    </w:p>
    <w:p w14:paraId="0000005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5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Therefore, the most effective model emerging within UK healthcare is a hybrid approach that combines telemedicine with face-to-face care. This enables digital services to support triage, monitoring, and routine follow-up while preserving in-person consultations for complex, sensitive, or high-risk cases (Mehrotra et al., 2023). Such a model offers the best balance between efficiency, safety, equity, and quality of care, helping to maximise the benefits of telemedicine while minimising its limitations (World Health Organization, 2022). </w:t>
      </w:r>
    </w:p>
    <w:p w14:paraId="0000005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6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6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6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6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64">
      <w:pPr>
        <w:spacing w:line="360" w:lineRule="auto"/>
        <w:rPr>
          <w:rFonts w:ascii="Arial" w:cs="Arial" w:hAnsi="Arial"/>
          <w:b/>
          <w:bCs/>
          <w:sz w:val="24"/>
          <w:szCs w:val="24"/>
        </w:rPr>
      </w:pPr>
      <w:r>
        <w:rPr>
          <w:rFonts w:ascii="Arial" w:cs="Arial" w:hAnsi="Arial"/>
          <w:b/>
          <w:bCs/>
          <w:sz w:val="24"/>
          <w:szCs w:val="24"/>
        </w:rPr>
        <w:t>IMPACT ON PATIENTS AND SERVICE USERS.</w:t>
      </w:r>
    </w:p>
    <w:p w14:paraId="0000006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b/>
          <w:bCs/>
          <w:sz w:val="24"/>
          <w:szCs w:val="24"/>
        </w:rPr>
        <w:t>Positive Impacts</w:t>
      </w:r>
    </w:p>
    <w:p w14:paraId="0000006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6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Telemedicine has improved convenience for patients by allowing them to access healthcare from home without travelling to hospitals or clinics. This is particularly beneficial for older adults, individuals with disabilities, and those with mobility difficulties. Patients also save time and money by avoiding transport costs and long waiting times, improving overall access to healthcare services (World Health Organization, 2022). </w:t>
      </w:r>
    </w:p>
    <w:p w14:paraId="0000006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6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Remote healthcare can also promote patient independence and self-management through mobile health applications and wearable devices that support monitoring of health conditions and medication adherence (Tsou et al., 2020). This enables patients to take a more active role in managing long-term conditions.</w:t>
      </w:r>
    </w:p>
    <w:p w14:paraId="0000006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6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Many patients also report feeling more comfortable discussing sensitive health issues from home, particularly in mental health services, where familiar surroundings may reduce anxiety and encourage open communication (Werkmeister et al., 2024). In addition, telemedicine improves access for people living in rural or remote areas and reduces exposure to infectious diseases during hospital visits (Alashek &amp; Ali, 2024; World Health Organization, 2022). </w:t>
      </w:r>
    </w:p>
    <w:p w14:paraId="0000006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6D">
      <w:pPr>
        <w:spacing w:line="360" w:lineRule="auto"/>
        <w:rPr>
          <w:rFonts w:ascii="Arial" w:cs="Arial" w:hAnsi="Arial"/>
          <w:b/>
          <w:bCs/>
          <w:sz w:val="24"/>
          <w:szCs w:val="24"/>
        </w:rPr>
      </w:pPr>
    </w:p>
    <w:p w14:paraId="0000006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b/>
          <w:bCs/>
          <w:sz w:val="24"/>
          <w:szCs w:val="24"/>
        </w:rPr>
        <w:t>Negative Impacts</w:t>
      </w:r>
    </w:p>
    <w:p w14:paraId="0000006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7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Despite these benefits, telemedicine presents several challenges for patients. Some individuals struggle with limited digital literacy or lack access to reliable internet and suitable devices, increasing the risk of digital exclusion and worsening health inequalities, particularly among elderly or disadvantaged populations (Werkmeister et al., 2024). </w:t>
      </w:r>
    </w:p>
    <w:p w14:paraId="0000007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7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Some patients are also dissatisfied with virtual consultations because they prefer face-to-face interaction, which can provide greater emotional support, reassurance, and clearer communication. Privacy may also be a concern when patients do not have confidential spaces at home for consultations (Elhakeem et al., 2022). </w:t>
      </w:r>
    </w:p>
    <w:p w14:paraId="0000007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color w:val="000000"/>
          <w:sz w:val="24"/>
          <w:szCs w:val="24"/>
          <w:rtl w:val="off"/>
          <w:lang w:val="en-US"/>
        </w:rPr>
        <w:t xml:space="preserve">Telemedicine may additionally increase the risk of missed or delayed diagnoses because healthcare professionals are unable to conduct physical examinations. Some mental health service users may also perceive online consultations as impersonal, reducing engagement and therapeutic connection (Stoumpos et al., 2023). </w:t>
      </w:r>
    </w:p>
    <w:p w14:paraId="0000007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p>
    <w:p w14:paraId="0000007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p>
    <w:p w14:paraId="0000007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b/>
          <w:bCs/>
          <w:sz w:val="24"/>
          <w:szCs w:val="24"/>
        </w:rPr>
      </w:pPr>
      <w:r>
        <w:rPr>
          <w:rFonts w:ascii="Arial" w:cs="Arial" w:hAnsi="Arial"/>
          <w:b/>
          <w:bCs/>
          <w:sz w:val="24"/>
          <w:szCs w:val="24"/>
        </w:rPr>
        <w:t>Critical Analysis</w:t>
      </w:r>
      <w:r>
        <w:rPr>
          <w:rFonts w:ascii="Arial" w:cs="Arial" w:hAnsi="Arial"/>
          <w:b/>
          <w:bCs/>
          <w:sz w:val="24"/>
          <w:szCs w:val="24"/>
        </w:rPr>
        <w:t xml:space="preserve"> on Patient/ Service Users</w:t>
      </w:r>
    </w:p>
    <w:p w14:paraId="0000007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7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Critically, while telemedicine improves convenience and healthcare access, patient experiences vary significantly according to age, digital literacy, socioeconomic status, and individual healthcare needs. Younger and technologically confident patients often benefit more from digital healthcare, whereas vulnerable populations may require additional support to engage effectively (NHS England, 2023). </w:t>
      </w:r>
    </w:p>
    <w:p w14:paraId="0000007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7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 xml:space="preserve">This highlights an important limitation of telemedicine: convenience does not necessarily equate to equitable care. Although remote consultations can increase access for many patients, they may simultaneously create barriers for others, particularly those lacking digital resources or confidence. This suggests telemedicine may unintentionally reinforce existing health inequalities if implemented without adequate support systems. </w:t>
      </w:r>
    </w:p>
    <w:p w14:paraId="0000007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7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Therefore, to ensure telemedicine remains inclusive and effective, healthcare providers should offer clear communication, technical support, and face-to-face alternatives when clinically appropriate. A flexible, patient-centred approach is essential to maximise the benefits of telemedicine while minimising its limitations (NHS England, 2023; World Health Organization, 2022). </w:t>
      </w:r>
    </w:p>
    <w:p w14:paraId="0000007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7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7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8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81">
      <w:pPr>
        <w:spacing w:line="360" w:lineRule="auto"/>
        <w:rPr>
          <w:rFonts w:ascii="Arial" w:cs="Arial" w:hAnsi="Arial"/>
          <w:b/>
          <w:bCs/>
          <w:sz w:val="24"/>
          <w:szCs w:val="24"/>
        </w:rPr>
      </w:pPr>
    </w:p>
    <w:p w14:paraId="00000082">
      <w:pPr>
        <w:spacing w:line="360" w:lineRule="auto"/>
        <w:rPr>
          <w:rFonts w:ascii="Arial" w:cs="Arial" w:hAnsi="Arial"/>
          <w:b/>
          <w:bCs/>
          <w:sz w:val="24"/>
          <w:szCs w:val="24"/>
        </w:rPr>
      </w:pPr>
      <w:r>
        <w:rPr>
          <w:rFonts w:ascii="Arial" w:cs="Arial" w:hAnsi="Arial"/>
          <w:b/>
          <w:bCs/>
          <w:sz w:val="24"/>
          <w:szCs w:val="24"/>
        </w:rPr>
        <w:t>Conclusion</w:t>
      </w:r>
    </w:p>
    <w:p w14:paraId="0000008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r>
        <w:rPr>
          <w:rFonts w:ascii="Arial" w:cs="Arial" w:hAnsi="Arial"/>
          <w:color w:val="000000"/>
          <w:sz w:val="24"/>
          <w:szCs w:val="24"/>
          <w:rtl w:val="off"/>
          <w:lang w:val="en-US"/>
        </w:rPr>
        <w:t>Telemedicine is a major digital innovation that has transformed health and social care within the UK. It has improved access to healthcare, increased flexibility for healthcare professionals, reduced waiting times, and supported continuity of care during challenging periods such as the COVID-19 pandemic (World Health Organization, 2022; Greenhalgh et al., 2020).</w:t>
      </w:r>
    </w:p>
    <w:p w14:paraId="0000008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8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The evidence demonstrates that telemedicine delivers substantial system-level benefits, including improved efficiency, enhanced chronic disease monitoring, and reduced pressure on overstretched NHS services (NHS England, 2023; Tsou et al., 2020). These advantages make telemedicine a valuable tool in supporting the long-term sustainability of healthcare delivery. </w:t>
      </w:r>
    </w:p>
    <w:p w14:paraId="0000008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8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However, telemedicine also presents major challenges, including digital inequality, reduced interpersonal interaction, technical limitations, diagnostic uncertainty, and concerns surrounding data security (Florea et al., 2022; Stoumpos et al., 2023). These limitations demonstrate that technological innovation alone cannot guarantee improved healthcare outcomes.</w:t>
      </w:r>
    </w:p>
    <w:p w14:paraId="0000008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8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Critically, telemedicine should be viewed as a complementary service rather than a complete replacement for traditional healthcare. A hybrid model combining digital and face-to-face care offers the most balanced approach, enabling healthcare systems to maximise efficiency while preserving safety, equity, and patient-centred care (Mehrotra et al., 2023).</w:t>
      </w:r>
    </w:p>
    <w:p w14:paraId="0000008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8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Ultimately, the long-term success of telemedicine in UK health and social care will depend on investment in digital infrastructure, workforce training, patient support, and inclusive service design (NHS England, 2023; World Health Organization, 2022). When implemented thoughtfully, telemedicine has the potential to strengthen the NHS; however, if structural inequalities remain unaddressed, it risks reinforcing existing disparities in healthcare access and outcomes</w:t>
      </w:r>
      <w:r>
        <w:rPr>
          <w:rFonts w:ascii="Arial" w:cs="Arial" w:hAnsi="Arial"/>
          <w:color w:val="000000"/>
          <w:sz w:val="24"/>
          <w:szCs w:val="24"/>
          <w:rtl w:val="off"/>
          <w:lang w:val="en-US"/>
        </w:rPr>
        <w:t xml:space="preserve">. </w:t>
      </w:r>
    </w:p>
    <w:p w14:paraId="0000008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8D">
      <w:pPr>
        <w:spacing w:line="360" w:lineRule="auto"/>
        <w:rPr>
          <w:rFonts w:ascii="Arial" w:cs="Arial" w:hAnsi="Arial"/>
          <w:b/>
          <w:bCs/>
          <w:sz w:val="24"/>
          <w:szCs w:val="24"/>
          <w:u w:val="single"/>
        </w:rPr>
      </w:pPr>
    </w:p>
    <w:p w14:paraId="0000008E">
      <w:pPr>
        <w:spacing w:line="360" w:lineRule="auto"/>
        <w:rPr>
          <w:rFonts w:ascii="Arial" w:cs="Arial" w:hAnsi="Arial"/>
          <w:b/>
          <w:bCs/>
          <w:sz w:val="24"/>
          <w:szCs w:val="24"/>
          <w:u w:val="single"/>
        </w:rPr>
      </w:pPr>
    </w:p>
    <w:p w14:paraId="0000008F">
      <w:pPr>
        <w:spacing w:line="360" w:lineRule="auto"/>
        <w:rPr>
          <w:rFonts w:ascii="Arial" w:cs="Arial" w:hAnsi="Arial"/>
          <w:b/>
          <w:bCs/>
          <w:sz w:val="24"/>
          <w:szCs w:val="24"/>
          <w:u w:val="single"/>
        </w:rPr>
      </w:pPr>
    </w:p>
    <w:p w14:paraId="00000090">
      <w:pPr>
        <w:spacing w:line="360" w:lineRule="auto"/>
        <w:rPr>
          <w:rFonts w:ascii="Arial" w:cs="Arial" w:hAnsi="Arial"/>
          <w:b/>
          <w:bCs/>
          <w:sz w:val="24"/>
          <w:szCs w:val="24"/>
          <w:u w:val="single"/>
        </w:rPr>
      </w:pPr>
    </w:p>
    <w:p w14:paraId="00000091">
      <w:pPr>
        <w:spacing w:line="360" w:lineRule="auto"/>
        <w:rPr>
          <w:rFonts w:ascii="Arial" w:cs="Arial" w:hAnsi="Arial"/>
          <w:b/>
          <w:bCs/>
          <w:sz w:val="24"/>
          <w:szCs w:val="24"/>
          <w:u w:val="single"/>
        </w:rPr>
      </w:pPr>
    </w:p>
    <w:p w14:paraId="00000092">
      <w:pPr>
        <w:spacing w:line="360" w:lineRule="auto"/>
        <w:rPr>
          <w:rFonts w:ascii="Arial" w:cs="Arial" w:hAnsi="Arial"/>
          <w:b/>
          <w:bCs/>
          <w:sz w:val="24"/>
          <w:szCs w:val="24"/>
          <w:u w:val="single"/>
        </w:rPr>
      </w:pPr>
      <w:r>
        <w:rPr>
          <w:rFonts w:ascii="Arial" w:cs="Arial" w:hAnsi="Arial"/>
          <w:b/>
          <w:bCs/>
          <w:sz w:val="24"/>
          <w:szCs w:val="24"/>
          <w:u w:val="single"/>
        </w:rPr>
        <w:t>REFERENCES</w:t>
      </w:r>
    </w:p>
    <w:p w14:paraId="0000009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Alashek, W.A. and Ali, S.A. (2024) ‘Satisfaction with telemedicine use during COVID-19 pandemic in the UK: a systematic review’, </w:t>
      </w:r>
      <w:r>
        <w:rPr>
          <w:rFonts w:ascii="Arial" w:cs="Arial" w:hAnsi="Arial"/>
          <w:i/>
          <w:color w:val="000000"/>
          <w:sz w:val="24"/>
          <w:szCs w:val="24"/>
          <w:rtl w:val="off"/>
          <w:lang w:val="en-US"/>
        </w:rPr>
        <w:t>Libyan Journal of Medicine</w:t>
      </w:r>
      <w:r>
        <w:rPr>
          <w:rFonts w:ascii="Arial" w:cs="Arial" w:hAnsi="Arial"/>
          <w:color w:val="000000"/>
          <w:sz w:val="24"/>
          <w:szCs w:val="24"/>
          <w:rtl w:val="off"/>
          <w:lang w:val="en-US"/>
        </w:rPr>
        <w:t xml:space="preserve">, 19(1). Available at: </w:t>
      </w:r>
      <w:r>
        <w:rPr>
          <w:rFonts w:ascii="Arial" w:cs="Arial" w:hAnsi="Arial"/>
          <w:color w:val="6d6d6d"/>
          <w:sz w:val="24"/>
          <w:szCs w:val="24"/>
          <w:u w:val="single"/>
          <w:rtl w:val="off"/>
          <w:lang w:val="en-US"/>
        </w:rPr>
        <w:fldChar w:fldCharType="begin"/>
      </w:r>
      <w:r>
        <w:rPr>
          <w:rFonts w:ascii="Arial" w:cs="Arial" w:hAnsi="Arial"/>
          <w:color w:val="6d6d6d"/>
          <w:sz w:val="24"/>
          <w:szCs w:val="24"/>
          <w:u w:val="single"/>
          <w:rtl w:val="off"/>
          <w:lang w:val="en-US"/>
        </w:rPr>
        <w:instrText xml:space="preserve"> HYPERLINK "https://doi.org/10.1080/19932820.2024.2301829?utm_source=chatgpt.com" </w:instrText>
      </w:r>
      <w:r>
        <w:rPr>
          <w:rFonts w:ascii="Arial" w:cs="Arial" w:hAnsi="Arial"/>
          <w:color w:val="6d6d6d"/>
          <w:sz w:val="24"/>
          <w:szCs w:val="24"/>
          <w:u w:val="single"/>
          <w:rtl w:val="off"/>
          <w:lang w:val="en-US"/>
        </w:rPr>
        <w:fldChar w:fldCharType="separate"/>
      </w:r>
      <w:r>
        <w:rPr>
          <w:rFonts w:ascii="Arial" w:cs="Arial" w:hAnsi="Arial"/>
          <w:color w:val="6d6d6d"/>
          <w:sz w:val="24"/>
          <w:szCs w:val="24"/>
          <w:u w:val="single"/>
          <w:rtl w:val="off"/>
          <w:lang w:val="en-US"/>
        </w:rPr>
        <w:t>DOI link</w:t>
      </w:r>
      <w:r>
        <w:rPr>
          <w:rFonts w:ascii="Arial" w:cs="Arial" w:hAnsi="Arial"/>
          <w:color w:val="000000"/>
          <w:sz w:val="24"/>
          <w:szCs w:val="24"/>
          <w:rtl w:val="off"/>
          <w:lang w:val="en-US"/>
        </w:rPr>
        <w:fldChar w:fldCharType="end"/>
      </w:r>
      <w:r>
        <w:rPr>
          <w:rFonts w:ascii="Arial" w:cs="Arial" w:hAnsi="Arial"/>
          <w:color w:val="000000"/>
          <w:sz w:val="24"/>
          <w:szCs w:val="24"/>
          <w:rtl w:val="off"/>
          <w:lang w:val="en-US"/>
        </w:rPr>
        <w:t xml:space="preserve"> (Accessed: 26 June 2026).</w:t>
      </w:r>
    </w:p>
    <w:p w14:paraId="0000009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9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Bashshur, R., Doarn, C.R. and Frenk, J. (2020) ‘Telemedicine and the COVID-19 pandemic’, </w:t>
      </w:r>
      <w:r>
        <w:rPr>
          <w:rFonts w:ascii="Arial" w:cs="Arial" w:hAnsi="Arial"/>
          <w:i/>
          <w:color w:val="000000"/>
          <w:sz w:val="24"/>
          <w:szCs w:val="24"/>
          <w:rtl w:val="off"/>
          <w:lang w:val="en-US"/>
        </w:rPr>
        <w:t>Telemedicine and e-Health</w:t>
      </w:r>
      <w:r>
        <w:rPr>
          <w:rFonts w:ascii="Arial" w:cs="Arial" w:hAnsi="Arial"/>
          <w:color w:val="000000"/>
          <w:sz w:val="24"/>
          <w:szCs w:val="24"/>
          <w:rtl w:val="off"/>
          <w:lang w:val="en-US"/>
        </w:rPr>
        <w:t>, 26(5), pp. 571–573.</w:t>
      </w:r>
    </w:p>
    <w:p w14:paraId="0000009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9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Ekeland, A.G., Bowes, A. and Flottorp, S. (2010) ‘Effectiveness of telemedicine: a systematic review of reviews’, </w:t>
      </w:r>
      <w:r>
        <w:rPr>
          <w:rFonts w:ascii="Arial" w:cs="Arial" w:hAnsi="Arial"/>
          <w:i/>
          <w:color w:val="000000"/>
          <w:sz w:val="24"/>
          <w:szCs w:val="24"/>
          <w:rtl w:val="off"/>
          <w:lang w:val="en-US"/>
        </w:rPr>
        <w:t>International Journal of Medical Informatics</w:t>
      </w:r>
      <w:r>
        <w:rPr>
          <w:rFonts w:ascii="Arial" w:cs="Arial" w:hAnsi="Arial"/>
          <w:color w:val="000000"/>
          <w:sz w:val="24"/>
          <w:szCs w:val="24"/>
          <w:rtl w:val="off"/>
          <w:lang w:val="en-US"/>
        </w:rPr>
        <w:t xml:space="preserve">, 79(11), pp. 736–771. Available at: </w:t>
      </w:r>
      <w:r>
        <w:rPr>
          <w:rFonts w:ascii="Arial" w:cs="Arial" w:hAnsi="Arial"/>
          <w:color w:val="000000"/>
          <w:sz w:val="24"/>
          <w:szCs w:val="24"/>
          <w:rtl w:val="off"/>
          <w:lang w:val="en-US"/>
        </w:rPr>
        <w:t>DOI link</w:t>
      </w:r>
      <w:r>
        <w:rPr>
          <w:rFonts w:ascii="Arial" w:cs="Arial" w:hAnsi="Arial"/>
          <w:color w:val="000000"/>
          <w:sz w:val="24"/>
          <w:szCs w:val="24"/>
          <w:rtl w:val="off"/>
          <w:lang w:val="en-US"/>
        </w:rPr>
        <w:t xml:space="preserve"> (Accessed: 26 June 2026).</w:t>
      </w:r>
    </w:p>
    <w:p w14:paraId="0000009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9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Elhakeem, M. </w:t>
      </w:r>
      <w:r>
        <w:rPr>
          <w:rFonts w:ascii="Arial" w:cs="Arial" w:hAnsi="Arial"/>
          <w:i/>
          <w:color w:val="000000"/>
          <w:sz w:val="24"/>
          <w:szCs w:val="24"/>
          <w:rtl w:val="off"/>
          <w:lang w:val="en-US"/>
        </w:rPr>
        <w:t>et al.</w:t>
      </w:r>
      <w:r>
        <w:rPr>
          <w:rFonts w:ascii="Arial" w:cs="Arial" w:hAnsi="Arial"/>
          <w:color w:val="000000"/>
          <w:sz w:val="24"/>
          <w:szCs w:val="24"/>
          <w:rtl w:val="off"/>
          <w:lang w:val="en-US"/>
        </w:rPr>
        <w:t xml:space="preserve"> (2022) ‘Patients’ experience and satisfaction using telemedicine’, </w:t>
      </w:r>
      <w:r>
        <w:rPr>
          <w:rFonts w:ascii="Arial" w:cs="Arial" w:hAnsi="Arial"/>
          <w:i/>
          <w:color w:val="000000"/>
          <w:sz w:val="24"/>
          <w:szCs w:val="24"/>
          <w:rtl w:val="off"/>
          <w:lang w:val="en-US"/>
        </w:rPr>
        <w:t>Health Science Reports</w:t>
      </w:r>
      <w:r>
        <w:rPr>
          <w:rFonts w:ascii="Arial" w:cs="Arial" w:hAnsi="Arial"/>
          <w:color w:val="000000"/>
          <w:sz w:val="24"/>
          <w:szCs w:val="24"/>
          <w:rtl w:val="off"/>
          <w:lang w:val="en-US"/>
        </w:rPr>
        <w:t xml:space="preserve">, 5(6). Available at: </w:t>
      </w:r>
      <w:r>
        <w:rPr>
          <w:rFonts w:ascii="Arial" w:cs="Arial" w:hAnsi="Arial"/>
          <w:color w:val="6d6d6d"/>
          <w:sz w:val="24"/>
          <w:szCs w:val="24"/>
          <w:u w:val="single"/>
          <w:rtl w:val="off"/>
          <w:lang w:val="en-US"/>
        </w:rPr>
        <w:fldChar w:fldCharType="begin"/>
      </w:r>
      <w:r>
        <w:rPr>
          <w:rFonts w:ascii="Arial" w:cs="Arial" w:hAnsi="Arial"/>
          <w:color w:val="6d6d6d"/>
          <w:sz w:val="24"/>
          <w:szCs w:val="24"/>
          <w:u w:val="single"/>
          <w:rtl w:val="off"/>
          <w:lang w:val="en-US"/>
        </w:rPr>
        <w:instrText xml:space="preserve"> HYPERLINK "https://doi.org/10.1002/hsr2.883?utm_source=chatgpt.com" </w:instrText>
      </w:r>
      <w:r>
        <w:rPr>
          <w:rFonts w:ascii="Arial" w:cs="Arial" w:hAnsi="Arial"/>
          <w:color w:val="6d6d6d"/>
          <w:sz w:val="24"/>
          <w:szCs w:val="24"/>
          <w:u w:val="single"/>
          <w:rtl w:val="off"/>
          <w:lang w:val="en-US"/>
        </w:rPr>
        <w:fldChar w:fldCharType="separate"/>
      </w:r>
      <w:r>
        <w:rPr>
          <w:rFonts w:ascii="Arial" w:cs="Arial" w:hAnsi="Arial"/>
          <w:color w:val="6d6d6d"/>
          <w:sz w:val="24"/>
          <w:szCs w:val="24"/>
          <w:u w:val="single"/>
          <w:rtl w:val="off"/>
          <w:lang w:val="en-US"/>
        </w:rPr>
        <w:t>DOI link</w:t>
      </w:r>
      <w:r>
        <w:rPr>
          <w:rFonts w:ascii="Arial" w:cs="Arial" w:hAnsi="Arial"/>
          <w:color w:val="000000"/>
          <w:sz w:val="24"/>
          <w:szCs w:val="24"/>
          <w:rtl w:val="off"/>
          <w:lang w:val="en-US"/>
        </w:rPr>
        <w:fldChar w:fldCharType="end"/>
      </w:r>
      <w:r>
        <w:rPr>
          <w:rFonts w:ascii="Arial" w:cs="Arial" w:hAnsi="Arial"/>
          <w:color w:val="000000"/>
          <w:sz w:val="24"/>
          <w:szCs w:val="24"/>
          <w:rtl w:val="off"/>
          <w:lang w:val="en-US"/>
        </w:rPr>
        <w:t xml:space="preserve"> (Accessed: 26 June 2026).</w:t>
      </w:r>
    </w:p>
    <w:p w14:paraId="0000009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9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Florea, M. </w:t>
      </w:r>
      <w:r>
        <w:rPr>
          <w:rFonts w:ascii="Arial" w:cs="Arial" w:hAnsi="Arial"/>
          <w:i/>
          <w:color w:val="000000"/>
          <w:sz w:val="24"/>
          <w:szCs w:val="24"/>
          <w:rtl w:val="off"/>
          <w:lang w:val="en-US"/>
        </w:rPr>
        <w:t>et al.</w:t>
      </w:r>
      <w:r>
        <w:rPr>
          <w:rFonts w:ascii="Arial" w:cs="Arial" w:hAnsi="Arial"/>
          <w:color w:val="000000"/>
          <w:sz w:val="24"/>
          <w:szCs w:val="24"/>
          <w:rtl w:val="off"/>
          <w:lang w:val="en-US"/>
        </w:rPr>
        <w:t xml:space="preserve"> (2022) ‘Telemedicine challenges and barriers’, </w:t>
      </w:r>
      <w:r>
        <w:rPr>
          <w:rFonts w:ascii="Arial" w:cs="Arial" w:hAnsi="Arial"/>
          <w:i/>
          <w:color w:val="000000"/>
          <w:sz w:val="24"/>
          <w:szCs w:val="24"/>
          <w:rtl w:val="off"/>
          <w:lang w:val="en-US"/>
        </w:rPr>
        <w:t>Journal of Family Medicine and Primary Care</w:t>
      </w:r>
      <w:r>
        <w:rPr>
          <w:rFonts w:ascii="Arial" w:cs="Arial" w:hAnsi="Arial"/>
          <w:color w:val="000000"/>
          <w:sz w:val="24"/>
          <w:szCs w:val="24"/>
          <w:rtl w:val="off"/>
          <w:lang w:val="en-US"/>
        </w:rPr>
        <w:t>, 11(3), pp. 879–886.</w:t>
      </w:r>
    </w:p>
    <w:p w14:paraId="0000009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Greenhalgh, T. </w:t>
      </w:r>
      <w:r>
        <w:rPr>
          <w:rFonts w:ascii="Arial" w:cs="Arial" w:hAnsi="Arial"/>
          <w:i/>
          <w:color w:val="000000"/>
          <w:sz w:val="24"/>
          <w:szCs w:val="24"/>
          <w:rtl w:val="off"/>
          <w:lang w:val="en-US"/>
        </w:rPr>
        <w:t>et al.</w:t>
      </w:r>
      <w:r>
        <w:rPr>
          <w:rFonts w:ascii="Arial" w:cs="Arial" w:hAnsi="Arial"/>
          <w:color w:val="000000"/>
          <w:sz w:val="24"/>
          <w:szCs w:val="24"/>
          <w:rtl w:val="off"/>
          <w:lang w:val="en-US"/>
        </w:rPr>
        <w:t xml:space="preserve"> (2020) ‘COVID-19: a remote assessment in primary care’, </w:t>
      </w:r>
      <w:r>
        <w:rPr>
          <w:rFonts w:ascii="Arial" w:cs="Arial" w:hAnsi="Arial"/>
          <w:i/>
          <w:color w:val="000000"/>
          <w:sz w:val="24"/>
          <w:szCs w:val="24"/>
          <w:rtl w:val="off"/>
          <w:lang w:val="en-US"/>
        </w:rPr>
        <w:t>BMJ</w:t>
      </w:r>
      <w:r>
        <w:rPr>
          <w:rFonts w:ascii="Arial" w:cs="Arial" w:hAnsi="Arial"/>
          <w:color w:val="000000"/>
          <w:sz w:val="24"/>
          <w:szCs w:val="24"/>
          <w:rtl w:val="off"/>
          <w:lang w:val="en-US"/>
        </w:rPr>
        <w:t>, 368.</w:t>
      </w:r>
    </w:p>
    <w:p w14:paraId="0000009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9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Jafarzadeh, F. </w:t>
      </w:r>
      <w:r>
        <w:rPr>
          <w:rFonts w:ascii="Arial" w:cs="Arial" w:hAnsi="Arial"/>
          <w:i/>
          <w:color w:val="000000"/>
          <w:sz w:val="24"/>
          <w:szCs w:val="24"/>
          <w:rtl w:val="off"/>
          <w:lang w:val="en-US"/>
        </w:rPr>
        <w:t>et al.</w:t>
      </w:r>
      <w:r>
        <w:rPr>
          <w:rFonts w:ascii="Arial" w:cs="Arial" w:hAnsi="Arial"/>
          <w:color w:val="000000"/>
          <w:sz w:val="24"/>
          <w:szCs w:val="24"/>
          <w:rtl w:val="off"/>
          <w:lang w:val="en-US"/>
        </w:rPr>
        <w:t xml:space="preserve"> (2022) ‘Applications of telemedicine’, </w:t>
      </w:r>
      <w:r>
        <w:rPr>
          <w:rFonts w:ascii="Arial" w:cs="Arial" w:hAnsi="Arial"/>
          <w:i/>
          <w:color w:val="000000"/>
          <w:sz w:val="24"/>
          <w:szCs w:val="24"/>
          <w:rtl w:val="off"/>
          <w:lang w:val="en-US"/>
        </w:rPr>
        <w:t>Journal of Family Medicine and Primary Care</w:t>
      </w:r>
      <w:r>
        <w:rPr>
          <w:rFonts w:ascii="Arial" w:cs="Arial" w:hAnsi="Arial"/>
          <w:color w:val="000000"/>
          <w:sz w:val="24"/>
          <w:szCs w:val="24"/>
          <w:rtl w:val="off"/>
          <w:lang w:val="en-US"/>
        </w:rPr>
        <w:t>, 11(3), pp. 879–886.</w:t>
      </w:r>
    </w:p>
    <w:p w14:paraId="0000009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Malik, T., Ong, S.C. and Butt, M.D. (2025) ‘Enhancing healthcare access through telehealth: patient-centred insights from Pakistan’s primary care sector’, </w:t>
      </w:r>
      <w:r>
        <w:rPr>
          <w:rFonts w:ascii="Arial" w:cs="Arial" w:hAnsi="Arial"/>
          <w:i/>
          <w:color w:val="000000"/>
          <w:sz w:val="24"/>
          <w:szCs w:val="24"/>
          <w:rtl w:val="off"/>
          <w:lang w:val="en-US"/>
        </w:rPr>
        <w:t>BMC Health Services Research</w:t>
      </w:r>
      <w:r>
        <w:rPr>
          <w:rFonts w:ascii="Arial" w:cs="Arial" w:hAnsi="Arial"/>
          <w:color w:val="000000"/>
          <w:sz w:val="24"/>
          <w:szCs w:val="24"/>
          <w:rtl w:val="off"/>
          <w:lang w:val="en-US"/>
        </w:rPr>
        <w:t xml:space="preserve">, 25(1). Available at: </w:t>
      </w:r>
      <w:r>
        <w:rPr>
          <w:rFonts w:ascii="Arial" w:cs="Arial" w:hAnsi="Arial"/>
          <w:color w:val="000000"/>
          <w:sz w:val="24"/>
          <w:szCs w:val="24"/>
          <w:rtl w:val="off"/>
          <w:lang w:val="en-US"/>
        </w:rPr>
        <w:t>DOI link</w:t>
      </w:r>
      <w:r>
        <w:rPr>
          <w:rFonts w:ascii="Arial" w:cs="Arial" w:hAnsi="Arial"/>
          <w:color w:val="000000"/>
          <w:sz w:val="24"/>
          <w:szCs w:val="24"/>
          <w:rtl w:val="off"/>
          <w:lang w:val="en-US"/>
        </w:rPr>
        <w:t xml:space="preserve"> (Accessed: 26 June 2026). </w:t>
      </w:r>
    </w:p>
    <w:p w14:paraId="000000A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rtl w:val="off"/>
          <w:lang w:val="en-US"/>
        </w:rPr>
      </w:pPr>
    </w:p>
    <w:p w14:paraId="000000A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NHS England</w:t>
      </w:r>
      <w:r>
        <w:rPr>
          <w:rFonts w:ascii="Arial" w:cs="Arial" w:hAnsi="Arial"/>
          <w:color w:val="000000"/>
          <w:sz w:val="24"/>
          <w:szCs w:val="24"/>
          <w:rtl w:val="off"/>
          <w:lang w:val="en-US"/>
        </w:rPr>
        <w:t xml:space="preserve"> (2023) </w:t>
      </w:r>
      <w:r>
        <w:rPr>
          <w:rFonts w:ascii="Arial" w:cs="Arial" w:hAnsi="Arial"/>
          <w:i/>
          <w:color w:val="000000"/>
          <w:sz w:val="24"/>
          <w:szCs w:val="24"/>
          <w:rtl w:val="off"/>
          <w:lang w:val="en-US"/>
        </w:rPr>
        <w:t>Digital transformation in healthcare</w:t>
      </w:r>
      <w:r>
        <w:rPr>
          <w:rFonts w:ascii="Arial" w:cs="Arial" w:hAnsi="Arial"/>
          <w:color w:val="000000"/>
          <w:sz w:val="24"/>
          <w:szCs w:val="24"/>
          <w:rtl w:val="off"/>
          <w:lang w:val="en-US"/>
        </w:rPr>
        <w:t xml:space="preserve">. Available at: </w:t>
      </w:r>
      <w:r>
        <w:rPr>
          <w:rFonts w:ascii="Arial" w:cs="Arial" w:hAnsi="Arial"/>
          <w:color w:val="6d6d6d"/>
          <w:sz w:val="24"/>
          <w:szCs w:val="24"/>
          <w:u w:val="single"/>
          <w:rtl w:val="off"/>
          <w:lang w:val="en-US"/>
        </w:rPr>
        <w:fldChar w:fldCharType="begin"/>
      </w:r>
      <w:r>
        <w:rPr>
          <w:rFonts w:ascii="Arial" w:cs="Arial" w:hAnsi="Arial"/>
          <w:color w:val="6d6d6d"/>
          <w:sz w:val="24"/>
          <w:szCs w:val="24"/>
          <w:u w:val="single"/>
          <w:rtl w:val="off"/>
          <w:lang w:val="en-US"/>
        </w:rPr>
        <w:instrText xml:space="preserve"> HYPERLINK "https://www.england.nhs.uk?utm_source=chatgpt.com" </w:instrText>
      </w:r>
      <w:r>
        <w:rPr>
          <w:rFonts w:ascii="Arial" w:cs="Arial" w:hAnsi="Arial"/>
          <w:color w:val="6d6d6d"/>
          <w:sz w:val="24"/>
          <w:szCs w:val="24"/>
          <w:u w:val="single"/>
          <w:rtl w:val="off"/>
          <w:lang w:val="en-US"/>
        </w:rPr>
        <w:fldChar w:fldCharType="separate"/>
      </w:r>
      <w:r>
        <w:rPr>
          <w:rFonts w:ascii="Arial" w:cs="Arial" w:hAnsi="Arial"/>
          <w:color w:val="6d6d6d"/>
          <w:sz w:val="24"/>
          <w:szCs w:val="24"/>
          <w:u w:val="single"/>
          <w:rtl w:val="off"/>
          <w:lang w:val="en-US"/>
        </w:rPr>
        <w:t>NHS England website</w:t>
      </w:r>
      <w:r>
        <w:rPr>
          <w:rFonts w:ascii="Arial" w:cs="Arial" w:hAnsi="Arial"/>
          <w:color w:val="000000"/>
          <w:sz w:val="24"/>
          <w:szCs w:val="24"/>
          <w:rtl w:val="off"/>
          <w:lang w:val="en-US"/>
        </w:rPr>
        <w:fldChar w:fldCharType="end"/>
      </w:r>
      <w:r>
        <w:rPr>
          <w:rFonts w:ascii="Arial" w:cs="Arial" w:hAnsi="Arial"/>
          <w:color w:val="000000"/>
          <w:sz w:val="24"/>
          <w:szCs w:val="24"/>
          <w:rtl w:val="off"/>
          <w:lang w:val="en-US"/>
        </w:rPr>
        <w:t xml:space="preserve"> (Accessed: 26 June 2026).</w:t>
      </w:r>
    </w:p>
    <w:p w14:paraId="000000A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Stoumpos, A.I., Kitsios, F. and Talias, M.A. (2023) ‘Digital transformation in healthcare: technology acceptance and its applications’, </w:t>
      </w:r>
      <w:r>
        <w:rPr>
          <w:rFonts w:ascii="Arial" w:cs="Arial" w:hAnsi="Arial"/>
          <w:i/>
          <w:color w:val="000000"/>
          <w:sz w:val="24"/>
          <w:szCs w:val="24"/>
          <w:rtl w:val="off"/>
          <w:lang w:val="en-US"/>
        </w:rPr>
        <w:t>International Journal of Environmental Research and Public Health</w:t>
      </w:r>
      <w:r>
        <w:rPr>
          <w:rFonts w:ascii="Arial" w:cs="Arial" w:hAnsi="Arial"/>
          <w:color w:val="000000"/>
          <w:sz w:val="24"/>
          <w:szCs w:val="24"/>
          <w:rtl w:val="off"/>
          <w:lang w:val="en-US"/>
        </w:rPr>
        <w:t xml:space="preserve">, 20(4). Available at: </w:t>
      </w:r>
      <w:r>
        <w:rPr>
          <w:rFonts w:ascii="Arial" w:cs="Arial" w:hAnsi="Arial"/>
          <w:color w:val="000000"/>
          <w:sz w:val="24"/>
          <w:szCs w:val="24"/>
          <w:rtl w:val="off"/>
          <w:lang w:val="en-US"/>
        </w:rPr>
        <w:t>DOI link</w:t>
      </w:r>
      <w:r>
        <w:rPr>
          <w:rFonts w:ascii="Arial" w:cs="Arial" w:hAnsi="Arial"/>
          <w:color w:val="000000"/>
          <w:sz w:val="24"/>
          <w:szCs w:val="24"/>
          <w:rtl w:val="off"/>
          <w:lang w:val="en-US"/>
        </w:rPr>
        <w:t xml:space="preserve"> (Accessed: 26 June 2026).</w:t>
      </w:r>
    </w:p>
    <w:p w14:paraId="000000A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Tsou, C. </w:t>
      </w:r>
      <w:r>
        <w:rPr>
          <w:rFonts w:ascii="Arial" w:cs="Arial" w:hAnsi="Arial"/>
          <w:i/>
          <w:color w:val="000000"/>
          <w:sz w:val="24"/>
          <w:szCs w:val="24"/>
          <w:rtl w:val="off"/>
          <w:lang w:val="en-US"/>
        </w:rPr>
        <w:t>et al.</w:t>
      </w:r>
      <w:r>
        <w:rPr>
          <w:rFonts w:ascii="Arial" w:cs="Arial" w:hAnsi="Arial"/>
          <w:color w:val="000000"/>
          <w:sz w:val="24"/>
          <w:szCs w:val="24"/>
          <w:rtl w:val="off"/>
          <w:lang w:val="en-US"/>
        </w:rPr>
        <w:t xml:space="preserve"> (2020) ‘Effectiveness and cost-effectiveness of telehealth in rural and remote emergency departments: a systematic review protocol’, </w:t>
      </w:r>
      <w:r>
        <w:rPr>
          <w:rFonts w:ascii="Arial" w:cs="Arial" w:hAnsi="Arial"/>
          <w:i/>
          <w:color w:val="000000"/>
          <w:sz w:val="24"/>
          <w:szCs w:val="24"/>
          <w:rtl w:val="off"/>
          <w:lang w:val="en-US"/>
        </w:rPr>
        <w:t>Systematic Reviews</w:t>
      </w:r>
      <w:r>
        <w:rPr>
          <w:rFonts w:ascii="Arial" w:cs="Arial" w:hAnsi="Arial"/>
          <w:color w:val="000000"/>
          <w:sz w:val="24"/>
          <w:szCs w:val="24"/>
          <w:rtl w:val="off"/>
          <w:lang w:val="en-US"/>
        </w:rPr>
        <w:t xml:space="preserve">, 9(1). Available at: </w:t>
      </w:r>
      <w:r>
        <w:rPr>
          <w:rFonts w:ascii="Arial" w:cs="Arial" w:hAnsi="Arial"/>
          <w:color w:val="000000"/>
          <w:sz w:val="24"/>
          <w:szCs w:val="24"/>
          <w:rtl w:val="off"/>
          <w:lang w:val="en-US"/>
        </w:rPr>
        <w:t>DOI link</w:t>
      </w:r>
      <w:r>
        <w:rPr>
          <w:rFonts w:ascii="Arial" w:cs="Arial" w:hAnsi="Arial"/>
          <w:color w:val="000000"/>
          <w:sz w:val="24"/>
          <w:szCs w:val="24"/>
          <w:rtl w:val="off"/>
          <w:lang w:val="en-US"/>
        </w:rPr>
        <w:t xml:space="preserve"> (Accessed: 26 June 2026).</w:t>
      </w:r>
    </w:p>
    <w:p w14:paraId="000000A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Wade, V.A., Karnon, J., Elshaug, A.G. and Hiller, J.E. (2010) ‘A systematic review of economic analyses of telehealth services’, </w:t>
      </w:r>
      <w:r>
        <w:rPr>
          <w:rFonts w:ascii="Arial" w:cs="Arial" w:hAnsi="Arial"/>
          <w:i/>
          <w:color w:val="000000"/>
          <w:sz w:val="24"/>
          <w:szCs w:val="24"/>
          <w:rtl w:val="off"/>
          <w:lang w:val="en-US"/>
        </w:rPr>
        <w:t>Journal of Telemedicine and Telecare</w:t>
      </w:r>
      <w:r>
        <w:rPr>
          <w:rFonts w:ascii="Arial" w:cs="Arial" w:hAnsi="Arial"/>
          <w:color w:val="000000"/>
          <w:sz w:val="24"/>
          <w:szCs w:val="24"/>
          <w:rtl w:val="off"/>
          <w:lang w:val="en-US"/>
        </w:rPr>
        <w:t xml:space="preserve">, 16(2), pp. 59–63. Available at: </w:t>
      </w:r>
      <w:r>
        <w:rPr>
          <w:rFonts w:ascii="Arial" w:cs="Arial" w:hAnsi="Arial"/>
          <w:color w:val="000000"/>
          <w:sz w:val="24"/>
          <w:szCs w:val="24"/>
          <w:rtl w:val="off"/>
          <w:lang w:val="en-US"/>
        </w:rPr>
        <w:t>DOI link</w:t>
      </w:r>
      <w:r>
        <w:rPr>
          <w:rFonts w:ascii="Arial" w:cs="Arial" w:hAnsi="Arial"/>
          <w:color w:val="000000"/>
          <w:sz w:val="24"/>
          <w:szCs w:val="24"/>
          <w:rtl w:val="off"/>
          <w:lang w:val="en-US"/>
        </w:rPr>
        <w:t xml:space="preserve"> (Accessed: 26 June 2026).</w:t>
      </w:r>
    </w:p>
    <w:p w14:paraId="000000A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Werkmeister, S. </w:t>
      </w:r>
      <w:r>
        <w:rPr>
          <w:rFonts w:ascii="Arial" w:cs="Arial" w:hAnsi="Arial"/>
          <w:i/>
          <w:color w:val="000000"/>
          <w:sz w:val="24"/>
          <w:szCs w:val="24"/>
          <w:rtl w:val="off"/>
          <w:lang w:val="en-US"/>
        </w:rPr>
        <w:t>et al.</w:t>
      </w:r>
      <w:r>
        <w:rPr>
          <w:rFonts w:ascii="Arial" w:cs="Arial" w:hAnsi="Arial"/>
          <w:color w:val="000000"/>
          <w:sz w:val="24"/>
          <w:szCs w:val="24"/>
          <w:rtl w:val="off"/>
          <w:lang w:val="en-US"/>
        </w:rPr>
        <w:t xml:space="preserve"> (2024) ‘Environmental factors for sustained telehealth use in mental health services: a mixed methods analysis’, </w:t>
      </w:r>
      <w:r>
        <w:rPr>
          <w:rFonts w:ascii="Arial" w:cs="Arial" w:hAnsi="Arial"/>
          <w:i/>
          <w:color w:val="000000"/>
          <w:sz w:val="24"/>
          <w:szCs w:val="24"/>
          <w:rtl w:val="off"/>
          <w:lang w:val="en-US"/>
        </w:rPr>
        <w:t>International Journal of Telemedicine and Applications</w:t>
      </w:r>
      <w:r>
        <w:rPr>
          <w:rFonts w:ascii="Arial" w:cs="Arial" w:hAnsi="Arial"/>
          <w:color w:val="000000"/>
          <w:sz w:val="24"/>
          <w:szCs w:val="24"/>
          <w:rtl w:val="off"/>
          <w:lang w:val="en-US"/>
        </w:rPr>
        <w:t xml:space="preserve">, 2024, Article 8835933. Available at: </w:t>
      </w:r>
      <w:r>
        <w:rPr>
          <w:rFonts w:ascii="Arial" w:cs="Arial" w:hAnsi="Arial"/>
          <w:color w:val="000000"/>
          <w:sz w:val="24"/>
          <w:szCs w:val="24"/>
          <w:rtl w:val="off"/>
          <w:lang w:val="en-US"/>
        </w:rPr>
        <w:t>DOI link</w:t>
      </w:r>
      <w:r>
        <w:rPr>
          <w:rFonts w:ascii="Arial" w:cs="Arial" w:hAnsi="Arial"/>
          <w:color w:val="000000"/>
          <w:sz w:val="24"/>
          <w:szCs w:val="24"/>
          <w:rtl w:val="off"/>
          <w:lang w:val="en-US"/>
        </w:rPr>
        <w:t xml:space="preserve"> (Accessed: 26 June 2026).</w:t>
      </w:r>
    </w:p>
    <w:p w14:paraId="000000A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Arial" w:cs="Arial" w:hAnsi="Arial"/>
          <w:color w:val="000000"/>
          <w:sz w:val="24"/>
          <w:szCs w:val="24"/>
          <w:rtl w:val="off"/>
          <w:lang w:val="en-US"/>
        </w:rPr>
        <w:t>World Health Organization</w:t>
      </w:r>
      <w:r>
        <w:rPr>
          <w:rFonts w:ascii="Arial" w:cs="Arial" w:hAnsi="Arial"/>
          <w:color w:val="000000"/>
          <w:sz w:val="24"/>
          <w:szCs w:val="24"/>
          <w:rtl w:val="off"/>
          <w:lang w:val="en-US"/>
        </w:rPr>
        <w:t xml:space="preserve"> (2022) </w:t>
      </w:r>
      <w:r>
        <w:rPr>
          <w:rFonts w:ascii="Arial" w:cs="Arial" w:hAnsi="Arial"/>
          <w:i/>
          <w:color w:val="000000"/>
          <w:sz w:val="24"/>
          <w:szCs w:val="24"/>
          <w:rtl w:val="off"/>
          <w:lang w:val="en-US"/>
        </w:rPr>
        <w:t>Consolidated telemedicine implementation guide</w:t>
      </w:r>
      <w:r>
        <w:rPr>
          <w:rFonts w:ascii="Arial" w:cs="Arial" w:hAnsi="Arial"/>
          <w:color w:val="000000"/>
          <w:sz w:val="24"/>
          <w:szCs w:val="24"/>
          <w:rtl w:val="off"/>
          <w:lang w:val="en-US"/>
        </w:rPr>
        <w:t xml:space="preserve">. Geneva: World Health Organization. Available at: </w:t>
      </w:r>
      <w:r>
        <w:rPr>
          <w:rFonts w:ascii="Arial" w:cs="Arial" w:hAnsi="Arial"/>
          <w:color w:val="6d6d6d"/>
          <w:sz w:val="24"/>
          <w:szCs w:val="24"/>
          <w:u w:val="single"/>
          <w:rtl w:val="off"/>
          <w:lang w:val="en-US"/>
        </w:rPr>
        <w:fldChar w:fldCharType="begin"/>
      </w:r>
      <w:r>
        <w:rPr>
          <w:rFonts w:ascii="Arial" w:cs="Arial" w:hAnsi="Arial"/>
          <w:color w:val="6d6d6d"/>
          <w:sz w:val="24"/>
          <w:szCs w:val="24"/>
          <w:u w:val="single"/>
          <w:rtl w:val="off"/>
          <w:lang w:val="en-US"/>
        </w:rPr>
        <w:instrText xml:space="preserve"> HYPERLINK "https://iris.who.int/server/api/core/bitstreams/d119a69e-e56d-4c78-a2b9-52572e14217c/content?utm_source=chatgpt.com" </w:instrText>
      </w:r>
      <w:r>
        <w:rPr>
          <w:rFonts w:ascii="Arial" w:cs="Arial" w:hAnsi="Arial"/>
          <w:color w:val="6d6d6d"/>
          <w:sz w:val="24"/>
          <w:szCs w:val="24"/>
          <w:u w:val="single"/>
          <w:rtl w:val="off"/>
          <w:lang w:val="en-US"/>
        </w:rPr>
        <w:fldChar w:fldCharType="separate"/>
      </w:r>
      <w:r>
        <w:rPr>
          <w:rFonts w:ascii="Arial" w:cs="Arial" w:hAnsi="Arial"/>
          <w:color w:val="6d6d6d"/>
          <w:sz w:val="24"/>
          <w:szCs w:val="24"/>
          <w:u w:val="single"/>
          <w:rtl w:val="off"/>
          <w:lang w:val="en-US"/>
        </w:rPr>
        <w:t>WHO telemedicine guide</w:t>
      </w:r>
      <w:r>
        <w:rPr>
          <w:rFonts w:ascii="Arial" w:cs="Arial" w:hAnsi="Arial"/>
          <w:color w:val="000000"/>
          <w:sz w:val="24"/>
          <w:szCs w:val="24"/>
          <w:rtl w:val="off"/>
          <w:lang w:val="en-US"/>
        </w:rPr>
        <w:fldChar w:fldCharType="end"/>
      </w:r>
      <w:r>
        <w:rPr>
          <w:rFonts w:ascii="Arial" w:cs="Arial" w:hAnsi="Arial"/>
          <w:color w:val="000000"/>
          <w:sz w:val="24"/>
          <w:szCs w:val="24"/>
          <w:rtl w:val="off"/>
          <w:lang w:val="en-US"/>
        </w:rPr>
        <w:t xml:space="preserve"> (Accessed: 26 June 2026).</w:t>
      </w:r>
    </w:p>
    <w:p w14:paraId="000000A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A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r>
        <w:rPr>
          <w:rFonts w:ascii="Arial" w:cs="Arial" w:hAnsi="Arial"/>
          <w:color w:val="000000"/>
          <w:sz w:val="24"/>
          <w:szCs w:val="24"/>
          <w:rtl w:val="off"/>
          <w:lang w:val="en-US"/>
        </w:rPr>
        <w:t xml:space="preserve"> </w:t>
      </w:r>
    </w:p>
    <w:p w14:paraId="000000B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B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Arial" w:cs="Arial" w:hAnsi="Arial"/>
          <w:color w:val="000000"/>
          <w:sz w:val="24"/>
          <w:szCs w:val="24"/>
          <w:lang w:val="en-US"/>
        </w:rPr>
      </w:pPr>
    </w:p>
    <w:p w14:paraId="000000B2">
      <w:pPr>
        <w:spacing w:line="360" w:lineRule="auto"/>
        <w:rPr>
          <w:rFonts w:ascii="Arial" w:cs="Arial" w:hAnsi="Arial"/>
          <w:sz w:val="24"/>
          <w:szCs w:val="24"/>
        </w:rPr>
      </w:pPr>
    </w:p>
    <w:p w14:paraId="000000B3">
      <w:pPr>
        <w:rPr>
          <w:rFonts w:ascii="Arial" w:cs="Arial" w:hAnsi="Arial"/>
          <w:sz w:val="24"/>
        </w:rPr>
      </w:pPr>
    </w:p>
    <w:p w14:paraId="000000B4">
      <w:pPr>
        <w:rPr>
          <w:rFonts w:ascii="Arial" w:cs="Arial" w:hAnsi="Arial"/>
          <w:sz w:val="24"/>
        </w:rPr>
      </w:pPr>
    </w:p>
    <w:p w14:paraId="000000B5">
      <w:pPr>
        <w:rPr>
          <w:rFonts w:ascii="Arial" w:cs="Arial" w:hAnsi="Arial"/>
          <w:sz w:val="24"/>
        </w:rPr>
      </w:pPr>
    </w:p>
    <w:p w14:paraId="000000B6">
      <w:pPr>
        <w:rPr>
          <w:rFonts w:ascii="Arial" w:cs="Arial" w:hAnsi="Arial"/>
          <w:sz w:val="24"/>
        </w:rPr>
      </w:pPr>
    </w:p>
    <w:p w14:paraId="000000B7">
      <w:pPr>
        <w:rPr>
          <w:rFonts w:ascii="Arial" w:cs="Arial" w:hAnsi="Arial"/>
          <w:sz w:val="24"/>
        </w:rPr>
      </w:pPr>
    </w:p>
    <w:p w14:paraId="000000B8">
      <w:pPr>
        <w:tabs>
          <w:tab w:val="left" w:leader="none" w:pos="1082"/>
        </w:tabs>
        <w:rPr>
          <w:rFonts w:ascii="Arial" w:cs="Arial" w:hAnsi="Arial"/>
          <w:sz w:val="24"/>
        </w:rPr>
      </w:pPr>
      <w:r>
        <w:rPr>
          <w:rFonts w:ascii="Arial" w:cs="Arial" w:hAnsi="Arial"/>
          <w:sz w:val="24"/>
        </w:rPr>
        <w:tab/>
      </w:r>
    </w:p>
    <w:sectPr>
      <w:headerReference w:type="default" r:id="rId13"/>
      <w:footerReference w:type="default" r:id="rId14"/>
      <w:pgSz w:w="12240" w:h="15840"/>
      <w:pgMar w:top="1008" w:right="864" w:bottom="864" w:left="1008" w:header="720" w:footer="720" w:gutter="0"/>
      <w:cols w:space="720"/>
    </w:sectPr>
  </w:body>
</w:document>
</file>

<file path=word/fontTable.xml><?xml version="1.0" encoding="utf-8"?>
<w:fonts xmlns:r="http://schemas.openxmlformats.org/officeDocument/2006/relationships" xmlns:w="http://schemas.openxmlformats.org/wordprocessingml/2006/main">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00000000" w:usb1="00000000"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Arial Nova">
    <w:charset w:val="00"/>
    <w:family w:val="swiss"/>
    <w:pitch w:val="variable"/>
    <w:sig w:usb0="0000028f" w:usb1="00000002" w:usb2="00000000" w:usb3="00000000" w:csb0="0000019f" w:csb1="00000000"/>
  </w:font>
  <w:font w:name="Segoe UI">
    <w:charset w:val="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BA">
    <w:pPr>
      <w:spacing w:after="0" w:line="240" w:lineRule="auto"/>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0B9">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num w:numId="1">
    <w:abstractNumId w:val="0"/>
    <w:lvlOverride w:ilvl="0">
      <w:lvl w:ilvl="0" w:tentative="1">
        <w:numFmt w:val="bullet"/>
        <w:suff w:val="tab"/>
        <w:lvlText w:val="·"/>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78"/>
    <w:rsid w:val="00313B57"/>
    <w:rsid w:val="00342BE2"/>
    <w:rsid w:val="003D5B78"/>
    <w:rsid w:val="006A7259"/>
    <w:rsid w:val="006A7F14"/>
    <w:rsid w:val="006D28DE"/>
    <w:rsid w:val="008A0285"/>
    <w:rsid w:val="00A30EBE"/>
    <w:rsid w:val="00DA0F18"/>
    <w:rsid w:val="00E431CF"/>
    <w:rsid w:val="00FA7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C79F9"/>
  <w15:chartTrackingRefBased/>
  <w15:docId w15:val="{41FB5C1F-EAAA-4554-93E4-843BBE357F5D}"/>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4"/>
        <w:szCs w:val="24"/>
        <w:lang w:val="en-US" w:bidi="ar-SA" w:eastAsia="en-US"/>
        <w14:ligatures w14:val="standardContextual"/>
      </w:rPr>
    </w:rPrDefault>
    <w:pPrDefault>
      <w:pPr>
        <w:spacing w:after="160" w:line="278" w:lineRule="auto"/>
      </w:pPr>
    </w:pPrDefault>
  </w:docDefaults>
  <w:style w:type="paragraph" w:styleId="NoSpacing">
    <w:name w:val="No Spacing"/>
    <w:uiPriority w:val="1"/>
    <w:qFormat w:val="on"/>
    <w:pPr>
      <w:spacing w:after="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467886" w:themeColor="hyperlink"/>
      <w:u w:val="single"/>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0e2841" w:themeColor="text2"/>
      <w:sz w:val="18"/>
      <w:szCs w:val="18"/>
    </w:rPr>
  </w:style>
  <w:style w:type="paragraph" w:default="1" w:styleId="Normal">
    <w:name w:val="Normal"/>
    <w:uiPriority w:val="99"/>
    <w:qFormat w:val="on"/>
  </w:style>
  <w:style w:type="paragraph" w:styleId="Heading1">
    <w:name w:val="Heading 1"/>
    <w:basedOn w:val="Normal"/>
    <w:next w:val="Normal"/>
    <w:link w:val="Heading1Char"/>
    <w:uiPriority w:val="9"/>
    <w:qFormat w:val="on"/>
    <w:pPr>
      <w:keepNext w:val="on"/>
      <w:keepLines w:val="on"/>
      <w:spacing w:before="360" w:after="80"/>
    </w:pPr>
    <w:rPr>
      <w:rFonts w:asciiTheme="majorHAnsi" w:cstheme="majorBidi" w:eastAsiaTheme="majorEastAsia" w:hAnsiTheme="majorHAnsi"/>
      <w:color w:val="104760" w:themeColor="accent1" w:themeShade="bf"/>
      <w:sz w:val="40"/>
      <w:szCs w:val="40"/>
    </w:rPr>
  </w:style>
  <w:style w:type="paragraph" w:styleId="Heading2">
    <w:name w:val="Heading 2"/>
    <w:basedOn w:val="Normal"/>
    <w:next w:val="Normal"/>
    <w:link w:val="Heading2Char"/>
    <w:uiPriority w:val="9"/>
    <w:semiHidden w:val="on"/>
    <w:unhideWhenUsed w:val="on"/>
    <w:qFormat w:val="on"/>
    <w:pPr>
      <w:keepNext w:val="on"/>
      <w:keepLines w:val="on"/>
      <w:spacing w:before="160" w:after="80"/>
    </w:pPr>
    <w:rPr>
      <w:rFonts w:asciiTheme="majorHAnsi" w:cstheme="majorBidi" w:eastAsiaTheme="majorEastAsia" w:hAnsiTheme="majorHAnsi"/>
      <w:color w:val="104760" w:themeColor="accent1" w:themeShade="bf"/>
      <w:sz w:val="32"/>
      <w:szCs w:val="32"/>
    </w:rPr>
  </w:style>
  <w:style w:type="paragraph" w:styleId="Heading3">
    <w:name w:val="Heading 3"/>
    <w:basedOn w:val="Normal"/>
    <w:next w:val="Normal"/>
    <w:link w:val="Heading3Char"/>
    <w:uiPriority w:val="9"/>
    <w:semiHidden w:val="on"/>
    <w:unhideWhenUsed w:val="on"/>
    <w:qFormat w:val="on"/>
    <w:pPr>
      <w:keepNext w:val="on"/>
      <w:keepLines w:val="on"/>
      <w:spacing w:before="160" w:after="80"/>
    </w:pPr>
    <w:rPr>
      <w:rFonts w:cstheme="majorBidi" w:eastAsiaTheme="majorEastAsia"/>
      <w:color w:val="104760" w:themeColor="accent1" w:themeShade="bf"/>
      <w:sz w:val="28"/>
      <w:szCs w:val="28"/>
    </w:rPr>
  </w:style>
  <w:style w:type="paragraph" w:styleId="Heading4">
    <w:name w:val="Heading 4"/>
    <w:basedOn w:val="Normal"/>
    <w:next w:val="Normal"/>
    <w:link w:val="Heading4Char"/>
    <w:uiPriority w:val="9"/>
    <w:semiHidden w:val="on"/>
    <w:unhideWhenUsed w:val="on"/>
    <w:qFormat w:val="on"/>
    <w:pPr>
      <w:keepNext w:val="on"/>
      <w:keepLines w:val="on"/>
      <w:spacing w:before="80" w:after="40"/>
    </w:pPr>
    <w:rPr>
      <w:rFonts w:cstheme="majorBidi" w:eastAsiaTheme="majorEastAsia"/>
      <w:i/>
      <w:iCs/>
      <w:color w:val="104760" w:themeColor="accent1" w:themeShade="bf"/>
    </w:rPr>
  </w:style>
  <w:style w:type="paragraph" w:styleId="Heading5">
    <w:name w:val="Heading 5"/>
    <w:basedOn w:val="Normal"/>
    <w:next w:val="Normal"/>
    <w:link w:val="Heading5Char"/>
    <w:uiPriority w:val="9"/>
    <w:semiHidden w:val="on"/>
    <w:unhideWhenUsed w:val="on"/>
    <w:qFormat w:val="on"/>
    <w:pPr>
      <w:keepNext w:val="on"/>
      <w:keepLines w:val="on"/>
      <w:spacing w:before="80" w:after="40"/>
    </w:pPr>
    <w:rPr>
      <w:rFonts w:cstheme="majorBidi" w:eastAsiaTheme="majorEastAsia"/>
      <w:color w:val="104760" w:themeColor="accent1" w:themeShade="bf"/>
    </w:rPr>
  </w:style>
  <w:style w:type="paragraph" w:styleId="Heading6">
    <w:name w:val="Heading 6"/>
    <w:basedOn w:val="Normal"/>
    <w:next w:val="Normal"/>
    <w:link w:val="Heading6Char"/>
    <w:uiPriority w:val="9"/>
    <w:semiHidden w:val="on"/>
    <w:unhideWhenUsed w:val="on"/>
    <w:qFormat w:val="on"/>
    <w:pPr>
      <w:keepNext w:val="on"/>
      <w:keepLines w:val="on"/>
      <w:spacing w:before="40" w:after="0"/>
    </w:pPr>
    <w:rPr>
      <w:rFonts w:cstheme="majorBidi" w:eastAsiaTheme="majorEastAsia"/>
      <w:i/>
      <w:iCs/>
      <w:color w:val="595959" w:themeColor="text1" w:themeTint="a6"/>
    </w:rPr>
  </w:style>
  <w:style w:type="paragraph" w:styleId="Heading7">
    <w:name w:val="Heading 7"/>
    <w:basedOn w:val="Normal"/>
    <w:next w:val="Normal"/>
    <w:link w:val="Heading7Char"/>
    <w:uiPriority w:val="9"/>
    <w:semiHidden w:val="on"/>
    <w:unhideWhenUsed w:val="on"/>
    <w:qFormat w:val="on"/>
    <w:pPr>
      <w:keepNext w:val="on"/>
      <w:keepLines w:val="on"/>
      <w:spacing w:before="40" w:after="0"/>
    </w:pPr>
    <w:rPr>
      <w:rFonts w:cstheme="majorBidi" w:eastAsiaTheme="majorEastAsia"/>
      <w:color w:val="595959" w:themeColor="text1" w:themeTint="a6"/>
    </w:rPr>
  </w:style>
  <w:style w:type="paragraph" w:styleId="Heading8">
    <w:name w:val="Heading 8"/>
    <w:basedOn w:val="Normal"/>
    <w:next w:val="Normal"/>
    <w:link w:val="Heading8Char"/>
    <w:uiPriority w:val="9"/>
    <w:semiHidden w:val="on"/>
    <w:unhideWhenUsed w:val="on"/>
    <w:qFormat w:val="on"/>
    <w:pPr>
      <w:keepNext w:val="on"/>
      <w:keepLines w:val="on"/>
      <w:spacing w:after="0"/>
    </w:pPr>
    <w:rPr>
      <w:rFonts w:cstheme="majorBidi" w:eastAsiaTheme="majorEastAsia"/>
      <w:i/>
      <w:iCs/>
      <w:color w:val="272727" w:themeColor="text1" w:themeTint="d8"/>
    </w:rPr>
  </w:style>
  <w:style w:type="paragraph" w:styleId="Heading9">
    <w:name w:val="Heading 9"/>
    <w:basedOn w:val="Normal"/>
    <w:next w:val="Normal"/>
    <w:link w:val="Heading9Char"/>
    <w:uiPriority w:val="9"/>
    <w:semiHidden w:val="on"/>
    <w:unhideWhenUsed w:val="on"/>
    <w:qFormat w:val="on"/>
    <w:pPr>
      <w:keepNext w:val="on"/>
      <w:keepLines w:val="on"/>
      <w:spacing w:after="0"/>
    </w:pPr>
    <w:rPr>
      <w:rFonts w:cstheme="majorBidi" w:eastAsiaTheme="majorEastAsia"/>
      <w:color w:val="272727" w:themeColor="text1" w:themeTint="d8"/>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104760" w:themeColor="accent1" w:themeShade="bf"/>
      <w:sz w:val="40"/>
      <w:szCs w:val="40"/>
    </w:rPr>
  </w:style>
  <w:style w:type="character" w:customStyle="1" w:styleId="Heading2Char">
    <w:name w:val="Heading 2 Char"/>
    <w:basedOn w:val="DefaultParagraphFont"/>
    <w:link w:val="Heading2"/>
    <w:uiPriority w:val="9"/>
    <w:semiHidden w:val="on"/>
    <w:rPr>
      <w:rFonts w:asciiTheme="majorHAnsi" w:cstheme="majorBidi" w:eastAsiaTheme="majorEastAsia" w:hAnsiTheme="majorHAnsi"/>
      <w:color w:val="104760" w:themeColor="accent1" w:themeShade="bf"/>
      <w:sz w:val="32"/>
      <w:szCs w:val="32"/>
    </w:rPr>
  </w:style>
  <w:style w:type="character" w:customStyle="1" w:styleId="Heading3Char">
    <w:name w:val="Heading 3 Char"/>
    <w:basedOn w:val="DefaultParagraphFont"/>
    <w:link w:val="Heading3"/>
    <w:uiPriority w:val="9"/>
    <w:semiHidden w:val="on"/>
    <w:rPr>
      <w:rFonts w:cstheme="majorBidi" w:eastAsiaTheme="majorEastAsia"/>
      <w:color w:val="104760" w:themeColor="accent1" w:themeShade="bf"/>
      <w:sz w:val="28"/>
      <w:szCs w:val="28"/>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rPr>
  </w:style>
  <w:style w:type="paragraph" w:styleId="Title">
    <w:name w:val="Title"/>
    <w:basedOn w:val="Normal"/>
    <w:next w:val="Normal"/>
    <w:link w:val="TitleChar"/>
    <w:uiPriority w:val="10"/>
    <w:qFormat w:val="on"/>
    <w:pPr>
      <w:spacing w:after="8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Subtitle">
    <w:name w:val="Subtitle"/>
    <w:basedOn w:val="Normal"/>
    <w:next w:val="Normal"/>
    <w:link w:val="SubtitleChar"/>
    <w:uiPriority w:val="11"/>
    <w:qFormat w:val="on"/>
    <w:pPr/>
    <w:rPr>
      <w:rFonts w:cstheme="majorBidi"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val="on"/>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after="360"/>
      <w:ind w:left="864" w:right="864"/>
      <w:jc w:val="center"/>
    </w:pPr>
    <w:rPr>
      <w:i/>
      <w:iCs/>
      <w:color w:val="104760" w:themeColor="accent1" w:themeShade="bf"/>
    </w:rPr>
  </w:style>
  <w:style w:type="character" w:customStyle="1" w:styleId="IntenseQuoteChar">
    <w:name w:val="Intense Quote Char"/>
    <w:basedOn w:val="DefaultParagraphFont"/>
    <w:link w:val="IntenseQuote"/>
    <w:uiPriority w:val="30"/>
    <w:rPr>
      <w:i/>
      <w:iCs/>
      <w:color w:val="104760" w:themeColor="accent1" w:themeShade="bf"/>
    </w:rPr>
  </w:style>
  <w:style w:type="character" w:styleId="IntenseReference">
    <w:name w:val="Intense Reference"/>
    <w:basedOn w:val="DefaultParagraphFont"/>
    <w:uiPriority w:val="32"/>
    <w:qFormat w:val="on"/>
    <w:rPr>
      <w:b/>
      <w:bCs/>
      <w:smallCaps/>
      <w:color w:val="104760" w:themeColor="accent1" w:themeShade="bf"/>
      <w:spacing w:val="5"/>
    </w:rPr>
  </w:style>
  <w:style w:type="character" w:styleId="PlaceholderText">
    <w:name w:val="Placeholder Text"/>
    <w:basedOn w:val="DefaultParagraphFont"/>
    <w:uiPriority w:val="99"/>
    <w:semiHidden w:val="on"/>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6272">
      <w:bodyDiv w:val="1"/>
      <w:marLeft w:val="0"/>
      <w:marRight w:val="0"/>
      <w:marTop w:val="0"/>
      <w:marBottom w:val="0"/>
      <w:divBdr>
        <w:top w:val="none" w:sz="0" w:space="0" w:color="auto"/>
        <w:left w:val="none" w:sz="0" w:space="0" w:color="auto"/>
        <w:bottom w:val="none" w:sz="0" w:space="0" w:color="auto"/>
        <w:right w:val="none" w:sz="0" w:space="0" w:color="auto"/>
      </w:divBdr>
      <w:divsChild>
        <w:div w:id="668561446">
          <w:marLeft w:val="0"/>
          <w:marRight w:val="0"/>
          <w:marTop w:val="0"/>
          <w:marBottom w:val="0"/>
          <w:divBdr>
            <w:top w:val="none" w:sz="0" w:space="0" w:color="auto"/>
            <w:left w:val="none" w:sz="0" w:space="0" w:color="auto"/>
            <w:bottom w:val="none" w:sz="0" w:space="0" w:color="auto"/>
            <w:right w:val="none" w:sz="0" w:space="0" w:color="auto"/>
          </w:divBdr>
          <w:divsChild>
            <w:div w:id="922107279">
              <w:marLeft w:val="0"/>
              <w:marRight w:val="0"/>
              <w:marTop w:val="0"/>
              <w:marBottom w:val="0"/>
              <w:divBdr>
                <w:top w:val="none" w:sz="0" w:space="0" w:color="auto"/>
                <w:left w:val="none" w:sz="0" w:space="0" w:color="auto"/>
                <w:bottom w:val="none" w:sz="0" w:space="0" w:color="auto"/>
                <w:right w:val="none" w:sz="0" w:space="0" w:color="auto"/>
              </w:divBdr>
              <w:divsChild>
                <w:div w:id="781001895">
                  <w:marLeft w:val="0"/>
                  <w:marRight w:val="0"/>
                  <w:marTop w:val="0"/>
                  <w:marBottom w:val="0"/>
                  <w:divBdr>
                    <w:top w:val="none" w:sz="0" w:space="0" w:color="auto"/>
                    <w:left w:val="none" w:sz="0" w:space="0" w:color="auto"/>
                    <w:bottom w:val="none" w:sz="0" w:space="0" w:color="auto"/>
                    <w:right w:val="none" w:sz="0" w:space="0" w:color="auto"/>
                  </w:divBdr>
                  <w:divsChild>
                    <w:div w:id="881984947">
                      <w:marLeft w:val="0"/>
                      <w:marRight w:val="0"/>
                      <w:marTop w:val="0"/>
                      <w:marBottom w:val="0"/>
                      <w:divBdr>
                        <w:top w:val="none" w:sz="0" w:space="0" w:color="auto"/>
                        <w:left w:val="none" w:sz="0" w:space="0" w:color="auto"/>
                        <w:bottom w:val="none" w:sz="0" w:space="0" w:color="auto"/>
                        <w:right w:val="none" w:sz="0" w:space="0" w:color="auto"/>
                      </w:divBdr>
                      <w:divsChild>
                        <w:div w:id="1045758654">
                          <w:marLeft w:val="0"/>
                          <w:marRight w:val="0"/>
                          <w:marTop w:val="0"/>
                          <w:marBottom w:val="0"/>
                          <w:divBdr>
                            <w:top w:val="none" w:sz="0" w:space="0" w:color="auto"/>
                            <w:left w:val="none" w:sz="0" w:space="0" w:color="auto"/>
                            <w:bottom w:val="none" w:sz="0" w:space="0" w:color="auto"/>
                            <w:right w:val="none" w:sz="0" w:space="0" w:color="auto"/>
                          </w:divBdr>
                          <w:divsChild>
                            <w:div w:id="912274244">
                              <w:marLeft w:val="0"/>
                              <w:marRight w:val="0"/>
                              <w:marTop w:val="0"/>
                              <w:marBottom w:val="0"/>
                              <w:divBdr>
                                <w:top w:val="none" w:sz="0" w:space="0" w:color="auto"/>
                                <w:left w:val="none" w:sz="0" w:space="0" w:color="auto"/>
                                <w:bottom w:val="none" w:sz="0" w:space="0" w:color="auto"/>
                                <w:right w:val="none" w:sz="0" w:space="0" w:color="auto"/>
                              </w:divBdr>
                              <w:divsChild>
                                <w:div w:id="237833565">
                                  <w:marLeft w:val="0"/>
                                  <w:marRight w:val="0"/>
                                  <w:marTop w:val="0"/>
                                  <w:marBottom w:val="0"/>
                                  <w:divBdr>
                                    <w:top w:val="none" w:sz="0" w:space="0" w:color="auto"/>
                                    <w:left w:val="none" w:sz="0" w:space="0" w:color="auto"/>
                                    <w:bottom w:val="none" w:sz="0" w:space="0" w:color="auto"/>
                                    <w:right w:val="none" w:sz="0" w:space="0" w:color="auto"/>
                                  </w:divBdr>
                                  <w:divsChild>
                                    <w:div w:id="2244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12010">
      <w:bodyDiv w:val="1"/>
      <w:marLeft w:val="0"/>
      <w:marRight w:val="0"/>
      <w:marTop w:val="0"/>
      <w:marBottom w:val="0"/>
      <w:divBdr>
        <w:top w:val="none" w:sz="0" w:space="0" w:color="auto"/>
        <w:left w:val="none" w:sz="0" w:space="0" w:color="auto"/>
        <w:bottom w:val="none" w:sz="0" w:space="0" w:color="auto"/>
        <w:right w:val="none" w:sz="0" w:space="0" w:color="auto"/>
      </w:divBdr>
    </w:div>
    <w:div w:id="150950959">
      <w:bodyDiv w:val="1"/>
      <w:marLeft w:val="0"/>
      <w:marRight w:val="0"/>
      <w:marTop w:val="0"/>
      <w:marBottom w:val="0"/>
      <w:divBdr>
        <w:top w:val="none" w:sz="0" w:space="0" w:color="auto"/>
        <w:left w:val="none" w:sz="0" w:space="0" w:color="auto"/>
        <w:bottom w:val="none" w:sz="0" w:space="0" w:color="auto"/>
        <w:right w:val="none" w:sz="0" w:space="0" w:color="auto"/>
      </w:divBdr>
    </w:div>
    <w:div w:id="153306645">
      <w:bodyDiv w:val="1"/>
      <w:marLeft w:val="0"/>
      <w:marRight w:val="0"/>
      <w:marTop w:val="0"/>
      <w:marBottom w:val="0"/>
      <w:divBdr>
        <w:top w:val="none" w:sz="0" w:space="0" w:color="auto"/>
        <w:left w:val="none" w:sz="0" w:space="0" w:color="auto"/>
        <w:bottom w:val="none" w:sz="0" w:space="0" w:color="auto"/>
        <w:right w:val="none" w:sz="0" w:space="0" w:color="auto"/>
      </w:divBdr>
    </w:div>
    <w:div w:id="162475494">
      <w:bodyDiv w:val="1"/>
      <w:marLeft w:val="0"/>
      <w:marRight w:val="0"/>
      <w:marTop w:val="0"/>
      <w:marBottom w:val="0"/>
      <w:divBdr>
        <w:top w:val="none" w:sz="0" w:space="0" w:color="auto"/>
        <w:left w:val="none" w:sz="0" w:space="0" w:color="auto"/>
        <w:bottom w:val="none" w:sz="0" w:space="0" w:color="auto"/>
        <w:right w:val="none" w:sz="0" w:space="0" w:color="auto"/>
      </w:divBdr>
    </w:div>
    <w:div w:id="215893874">
      <w:bodyDiv w:val="1"/>
      <w:marLeft w:val="0"/>
      <w:marRight w:val="0"/>
      <w:marTop w:val="0"/>
      <w:marBottom w:val="0"/>
      <w:divBdr>
        <w:top w:val="none" w:sz="0" w:space="0" w:color="auto"/>
        <w:left w:val="none" w:sz="0" w:space="0" w:color="auto"/>
        <w:bottom w:val="none" w:sz="0" w:space="0" w:color="auto"/>
        <w:right w:val="none" w:sz="0" w:space="0" w:color="auto"/>
      </w:divBdr>
    </w:div>
    <w:div w:id="275407647">
      <w:bodyDiv w:val="1"/>
      <w:marLeft w:val="0"/>
      <w:marRight w:val="0"/>
      <w:marTop w:val="0"/>
      <w:marBottom w:val="0"/>
      <w:divBdr>
        <w:top w:val="none" w:sz="0" w:space="0" w:color="auto"/>
        <w:left w:val="none" w:sz="0" w:space="0" w:color="auto"/>
        <w:bottom w:val="none" w:sz="0" w:space="0" w:color="auto"/>
        <w:right w:val="none" w:sz="0" w:space="0" w:color="auto"/>
      </w:divBdr>
    </w:div>
    <w:div w:id="284234412">
      <w:bodyDiv w:val="1"/>
      <w:marLeft w:val="0"/>
      <w:marRight w:val="0"/>
      <w:marTop w:val="0"/>
      <w:marBottom w:val="0"/>
      <w:divBdr>
        <w:top w:val="none" w:sz="0" w:space="0" w:color="auto"/>
        <w:left w:val="none" w:sz="0" w:space="0" w:color="auto"/>
        <w:bottom w:val="none" w:sz="0" w:space="0" w:color="auto"/>
        <w:right w:val="none" w:sz="0" w:space="0" w:color="auto"/>
      </w:divBdr>
    </w:div>
    <w:div w:id="300963583">
      <w:bodyDiv w:val="1"/>
      <w:marLeft w:val="0"/>
      <w:marRight w:val="0"/>
      <w:marTop w:val="0"/>
      <w:marBottom w:val="0"/>
      <w:divBdr>
        <w:top w:val="none" w:sz="0" w:space="0" w:color="auto"/>
        <w:left w:val="none" w:sz="0" w:space="0" w:color="auto"/>
        <w:bottom w:val="none" w:sz="0" w:space="0" w:color="auto"/>
        <w:right w:val="none" w:sz="0" w:space="0" w:color="auto"/>
      </w:divBdr>
    </w:div>
    <w:div w:id="357238489">
      <w:bodyDiv w:val="1"/>
      <w:marLeft w:val="0"/>
      <w:marRight w:val="0"/>
      <w:marTop w:val="0"/>
      <w:marBottom w:val="0"/>
      <w:divBdr>
        <w:top w:val="none" w:sz="0" w:space="0" w:color="auto"/>
        <w:left w:val="none" w:sz="0" w:space="0" w:color="auto"/>
        <w:bottom w:val="none" w:sz="0" w:space="0" w:color="auto"/>
        <w:right w:val="none" w:sz="0" w:space="0" w:color="auto"/>
      </w:divBdr>
    </w:div>
    <w:div w:id="432559231">
      <w:bodyDiv w:val="1"/>
      <w:marLeft w:val="0"/>
      <w:marRight w:val="0"/>
      <w:marTop w:val="0"/>
      <w:marBottom w:val="0"/>
      <w:divBdr>
        <w:top w:val="none" w:sz="0" w:space="0" w:color="auto"/>
        <w:left w:val="none" w:sz="0" w:space="0" w:color="auto"/>
        <w:bottom w:val="none" w:sz="0" w:space="0" w:color="auto"/>
        <w:right w:val="none" w:sz="0" w:space="0" w:color="auto"/>
      </w:divBdr>
    </w:div>
    <w:div w:id="784422617">
      <w:bodyDiv w:val="1"/>
      <w:marLeft w:val="0"/>
      <w:marRight w:val="0"/>
      <w:marTop w:val="0"/>
      <w:marBottom w:val="0"/>
      <w:divBdr>
        <w:top w:val="none" w:sz="0" w:space="0" w:color="auto"/>
        <w:left w:val="none" w:sz="0" w:space="0" w:color="auto"/>
        <w:bottom w:val="none" w:sz="0" w:space="0" w:color="auto"/>
        <w:right w:val="none" w:sz="0" w:space="0" w:color="auto"/>
      </w:divBdr>
    </w:div>
    <w:div w:id="788359803">
      <w:bodyDiv w:val="1"/>
      <w:marLeft w:val="0"/>
      <w:marRight w:val="0"/>
      <w:marTop w:val="0"/>
      <w:marBottom w:val="0"/>
      <w:divBdr>
        <w:top w:val="none" w:sz="0" w:space="0" w:color="auto"/>
        <w:left w:val="none" w:sz="0" w:space="0" w:color="auto"/>
        <w:bottom w:val="none" w:sz="0" w:space="0" w:color="auto"/>
        <w:right w:val="none" w:sz="0" w:space="0" w:color="auto"/>
      </w:divBdr>
      <w:divsChild>
        <w:div w:id="1012876014">
          <w:marLeft w:val="0"/>
          <w:marRight w:val="0"/>
          <w:marTop w:val="0"/>
          <w:marBottom w:val="0"/>
          <w:divBdr>
            <w:top w:val="none" w:sz="0" w:space="0" w:color="auto"/>
            <w:left w:val="none" w:sz="0" w:space="0" w:color="auto"/>
            <w:bottom w:val="none" w:sz="0" w:space="0" w:color="auto"/>
            <w:right w:val="none" w:sz="0" w:space="0" w:color="auto"/>
          </w:divBdr>
          <w:divsChild>
            <w:div w:id="1718047908">
              <w:marLeft w:val="0"/>
              <w:marRight w:val="0"/>
              <w:marTop w:val="0"/>
              <w:marBottom w:val="0"/>
              <w:divBdr>
                <w:top w:val="none" w:sz="0" w:space="0" w:color="auto"/>
                <w:left w:val="none" w:sz="0" w:space="0" w:color="auto"/>
                <w:bottom w:val="none" w:sz="0" w:space="0" w:color="auto"/>
                <w:right w:val="none" w:sz="0" w:space="0" w:color="auto"/>
              </w:divBdr>
              <w:divsChild>
                <w:div w:id="74014699">
                  <w:marLeft w:val="0"/>
                  <w:marRight w:val="0"/>
                  <w:marTop w:val="0"/>
                  <w:marBottom w:val="0"/>
                  <w:divBdr>
                    <w:top w:val="none" w:sz="0" w:space="0" w:color="auto"/>
                    <w:left w:val="none" w:sz="0" w:space="0" w:color="auto"/>
                    <w:bottom w:val="none" w:sz="0" w:space="0" w:color="auto"/>
                    <w:right w:val="none" w:sz="0" w:space="0" w:color="auto"/>
                  </w:divBdr>
                  <w:divsChild>
                    <w:div w:id="406465763">
                      <w:marLeft w:val="0"/>
                      <w:marRight w:val="0"/>
                      <w:marTop w:val="0"/>
                      <w:marBottom w:val="0"/>
                      <w:divBdr>
                        <w:top w:val="none" w:sz="0" w:space="0" w:color="auto"/>
                        <w:left w:val="none" w:sz="0" w:space="0" w:color="auto"/>
                        <w:bottom w:val="none" w:sz="0" w:space="0" w:color="auto"/>
                        <w:right w:val="none" w:sz="0" w:space="0" w:color="auto"/>
                      </w:divBdr>
                      <w:divsChild>
                        <w:div w:id="1619800558">
                          <w:marLeft w:val="0"/>
                          <w:marRight w:val="0"/>
                          <w:marTop w:val="0"/>
                          <w:marBottom w:val="0"/>
                          <w:divBdr>
                            <w:top w:val="none" w:sz="0" w:space="0" w:color="auto"/>
                            <w:left w:val="none" w:sz="0" w:space="0" w:color="auto"/>
                            <w:bottom w:val="none" w:sz="0" w:space="0" w:color="auto"/>
                            <w:right w:val="none" w:sz="0" w:space="0" w:color="auto"/>
                          </w:divBdr>
                          <w:divsChild>
                            <w:div w:id="146900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077363">
      <w:bodyDiv w:val="1"/>
      <w:marLeft w:val="0"/>
      <w:marRight w:val="0"/>
      <w:marTop w:val="0"/>
      <w:marBottom w:val="0"/>
      <w:divBdr>
        <w:top w:val="none" w:sz="0" w:space="0" w:color="auto"/>
        <w:left w:val="none" w:sz="0" w:space="0" w:color="auto"/>
        <w:bottom w:val="none" w:sz="0" w:space="0" w:color="auto"/>
        <w:right w:val="none" w:sz="0" w:space="0" w:color="auto"/>
      </w:divBdr>
    </w:div>
    <w:div w:id="893199495">
      <w:bodyDiv w:val="1"/>
      <w:marLeft w:val="0"/>
      <w:marRight w:val="0"/>
      <w:marTop w:val="0"/>
      <w:marBottom w:val="0"/>
      <w:divBdr>
        <w:top w:val="none" w:sz="0" w:space="0" w:color="auto"/>
        <w:left w:val="none" w:sz="0" w:space="0" w:color="auto"/>
        <w:bottom w:val="none" w:sz="0" w:space="0" w:color="auto"/>
        <w:right w:val="none" w:sz="0" w:space="0" w:color="auto"/>
      </w:divBdr>
    </w:div>
    <w:div w:id="943850491">
      <w:bodyDiv w:val="1"/>
      <w:marLeft w:val="0"/>
      <w:marRight w:val="0"/>
      <w:marTop w:val="0"/>
      <w:marBottom w:val="0"/>
      <w:divBdr>
        <w:top w:val="none" w:sz="0" w:space="0" w:color="auto"/>
        <w:left w:val="none" w:sz="0" w:space="0" w:color="auto"/>
        <w:bottom w:val="none" w:sz="0" w:space="0" w:color="auto"/>
        <w:right w:val="none" w:sz="0" w:space="0" w:color="auto"/>
      </w:divBdr>
    </w:div>
    <w:div w:id="991374990">
      <w:bodyDiv w:val="1"/>
      <w:marLeft w:val="0"/>
      <w:marRight w:val="0"/>
      <w:marTop w:val="0"/>
      <w:marBottom w:val="0"/>
      <w:divBdr>
        <w:top w:val="none" w:sz="0" w:space="0" w:color="auto"/>
        <w:left w:val="none" w:sz="0" w:space="0" w:color="auto"/>
        <w:bottom w:val="none" w:sz="0" w:space="0" w:color="auto"/>
        <w:right w:val="none" w:sz="0" w:space="0" w:color="auto"/>
      </w:divBdr>
    </w:div>
    <w:div w:id="1046223915">
      <w:bodyDiv w:val="1"/>
      <w:marLeft w:val="0"/>
      <w:marRight w:val="0"/>
      <w:marTop w:val="0"/>
      <w:marBottom w:val="0"/>
      <w:divBdr>
        <w:top w:val="none" w:sz="0" w:space="0" w:color="auto"/>
        <w:left w:val="none" w:sz="0" w:space="0" w:color="auto"/>
        <w:bottom w:val="none" w:sz="0" w:space="0" w:color="auto"/>
        <w:right w:val="none" w:sz="0" w:space="0" w:color="auto"/>
      </w:divBdr>
    </w:div>
    <w:div w:id="1084107124">
      <w:bodyDiv w:val="1"/>
      <w:marLeft w:val="0"/>
      <w:marRight w:val="0"/>
      <w:marTop w:val="0"/>
      <w:marBottom w:val="0"/>
      <w:divBdr>
        <w:top w:val="none" w:sz="0" w:space="0" w:color="auto"/>
        <w:left w:val="none" w:sz="0" w:space="0" w:color="auto"/>
        <w:bottom w:val="none" w:sz="0" w:space="0" w:color="auto"/>
        <w:right w:val="none" w:sz="0" w:space="0" w:color="auto"/>
      </w:divBdr>
    </w:div>
    <w:div w:id="1113093289">
      <w:bodyDiv w:val="1"/>
      <w:marLeft w:val="0"/>
      <w:marRight w:val="0"/>
      <w:marTop w:val="0"/>
      <w:marBottom w:val="0"/>
      <w:divBdr>
        <w:top w:val="none" w:sz="0" w:space="0" w:color="auto"/>
        <w:left w:val="none" w:sz="0" w:space="0" w:color="auto"/>
        <w:bottom w:val="none" w:sz="0" w:space="0" w:color="auto"/>
        <w:right w:val="none" w:sz="0" w:space="0" w:color="auto"/>
      </w:divBdr>
      <w:divsChild>
        <w:div w:id="1056973361">
          <w:marLeft w:val="480"/>
          <w:marRight w:val="0"/>
          <w:marTop w:val="0"/>
          <w:marBottom w:val="0"/>
          <w:divBdr>
            <w:top w:val="none" w:sz="0" w:space="0" w:color="auto"/>
            <w:left w:val="none" w:sz="0" w:space="0" w:color="auto"/>
            <w:bottom w:val="none" w:sz="0" w:space="0" w:color="auto"/>
            <w:right w:val="none" w:sz="0" w:space="0" w:color="auto"/>
          </w:divBdr>
        </w:div>
        <w:div w:id="1461414731">
          <w:marLeft w:val="480"/>
          <w:marRight w:val="0"/>
          <w:marTop w:val="0"/>
          <w:marBottom w:val="0"/>
          <w:divBdr>
            <w:top w:val="none" w:sz="0" w:space="0" w:color="auto"/>
            <w:left w:val="none" w:sz="0" w:space="0" w:color="auto"/>
            <w:bottom w:val="none" w:sz="0" w:space="0" w:color="auto"/>
            <w:right w:val="none" w:sz="0" w:space="0" w:color="auto"/>
          </w:divBdr>
        </w:div>
        <w:div w:id="1889685720">
          <w:marLeft w:val="480"/>
          <w:marRight w:val="0"/>
          <w:marTop w:val="0"/>
          <w:marBottom w:val="0"/>
          <w:divBdr>
            <w:top w:val="none" w:sz="0" w:space="0" w:color="auto"/>
            <w:left w:val="none" w:sz="0" w:space="0" w:color="auto"/>
            <w:bottom w:val="none" w:sz="0" w:space="0" w:color="auto"/>
            <w:right w:val="none" w:sz="0" w:space="0" w:color="auto"/>
          </w:divBdr>
        </w:div>
        <w:div w:id="1726835401">
          <w:marLeft w:val="480"/>
          <w:marRight w:val="0"/>
          <w:marTop w:val="0"/>
          <w:marBottom w:val="0"/>
          <w:divBdr>
            <w:top w:val="none" w:sz="0" w:space="0" w:color="auto"/>
            <w:left w:val="none" w:sz="0" w:space="0" w:color="auto"/>
            <w:bottom w:val="none" w:sz="0" w:space="0" w:color="auto"/>
            <w:right w:val="none" w:sz="0" w:space="0" w:color="auto"/>
          </w:divBdr>
        </w:div>
        <w:div w:id="1006901283">
          <w:marLeft w:val="480"/>
          <w:marRight w:val="0"/>
          <w:marTop w:val="0"/>
          <w:marBottom w:val="0"/>
          <w:divBdr>
            <w:top w:val="none" w:sz="0" w:space="0" w:color="auto"/>
            <w:left w:val="none" w:sz="0" w:space="0" w:color="auto"/>
            <w:bottom w:val="none" w:sz="0" w:space="0" w:color="auto"/>
            <w:right w:val="none" w:sz="0" w:space="0" w:color="auto"/>
          </w:divBdr>
        </w:div>
        <w:div w:id="1832257539">
          <w:marLeft w:val="480"/>
          <w:marRight w:val="0"/>
          <w:marTop w:val="0"/>
          <w:marBottom w:val="0"/>
          <w:divBdr>
            <w:top w:val="none" w:sz="0" w:space="0" w:color="auto"/>
            <w:left w:val="none" w:sz="0" w:space="0" w:color="auto"/>
            <w:bottom w:val="none" w:sz="0" w:space="0" w:color="auto"/>
            <w:right w:val="none" w:sz="0" w:space="0" w:color="auto"/>
          </w:divBdr>
        </w:div>
        <w:div w:id="918251595">
          <w:marLeft w:val="480"/>
          <w:marRight w:val="0"/>
          <w:marTop w:val="0"/>
          <w:marBottom w:val="0"/>
          <w:divBdr>
            <w:top w:val="none" w:sz="0" w:space="0" w:color="auto"/>
            <w:left w:val="none" w:sz="0" w:space="0" w:color="auto"/>
            <w:bottom w:val="none" w:sz="0" w:space="0" w:color="auto"/>
            <w:right w:val="none" w:sz="0" w:space="0" w:color="auto"/>
          </w:divBdr>
        </w:div>
        <w:div w:id="1071347997">
          <w:marLeft w:val="480"/>
          <w:marRight w:val="0"/>
          <w:marTop w:val="0"/>
          <w:marBottom w:val="0"/>
          <w:divBdr>
            <w:top w:val="none" w:sz="0" w:space="0" w:color="auto"/>
            <w:left w:val="none" w:sz="0" w:space="0" w:color="auto"/>
            <w:bottom w:val="none" w:sz="0" w:space="0" w:color="auto"/>
            <w:right w:val="none" w:sz="0" w:space="0" w:color="auto"/>
          </w:divBdr>
        </w:div>
        <w:div w:id="799226852">
          <w:marLeft w:val="480"/>
          <w:marRight w:val="0"/>
          <w:marTop w:val="0"/>
          <w:marBottom w:val="0"/>
          <w:divBdr>
            <w:top w:val="none" w:sz="0" w:space="0" w:color="auto"/>
            <w:left w:val="none" w:sz="0" w:space="0" w:color="auto"/>
            <w:bottom w:val="none" w:sz="0" w:space="0" w:color="auto"/>
            <w:right w:val="none" w:sz="0" w:space="0" w:color="auto"/>
          </w:divBdr>
        </w:div>
        <w:div w:id="1855656038">
          <w:marLeft w:val="480"/>
          <w:marRight w:val="0"/>
          <w:marTop w:val="0"/>
          <w:marBottom w:val="0"/>
          <w:divBdr>
            <w:top w:val="none" w:sz="0" w:space="0" w:color="auto"/>
            <w:left w:val="none" w:sz="0" w:space="0" w:color="auto"/>
            <w:bottom w:val="none" w:sz="0" w:space="0" w:color="auto"/>
            <w:right w:val="none" w:sz="0" w:space="0" w:color="auto"/>
          </w:divBdr>
        </w:div>
        <w:div w:id="1659383397">
          <w:marLeft w:val="480"/>
          <w:marRight w:val="0"/>
          <w:marTop w:val="0"/>
          <w:marBottom w:val="0"/>
          <w:divBdr>
            <w:top w:val="none" w:sz="0" w:space="0" w:color="auto"/>
            <w:left w:val="none" w:sz="0" w:space="0" w:color="auto"/>
            <w:bottom w:val="none" w:sz="0" w:space="0" w:color="auto"/>
            <w:right w:val="none" w:sz="0" w:space="0" w:color="auto"/>
          </w:divBdr>
        </w:div>
        <w:div w:id="1528717198">
          <w:marLeft w:val="480"/>
          <w:marRight w:val="0"/>
          <w:marTop w:val="0"/>
          <w:marBottom w:val="0"/>
          <w:divBdr>
            <w:top w:val="none" w:sz="0" w:space="0" w:color="auto"/>
            <w:left w:val="none" w:sz="0" w:space="0" w:color="auto"/>
            <w:bottom w:val="none" w:sz="0" w:space="0" w:color="auto"/>
            <w:right w:val="none" w:sz="0" w:space="0" w:color="auto"/>
          </w:divBdr>
        </w:div>
        <w:div w:id="610014965">
          <w:marLeft w:val="480"/>
          <w:marRight w:val="0"/>
          <w:marTop w:val="0"/>
          <w:marBottom w:val="0"/>
          <w:divBdr>
            <w:top w:val="none" w:sz="0" w:space="0" w:color="auto"/>
            <w:left w:val="none" w:sz="0" w:space="0" w:color="auto"/>
            <w:bottom w:val="none" w:sz="0" w:space="0" w:color="auto"/>
            <w:right w:val="none" w:sz="0" w:space="0" w:color="auto"/>
          </w:divBdr>
        </w:div>
        <w:div w:id="1508666461">
          <w:marLeft w:val="480"/>
          <w:marRight w:val="0"/>
          <w:marTop w:val="0"/>
          <w:marBottom w:val="0"/>
          <w:divBdr>
            <w:top w:val="none" w:sz="0" w:space="0" w:color="auto"/>
            <w:left w:val="none" w:sz="0" w:space="0" w:color="auto"/>
            <w:bottom w:val="none" w:sz="0" w:space="0" w:color="auto"/>
            <w:right w:val="none" w:sz="0" w:space="0" w:color="auto"/>
          </w:divBdr>
        </w:div>
        <w:div w:id="1605189114">
          <w:marLeft w:val="480"/>
          <w:marRight w:val="0"/>
          <w:marTop w:val="0"/>
          <w:marBottom w:val="0"/>
          <w:divBdr>
            <w:top w:val="none" w:sz="0" w:space="0" w:color="auto"/>
            <w:left w:val="none" w:sz="0" w:space="0" w:color="auto"/>
            <w:bottom w:val="none" w:sz="0" w:space="0" w:color="auto"/>
            <w:right w:val="none" w:sz="0" w:space="0" w:color="auto"/>
          </w:divBdr>
        </w:div>
        <w:div w:id="42338861">
          <w:marLeft w:val="480"/>
          <w:marRight w:val="0"/>
          <w:marTop w:val="0"/>
          <w:marBottom w:val="0"/>
          <w:divBdr>
            <w:top w:val="none" w:sz="0" w:space="0" w:color="auto"/>
            <w:left w:val="none" w:sz="0" w:space="0" w:color="auto"/>
            <w:bottom w:val="none" w:sz="0" w:space="0" w:color="auto"/>
            <w:right w:val="none" w:sz="0" w:space="0" w:color="auto"/>
          </w:divBdr>
        </w:div>
      </w:divsChild>
    </w:div>
    <w:div w:id="1142387762">
      <w:bodyDiv w:val="1"/>
      <w:marLeft w:val="0"/>
      <w:marRight w:val="0"/>
      <w:marTop w:val="0"/>
      <w:marBottom w:val="0"/>
      <w:divBdr>
        <w:top w:val="none" w:sz="0" w:space="0" w:color="auto"/>
        <w:left w:val="none" w:sz="0" w:space="0" w:color="auto"/>
        <w:bottom w:val="none" w:sz="0" w:space="0" w:color="auto"/>
        <w:right w:val="none" w:sz="0" w:space="0" w:color="auto"/>
      </w:divBdr>
    </w:div>
    <w:div w:id="1145467459">
      <w:bodyDiv w:val="1"/>
      <w:marLeft w:val="0"/>
      <w:marRight w:val="0"/>
      <w:marTop w:val="0"/>
      <w:marBottom w:val="0"/>
      <w:divBdr>
        <w:top w:val="none" w:sz="0" w:space="0" w:color="auto"/>
        <w:left w:val="none" w:sz="0" w:space="0" w:color="auto"/>
        <w:bottom w:val="none" w:sz="0" w:space="0" w:color="auto"/>
        <w:right w:val="none" w:sz="0" w:space="0" w:color="auto"/>
      </w:divBdr>
    </w:div>
    <w:div w:id="1161963956">
      <w:bodyDiv w:val="1"/>
      <w:marLeft w:val="0"/>
      <w:marRight w:val="0"/>
      <w:marTop w:val="0"/>
      <w:marBottom w:val="0"/>
      <w:divBdr>
        <w:top w:val="none" w:sz="0" w:space="0" w:color="auto"/>
        <w:left w:val="none" w:sz="0" w:space="0" w:color="auto"/>
        <w:bottom w:val="none" w:sz="0" w:space="0" w:color="auto"/>
        <w:right w:val="none" w:sz="0" w:space="0" w:color="auto"/>
      </w:divBdr>
    </w:div>
    <w:div w:id="1220943263">
      <w:bodyDiv w:val="1"/>
      <w:marLeft w:val="0"/>
      <w:marRight w:val="0"/>
      <w:marTop w:val="0"/>
      <w:marBottom w:val="0"/>
      <w:divBdr>
        <w:top w:val="none" w:sz="0" w:space="0" w:color="auto"/>
        <w:left w:val="none" w:sz="0" w:space="0" w:color="auto"/>
        <w:bottom w:val="none" w:sz="0" w:space="0" w:color="auto"/>
        <w:right w:val="none" w:sz="0" w:space="0" w:color="auto"/>
      </w:divBdr>
    </w:div>
    <w:div w:id="1231967579">
      <w:bodyDiv w:val="1"/>
      <w:marLeft w:val="0"/>
      <w:marRight w:val="0"/>
      <w:marTop w:val="0"/>
      <w:marBottom w:val="0"/>
      <w:divBdr>
        <w:top w:val="none" w:sz="0" w:space="0" w:color="auto"/>
        <w:left w:val="none" w:sz="0" w:space="0" w:color="auto"/>
        <w:bottom w:val="none" w:sz="0" w:space="0" w:color="auto"/>
        <w:right w:val="none" w:sz="0" w:space="0" w:color="auto"/>
      </w:divBdr>
    </w:div>
    <w:div w:id="1324896783">
      <w:bodyDiv w:val="1"/>
      <w:marLeft w:val="0"/>
      <w:marRight w:val="0"/>
      <w:marTop w:val="0"/>
      <w:marBottom w:val="0"/>
      <w:divBdr>
        <w:top w:val="none" w:sz="0" w:space="0" w:color="auto"/>
        <w:left w:val="none" w:sz="0" w:space="0" w:color="auto"/>
        <w:bottom w:val="none" w:sz="0" w:space="0" w:color="auto"/>
        <w:right w:val="none" w:sz="0" w:space="0" w:color="auto"/>
      </w:divBdr>
    </w:div>
    <w:div w:id="1377588014">
      <w:bodyDiv w:val="1"/>
      <w:marLeft w:val="0"/>
      <w:marRight w:val="0"/>
      <w:marTop w:val="0"/>
      <w:marBottom w:val="0"/>
      <w:divBdr>
        <w:top w:val="none" w:sz="0" w:space="0" w:color="auto"/>
        <w:left w:val="none" w:sz="0" w:space="0" w:color="auto"/>
        <w:bottom w:val="none" w:sz="0" w:space="0" w:color="auto"/>
        <w:right w:val="none" w:sz="0" w:space="0" w:color="auto"/>
      </w:divBdr>
    </w:div>
    <w:div w:id="1399859921">
      <w:bodyDiv w:val="1"/>
      <w:marLeft w:val="0"/>
      <w:marRight w:val="0"/>
      <w:marTop w:val="0"/>
      <w:marBottom w:val="0"/>
      <w:divBdr>
        <w:top w:val="none" w:sz="0" w:space="0" w:color="auto"/>
        <w:left w:val="none" w:sz="0" w:space="0" w:color="auto"/>
        <w:bottom w:val="none" w:sz="0" w:space="0" w:color="auto"/>
        <w:right w:val="none" w:sz="0" w:space="0" w:color="auto"/>
      </w:divBdr>
    </w:div>
    <w:div w:id="1435713585">
      <w:bodyDiv w:val="1"/>
      <w:marLeft w:val="0"/>
      <w:marRight w:val="0"/>
      <w:marTop w:val="0"/>
      <w:marBottom w:val="0"/>
      <w:divBdr>
        <w:top w:val="none" w:sz="0" w:space="0" w:color="auto"/>
        <w:left w:val="none" w:sz="0" w:space="0" w:color="auto"/>
        <w:bottom w:val="none" w:sz="0" w:space="0" w:color="auto"/>
        <w:right w:val="none" w:sz="0" w:space="0" w:color="auto"/>
      </w:divBdr>
    </w:div>
    <w:div w:id="1554343069">
      <w:bodyDiv w:val="1"/>
      <w:marLeft w:val="0"/>
      <w:marRight w:val="0"/>
      <w:marTop w:val="0"/>
      <w:marBottom w:val="0"/>
      <w:divBdr>
        <w:top w:val="none" w:sz="0" w:space="0" w:color="auto"/>
        <w:left w:val="none" w:sz="0" w:space="0" w:color="auto"/>
        <w:bottom w:val="none" w:sz="0" w:space="0" w:color="auto"/>
        <w:right w:val="none" w:sz="0" w:space="0" w:color="auto"/>
      </w:divBdr>
    </w:div>
    <w:div w:id="1593127291">
      <w:bodyDiv w:val="1"/>
      <w:marLeft w:val="0"/>
      <w:marRight w:val="0"/>
      <w:marTop w:val="0"/>
      <w:marBottom w:val="0"/>
      <w:divBdr>
        <w:top w:val="none" w:sz="0" w:space="0" w:color="auto"/>
        <w:left w:val="none" w:sz="0" w:space="0" w:color="auto"/>
        <w:bottom w:val="none" w:sz="0" w:space="0" w:color="auto"/>
        <w:right w:val="none" w:sz="0" w:space="0" w:color="auto"/>
      </w:divBdr>
      <w:divsChild>
        <w:div w:id="1062631965">
          <w:marLeft w:val="0"/>
          <w:marRight w:val="0"/>
          <w:marTop w:val="0"/>
          <w:marBottom w:val="0"/>
          <w:divBdr>
            <w:top w:val="none" w:sz="0" w:space="0" w:color="auto"/>
            <w:left w:val="none" w:sz="0" w:space="0" w:color="auto"/>
            <w:bottom w:val="none" w:sz="0" w:space="0" w:color="auto"/>
            <w:right w:val="none" w:sz="0" w:space="0" w:color="auto"/>
          </w:divBdr>
          <w:divsChild>
            <w:div w:id="912349806">
              <w:marLeft w:val="0"/>
              <w:marRight w:val="0"/>
              <w:marTop w:val="0"/>
              <w:marBottom w:val="0"/>
              <w:divBdr>
                <w:top w:val="none" w:sz="0" w:space="0" w:color="auto"/>
                <w:left w:val="none" w:sz="0" w:space="0" w:color="auto"/>
                <w:bottom w:val="none" w:sz="0" w:space="0" w:color="auto"/>
                <w:right w:val="none" w:sz="0" w:space="0" w:color="auto"/>
              </w:divBdr>
              <w:divsChild>
                <w:div w:id="1637831924">
                  <w:marLeft w:val="0"/>
                  <w:marRight w:val="0"/>
                  <w:marTop w:val="0"/>
                  <w:marBottom w:val="0"/>
                  <w:divBdr>
                    <w:top w:val="none" w:sz="0" w:space="0" w:color="auto"/>
                    <w:left w:val="none" w:sz="0" w:space="0" w:color="auto"/>
                    <w:bottom w:val="none" w:sz="0" w:space="0" w:color="auto"/>
                    <w:right w:val="none" w:sz="0" w:space="0" w:color="auto"/>
                  </w:divBdr>
                  <w:divsChild>
                    <w:div w:id="442916953">
                      <w:marLeft w:val="0"/>
                      <w:marRight w:val="0"/>
                      <w:marTop w:val="0"/>
                      <w:marBottom w:val="0"/>
                      <w:divBdr>
                        <w:top w:val="none" w:sz="0" w:space="0" w:color="auto"/>
                        <w:left w:val="none" w:sz="0" w:space="0" w:color="auto"/>
                        <w:bottom w:val="none" w:sz="0" w:space="0" w:color="auto"/>
                        <w:right w:val="none" w:sz="0" w:space="0" w:color="auto"/>
                      </w:divBdr>
                      <w:divsChild>
                        <w:div w:id="1720517756">
                          <w:marLeft w:val="0"/>
                          <w:marRight w:val="0"/>
                          <w:marTop w:val="0"/>
                          <w:marBottom w:val="0"/>
                          <w:divBdr>
                            <w:top w:val="none" w:sz="0" w:space="0" w:color="auto"/>
                            <w:left w:val="none" w:sz="0" w:space="0" w:color="auto"/>
                            <w:bottom w:val="none" w:sz="0" w:space="0" w:color="auto"/>
                            <w:right w:val="none" w:sz="0" w:space="0" w:color="auto"/>
                          </w:divBdr>
                          <w:divsChild>
                            <w:div w:id="76640467">
                              <w:marLeft w:val="0"/>
                              <w:marRight w:val="0"/>
                              <w:marTop w:val="0"/>
                              <w:marBottom w:val="0"/>
                              <w:divBdr>
                                <w:top w:val="none" w:sz="0" w:space="0" w:color="auto"/>
                                <w:left w:val="none" w:sz="0" w:space="0" w:color="auto"/>
                                <w:bottom w:val="none" w:sz="0" w:space="0" w:color="auto"/>
                                <w:right w:val="none" w:sz="0" w:space="0" w:color="auto"/>
                              </w:divBdr>
                              <w:divsChild>
                                <w:div w:id="2025746877">
                                  <w:marLeft w:val="0"/>
                                  <w:marRight w:val="0"/>
                                  <w:marTop w:val="0"/>
                                  <w:marBottom w:val="0"/>
                                  <w:divBdr>
                                    <w:top w:val="none" w:sz="0" w:space="0" w:color="auto"/>
                                    <w:left w:val="none" w:sz="0" w:space="0" w:color="auto"/>
                                    <w:bottom w:val="none" w:sz="0" w:space="0" w:color="auto"/>
                                    <w:right w:val="none" w:sz="0" w:space="0" w:color="auto"/>
                                  </w:divBdr>
                                  <w:divsChild>
                                    <w:div w:id="90757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110063">
      <w:bodyDiv w:val="1"/>
      <w:marLeft w:val="0"/>
      <w:marRight w:val="0"/>
      <w:marTop w:val="0"/>
      <w:marBottom w:val="0"/>
      <w:divBdr>
        <w:top w:val="none" w:sz="0" w:space="0" w:color="auto"/>
        <w:left w:val="none" w:sz="0" w:space="0" w:color="auto"/>
        <w:bottom w:val="none" w:sz="0" w:space="0" w:color="auto"/>
        <w:right w:val="none" w:sz="0" w:space="0" w:color="auto"/>
      </w:divBdr>
    </w:div>
    <w:div w:id="1635670086">
      <w:bodyDiv w:val="1"/>
      <w:marLeft w:val="0"/>
      <w:marRight w:val="0"/>
      <w:marTop w:val="0"/>
      <w:marBottom w:val="0"/>
      <w:divBdr>
        <w:top w:val="none" w:sz="0" w:space="0" w:color="auto"/>
        <w:left w:val="none" w:sz="0" w:space="0" w:color="auto"/>
        <w:bottom w:val="none" w:sz="0" w:space="0" w:color="auto"/>
        <w:right w:val="none" w:sz="0" w:space="0" w:color="auto"/>
      </w:divBdr>
    </w:div>
    <w:div w:id="1663896311">
      <w:bodyDiv w:val="1"/>
      <w:marLeft w:val="0"/>
      <w:marRight w:val="0"/>
      <w:marTop w:val="0"/>
      <w:marBottom w:val="0"/>
      <w:divBdr>
        <w:top w:val="none" w:sz="0" w:space="0" w:color="auto"/>
        <w:left w:val="none" w:sz="0" w:space="0" w:color="auto"/>
        <w:bottom w:val="none" w:sz="0" w:space="0" w:color="auto"/>
        <w:right w:val="none" w:sz="0" w:space="0" w:color="auto"/>
      </w:divBdr>
    </w:div>
    <w:div w:id="1740862837">
      <w:bodyDiv w:val="1"/>
      <w:marLeft w:val="0"/>
      <w:marRight w:val="0"/>
      <w:marTop w:val="0"/>
      <w:marBottom w:val="0"/>
      <w:divBdr>
        <w:top w:val="none" w:sz="0" w:space="0" w:color="auto"/>
        <w:left w:val="none" w:sz="0" w:space="0" w:color="auto"/>
        <w:bottom w:val="none" w:sz="0" w:space="0" w:color="auto"/>
        <w:right w:val="none" w:sz="0" w:space="0" w:color="auto"/>
      </w:divBdr>
    </w:div>
    <w:div w:id="1743529803">
      <w:bodyDiv w:val="1"/>
      <w:marLeft w:val="0"/>
      <w:marRight w:val="0"/>
      <w:marTop w:val="0"/>
      <w:marBottom w:val="0"/>
      <w:divBdr>
        <w:top w:val="none" w:sz="0" w:space="0" w:color="auto"/>
        <w:left w:val="none" w:sz="0" w:space="0" w:color="auto"/>
        <w:bottom w:val="none" w:sz="0" w:space="0" w:color="auto"/>
        <w:right w:val="none" w:sz="0" w:space="0" w:color="auto"/>
      </w:divBdr>
    </w:div>
    <w:div w:id="1839347033">
      <w:bodyDiv w:val="1"/>
      <w:marLeft w:val="0"/>
      <w:marRight w:val="0"/>
      <w:marTop w:val="0"/>
      <w:marBottom w:val="0"/>
      <w:divBdr>
        <w:top w:val="none" w:sz="0" w:space="0" w:color="auto"/>
        <w:left w:val="none" w:sz="0" w:space="0" w:color="auto"/>
        <w:bottom w:val="none" w:sz="0" w:space="0" w:color="auto"/>
        <w:right w:val="none" w:sz="0" w:space="0" w:color="auto"/>
      </w:divBdr>
    </w:div>
    <w:div w:id="1843660595">
      <w:bodyDiv w:val="1"/>
      <w:marLeft w:val="0"/>
      <w:marRight w:val="0"/>
      <w:marTop w:val="0"/>
      <w:marBottom w:val="0"/>
      <w:divBdr>
        <w:top w:val="none" w:sz="0" w:space="0" w:color="auto"/>
        <w:left w:val="none" w:sz="0" w:space="0" w:color="auto"/>
        <w:bottom w:val="none" w:sz="0" w:space="0" w:color="auto"/>
        <w:right w:val="none" w:sz="0" w:space="0" w:color="auto"/>
      </w:divBdr>
    </w:div>
    <w:div w:id="1923441344">
      <w:bodyDiv w:val="1"/>
      <w:marLeft w:val="0"/>
      <w:marRight w:val="0"/>
      <w:marTop w:val="0"/>
      <w:marBottom w:val="0"/>
      <w:divBdr>
        <w:top w:val="none" w:sz="0" w:space="0" w:color="auto"/>
        <w:left w:val="none" w:sz="0" w:space="0" w:color="auto"/>
        <w:bottom w:val="none" w:sz="0" w:space="0" w:color="auto"/>
        <w:right w:val="none" w:sz="0" w:space="0" w:color="auto"/>
      </w:divBdr>
    </w:div>
    <w:div w:id="1952319709">
      <w:bodyDiv w:val="1"/>
      <w:marLeft w:val="0"/>
      <w:marRight w:val="0"/>
      <w:marTop w:val="0"/>
      <w:marBottom w:val="0"/>
      <w:divBdr>
        <w:top w:val="none" w:sz="0" w:space="0" w:color="auto"/>
        <w:left w:val="none" w:sz="0" w:space="0" w:color="auto"/>
        <w:bottom w:val="none" w:sz="0" w:space="0" w:color="auto"/>
        <w:right w:val="none" w:sz="0" w:space="0" w:color="auto"/>
      </w:divBdr>
    </w:div>
    <w:div w:id="2041078255">
      <w:bodyDiv w:val="1"/>
      <w:marLeft w:val="0"/>
      <w:marRight w:val="0"/>
      <w:marTop w:val="0"/>
      <w:marBottom w:val="0"/>
      <w:divBdr>
        <w:top w:val="none" w:sz="0" w:space="0" w:color="auto"/>
        <w:left w:val="none" w:sz="0" w:space="0" w:color="auto"/>
        <w:bottom w:val="none" w:sz="0" w:space="0" w:color="auto"/>
        <w:right w:val="none" w:sz="0" w:space="0" w:color="auto"/>
      </w:divBdr>
    </w:div>
    <w:div w:id="206270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0" Type="http://schemas.openxmlformats.org/officeDocument/2006/relationships/numbering" Target="numbering.xml"/><Relationship Id="rId13" Type="http://schemas.openxmlformats.org/officeDocument/2006/relationships/header" Target="header1.xml"/><Relationship Id="rId14"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4" Type="http://schemas.openxmlformats.org/officeDocument/2006/relationships/webSettings" Target="webSettings.xml"/><Relationship Id="rId6"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9F8FF80-4272-482F-B484-6DC27A7723E9}"/>
      </w:docPartPr>
      <w:docPartBody>
        <w:p w:rsidR="004E3328" w:rsidRDefault="004E3328">
          <w:r w:rsidRPr="00813E8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328"/>
    <w:rsid w:val="004E3328"/>
    <w:rsid w:val="006A7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332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F93E3D-2D18-4385-BF9B-32BCFBFE256D}">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79385709620"/>
    <we:property name="MENDELEY_CITATIONS" value="[{&quot;citationID&quot;:&quot;MENDELEY_CITATION_f7ecd020-a24d-482e-a9cf-d1e5d3038391&quot;,&quot;properties&quot;:{&quot;noteIndex&quot;:0},&quot;isEdited&quot;:false,&quot;manualOverride&quot;:{&quot;isManuallyOverridden&quot;:false,&quot;citeprocText&quot;:&quot;(Jafarzadeh et al., 2022)&quot;,&quot;manualOverrideText&quot;:&quot;&quot;},&quot;citationItems&quot;:[{&quot;id&quot;:&quot;d717a1f2-b921-36cf-9a91-35c0ba196470&quot;,&quot;itemData&quot;:{&quot;type&quot;:&quot;article-journal&quot;,&quot;id&quot;:&quot;d717a1f2-b921-36cf-9a91-35c0ba196470&quot;,&quot;title&quot;:&quot;Different applications of telemedicine - assessing the challenges, barriers, and opportunities- a narrative review&quot;,&quot;author&quot;:[{&quot;family&quot;:&quot;Jafarzadeh&quot;,&quot;given&quot;:&quot;Faria&quot;,&quot;parse-names&quot;:false,&quot;dropping-particle&quot;:&quot;&quot;,&quot;non-dropping-particle&quot;:&quot;&quot;},{&quot;family&quot;:&quot;Rahmani&quot;,&quot;given&quot;:&quot;Faezeh&quot;,&quot;parse-names&quot;:false,&quot;dropping-particle&quot;:&quot;&quot;,&quot;non-dropping-particle&quot;:&quot;&quot;},{&quot;family&quot;:&quot;Azadmehr&quot;,&quot;given&quot;:&quot;Farhad&quot;,&quot;parse-names&quot;:false,&quot;dropping-particle&quot;:&quot;&quot;,&quot;non-dropping-particle&quot;:&quot;&quot;},{&quot;family&quot;:&quot;Falaki&quot;,&quot;given&quot;:&quot;Mojgan&quot;,&quot;parse-names&quot;:false,&quot;dropping-particle&quot;:&quot;&quot;,&quot;non-dropping-particle&quot;:&quot;&quot;},{&quot;family&quot;:&quot;Nazari&quot;,&quot;given&quot;:&quot;Mahboubeh&quot;,&quot;parse-names&quot;:false,&quot;dropping-particle&quot;:&quot;&quot;,&quot;non-dropping-particle&quot;:&quot;&quot;}],&quot;container-title&quot;:&quot;Journal of Family Medicine and Primary Care&quot;,&quot;container-title-short&quot;:&quot;J. Family Med. Prim. Care&quot;,&quot;DOI&quot;:&quot;10.4103/jfmpc.jfmpc_1638_21&quot;,&quot;ISSN&quot;:&quot;2249-4863&quot;,&quot;issued&quot;:{&quot;date-parts&quot;:[[2022,3]]},&quot;page&quot;:&quot;879-886&quot;,&quot;abstract&quot;:&quot;Telemedicine (TLM) is a technique of telecommunication used to create, promote, or accelerate health services. Because of its societal significance, the current study attempted to demonstrate its essential applications in the health sector and the challenges, obstacles, and opportunities that lie ahead. Various studies and reports were received based on the subject of the current study, first using MeSH terms related to the subject in authentic and available international databases. After that, 30-related articles were selected based on the study criteria, and then the required results were extracted from the selected studies. The study results showed that TLM has a significant role in more than 13 major areas of health and treatment, and in most of these areas, it has made the relevant affairs easier for both patients and medical staff. Although TLM has many advantages, it still has obstacles and challenges requiring further studies to manage this technology better. Given the high importance of the TLM in the health sector in most countries worldwide, efforts are needed to promote this technology and remove the obstacles in front of it. Therefore, further evaluations of TLM efficiency in terms of economics, speed of action, effectiveness, and the provision of infrastructure are necessary to overcome the obstacles highlighted based on the results of these studies and improve the efficiency of using this technology.&quot;,&quot;publisher&quot;:&quot;Medknow&quot;,&quot;issue&quot;:&quot;3&quot;,&quot;volume&quot;:&quot;11&quot;},&quot;isTemporary&quot;:false}],&quot;citationTag&quot;:&quot;MENDELEY_CITATION_v3_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&quot;},{&quot;citationID&quot;:&quot;MENDELEY_CITATION_ec0ebc9d-690b-4656-a60d-e6d1f56c83c6&quot;,&quot;properties&quot;:{&quot;noteIndex&quot;:0},&quot;isEdited&quot;:false,&quot;manualOverride&quot;:{&quot;isManuallyOverridden&quot;:false,&quot;citeprocText&quot;:&quot;(Tabitha L. Grier-Reed and Julia L. Conkel-Ziebell, n.d.)&quot;,&quot;manualOverrideText&quot;:&quot;&quot;},&quot;citationTag&quot;:&quot;MENDELEY_CITATION_v3_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&quot;,&quot;citationItems&quot;:[{&quot;id&quot;:&quot;09b221a5-56b4-37c9-aa35-e0a663047422&quot;,&quot;itemData&quot;:{&quot;type&quot;:&quot;report&quot;,&quot;id&quot;:&quot;09b221a5-56b4-37c9-aa35-e0a663047422&quot;,&quot;title&quot;:&quot;Healthcare Career and Industry Guide&quot;,&quot;author&quot;:[{&quot;family&quot;:&quot;Tabitha L. Grier-Reed and Julia L. Conkel-Ziebell&quot;,&quot;given&quot;:&quot;&quot;,&quot;parse-names&quot;:false,&quot;dropping-particle&quot;:&quot;&quot;,&quot;non-dropping-particle&quot;:&quot;&quot;}],&quot;URL&quot;:&quot;https://icould.com/buzz-quiz/&quot;,&quot;container-title-short&quot;:&quot;&quot;},&quot;isTemporary&quot;:false}]},{&quot;citationID&quot;:&quot;MENDELEY_CITATION_d20642d2-8a1a-4286-8a2b-bf7a7b530120&quot;,&quot;properties&quot;:{&quot;noteIndex&quot;:0},&quot;isEdited&quot;:false,&quot;manualOverride&quot;:{&quot;isManuallyOverridden&quot;:false,&quot;citeprocText&quot;:&quot;(Engaging with Technology to Increase Effectiveness and Efficiency of Care Using Telehealth/Telemedicine, n.d.-a)&quot;,&quot;manualOverrideText&quot;:&quot;&quot;},&quot;citationItems&quot;:[{&quot;id&quot;:&quot;c458cfed-be1e-3879-b1b9-5ed66dfedf3f&quot;,&quot;itemData&quot;:{&quot;type&quot;:&quot;report&quot;,&quot;id&quot;:&quot;c458cfed-be1e-3879-b1b9-5ed66dfedf3f&quot;,&quot;title&quot;:&quot;Engaging with technology to increase effectiveness and efficiency of care using Telehealth/Telemedicine&quot;,&quot;container-title-short&quot;:&quot;&quot;},&quot;isTemporary&quot;:false}],&quot;citationTag&quot;:&quot;MENDELEY_CITATION_v3_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&quot;},{&quot;citationID&quot;:&quot;MENDELEY_CITATION_62c553ac-609d-40c5-b9fe-f5d8b8aab923&quot;,&quot;properties&quot;:{&quot;noteIndex&quot;:0},&quot;isEdited&quot;:false,&quot;manualOverride&quot;:{&quot;isManuallyOverridden&quot;:false,&quot;citeprocText&quot;:&quot;(Florea et al., 2022)&quot;,&quot;manualOverrideText&quot;:&quot;&quot;},&quot;citationItems&quot;:[{&quot;id&quot;:&quot;987c41d9-7f8c-3bf1-9cd8-9885462000c0&quot;,&quot;itemData&quot;:{&quot;type&quot;:&quot;report&quot;,&quot;id&quot;:&quot;987c41d9-7f8c-3bf1-9cd8-9885462000c0&quot;,&quot;title&quot;:&quot;A GUIDE TO TELEMEDICINE IN PRIMARY HEALTHCARE&quot;,&quot;author&quot;:[{&quot;family&quot;:&quot;Florea&quot;,&quot;given&quot;:&quot;Mira&quot;,&quot;parse-names&quot;:false,&quot;dropping-particle&quot;:&quot;&quot;,&quot;non-dropping-particle&quot;:&quot;&quot;},{&quot;family&quot;:&quot;Gindrovel&quot;,&quot;given&quot;:&quot;Dumitra&quot;,&quot;parse-names&quot;:false,&quot;dropping-particle&quot;:&quot;&quot;,&quot;non-dropping-particle&quot;:&quot;&quot;},{&quot;family&quot;:&quot;Iancu&quot;,&quot;given&quot;:&quot;Adela&quot;,&quot;parse-names&quot;:false,&quot;dropping-particle&quot;:&quot;&quot;,&quot;non-dropping-particle&quot;:&quot;&quot;},{&quot;family&quot;:&quot;Alexiu&quot;,&quot;given&quot;:&quot;Sandra&quot;,&quot;parse-names&quot;:false,&quot;dropping-particle&quot;:&quot;&quot;,&quot;non-dropping-particle&quot;:&quot;&quot;},{&quot;family&quot;:&quot;Deleanu&quot;,&quot;given&quot;:&quot;Anca&quot;,&quot;parse-names&quot;:false,&quot;dropping-particle&quot;:&quot;&quot;,&quot;non-dropping-particle&quot;:&quot;&quot;},{&quot;family&quot;:&quot;Motea&quot;,&quot;given&quot;:&quot;Oana&quot;,&quot;parse-names&quot;:false,&quot;dropping-particle&quot;:&quot;&quot;,&quot;non-dropping-particle&quot;:&quot;&quot;},{&quot;family&quot;:&quot;România&quot;,&quot;given&quot;:&quot;În&quot;,&quot;parse-names&quot;:false,&quot;dropping-particle&quot;:&quot;&quot;,&quot;non-dropping-particle&quot;:&quot;&quot;},{&quot;family&quot;:&quot;Choi&quot;,&quot;given&quot;:&quot;Vladimir&quot;,&quot;parse-names&quot;:false,&quot;dropping-particle&quot;:&quot;&quot;,&quot;non-dropping-particle&quot;:&quot;&quot;}],&quot;issued&quot;:{&quot;date-parts&quot;:[[2022]]},&quot;container-title-short&quot;:&quot;&quot;},&quot;isTemporary&quot;:false}],&quot;citationTag&quot;:&quot;MENDELEY_CITATION_v3_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&quot;},{&quot;citationID&quot;:&quot;MENDELEY_CITATION_959ab0ff-877d-4ef1-b440-70d7fc65eccc&quot;,&quot;properties&quot;:{&quot;noteIndex&quot;:0},&quot;isEdited&quot;:false,&quot;manualOverride&quot;:{&quot;isManuallyOverridden&quot;:false,&quot;citeprocText&quot;:&quot;(Ekeland et al., 2010)&quot;,&quot;manualOverrideText&quot;:&quot;&quot;},&quot;citationTag&quot;:&quot;MENDELEY_CITATION_v3_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&quot;,&quot;citationItems&quot;:[{&quot;id&quot;:&quot;9f459e8c-8f8b-3a58-912d-3c562aa6ccec&quot;,&quot;itemData&quot;:{&quot;type&quot;:&quot;article&quot;,&quot;id&quot;:&quot;9f459e8c-8f8b-3a58-912d-3c562aa6ccec&quot;,&quot;title&quot;:&quot;Effectiveness of telemedicine: A systematic review of reviews&quot;,&quot;author&quot;:[{&quot;family&quot;:&quot;Ekeland&quot;,&quot;given&quot;:&quot;Anne G.&quot;,&quot;parse-names&quot;:false,&quot;dropping-particle&quot;:&quot;&quot;,&quot;non-dropping-particle&quot;:&quot;&quot;},{&quot;family&quot;:&quot;Bowes&quot;,&quot;given&quot;:&quot;Alison&quot;,&quot;parse-names&quot;:false,&quot;dropping-particle&quot;:&quot;&quot;,&quot;non-dropping-particle&quot;:&quot;&quot;},{&quot;family&quot;:&quot;Flottorp&quot;,&quot;given&quot;:&quot;Signe&quot;,&quot;parse-names&quot;:false,&quot;dropping-particle&quot;:&quot;&quot;,&quot;non-dropping-particle&quot;:&quot;&quot;}],&quot;container-title&quot;:&quot;International Journal of Medical Informatics&quot;,&quot;container-title-short&quot;:&quot;Int. J. Med. Inform.&quot;,&quot;DOI&quot;:&quot;10.1016/j.ijmedinf.2010.08.006&quot;,&quot;ISSN&quot;:&quot;13865056&quot;,&quot;PMID&quot;:&quot;20884286&quot;,&quot;issued&quot;:{&quot;date-parts&quot;:[[2010,11]]},&quot;page&quot;:&quot;736-771&quot;,&quot;abstract&quot;:&quot;Objectives: To conduct a review of reviews on the impacts and costs of telemedicine services. Methods: A review of systematic reviews of telemedicine interventions was conducted. Interventions included all e-health interventions, information and communication technologies for communication in health care, Internet based interventions for diagnosis and treatments, and social care if important part of health care and in collaboration with health care for patients with chronic conditions were considered relevant. Each potentially relevant systematic review was assessed in full text by one member of an external expert team, using a revised check list from EPOC (Cochrane Effective Practice and Organisation of Care Group) to assess quality. Qualitative analysis of the included reviews was informed by principles of realist review. Results: In total 1593 titles/abstracts were identified. Following quality assessment, the review included 80 heterogeneous systematic reviews. Twenty-one reviews concluded that telemedicine is effective, 18 found that evidence is promising but incomplete and others that evidence is limited and inconsistent. Emerging themes are the particularly problematic nature of economic analyses of telemedicine, the benefits of telemedicine for patients, and telemedicine as complex and ongoing collaborative achievements in unpredictable processes. Conclusions: The emergence of new topic areas in this dynamic field is notable and reviewers are starting to explore new questions beyond those of clinical and cost-effectiveness. Reviewers point to a continuing need for larger studies of telemedicine as controlled interventions, and more focus on patients' perspectives, economic analyses and on telemedicine innovations as complex processes and ongoing collaborative achievements. Formative assessments are emerging as an area of interest. © 2010 Elsevier Ireland Ltd.&quot;,&quot;issue&quot;:&quot;11&quot;,&quot;volume&quot;:&quot;79&quot;},&quot;isTemporary&quot;:false}]},{&quot;citationID&quot;:&quot;MENDELEY_CITATION_4e297b1f-5c52-4eb2-8915-f1f230268ed2&quot;,&quot;properties&quot;:{&quot;noteIndex&quot;:0},&quot;isEdited&quot;:false,&quot;manualOverride&quot;:{&quot;isManuallyOverridden&quot;:false,&quot;citeprocText&quot;:&quot;(Malik et al., 2025)&quot;,&quot;manualOverrideText&quot;:&quot;&quot;},&quot;citationTag&quot;:&quot;MENDELEY_CITATION_v3_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&quot;,&quot;citationItems&quot;:[{&quot;id&quot;:&quot;3a62295e-9896-370b-97ff-151bc4264229&quot;,&quot;itemData&quot;:{&quot;type&quot;:&quot;article-journal&quot;,&quot;id&quot;:&quot;3a62295e-9896-370b-97ff-151bc4264229&quot;,&quot;title&quot;:&quot;Enhancing healthcare access through telehealth: patient-centred insights from Pakistan’s primary care sector&quot;,&quot;author&quot;:[{&quot;family&quot;:&quot;Malik&quot;,&quot;given&quot;:&quot;Tooba&quot;,&quot;parse-names&quot;:false,&quot;dropping-particle&quot;:&quot;&quot;,&quot;non-dropping-particle&quot;:&quot;&quot;},{&quot;family&quot;:&quot;Ong&quot;,&quot;given&quot;:&quot;Siew Chin&quot;,&quot;parse-names&quot;:false,&quot;dropping-particle&quot;:&quot;&quot;,&quot;non-dropping-particle&quot;:&quot;&quot;},{&quot;family&quot;:&quot;Butt&quot;,&quot;given&quot;:&quot;Muhammad Daoud&quot;,&quot;parse-names&quot;:false,&quot;dropping-particle&quot;:&quot;&quot;,&quot;non-dropping-particle&quot;:&quot;&quot;}],&quot;container-title&quot;:&quot;BMC Health Services Research&quot;,&quot;container-title-short&quot;:&quot;BMC Health Serv. Res.&quot;,&quot;accessed&quot;:{&quot;date-parts&quot;:[[2026,5,20]]},&quot;DOI&quot;:&quot;10.1186/s12913-025-13820-4&quot;,&quot;ISSN&quot;:&quot;14726963&quot;,&quot;PMID&quot;:&quot;41382260&quot;,&quot;issued&quot;:{&quot;date-parts&quot;:[[2025,12,1]]},&quot;abstract&quot;:&quot;Background: Pakistan’s healthcare system faces critical challenges, including limited infrastructure and disparities in access between urban and rural regions. Telehealth has emerged as a promising solution to improve accessibility, but patient-centered evidence on its effectiveness and cost-efficiency remains limited. Methods: This cross-sectional survey included patients (n = 532) who completed telehealth consultations with EZShifa between May and December 2023. A structured questionnaire assessed socio-demographics, comfort, trust, perceived quality of care, and patient-reported costs. Descriptive statistics summarised characteristics. Ordinal regression identified predictors of telehealth acceptance. Patient-reported telehealth and in-person care costs were compared, and incremental cost-effectiveness ratios (ICERs) were estimated using acceptance and comfort scores as effectiveness measures. Results: Most participants were aged 26–50 and from Punjab or Sindh. High satisfaction was reported for provider professionalism and consultation quality, though some concerns about connectivity and privacy remained. Ordinal regression showed that higher comfort (OR 4.15–20.3, p = 0.008) and perceived quality of care (OR 2.59, p = 0.004) significantly predicted acceptance, while sociodemographic factors were non-significant. The mean reported telehealth cost (PKR 2,000) was substantially lower than in-person visits (PKR 4,800). ICER analysis indicated telehealth was dominant, offering cost savings and greater patient-reported effectiveness. Conclusions: Telehealth demonstrates strong acceptance, satisfaction, and economic benefits in Pakistan’s primary healthcare system. Despite self-reported costs and cross-sectional design limitations, findings highlight telehealth’s potential for scaling chronic disease management and reducing healthcare disparities.&quot;,&quot;publisher&quot;:&quot;BioMed Central Ltd&quot;,&quot;issue&quot;:&quot;1&quot;,&quot;volume&quot;:&quot;25&quot;},&quot;isTemporary&quot;:false}]},{&quot;citationID&quot;:&quot;MENDELEY_CITATION_9efe165f-992a-4591-a804-48db29c2754d&quot;,&quot;properties&quot;:{&quot;noteIndex&quot;:0},&quot;isEdited&quot;:false,&quot;manualOverride&quot;:{&quot;isManuallyOverridden&quot;:false,&quot;citeprocText&quot;:&quot;(Jennett et al., 2003)&quot;,&quot;manualOverrideText&quot;:&quot;&quot;},&quot;citationTag&quot;:&quot;MENDELEY_CITATION_v3_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&quot;,&quot;citationItems&quot;:[{&quot;id&quot;:&quot;d754e1ab-d3e5-33b1-9d2f-1ea8788da04c&quot;,&quot;itemData&quot;:{&quot;type&quot;:&quot;article-journal&quot;,&quot;id&quot;:&quot;d754e1ab-d3e5-33b1-9d2f-1ea8788da04c&quot;,&quot;title&quot;:&quot;The socio-economic impact of telehealth: a systematic review&quot;,&quot;author&quot;:[{&quot;family&quot;:&quot;Jennett&quot;,&quot;given&quot;:&quot;P. A.&quot;,&quot;parse-names&quot;:false,&quot;dropping-particle&quot;:&quot;&quot;,&quot;non-dropping-particle&quot;:&quot;&quot;},{&quot;family&quot;:&quot;Affleck Hall&quot;,&quot;given&quot;:&quot;L.&quot;,&quot;parse-names&quot;:false,&quot;dropping-particle&quot;:&quot;&quot;,&quot;non-dropping-particle&quot;:&quot;&quot;},{&quot;family&quot;:&quot;Hailey&quot;,&quot;given&quot;:&quot;D.&quot;,&quot;parse-names&quot;:false,&quot;dropping-particle&quot;:&quot;&quot;,&quot;non-dropping-particle&quot;:&quot;&quot;},{&quot;family&quot;:&quot;Ohinmaa&quot;,&quot;given&quot;:&quot;A.&quot;,&quot;parse-names&quot;:false,&quot;dropping-particle&quot;:&quot;&quot;,&quot;non-dropping-particle&quot;:&quot;&quot;},{&quot;family&quot;:&quot;Anderson&quot;,&quot;given&quot;:&quot;C.&quot;,&quot;parse-names&quot;:false,&quot;dropping-particle&quot;:&quot;&quot;,&quot;non-dropping-particle&quot;:&quot;&quot;},{&quot;family&quot;:&quot;Thomas&quot;,&quot;given&quot;:&quot;R.&quot;,&quot;parse-names&quot;:false,&quot;dropping-particle&quot;:&quot;&quot;,&quot;non-dropping-particle&quot;:&quot;&quot;},{&quot;family&quot;:&quot;Young&quot;,&quot;given&quot;:&quot;B.&quot;,&quot;parse-names&quot;:false,&quot;dropping-particle&quot;:&quot;&quot;,&quot;non-dropping-particle&quot;:&quot;&quot;},{&quot;family&quot;:&quot;Lorenzetti&quot;,&quot;given&quot;:&quot;D.&quot;,&quot;parse-names&quot;:false,&quot;dropping-particle&quot;:&quot;&quot;,&quot;non-dropping-particle&quot;:&quot;&quot;},{&quot;family&quot;:&quot;Scott&quot;,&quot;given&quot;:&quot;R. E.&quot;,&quot;parse-names&quot;:false,&quot;dropping-particle&quot;:&quot;&quot;,&quot;non-dropping-particle&quot;:&quot;&quot;}],&quot;container-title&quot;:&quot;Journal of telemedicine and telecare&quot;,&quot;container-title-short&quot;:&quot;J. Telemed. Telecare&quot;,&quot;accessed&quot;:{&quot;date-parts&quot;:[[2026,5,20]]},&quot;DOI&quot;:&quot;10.1258/135763303771005207&quot;,&quot;ISSN&quot;:&quot;1357-633X&quot;,&quot;PMID&quot;:&quot;14680514&quot;,&quot;URL&quot;:&quot;https://pubmed.ncbi.nlm.nih.gov/14680514/&quot;,&quot;issued&quot;:{&quot;date-parts&quot;:[[2003]]},&quot;page&quot;:&quot;311-320&quot;,&quot;abstract&quot;:&quot;We reviewed the socio-economic impact of telehealth, focusing on nine main areas: paediatrics, geriatrics, First Nations (i.e. indigenous peoples), home care, mental health, radiology, renal dialysis, rural/remote health services and rehabilitation. A systematic search led to the identification of 4646 citations or abstracts; from these, 306 sources were analysed. A central finding was that telehealth studies to date have not used socioeconomic indicators consistently. However, specific telehealth applications have been shown to offer significant socio-economic benefit, to patients and families, health-care providers and the health-care system. The main benefits identified were: increased access to health services, cost-effectiveness, enhanced educational opportunities, improved health outcomes, better quality of care, better quality of life and enhanced social support. Although the review found a number of areas of socio-economic benefit, there is the continuing problem of limited generalizability.&quot;,&quot;publisher&quot;:&quot;J Telemed Telecare&quot;,&quot;issue&quot;:&quot;6&quot;,&quot;volume&quot;:&quot;9&quot;},&quot;isTemporary&quot;:false}]},{&quot;citationID&quot;:&quot;MENDELEY_CITATION_69d8dc6e-59d7-47c5-9558-4ec413d2c5db&quot;,&quot;properties&quot;:{&quot;noteIndex&quot;:0},&quot;isEdited&quot;:false,&quot;manualOverride&quot;:{&quot;isManuallyOverridden&quot;:false,&quot;citeprocText&quot;:&quot;(WHO, 2022)&quot;,&quot;manualOverrideText&quot;:&quot;&quot;},&quot;citationTag&quot;:&quot;MENDELEY_CITATION_v3_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&quot;,&quot;citationItems&quot;:[{&quot;id&quot;:&quot;52ae86aa-838d-3ed0-9b60-60062b54d303&quot;,&quot;itemData&quot;:{&quot;type&quot;:&quot;report&quot;,&quot;id&quot;:&quot;52ae86aa-838d-3ed0-9b60-60062b54d303&quot;,&quot;title&quot;:&quot;Consolidated telemedicine implementation guide&quot;,&quot;author&quot;:[{&quot;family&quot;:&quot;WHO&quot;,&quot;given&quot;:&quot;&quot;,&quot;parse-names&quot;:false,&quot;dropping-particle&quot;:&quot;&quot;,&quot;non-dropping-particle&quot;:&quot;&quot;}],&quot;accessed&quot;:{&quot;date-parts&quot;:[[2026,5,20]]},&quot;URL&quot;:&quot;https://iris.who.int/server/api/core/bitstreams/d119a69e-e56d-4c78-a2b9-52572e14217c/content&quot;,&quot;issued&quot;:{&quot;date-parts&quot;:[[2022]]},&quot;container-title-short&quot;:&quot;&quot;},&quot;isTemporary&quot;:false}]},{&quot;citationID&quot;:&quot;MENDELEY_CITATION_0cc90467-9249-471f-8a55-39f7271376aa&quot;,&quot;properties&quot;:{&quot;noteIndex&quot;:0},&quot;isEdited&quot;:false,&quot;manualOverride&quot;:{&quot;isManuallyOverridden&quot;:false,&quot;citeprocText&quot;:&quot;(Tsou et al., 2020)&quot;,&quot;manualOverrideText&quot;:&quot;&quot;},&quot;citationTag&quot;:&quot;MENDELEY_CITATION_v3_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&quot;,&quot;citationItems&quot;:[{&quot;id&quot;:&quot;f196a2a2-5b72-3a77-8cd4-a9b803002867&quot;,&quot;itemData&quot;:{&quot;type&quot;:&quot;article-journal&quot;,&quot;id&quot;:&quot;f196a2a2-5b72-3a77-8cd4-a9b803002867&quot;,&quot;title&quot;:&quot;Effectiveness and cost-effectiveness of telehealth in rural and remote emergency departments: A systematic review protocol&quot;,&quot;author&quot;:[{&quot;family&quot;:&quot;Tsou&quot;,&quot;given&quot;:&quot;Christina&quot;,&quot;parse-names&quot;:false,&quot;dropping-particle&quot;:&quot;&quot;,&quot;non-dropping-particle&quot;:&quot;&quot;},{&quot;family&quot;:&quot;Robinson&quot;,&quot;given&quot;:&quot;Suzanne&quot;,&quot;parse-names&quot;:false,&quot;dropping-particle&quot;:&quot;&quot;,&quot;non-dropping-particle&quot;:&quot;&quot;},{&quot;family&quot;:&quot;Boyd&quot;,&quot;given&quot;:&quot;James&quot;,&quot;parse-names&quot;:false,&quot;dropping-particle&quot;:&quot;&quot;,&quot;non-dropping-particle&quot;:&quot;&quot;},{&quot;family&quot;:&quot;Jamieson&quot;,&quot;given&quot;:&quot;Andrew&quot;,&quot;parse-names&quot;:false,&quot;dropping-particle&quot;:&quot;&quot;,&quot;non-dropping-particle&quot;:&quot;&quot;},{&quot;family&quot;:&quot;Blakeman&quot;,&quot;given&quot;:&quot;Robert&quot;,&quot;parse-names&quot;:false,&quot;dropping-particle&quot;:&quot;&quot;,&quot;non-dropping-particle&quot;:&quot;&quot;},{&quot;family&quot;:&quot;Bosich&quot;,&quot;given&quot;:&quot;Kylie&quot;,&quot;parse-names&quot;:false,&quot;dropping-particle&quot;:&quot;&quot;,&quot;non-dropping-particle&quot;:&quot;&quot;},{&quot;family&quot;:&quot;Yeung&quot;,&quot;given&quot;:&quot;Justin&quot;,&quot;parse-names&quot;:false,&quot;dropping-particle&quot;:&quot;&quot;,&quot;non-dropping-particle&quot;:&quot;&quot;},{&quot;family&quot;:&quot;Waters&quot;,&quot;given&quot;:&quot;Stephanie&quot;,&quot;parse-names&quot;:false,&quot;dropping-particle&quot;:&quot;&quot;,&quot;non-dropping-particle&quot;:&quot;&quot;},{&quot;family&quot;:&quot;Hendrie&quot;,&quot;given&quot;:&quot;Delia&quot;,&quot;parse-names&quot;:false,&quot;dropping-particle&quot;:&quot;&quot;,&quot;non-dropping-particle&quot;:&quot;&quot;}],&quot;container-title&quot;:&quot;Systematic Reviews&quot;,&quot;container-title-short&quot;:&quot;Syst. Rev.&quot;,&quot;accessed&quot;:{&quot;date-parts&quot;:[[2026,5,20]]},&quot;DOI&quot;:&quot;10.1186/s13643-020-01349-y&quot;,&quot;ISSN&quot;:&quot;20464053&quot;,&quot;PMID&quot;:&quot;32303253&quot;,&quot;issued&quot;:{&quot;date-parts&quot;:[[2020,4,17]]},&quot;abstract&quot;:&quot;Background: Emergency telehealth has been used to improve accessibility of rural and remote patients to specialist care. Evidence to date has demonstrated effectiveness and cost-effectiveness of telehealth in rural and remote emergency departments within a variety of contexts. However, systematic reviews to date have not focused on the rural and remote emergency departments. The purpose of this study is to review the outcome measures used in evaluations of emergency telehealth in rural and remote settings and assess evidence relating to their effectiveness and cost-effectiveness. Methods: Randomised controlled trials, non-randomised controlled trials, and full and partial economic evaluations (e.g. cost-effectiveness, cost-benefit, and cost-utility analyses) of telehealth in rural and remote emergency departments will be included. Comprehensive literature searches will be conducted in multiple electronic databases (from 1990 onwards): MEDLINE (Ovid), Cochrane Library, Scopus, CINAHL, ProQuest, EconLit, CRD databases (e.g. NHS Economic Evaluation database), and Tufts Cost-Effectiveness Registry. Two authors will independently screen all citations, full-text articles, and abstract data. The methodological quality (or risk of bias) of individual studies will be appraised using an appropriate tool. A systematic narrative synthesis will be provided with information presented in the text and tables to summarise and explain the characteristics and findings of the studies. If feasible, we will conduct random effects meta-analysis. Discussion: This review will identify gaps in the current body of evidence relating to the effectiveness and cost-effectiveness of rural and remote emergency telehealth services. By confining to articles written in the English language, this analysis may be subjected to publication bias and results need to be interpreted accordingly. We believe the results of this review could be valuable for the design of future economic evaluations of emergency telehealth services implemented in the rural and remote context. Systematic review registration: PROSPERO CRD42019145903&quot;,&quot;publisher&quot;:&quot;BioMed Central Ltd.&quot;,&quot;issue&quot;:&quot;1&quot;,&quot;volume&quot;:&quot;9&quot;},&quot;isTemporary&quot;:false}]},{&quot;citationID&quot;:&quot;MENDELEY_CITATION_ecb6e3c8-7805-42cd-a510-a8dd23de91bd&quot;,&quot;properties&quot;:{&quot;noteIndex&quot;:0},&quot;isEdited&quot;:false,&quot;manualOverride&quot;:{&quot;isManuallyOverridden&quot;:false,&quot;citeprocText&quot;:&quot;(Alashek &amp;#38; Ali, 2024)&quot;,&quot;manualOverrideText&quot;:&quot;&quot;},&quot;citationTag&quot;:&quot;MENDELEY_CITATION_v3_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&quot;,&quot;citationItems&quot;:[{&quot;id&quot;:&quot;46d1d4b8-3473-303c-8970-30957c0685a8&quot;,&quot;itemData&quot;:{&quot;type&quot;:&quot;article&quot;,&quot;id&quot;:&quot;46d1d4b8-3473-303c-8970-30957c0685a8&quot;,&quot;title&quot;:&quot;Satisfaction with telemedicine use during COVID-19 pandemic in the UK: a systematic review&quot;,&quot;author&quot;:[{&quot;family&quot;:&quot;Alashek&quot;,&quot;given&quot;:&quot;W. A.&quot;,&quot;parse-names&quot;:false,&quot;dropping-particle&quot;:&quot;&quot;,&quot;non-dropping-particle&quot;:&quot;&quot;},{&quot;family&quot;:&quot;Ali&quot;,&quot;given&quot;:&quot;S. A.&quot;,&quot;parse-names&quot;:false,&quot;dropping-particle&quot;:&quot;&quot;,&quot;non-dropping-particle&quot;:&quot;&quot;}],&quot;container-title&quot;:&quot;Libyan Journal of Medicine&quot;,&quot;accessed&quot;:{&quot;date-parts&quot;:[[2026,5,20]]},&quot;DOI&quot;:&quot;10.1080/19932820.2024.2301829&quot;,&quot;ISSN&quot;:&quot;18196357&quot;,&quot;PMID&quot;:&quot;38197179&quot;,&quot;URL&quot;:&quot;https://pmc.ncbi.nlm.nih.gov/articles/PMC10783830/pdf/ZLJM_19_2301829.pdf&quot;,&quot;issued&quot;:{&quot;date-parts&quot;:[[2024]]},&quot;abstract&quot;:&quot;Background: Telemedicine became a fundamental part of healthcare provision during COVID-19 pandemic. An evaluation of telemedicine-associated satisfaction helps the service develop more viable applications. This review evaluated the satisfaction of healthcare users and providers and their willingness to use this modality in future. Methods: The study was conducted according to the Preferred Reporting Items for Systematic Reviews and Meta-Analyses. A search on empirical articles published between March 2020 and December 2022 was performed on ‘PubMed’ and ‘Scopus’ databases. Findings that reported on satisfaction of patients, families and caregivers as well as clinicians were extracted and analysed. Quality of included studies was assessed. After applying inclusion and exclusion criteria, the review included 27 eligible studies. Results: Data was found from a variety of emergency and non-emergency departments of primary, secondary, and specialised healthcare. Almost all studies were undertaken within the NHS. There were many tools that measured satisfaction. Satisfaction was high among recipients of healthcare, scoring 9–10 on a scale of 0–10 or ranging from 73.3% to 100%. Convenience was rated high in every specialty examined. Satisfaction of clinicians was high throughout the specialities despite connection failure and concerns about confidentiality of information. Nonetheless, studies reported perception of increased barriers to accessing care and inequalities for vulnerable patients especially in older people. In general, willingness to use telemedicine in future was high in the recipients as well as the providers of healthcare. Conclusion: COVID-19 pandemic has transformed healthcare in the UK and promoted a revolution in telemedicine applications. Satisfaction was high among both recipient and provider of healthcare. Telemedicine managed to provide a continued care throughout the pandemic while maintaining social distance. The current review presented commendable evidence to encourage different specialities to engage in telemedicine application.&quot;,&quot;publisher&quot;:&quot;Taylor and Francis Ltd.&quot;,&quot;issue&quot;:&quot;1&quot;,&quot;volume&quot;:&quot;19&quot;,&quot;container-title-short&quot;:&quot;&quot;},&quot;isTemporary&quot;:false}]},{&quot;citationID&quot;:&quot;MENDELEY_CITATION_5f15646b-da6d-4f2d-ad3b-487ae039296f&quot;,&quot;properties&quot;:{&quot;noteIndex&quot;:0},&quot;isEdited&quot;:false,&quot;manualOverride&quot;:{&quot;isManuallyOverridden&quot;:false,&quot;citeprocText&quot;:&quot;(Engaging with Technology to Increase Effectiveness and Efficiency of Care Using Telehealth/Telemedicine, n.d.-b)&quot;,&quot;manualOverrideText&quot;:&quot;&quot;},&quot;citationTag&quot;:&quot;MENDELEY_CITATION_v3_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&quot;,&quot;citationItems&quot;:[{&quot;id&quot;:&quot;82e5d23e-63f5-3098-abd8-1ab72ff505e7&quot;,&quot;itemData&quot;:{&quot;type&quot;:&quot;report&quot;,&quot;id&quot;:&quot;82e5d23e-63f5-3098-abd8-1ab72ff505e7&quot;,&quot;title&quot;:&quot;Engaging with technology to increase effectiveness and efficiency of care using Telehealth/Telemedicine&quot;,&quot;container-title-short&quot;:&quot;&quot;},&quot;isTemporary&quot;:false}]},{&quot;citationID&quot;:&quot;MENDELEY_CITATION_d5d68391-85b0-416b-ba84-c973f8b70be7&quot;,&quot;properties&quot;:{&quot;noteIndex&quot;:0},&quot;isEdited&quot;:false,&quot;manualOverride&quot;:{&quot;isManuallyOverridden&quot;:false,&quot;citeprocText&quot;:&quot;(Scholarworks &amp;#38; Alle, 2022)&quot;,&quot;manualOverrideText&quot;:&quot;&quot;},&quot;citationTag&quot;:&quot;MENDELEY_CITATION_v3_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&quot;,&quot;citationItems&quot;:[{&quot;id&quot;:&quot;d60c7a6a-1d68-3c5a-88dc-6a53d77a2a1d&quot;,&quot;itemData&quot;:{&quot;type&quot;:&quot;report&quot;,&quot;id&quot;:&quot;d60c7a6a-1d68-3c5a-88dc-6a53d77a2a1d&quot;,&quot;title&quot;:&quot;Telemedicine Services and patient Satisfaction&quot;,&quot;author&quot;:[{&quot;family&quot;:&quot;Scholarworks&quot;,&quot;given&quot;:&quot;Scholarworks&quot;,&quot;parse-names&quot;:false,&quot;dropping-particle&quot;:&quot;&quot;,&quot;non-dropping-particle&quot;:&quot;&quot;},{&quot;family&quot;:&quot;Alle&quot;,&quot;given&quot;:&quot;Sunday Omotayo&quot;,&quot;parse-names&quot;:false,&quot;dropping-particle&quot;:&quot;&quot;,&quot;non-dropping-particle&quot;:&quot;&quot;}],&quot;URL&quot;:&quot;https://scholarworks.waldenu.edu/dissertations&quot;,&quot;issued&quot;:{&quot;date-parts&quot;:[[2022]]},&quot;container-title-short&quot;:&quot;&quot;},&quot;isTemporary&quot;:false}]},{&quot;citationID&quot;:&quot;MENDELEY_CITATION_2c593422-1410-4406-838b-f598e4113ef7&quot;,&quot;properties&quot;:{&quot;noteIndex&quot;:0},&quot;isEdited&quot;:false,&quot;manualOverride&quot;:{&quot;isManuallyOverridden&quot;:false,&quot;citeprocText&quot;:&quot;(Werkmeister et al., 2024)&quot;,&quot;manualOverrideText&quot;:&quot;&quot;},&quot;citationTag&quot;:&quot;MENDELEY_CITATION_v3_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&quot;,&quot;citationItems&quot;:[{&quot;id&quot;:&quot;419857ca-c498-3cdd-8554-8aecef3fa647&quot;,&quot;itemData&quot;:{&quot;type&quot;:&quot;article-journal&quot;,&quot;id&quot;:&quot;419857ca-c498-3cdd-8554-8aecef3fa647&quot;,&quot;title&quot;:&quot;Environmental Factors for Sustained Telehealth Use in Mental Health Services: A Mixed Methods Analysis.&quot;,&quot;author&quot;:[{&quot;family&quot;:&quot;Werkmeister&quot;,&quot;given&quot;:&quot;Benjamin&quot;,&quot;parse-names&quot;:false,&quot;dropping-particle&quot;:&quot;&quot;,&quot;non-dropping-particle&quot;:&quot;&quot;},{&quot;family&quot;:&quot;Haase&quot;,&quot;given&quot;:&quot;Anne M&quot;,&quot;parse-names&quot;:false,&quot;dropping-particle&quot;:&quot;&quot;,&quot;non-dropping-particle&quot;:&quot;&quot;},{&quot;family&quot;:&quot;Fleming&quot;,&quot;given&quot;:&quot;Theresa&quot;,&quot;parse-names&quot;:false,&quot;dropping-particle&quot;:&quot;&quot;,&quot;non-dropping-particle&quot;:&quot;&quot;},{&quot;family&quot;:&quot;Officer&quot;,&quot;given&quot;:&quot;Tara N&quot;,&quot;parse-names&quot;:false,&quot;dropping-particle&quot;:&quot;&quot;,&quot;non-dropping-particle&quot;:&quot;&quot;}],&quot;container-title&quot;:&quot;International journal of telemedicine and applications&quot;,&quot;container-title-short&quot;:&quot;Int. J. Telemed. Appl.&quot;,&quot;accessed&quot;:{&quot;date-parts&quot;:[[2026,5,20]]},&quot;DOI&quot;:&quot;10.1155/2024/8835933&quot;,&quot;ISSN&quot;:&quot;1687-6415&quot;,&quot;PMID&quot;:&quot;39314675&quot;,&quot;URL&quot;:&quot;http://www.ncbi.nlm.nih.gov/pubmed/39314675&quot;,&quot;issued&quot;:{&quot;date-parts&quot;:[[2024]]},&quot;page&quot;:&quot;8835933&quot;,&quot;abstract&quot;:&quot;Background: The mental health service delivery gap remains high globally. Appropriate telehealth use may increase capacity through flexible remote care provision. Despite the historical lack of telehealth integration into publicly funded mental health services, during COVID-19 lockdowns, services rapidly switched to telephone and audiovisual care provision. In Aotearoa New Zealand (NZ), this was abandoned when no longer required by COVID-19 restrictions. This study explores environmental factors associated with telehealth implementation and ongoing use or discontinuation across a multiregional outpatient mental health service. This work contributes to understanding system-level factors influencing telehealth use and thus informs policy and practice in postpandemic environments. Methods: This mixed methods study applied an interpretive description methodology. Semistructured interviews with 33 mental health clinicians were thematically analysed. Qualitative findings were reframed and evaluated using time series analyses of population-level quantitative data (prior to and throughout the pandemic). Findings were synthesised with qualitative themes to develop an understanding of environmental factors contributing to telehealth use. Results: Findings highlighted an increase in clients assessed by mental health services and declining clinician numbers, contributing to pressure placed on clinicians. There was a lack of culture supporting telehealth, including limited awareness, leadership, and champions to facilitate implementation. Some teams provided services suited to telehealth; other subspeciality teams had limited applications for telehealth. There was a general lack of policy and guidelines to support telehealth use and limited technical support for clinicians unfamiliar with audiovisual software. Conclusion: Disorganised telehealth adoption in the study regions provides insight into wider environmental drivers affecting telehealth uptake. For telehealth to become a workable service delivery mode following COVID-19, stewardship and culture shifts are required, including policy development, technical support, and resources to support clinical teams. Telehealth may address growing service demand by improving interfaces with primary care and providing timely access to specialist input.&quot;,&quot;publisher&quot;:&quot;Hindawi Limited&quot;,&quot;volume&quot;:&quot;2024&quot;},&quot;isTemporary&quot;:false}]},{&quot;citationID&quot;:&quot;MENDELEY_CITATION_6bcd085c-dbf3-4a62-ae3d-573efb806d36&quot;,&quot;properties&quot;:{&quot;noteIndex&quot;:0},&quot;isEdited&quot;:false,&quot;manualOverride&quot;:{&quot;isManuallyOverridden&quot;:false,&quot;citeprocText&quot;:&quot;(Elhakeem et al., 2022)&quot;,&quot;manualOverrideText&quot;:&quot;&quot;},&quot;citationTag&quot;:&quot;MENDELEY_CITATION_v3_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&quot;,&quot;citationItems&quot;:[{&quot;id&quot;:&quot;e2ebf411-0bd6-3cca-83b9-3dfa5b4df0df&quot;,&quot;itemData&quot;:{&quot;type&quot;:&quot;article-journal&quot;,&quot;id&quot;:&quot;e2ebf411-0bd6-3cca-83b9-3dfa5b4df0df&quot;,&quot;title&quot;:&quot;Patients' experience and satisfaction using telemedicine for outpatient services in a Tertiary Cancer Center in Qatar during COVID-19: A cross-sectional study&quot;,&quot;author&quot;:[{&quot;family&quot;:&quot;Elhakeem&quot;,&quot;given&quot;:&quot;Israa&quot;,&quot;parse-names&quot;:false,&quot;dropping-particle&quot;:&quot;&quot;,&quot;non-dropping-particle&quot;:&quot;&quot;},{&quot;family&quot;:&quot;Iqbal&quot;,&quot;given&quot;:&quot;Phool&quot;,&quot;parse-names&quot;:false,&quot;dropping-particle&quot;:&quot;&quot;,&quot;non-dropping-particle&quot;:&quot;&quot;},{&quot;family&quot;:&quot;Nashwan&quot;,&quot;given&quot;:&quot;Abdulqadir J.&quot;,&quot;parse-names&quot;:false,&quot;dropping-particle&quot;:&quot;&quot;,&quot;non-dropping-particle&quot;:&quot;&quot;},{&quot;family&quot;:&quot;Abubakar&quot;,&quot;given&quot;:&quot;Muhammad&quot;,&quot;parse-names&quot;:false,&quot;dropping-particle&quot;:&quot;&quot;,&quot;non-dropping-particle&quot;:&quot;&quot;},{&quot;family&quot;:&quot;Jawad&quot;,&quot;given&quot;:&quot;Arsalan T.&quot;,&quot;parse-names&quot;:false,&quot;dropping-particle&quot;:&quot;&quot;,&quot;non-dropping-particle&quot;:&quot;&quot;},{&quot;family&quot;:&quot;AlHiyari&quot;,&quot;given&quot;:&quot;Mousa A.&quot;,&quot;parse-names&quot;:false,&quot;dropping-particle&quot;:&quot;&quot;,&quot;non-dropping-particle&quot;:&quot;&quot;},{&quot;family&quot;:&quot;Chandra&quot;,&quot;given&quot;:&quot;Prem&quot;,&quot;parse-names&quot;:false,&quot;dropping-particle&quot;:&quot;&quot;,&quot;non-dropping-particle&quot;:&quot;&quot;},{&quot;family&quot;:&quot;Osman&quot;,&quot;given&quot;:&quot;Maab A.&quot;,&quot;parse-names&quot;:false,&quot;dropping-particle&quot;:&quot;&quot;,&quot;non-dropping-particle&quot;:&quot;&quot;},{&quot;family&quot;:&quot;Mohamad&quot;,&quot;given&quot;:&quot;Sara S.&quot;,&quot;parse-names&quot;:false,&quot;dropping-particle&quot;:&quot;&quot;,&quot;non-dropping-particle&quot;:&quot;&quot;},{&quot;family&quot;:&quot;Alkhatib&quot;,&quot;given&quot;:&quot;Mohammed&quot;,&quot;parse-names&quot;:false,&quot;dropping-particle&quot;:&quot;&quot;,&quot;non-dropping-particle&quot;:&quot;&quot;},{&quot;family&quot;:&quot;Yassin&quot;,&quot;given&quot;:&quot;Mohamed A.&quot;,&quot;parse-names&quot;:false,&quot;dropping-particle&quot;:&quot;&quot;,&quot;non-dropping-particle&quot;:&quot;&quot;}],&quot;container-title&quot;:&quot;Health Science Reports&quot;,&quot;container-title-short&quot;:&quot;Health Sci. Rep.&quot;,&quot;DOI&quot;:&quot;10.1002/hsr2.883&quot;,&quot;ISSN&quot;:&quot;23988835&quot;,&quot;issued&quot;:{&quot;date-parts&quot;:[[2022,11,1]]},&quot;abstract&quot;:&quot;Background and Aim: The coronavirus-19 is an ongoing global pandemic resulting in millions of deaths worldwide. For a patient population at higher risk of infection, telemedicine is a promising means of providing safe and alternative care routes while minimizing their risk of exposure. This study gives insight into patients' experiences and satisfaction with telemedicine during this pandemic. Methods: We conducted a cross-sectional study on 297 patients (RR: 85%) at the National Center for Cancer Care and Research (NCCCR), Qatar. Data was collected through electronic medical records of the eligibe patient population, and phone calls were made whereby the physician read a standard introductory script followed by a survey questionnaire. We focused on patients' experience with telemedicine services amid the pandemic. This was done using a six-point Likert scoring system of seven questions that were scaled from 1 to 6. Results: More than 80% of patients somewhat to strongly agreed that telemedicine met their healthcare needs, improved their confidence in their healthcare system, and were generally satisfied with the quality of care provided. Nearly all patients (90%) understood their physicians' recommendations over the phone. In addition, more than half of the patients (89%) felt they could freely communicate their concerns. Patients also showed an inclination towards face-to-face consultations at 68%; however, 90% were willing to participate in future teleconsultations. Conclusion: Our study indicates an overall positive experience among patients towards the use of telemedicine. Telemedicine is a safe, futuristic approach toward patient care management and, thus, provides healthcare professionals a platform to implement further patient and physician education. Even though our data also showed that patients liked in-person visits to some degree, this needs to be looked into more in future studies.&quot;,&quot;publisher&quot;:&quot;John Wiley and Sons Inc&quot;,&quot;issue&quot;:&quot;6&quot;,&quot;volume&quot;:&quot;5&quot;},&quot;isTemporary&quot;:false}]},{&quot;citationID&quot;:&quot;MENDELEY_CITATION_78dac13a-9bab-470c-94d3-e4ef0d00aeea&quot;,&quot;properties&quot;:{&quot;noteIndex&quot;:0},&quot;isEdited&quot;:false,&quot;manualOverride&quot;:{&quot;isManuallyOverridden&quot;:false,&quot;citeprocText&quot;:&quot;(Stoumpos et al., 2023)&quot;,&quot;manualOverrideText&quot;:&quot;&quot;},&quot;citationTag&quot;:&quot;MENDELEY_CITATION_v3_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&quot;,&quot;citationItems&quot;:[{&quot;id&quot;:&quot;26836c9d-03fa-3bae-885a-09a85c9736ac&quot;,&quot;itemData&quot;:{&quot;type&quot;:&quot;article-journal&quot;,&quot;id&quot;:&quot;26836c9d-03fa-3bae-885a-09a85c9736ac&quot;,&quot;title&quot;:&quot;Digital Transformation in Healthcare: Technology Acceptance and Its Applications&quot;,&quot;author&quot;:[{&quot;family&quot;:&quot;Stoumpos&quot;,&quot;given&quot;:&quot;Angelos I.&quot;,&quot;parse-names&quot;:false,&quot;dropping-particle&quot;:&quot;&quot;,&quot;non-dropping-particle&quot;:&quot;&quot;},{&quot;family&quot;:&quot;Kitsios&quot;,&quot;given&quot;:&quot;Fotis&quot;,&quot;parse-names&quot;:false,&quot;dropping-particle&quot;:&quot;&quot;,&quot;non-dropping-particle&quot;:&quot;&quot;},{&quot;family&quot;:&quot;Talias&quot;,&quot;given&quot;:&quot;Michael A.&quot;,&quot;parse-names&quot;:false,&quot;dropping-particle&quot;:&quot;&quot;,&quot;non-dropping-particle&quot;:&quot;&quot;}],&quot;container-title&quot;:&quot;International Journal of Environmental Research and Public Health&quot;,&quot;container-title-short&quot;:&quot;Int. J. Environ. Res. Public Health&quot;,&quot;accessed&quot;:{&quot;date-parts&quot;:[[2026,5,20]]},&quot;DOI&quot;:&quot;10.3390/ijerph20043407&quot;,&quot;ISSN&quot;:&quot;16604601&quot;,&quot;PMID&quot;:&quot;36834105&quot;,&quot;issued&quot;:{&quot;date-parts&quot;:[[2023,2,1]]},&quot;abstract&quot;:&quot;Technological innovation has become an integral aspect of our daily life, such as wearable and information technology, virtual reality and the Internet of Things which have contributed to transforming healthcare business and operations. Patients will now have a broader range and more mindful healthcare choices and experience a new era of healthcare with a patient-centric culture. Digital transformation determines personal and institutional health care. This paper aims to analyse the changes taking place in the field of healthcare due to digital transformation. For this purpose, a systematic bibliographic review is performed, utilising Scopus, Science Direct and PubMed databases from 2008 to 2021. Our methodology is based on the approach by Wester and Watson, which classify the related articles based on a concept-centric method and an ad hoc classification system which identify the categories used to describe areas of literature. The search was made during August 2022 and identified 5847 papers, of which 321 fulfilled the inclusion criteria for further process. Finally, by removing and adding additional studies, we ended with 287 articles grouped into five themes: information technology in health, the educational impact of e-health, the acceptance of e-health, telemedicine and security issues.&quot;,&quot;publisher&quot;:&quot;MDPI&quot;,&quot;issue&quot;:&quot;4&quot;,&quot;volume&quot;:&quot;20&quot;},&quot;isTemporary&quot;:false}]},{&quot;citationID&quot;:&quot;MENDELEY_CITATION_541a0f13-1988-48d2-b02b-dde70a0adf5c&quot;,&quot;properties&quot;:{&quot;noteIndex&quot;:0},&quot;isEdited&quot;:false,&quot;manualOverride&quot;:{&quot;isManuallyOverridden&quot;:false,&quot;citeprocText&quot;:&quot;(Elise McLeod &amp;#38; Elise, 2018)&quot;,&quot;manualOverrideText&quot;:&quot;&quot;},&quot;citationTag&quot;:&quot;MENDELEY_CITATION_v3_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&quot;,&quot;citationItems&quot;:[{&quot;id&quot;:&quot;1fe44fae-e74f-3bb4-b90b-f534770540ab&quot;,&quot;itemData&quot;:{&quot;type&quot;:&quot;report&quot;,&quot;id&quot;:&quot;1fe44fae-e74f-3bb4-b90b-f534770540ab&quot;,&quot;title&quot;:&quot;The County-Level Impact of Telemedicine: A Difference-in-The County-Level Impact of Telemedicine: A Difference-in-Recommended Citation Recommended Citation&quot;,&quot;author&quot;:[{&quot;family&quot;:&quot;Elise McLeod&quot;,&quot;given&quot;:&quot;Megan&quot;,&quot;parse-names&quot;:false,&quot;dropping-particle&quot;:&quot;&quot;,&quot;non-dropping-particle&quot;:&quot;&quot;},{&quot;family&quot;:&quot;Elise&quot;,&quot;given&quot;:&quot;Megan&quot;,&quot;parse-names&quot;:false,&quot;dropping-particle&quot;:&quot;&quot;,&quot;non-dropping-particle&quot;:&quot;&quot;}],&quot;URL&quot;:&quot;https://egrove.olemiss.edu/hon_thesis/687&quot;,&quot;issued&quot;:{&quot;date-parts&quot;:[[2018]]},&quot;container-title-short&quot;:&quot;&quot;},&quot;isTemporary&quot;:false}]},{&quot;citationID&quot;:&quot;MENDELEY_CITATION_bb3eda9e-0830-4496-add6-6c5e24d29dba&quot;,&quot;properties&quot;:{&quot;noteIndex&quot;:0},&quot;isEdited&quot;:false,&quot;manualOverride&quot;:{&quot;isManuallyOverridden&quot;:false,&quot;citeprocText&quot;:&quot;(Elhakeem et al., 2022)&quot;,&quot;manualOverrideText&quot;:&quot;&quot;},&quot;citationTag&quot;:&quot;MENDELEY_CITATION_v3_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&quot;,&quot;citationItems&quot;:[{&quot;id&quot;:&quot;e2ebf411-0bd6-3cca-83b9-3dfa5b4df0df&quot;,&quot;itemData&quot;:{&quot;type&quot;:&quot;article-journal&quot;,&quot;id&quot;:&quot;e2ebf411-0bd6-3cca-83b9-3dfa5b4df0df&quot;,&quot;title&quot;:&quot;Patients' experience and satisfaction using telemedicine for outpatient services in a Tertiary Cancer Center in Qatar during COVID-19: A cross-sectional study&quot;,&quot;author&quot;:[{&quot;family&quot;:&quot;Elhakeem&quot;,&quot;given&quot;:&quot;Israa&quot;,&quot;parse-names&quot;:false,&quot;dropping-particle&quot;:&quot;&quot;,&quot;non-dropping-particle&quot;:&quot;&quot;},{&quot;family&quot;:&quot;Iqbal&quot;,&quot;given&quot;:&quot;Phool&quot;,&quot;parse-names&quot;:false,&quot;dropping-particle&quot;:&quot;&quot;,&quot;non-dropping-particle&quot;:&quot;&quot;},{&quot;family&quot;:&quot;Nashwan&quot;,&quot;given&quot;:&quot;Abdulqadir J.&quot;,&quot;parse-names&quot;:false,&quot;dropping-particle&quot;:&quot;&quot;,&quot;non-dropping-particle&quot;:&quot;&quot;},{&quot;family&quot;:&quot;Abubakar&quot;,&quot;given&quot;:&quot;Muhammad&quot;,&quot;parse-names&quot;:false,&quot;dropping-particle&quot;:&quot;&quot;,&quot;non-dropping-particle&quot;:&quot;&quot;},{&quot;family&quot;:&quot;Jawad&quot;,&quot;given&quot;:&quot;Arsalan T.&quot;,&quot;parse-names&quot;:false,&quot;dropping-particle&quot;:&quot;&quot;,&quot;non-dropping-particle&quot;:&quot;&quot;},{&quot;family&quot;:&quot;AlHiyari&quot;,&quot;given&quot;:&quot;Mousa A.&quot;,&quot;parse-names&quot;:false,&quot;dropping-particle&quot;:&quot;&quot;,&quot;non-dropping-particle&quot;:&quot;&quot;},{&quot;family&quot;:&quot;Chandra&quot;,&quot;given&quot;:&quot;Prem&quot;,&quot;parse-names&quot;:false,&quot;dropping-particle&quot;:&quot;&quot;,&quot;non-dropping-particle&quot;:&quot;&quot;},{&quot;family&quot;:&quot;Osman&quot;,&quot;given&quot;:&quot;Maab A.&quot;,&quot;parse-names&quot;:false,&quot;dropping-particle&quot;:&quot;&quot;,&quot;non-dropping-particle&quot;:&quot;&quot;},{&quot;family&quot;:&quot;Mohamad&quot;,&quot;given&quot;:&quot;Sara S.&quot;,&quot;parse-names&quot;:false,&quot;dropping-particle&quot;:&quot;&quot;,&quot;non-dropping-particle&quot;:&quot;&quot;},{&quot;family&quot;:&quot;Alkhatib&quot;,&quot;given&quot;:&quot;Mohammed&quot;,&quot;parse-names&quot;:false,&quot;dropping-particle&quot;:&quot;&quot;,&quot;non-dropping-particle&quot;:&quot;&quot;},{&quot;family&quot;:&quot;Yassin&quot;,&quot;given&quot;:&quot;Mohamed A.&quot;,&quot;parse-names&quot;:false,&quot;dropping-particle&quot;:&quot;&quot;,&quot;non-dropping-particle&quot;:&quot;&quot;}],&quot;container-title&quot;:&quot;Health Science Reports&quot;,&quot;container-title-short&quot;:&quot;Health Sci. Rep.&quot;,&quot;DOI&quot;:&quot;10.1002/hsr2.883&quot;,&quot;ISSN&quot;:&quot;23988835&quot;,&quot;issued&quot;:{&quot;date-parts&quot;:[[2022,11,1]]},&quot;abstract&quot;:&quot;Background and Aim: The coronavirus-19 is an ongoing global pandemic resulting in millions of deaths worldwide. For a patient population at higher risk of infection, telemedicine is a promising means of providing safe and alternative care routes while minimizing their risk of exposure. This study gives insight into patients' experiences and satisfaction with telemedicine during this pandemic. Methods: We conducted a cross-sectional study on 297 patients (RR: 85%) at the National Center for Cancer Care and Research (NCCCR), Qatar. Data was collected through electronic medical records of the eligibe patient population, and phone calls were made whereby the physician read a standard introductory script followed by a survey questionnaire. We focused on patients' experience with telemedicine services amid the pandemic. This was done using a six-point Likert scoring system of seven questions that were scaled from 1 to 6. Results: More than 80% of patients somewhat to strongly agreed that telemedicine met their healthcare needs, improved their confidence in their healthcare system, and were generally satisfied with the quality of care provided. Nearly all patients (90%) understood their physicians' recommendations over the phone. In addition, more than half of the patients (89%) felt they could freely communicate their concerns. Patients also showed an inclination towards face-to-face consultations at 68%; however, 90% were willing to participate in future teleconsultations. Conclusion: Our study indicates an overall positive experience among patients towards the use of telemedicine. Telemedicine is a safe, futuristic approach toward patient care management and, thus, provides healthcare professionals a platform to implement further patient and physician education. Even though our data also showed that patients liked in-person visits to some degree, this needs to be looked into more in future studies.&quot;,&quot;publisher&quot;:&quot;John Wiley and Sons Inc&quot;,&quot;issue&quot;:&quot;6&quot;,&quot;volume&quot;:&quot;5&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38FFE-F315-4A4D-B9C5-1746B58F2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9</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 CHERRY</dc:creator>
  <cp:lastModifiedBy>cherry Spencer</cp:lastModifiedBy>
</cp:coreProperties>
</file>