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1C160B"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UICTFontTextStyleBody" w:hAnsi="UICTFontTextStyleBody" w:cs="Times New Roman"/>
          <w:color w:val="000000"/>
          <w:kern w:val="0"/>
          <w:sz w:val="30"/>
          <w:szCs w:val="30"/>
          <w14:ligatures w14:val="none"/>
        </w:rPr>
        <w:t>Raif ismail</w:t>
      </w:r>
    </w:p>
    <w:p w14:paraId="17869E36"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UICTFontTextStyleBody" w:hAnsi="UICTFontTextStyleBody" w:cs="Times New Roman"/>
          <w:color w:val="000000"/>
          <w:kern w:val="0"/>
          <w:sz w:val="30"/>
          <w:szCs w:val="30"/>
          <w14:ligatures w14:val="none"/>
        </w:rPr>
        <w:t>2307864</w:t>
      </w:r>
    </w:p>
    <w:p w14:paraId="22702B8D"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UICTFontTextStyleBody" w:hAnsi="UICTFontTextStyleBody" w:cs="Times New Roman"/>
          <w:color w:val="000000"/>
          <w:kern w:val="0"/>
          <w:sz w:val="30"/>
          <w:szCs w:val="30"/>
          <w14:ligatures w14:val="none"/>
        </w:rPr>
        <w:t>University of Wales Trinity Saint David</w:t>
      </w:r>
    </w:p>
    <w:p w14:paraId="444380F6"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UICTFontTextStyleBody" w:hAnsi="UICTFontTextStyleBody" w:cs="Times New Roman"/>
          <w:color w:val="000000"/>
          <w:kern w:val="0"/>
          <w:sz w:val="30"/>
          <w:szCs w:val="30"/>
          <w14:ligatures w14:val="none"/>
        </w:rPr>
        <w:t>Reflective Report</w:t>
      </w:r>
    </w:p>
    <w:p w14:paraId="6CB734CE"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UICTFontTextStyleBody" w:hAnsi="UICTFontTextStyleBody" w:cs="Times New Roman"/>
          <w:color w:val="000000"/>
          <w:kern w:val="0"/>
          <w:sz w:val="30"/>
          <w:szCs w:val="30"/>
          <w14:ligatures w14:val="none"/>
        </w:rPr>
        <w:t>The Decline of The Retailer Wilko</w:t>
      </w:r>
    </w:p>
    <w:p w14:paraId="4B71C210"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UICTFontTextStyleBody" w:hAnsi="UICTFontTextStyleBody" w:cs="Times New Roman"/>
          <w:color w:val="000000"/>
          <w:kern w:val="0"/>
          <w:sz w:val="30"/>
          <w:szCs w:val="30"/>
          <w14:ligatures w14:val="none"/>
        </w:rPr>
        <w:t>Word Count : 1484</w:t>
      </w:r>
    </w:p>
    <w:p w14:paraId="662EC9FC"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2C07B126"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Title: The Decline of the Retailer Wilko</w:t>
      </w:r>
    </w:p>
    <w:p w14:paraId="3E23C829"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7DC2A010"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Introduction</w:t>
      </w:r>
    </w:p>
    <w:p w14:paraId="2E83777B"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In recent years, the retail industry has witnessed significant challenges, and many established retailers have struggled to adapt to the changing market dynamics. One such example is Wilko, a prominent high street retailer in the United Kingdom that faced financial difficulties, ultimately leading to administration. This report aims to </w:t>
      </w:r>
      <w:proofErr w:type="spellStart"/>
      <w:r w:rsidRPr="00C21566">
        <w:rPr>
          <w:rFonts w:ascii="Arial" w:hAnsi="Arial" w:cs="Arial"/>
          <w:color w:val="000000"/>
          <w:kern w:val="0"/>
          <w:sz w:val="27"/>
          <w:szCs w:val="27"/>
          <w14:ligatures w14:val="none"/>
        </w:rPr>
        <w:t>analyze</w:t>
      </w:r>
      <w:proofErr w:type="spellEnd"/>
      <w:r w:rsidRPr="00C21566">
        <w:rPr>
          <w:rFonts w:ascii="Arial" w:hAnsi="Arial" w:cs="Arial"/>
          <w:color w:val="000000"/>
          <w:kern w:val="0"/>
          <w:sz w:val="27"/>
          <w:szCs w:val="27"/>
          <w14:ligatures w14:val="none"/>
        </w:rPr>
        <w:t> the true scope and impact of the problems faced by Wilko, conduct a SWOT analysis, and a PESTLE analysis to understand the macro-environmental factors influencing the retailer's decline. Finally, the report will conclude with insights into potential strategies that could have altered the outcome for Wilko.</w:t>
      </w:r>
    </w:p>
    <w:p w14:paraId="048B724B"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74AC5B18"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The True Scope and Impact of the Problem Faced by Wilko</w:t>
      </w:r>
    </w:p>
    <w:p w14:paraId="132F9C3C"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The decline of Wilko can be attributed to several factors that have impacted its financial viability. It faced intense competition from other retailers, both traditional and online. Additionally, changing consumer </w:t>
      </w:r>
      <w:proofErr w:type="spellStart"/>
      <w:r w:rsidRPr="00C21566">
        <w:rPr>
          <w:rFonts w:ascii="Arial" w:hAnsi="Arial" w:cs="Arial"/>
          <w:color w:val="000000"/>
          <w:kern w:val="0"/>
          <w:sz w:val="27"/>
          <w:szCs w:val="27"/>
          <w14:ligatures w14:val="none"/>
        </w:rPr>
        <w:t>behaviors</w:t>
      </w:r>
      <w:proofErr w:type="spellEnd"/>
      <w:r w:rsidRPr="00C21566">
        <w:rPr>
          <w:rFonts w:ascii="Arial" w:hAnsi="Arial" w:cs="Arial"/>
          <w:color w:val="000000"/>
          <w:kern w:val="0"/>
          <w:sz w:val="27"/>
          <w:szCs w:val="27"/>
          <w14:ligatures w14:val="none"/>
        </w:rPr>
        <w:t> and preferences, economic uncertainty, and increased operating costs have contributed to the retailer's challenges. This has resulted in a decline in sales, profitability, and ultimately led to the company entering administration.</w:t>
      </w:r>
    </w:p>
    <w:p w14:paraId="24896EA8"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4766FA19"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SWOT Analysis of Wilko</w:t>
      </w:r>
    </w:p>
    <w:p w14:paraId="54956D78"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03956D03"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SWOT analysis is a widely used strategic planning tool that helps </w:t>
      </w:r>
      <w:proofErr w:type="spellStart"/>
      <w:r w:rsidRPr="00C21566">
        <w:rPr>
          <w:rFonts w:ascii="Arial" w:hAnsi="Arial" w:cs="Arial"/>
          <w:color w:val="000000"/>
          <w:kern w:val="0"/>
          <w:sz w:val="27"/>
          <w:szCs w:val="27"/>
          <w14:ligatures w14:val="none"/>
        </w:rPr>
        <w:t>organizations</w:t>
      </w:r>
      <w:proofErr w:type="spellEnd"/>
      <w:r w:rsidRPr="00C21566">
        <w:rPr>
          <w:rFonts w:ascii="Arial" w:hAnsi="Arial" w:cs="Arial"/>
          <w:color w:val="000000"/>
          <w:kern w:val="0"/>
          <w:sz w:val="27"/>
          <w:szCs w:val="27"/>
          <w14:ligatures w14:val="none"/>
        </w:rPr>
        <w:t> assess their internal strengths and weaknesses, as well as external opportunities and threats. The acronym "SWOT" stands for Strengths, Weaknesses, Opportunities, and Threats. This framework provides a comprehensive understanding of the current state of an </w:t>
      </w:r>
      <w:proofErr w:type="spellStart"/>
      <w:r w:rsidRPr="00C21566">
        <w:rPr>
          <w:rFonts w:ascii="Arial" w:hAnsi="Arial" w:cs="Arial"/>
          <w:color w:val="000000"/>
          <w:kern w:val="0"/>
          <w:sz w:val="27"/>
          <w:szCs w:val="27"/>
          <w14:ligatures w14:val="none"/>
        </w:rPr>
        <w:t>organization</w:t>
      </w:r>
      <w:proofErr w:type="spellEnd"/>
      <w:r w:rsidRPr="00C21566">
        <w:rPr>
          <w:rFonts w:ascii="Arial" w:hAnsi="Arial" w:cs="Arial"/>
          <w:color w:val="000000"/>
          <w:kern w:val="0"/>
          <w:sz w:val="27"/>
          <w:szCs w:val="27"/>
          <w14:ligatures w14:val="none"/>
        </w:rPr>
        <w:t>, enabling informed decision-making and strategic planning. </w:t>
      </w:r>
    </w:p>
    <w:p w14:paraId="1683CC75"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5947591A"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Strengths:</w:t>
      </w:r>
    </w:p>
    <w:p w14:paraId="213227EB"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 Established brand presence with a loyal customer base</w:t>
      </w:r>
    </w:p>
    <w:p w14:paraId="1C32244F"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 Diverse product range including homeware, garden supplies, and DIY products</w:t>
      </w:r>
    </w:p>
    <w:p w14:paraId="4AA7BE8B"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 Physical store presence across the UK, ensuring accessibility and convenience for customers</w:t>
      </w:r>
    </w:p>
    <w:p w14:paraId="2045BE27"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2E9CA7F9"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Weaknesses:</w:t>
      </w:r>
    </w:p>
    <w:p w14:paraId="4AE4D213"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 Inability to effectively adapt to changing consumer preferences</w:t>
      </w:r>
    </w:p>
    <w:p w14:paraId="475BFBD8"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 Limited investment in online retail, impacting market share</w:t>
      </w:r>
    </w:p>
    <w:p w14:paraId="2ED95840"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 Increased competition from discount retailers impacting pricing strategies</w:t>
      </w:r>
    </w:p>
    <w:p w14:paraId="631B4D5D"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2973D8E1"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Opportunities:</w:t>
      </w:r>
    </w:p>
    <w:p w14:paraId="5C53FF63"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 Expansion of e-commerce capabilities to reach a wider customer base</w:t>
      </w:r>
    </w:p>
    <w:p w14:paraId="1D795607"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 Diversification of product offerings to meet emerging market trends</w:t>
      </w:r>
    </w:p>
    <w:p w14:paraId="52E614F2"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 Strategic partnerships and collaborations to enhance the brand's appeal</w:t>
      </w:r>
    </w:p>
    <w:p w14:paraId="5FBE6FEA"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27D84258"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Threats:</w:t>
      </w:r>
    </w:p>
    <w:p w14:paraId="2E75F7BF"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 Intense competition from both traditional brick-and-mortar stores and e-commerce giants</w:t>
      </w:r>
    </w:p>
    <w:p w14:paraId="7EAE22B0"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 Economic uncertainties impacting consumer spending habits</w:t>
      </w:r>
    </w:p>
    <w:p w14:paraId="7975C500"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 Regulatory changes and increased operating costs affecting profitability</w:t>
      </w:r>
    </w:p>
    <w:p w14:paraId="36139600"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286E415D"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SWOT analysis serves as a valuable tool for strategic decision-making, enabling </w:t>
      </w:r>
      <w:proofErr w:type="spellStart"/>
      <w:r w:rsidRPr="00C21566">
        <w:rPr>
          <w:rFonts w:ascii="Arial" w:hAnsi="Arial" w:cs="Arial"/>
          <w:color w:val="000000"/>
          <w:kern w:val="0"/>
          <w:sz w:val="27"/>
          <w:szCs w:val="27"/>
          <w14:ligatures w14:val="none"/>
        </w:rPr>
        <w:t>organizations</w:t>
      </w:r>
      <w:proofErr w:type="spellEnd"/>
      <w:r w:rsidRPr="00C21566">
        <w:rPr>
          <w:rFonts w:ascii="Arial" w:hAnsi="Arial" w:cs="Arial"/>
          <w:color w:val="000000"/>
          <w:kern w:val="0"/>
          <w:sz w:val="27"/>
          <w:szCs w:val="27"/>
          <w14:ligatures w14:val="none"/>
        </w:rPr>
        <w:t> to garner insights into their current position and future prospects. By critically evaluating internal strengths and weaknesses, as well as external opportunities and threats, </w:t>
      </w:r>
      <w:proofErr w:type="spellStart"/>
      <w:r w:rsidRPr="00C21566">
        <w:rPr>
          <w:rFonts w:ascii="Arial" w:hAnsi="Arial" w:cs="Arial"/>
          <w:color w:val="000000"/>
          <w:kern w:val="0"/>
          <w:sz w:val="27"/>
          <w:szCs w:val="27"/>
          <w14:ligatures w14:val="none"/>
        </w:rPr>
        <w:t>organizations</w:t>
      </w:r>
      <w:proofErr w:type="spellEnd"/>
      <w:r w:rsidRPr="00C21566">
        <w:rPr>
          <w:rFonts w:ascii="Arial" w:hAnsi="Arial" w:cs="Arial"/>
          <w:color w:val="000000"/>
          <w:kern w:val="0"/>
          <w:sz w:val="27"/>
          <w:szCs w:val="27"/>
          <w14:ligatures w14:val="none"/>
        </w:rPr>
        <w:t> can formulate informed strategies to leverage their advantages, address shortcomings, explore new avenues for growth, and mitigate risks.</w:t>
      </w:r>
    </w:p>
    <w:p w14:paraId="28CE4B94"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0D36287D"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SWOT analysis offers a structured approach for evaluating an </w:t>
      </w:r>
      <w:proofErr w:type="spellStart"/>
      <w:r w:rsidRPr="00C21566">
        <w:rPr>
          <w:rFonts w:ascii="Arial" w:hAnsi="Arial" w:cs="Arial"/>
          <w:color w:val="000000"/>
          <w:kern w:val="0"/>
          <w:sz w:val="27"/>
          <w:szCs w:val="27"/>
          <w14:ligatures w14:val="none"/>
        </w:rPr>
        <w:t>organization's</w:t>
      </w:r>
      <w:proofErr w:type="spellEnd"/>
      <w:r w:rsidRPr="00C21566">
        <w:rPr>
          <w:rFonts w:ascii="Arial" w:hAnsi="Arial" w:cs="Arial"/>
          <w:color w:val="000000"/>
          <w:kern w:val="0"/>
          <w:sz w:val="27"/>
          <w:szCs w:val="27"/>
          <w14:ligatures w14:val="none"/>
        </w:rPr>
        <w:t> current standing and future potential. It serves as a foundational tool for strategic planning, enabling </w:t>
      </w:r>
      <w:proofErr w:type="spellStart"/>
      <w:r w:rsidRPr="00C21566">
        <w:rPr>
          <w:rFonts w:ascii="Arial" w:hAnsi="Arial" w:cs="Arial"/>
          <w:color w:val="000000"/>
          <w:kern w:val="0"/>
          <w:sz w:val="27"/>
          <w:szCs w:val="27"/>
          <w14:ligatures w14:val="none"/>
        </w:rPr>
        <w:t>organizations</w:t>
      </w:r>
      <w:proofErr w:type="spellEnd"/>
      <w:r w:rsidRPr="00C21566">
        <w:rPr>
          <w:rFonts w:ascii="Arial" w:hAnsi="Arial" w:cs="Arial"/>
          <w:color w:val="000000"/>
          <w:kern w:val="0"/>
          <w:sz w:val="27"/>
          <w:szCs w:val="27"/>
          <w14:ligatures w14:val="none"/>
        </w:rPr>
        <w:t> to </w:t>
      </w:r>
      <w:proofErr w:type="spellStart"/>
      <w:r w:rsidRPr="00C21566">
        <w:rPr>
          <w:rFonts w:ascii="Arial" w:hAnsi="Arial" w:cs="Arial"/>
          <w:color w:val="000000"/>
          <w:kern w:val="0"/>
          <w:sz w:val="27"/>
          <w:szCs w:val="27"/>
          <w14:ligatures w14:val="none"/>
        </w:rPr>
        <w:t>capitalize</w:t>
      </w:r>
      <w:proofErr w:type="spellEnd"/>
      <w:r w:rsidRPr="00C21566">
        <w:rPr>
          <w:rFonts w:ascii="Arial" w:hAnsi="Arial" w:cs="Arial"/>
          <w:color w:val="000000"/>
          <w:kern w:val="0"/>
          <w:sz w:val="27"/>
          <w:szCs w:val="27"/>
          <w14:ligatures w14:val="none"/>
        </w:rPr>
        <w:t> on their strengths, address weaknesses, explore growth opportunities, and prepare for external threats. By leveraging the insights gained from SWOT analysis, </w:t>
      </w:r>
      <w:proofErr w:type="spellStart"/>
      <w:r w:rsidRPr="00C21566">
        <w:rPr>
          <w:rFonts w:ascii="Arial" w:hAnsi="Arial" w:cs="Arial"/>
          <w:color w:val="000000"/>
          <w:kern w:val="0"/>
          <w:sz w:val="27"/>
          <w:szCs w:val="27"/>
          <w14:ligatures w14:val="none"/>
        </w:rPr>
        <w:t>organizations</w:t>
      </w:r>
      <w:proofErr w:type="spellEnd"/>
      <w:r w:rsidRPr="00C21566">
        <w:rPr>
          <w:rFonts w:ascii="Arial" w:hAnsi="Arial" w:cs="Arial"/>
          <w:color w:val="000000"/>
          <w:kern w:val="0"/>
          <w:sz w:val="27"/>
          <w:szCs w:val="27"/>
          <w14:ligatures w14:val="none"/>
        </w:rPr>
        <w:t> can develop effective strategies to navigate the complexities of the business landscape and enhance their overall performance and sustainability.</w:t>
      </w:r>
    </w:p>
    <w:p w14:paraId="71BBEDF7"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51A52387"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4750C331"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005CFDC8"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PESTLE Analysis of the Macro Environment</w:t>
      </w:r>
    </w:p>
    <w:p w14:paraId="0A808001"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7EBB6F7E"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The PESTLE analysis, an essential strategic tool, examines the external macro-environmental factors that influence an </w:t>
      </w:r>
      <w:proofErr w:type="spellStart"/>
      <w:r w:rsidRPr="00C21566">
        <w:rPr>
          <w:rFonts w:ascii="Arial" w:hAnsi="Arial" w:cs="Arial"/>
          <w:color w:val="000000"/>
          <w:kern w:val="0"/>
          <w:sz w:val="27"/>
          <w:szCs w:val="27"/>
          <w14:ligatures w14:val="none"/>
        </w:rPr>
        <w:t>organization's</w:t>
      </w:r>
      <w:proofErr w:type="spellEnd"/>
      <w:r w:rsidRPr="00C21566">
        <w:rPr>
          <w:rFonts w:ascii="Arial" w:hAnsi="Arial" w:cs="Arial"/>
          <w:color w:val="000000"/>
          <w:kern w:val="0"/>
          <w:sz w:val="27"/>
          <w:szCs w:val="27"/>
          <w14:ligatures w14:val="none"/>
        </w:rPr>
        <w:t> operations. The acronym "PESTLE" represents Political, Economic, Social, Technological, Legal, and Environmental factors. This framework enables </w:t>
      </w:r>
      <w:proofErr w:type="spellStart"/>
      <w:r w:rsidRPr="00C21566">
        <w:rPr>
          <w:rFonts w:ascii="Arial" w:hAnsi="Arial" w:cs="Arial"/>
          <w:color w:val="000000"/>
          <w:kern w:val="0"/>
          <w:sz w:val="27"/>
          <w:szCs w:val="27"/>
          <w14:ligatures w14:val="none"/>
        </w:rPr>
        <w:t>organizations</w:t>
      </w:r>
      <w:proofErr w:type="spellEnd"/>
      <w:r w:rsidRPr="00C21566">
        <w:rPr>
          <w:rFonts w:ascii="Arial" w:hAnsi="Arial" w:cs="Arial"/>
          <w:color w:val="000000"/>
          <w:kern w:val="0"/>
          <w:sz w:val="27"/>
          <w:szCs w:val="27"/>
          <w14:ligatures w14:val="none"/>
        </w:rPr>
        <w:t> to understand the broader influences shaping their industry and adapt their strategies to effectively navigate the external landscape.</w:t>
      </w:r>
    </w:p>
    <w:p w14:paraId="77B127C7"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624FE751"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The first component of a PESTLE analysis, Political factors, encompasses the impact of government policies, regulations, and political stability on </w:t>
      </w:r>
      <w:proofErr w:type="spellStart"/>
      <w:r w:rsidRPr="00C21566">
        <w:rPr>
          <w:rFonts w:ascii="Arial" w:hAnsi="Arial" w:cs="Arial"/>
          <w:color w:val="000000"/>
          <w:kern w:val="0"/>
          <w:sz w:val="27"/>
          <w:szCs w:val="27"/>
          <w14:ligatures w14:val="none"/>
        </w:rPr>
        <w:t>organizations</w:t>
      </w:r>
      <w:proofErr w:type="spellEnd"/>
      <w:r w:rsidRPr="00C21566">
        <w:rPr>
          <w:rFonts w:ascii="Arial" w:hAnsi="Arial" w:cs="Arial"/>
          <w:color w:val="000000"/>
          <w:kern w:val="0"/>
          <w:sz w:val="27"/>
          <w:szCs w:val="27"/>
          <w14:ligatures w14:val="none"/>
        </w:rPr>
        <w:t>. Changes in legislation, government intervention, and political trends can significantly affect businesses. Understanding political factors is crucial for </w:t>
      </w:r>
      <w:proofErr w:type="spellStart"/>
      <w:r w:rsidRPr="00C21566">
        <w:rPr>
          <w:rFonts w:ascii="Arial" w:hAnsi="Arial" w:cs="Arial"/>
          <w:color w:val="000000"/>
          <w:kern w:val="0"/>
          <w:sz w:val="27"/>
          <w:szCs w:val="27"/>
          <w14:ligatures w14:val="none"/>
        </w:rPr>
        <w:t>organizations</w:t>
      </w:r>
      <w:proofErr w:type="spellEnd"/>
      <w:r w:rsidRPr="00C21566">
        <w:rPr>
          <w:rFonts w:ascii="Arial" w:hAnsi="Arial" w:cs="Arial"/>
          <w:color w:val="000000"/>
          <w:kern w:val="0"/>
          <w:sz w:val="27"/>
          <w:szCs w:val="27"/>
          <w14:ligatures w14:val="none"/>
        </w:rPr>
        <w:t> to anticipate potential shifts in regulations and adapt their strategies to comply with evolving governance standards.</w:t>
      </w:r>
    </w:p>
    <w:p w14:paraId="2E69E92A"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3022C8D3"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Economic factors are also essential as they provide insights into the economic conditions within which </w:t>
      </w:r>
      <w:proofErr w:type="spellStart"/>
      <w:r w:rsidRPr="00C21566">
        <w:rPr>
          <w:rFonts w:ascii="Arial" w:hAnsi="Arial" w:cs="Arial"/>
          <w:color w:val="000000"/>
          <w:kern w:val="0"/>
          <w:sz w:val="27"/>
          <w:szCs w:val="27"/>
          <w14:ligatures w14:val="none"/>
        </w:rPr>
        <w:t>organizations</w:t>
      </w:r>
      <w:proofErr w:type="spellEnd"/>
      <w:r w:rsidRPr="00C21566">
        <w:rPr>
          <w:rFonts w:ascii="Arial" w:hAnsi="Arial" w:cs="Arial"/>
          <w:color w:val="000000"/>
          <w:kern w:val="0"/>
          <w:sz w:val="27"/>
          <w:szCs w:val="27"/>
          <w14:ligatures w14:val="none"/>
        </w:rPr>
        <w:t> operate. Factors such as inflation rates, exchange rates, economic growth, and unemployment levels influence consumer spending patterns, business investments, and market dynamics. By examining economic factors, </w:t>
      </w:r>
      <w:proofErr w:type="spellStart"/>
      <w:r w:rsidRPr="00C21566">
        <w:rPr>
          <w:rFonts w:ascii="Arial" w:hAnsi="Arial" w:cs="Arial"/>
          <w:color w:val="000000"/>
          <w:kern w:val="0"/>
          <w:sz w:val="27"/>
          <w:szCs w:val="27"/>
          <w14:ligatures w14:val="none"/>
        </w:rPr>
        <w:t>organizations</w:t>
      </w:r>
      <w:proofErr w:type="spellEnd"/>
      <w:r w:rsidRPr="00C21566">
        <w:rPr>
          <w:rFonts w:ascii="Arial" w:hAnsi="Arial" w:cs="Arial"/>
          <w:color w:val="000000"/>
          <w:kern w:val="0"/>
          <w:sz w:val="27"/>
          <w:szCs w:val="27"/>
          <w14:ligatures w14:val="none"/>
        </w:rPr>
        <w:t> can gauge market potential, identify potential risks, and craft strategies to address economic fluctuations effectively.</w:t>
      </w:r>
    </w:p>
    <w:p w14:paraId="417F14F4"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4353A75D"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The third component, Social factors, focuses on the impact of societal trends, cultural norms, demographics, and consumer </w:t>
      </w:r>
      <w:proofErr w:type="spellStart"/>
      <w:r w:rsidRPr="00C21566">
        <w:rPr>
          <w:rFonts w:ascii="Arial" w:hAnsi="Arial" w:cs="Arial"/>
          <w:color w:val="000000"/>
          <w:kern w:val="0"/>
          <w:sz w:val="27"/>
          <w:szCs w:val="27"/>
          <w14:ligatures w14:val="none"/>
        </w:rPr>
        <w:t>behavior</w:t>
      </w:r>
      <w:proofErr w:type="spellEnd"/>
      <w:r w:rsidRPr="00C21566">
        <w:rPr>
          <w:rFonts w:ascii="Arial" w:hAnsi="Arial" w:cs="Arial"/>
          <w:color w:val="000000"/>
          <w:kern w:val="0"/>
          <w:sz w:val="27"/>
          <w:szCs w:val="27"/>
          <w14:ligatures w14:val="none"/>
        </w:rPr>
        <w:t> on </w:t>
      </w:r>
      <w:proofErr w:type="spellStart"/>
      <w:r w:rsidRPr="00C21566">
        <w:rPr>
          <w:rFonts w:ascii="Arial" w:hAnsi="Arial" w:cs="Arial"/>
          <w:color w:val="000000"/>
          <w:kern w:val="0"/>
          <w:sz w:val="27"/>
          <w:szCs w:val="27"/>
          <w14:ligatures w14:val="none"/>
        </w:rPr>
        <w:t>organizations</w:t>
      </w:r>
      <w:proofErr w:type="spellEnd"/>
      <w:r w:rsidRPr="00C21566">
        <w:rPr>
          <w:rFonts w:ascii="Arial" w:hAnsi="Arial" w:cs="Arial"/>
          <w:color w:val="000000"/>
          <w:kern w:val="0"/>
          <w:sz w:val="27"/>
          <w:szCs w:val="27"/>
          <w14:ligatures w14:val="none"/>
        </w:rPr>
        <w:t>. Shifts in consumer preferences, lifestyle trends, and socio-cultural preferences can create opportunities or challenges for businesses. Understanding social factors enables </w:t>
      </w:r>
      <w:proofErr w:type="spellStart"/>
      <w:r w:rsidRPr="00C21566">
        <w:rPr>
          <w:rFonts w:ascii="Arial" w:hAnsi="Arial" w:cs="Arial"/>
          <w:color w:val="000000"/>
          <w:kern w:val="0"/>
          <w:sz w:val="27"/>
          <w:szCs w:val="27"/>
          <w14:ligatures w14:val="none"/>
        </w:rPr>
        <w:t>organizations</w:t>
      </w:r>
      <w:proofErr w:type="spellEnd"/>
      <w:r w:rsidRPr="00C21566">
        <w:rPr>
          <w:rFonts w:ascii="Arial" w:hAnsi="Arial" w:cs="Arial"/>
          <w:color w:val="000000"/>
          <w:kern w:val="0"/>
          <w:sz w:val="27"/>
          <w:szCs w:val="27"/>
          <w14:ligatures w14:val="none"/>
        </w:rPr>
        <w:t> to align their products and services with evolving consumer needs and values, contributing to enhanced customer satisfaction and sustained relevance.</w:t>
      </w:r>
    </w:p>
    <w:p w14:paraId="7B4862A3"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22FD0ED6"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Technological factors are crucial elements that shape the macro environment. Advancements in technology, digital innovation, automation, and disruptive technologies can transform industries and create new opportunities for </w:t>
      </w:r>
      <w:proofErr w:type="spellStart"/>
      <w:r w:rsidRPr="00C21566">
        <w:rPr>
          <w:rFonts w:ascii="Arial" w:hAnsi="Arial" w:cs="Arial"/>
          <w:color w:val="000000"/>
          <w:kern w:val="0"/>
          <w:sz w:val="27"/>
          <w:szCs w:val="27"/>
          <w14:ligatures w14:val="none"/>
        </w:rPr>
        <w:t>organizations</w:t>
      </w:r>
      <w:proofErr w:type="spellEnd"/>
      <w:r w:rsidRPr="00C21566">
        <w:rPr>
          <w:rFonts w:ascii="Arial" w:hAnsi="Arial" w:cs="Arial"/>
          <w:color w:val="000000"/>
          <w:kern w:val="0"/>
          <w:sz w:val="27"/>
          <w:szCs w:val="27"/>
          <w14:ligatures w14:val="none"/>
        </w:rPr>
        <w:t>. By leveraging technological trends and embracing digital transformation, </w:t>
      </w:r>
      <w:proofErr w:type="spellStart"/>
      <w:r w:rsidRPr="00C21566">
        <w:rPr>
          <w:rFonts w:ascii="Arial" w:hAnsi="Arial" w:cs="Arial"/>
          <w:color w:val="000000"/>
          <w:kern w:val="0"/>
          <w:sz w:val="27"/>
          <w:szCs w:val="27"/>
          <w14:ligatures w14:val="none"/>
        </w:rPr>
        <w:t>organizations</w:t>
      </w:r>
      <w:proofErr w:type="spellEnd"/>
      <w:r w:rsidRPr="00C21566">
        <w:rPr>
          <w:rFonts w:ascii="Arial" w:hAnsi="Arial" w:cs="Arial"/>
          <w:color w:val="000000"/>
          <w:kern w:val="0"/>
          <w:sz w:val="27"/>
          <w:szCs w:val="27"/>
          <w14:ligatures w14:val="none"/>
        </w:rPr>
        <w:t> can streamline operations, enhance productivity, and gain a competitive edge in the market.</w:t>
      </w:r>
    </w:p>
    <w:p w14:paraId="612EF8BD"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6209520F"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Legal factors also play a significant role in shaping the external environment for </w:t>
      </w:r>
      <w:proofErr w:type="spellStart"/>
      <w:r w:rsidRPr="00C21566">
        <w:rPr>
          <w:rFonts w:ascii="Arial" w:hAnsi="Arial" w:cs="Arial"/>
          <w:color w:val="000000"/>
          <w:kern w:val="0"/>
          <w:sz w:val="27"/>
          <w:szCs w:val="27"/>
          <w14:ligatures w14:val="none"/>
        </w:rPr>
        <w:t>organizations</w:t>
      </w:r>
      <w:proofErr w:type="spellEnd"/>
      <w:r w:rsidRPr="00C21566">
        <w:rPr>
          <w:rFonts w:ascii="Arial" w:hAnsi="Arial" w:cs="Arial"/>
          <w:color w:val="000000"/>
          <w:kern w:val="0"/>
          <w:sz w:val="27"/>
          <w:szCs w:val="27"/>
          <w14:ligatures w14:val="none"/>
        </w:rPr>
        <w:t>. Changes in laws, regulations, and compliance requirements impact business operations and industry dynamics. For instance, data protection laws, industry-specific regulations, and employment laws influence </w:t>
      </w:r>
      <w:proofErr w:type="spellStart"/>
      <w:r w:rsidRPr="00C21566">
        <w:rPr>
          <w:rFonts w:ascii="Arial" w:hAnsi="Arial" w:cs="Arial"/>
          <w:color w:val="000000"/>
          <w:kern w:val="0"/>
          <w:sz w:val="27"/>
          <w:szCs w:val="27"/>
          <w14:ligatures w14:val="none"/>
        </w:rPr>
        <w:t>organizational</w:t>
      </w:r>
      <w:proofErr w:type="spellEnd"/>
      <w:r w:rsidRPr="00C21566">
        <w:rPr>
          <w:rFonts w:ascii="Arial" w:hAnsi="Arial" w:cs="Arial"/>
          <w:color w:val="000000"/>
          <w:kern w:val="0"/>
          <w:sz w:val="27"/>
          <w:szCs w:val="27"/>
          <w14:ligatures w14:val="none"/>
        </w:rPr>
        <w:t> strategies and operations. By proactively monitoring legal factors, </w:t>
      </w:r>
      <w:proofErr w:type="spellStart"/>
      <w:r w:rsidRPr="00C21566">
        <w:rPr>
          <w:rFonts w:ascii="Arial" w:hAnsi="Arial" w:cs="Arial"/>
          <w:color w:val="000000"/>
          <w:kern w:val="0"/>
          <w:sz w:val="27"/>
          <w:szCs w:val="27"/>
          <w14:ligatures w14:val="none"/>
        </w:rPr>
        <w:t>organizations</w:t>
      </w:r>
      <w:proofErr w:type="spellEnd"/>
      <w:r w:rsidRPr="00C21566">
        <w:rPr>
          <w:rFonts w:ascii="Arial" w:hAnsi="Arial" w:cs="Arial"/>
          <w:color w:val="000000"/>
          <w:kern w:val="0"/>
          <w:sz w:val="27"/>
          <w:szCs w:val="27"/>
          <w14:ligatures w14:val="none"/>
        </w:rPr>
        <w:t> can ensure compliance and mitigate potential legal risks.</w:t>
      </w:r>
    </w:p>
    <w:p w14:paraId="1A9DFCC4"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39F6B396"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Political Factors:</w:t>
      </w:r>
    </w:p>
    <w:p w14:paraId="485446CD"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 Changing regulations and policies impacting retail operations and employment laws</w:t>
      </w:r>
    </w:p>
    <w:p w14:paraId="642D00FC"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 Brexit-related uncertainties affecting supply chain and labor availability</w:t>
      </w:r>
    </w:p>
    <w:p w14:paraId="2D8BAD92"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628E94B3"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Economic Factors:</w:t>
      </w:r>
    </w:p>
    <w:p w14:paraId="12EB8EFE"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 Economic downturn and reduced consumer spending impacting retail sales</w:t>
      </w:r>
    </w:p>
    <w:p w14:paraId="71D95254"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 Fluctuating exchange rates affecting import costs for products</w:t>
      </w:r>
    </w:p>
    <w:p w14:paraId="3938593A"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41C3D186"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Social Factors:</w:t>
      </w:r>
    </w:p>
    <w:p w14:paraId="1049D826"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 Changing consumer preferences towards online shopping and convenience</w:t>
      </w:r>
    </w:p>
    <w:p w14:paraId="7BF5F4CE"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 Increasing focus on sustainability, impacting demand for environmentally friendly products</w:t>
      </w:r>
    </w:p>
    <w:p w14:paraId="25BD7C39"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71535412"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Technological Factors:</w:t>
      </w:r>
    </w:p>
    <w:p w14:paraId="24CD2DAD"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 Advancements in e-commerce and digital retail platforms impacting traditional retail models</w:t>
      </w:r>
    </w:p>
    <w:p w14:paraId="6E5E1857"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 Investment in technology to enhance customer experience and operational efficiency</w:t>
      </w:r>
    </w:p>
    <w:p w14:paraId="2AD8C149"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587BD4C6"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Legal Factors:</w:t>
      </w:r>
    </w:p>
    <w:p w14:paraId="219EA62B"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 Compliance with regulations related to product safety, </w:t>
      </w:r>
      <w:proofErr w:type="spellStart"/>
      <w:r w:rsidRPr="00C21566">
        <w:rPr>
          <w:rFonts w:ascii="Arial" w:hAnsi="Arial" w:cs="Arial"/>
          <w:color w:val="000000"/>
          <w:kern w:val="0"/>
          <w:sz w:val="27"/>
          <w:szCs w:val="27"/>
          <w14:ligatures w14:val="none"/>
        </w:rPr>
        <w:t>labeling</w:t>
      </w:r>
      <w:proofErr w:type="spellEnd"/>
      <w:r w:rsidRPr="00C21566">
        <w:rPr>
          <w:rFonts w:ascii="Arial" w:hAnsi="Arial" w:cs="Arial"/>
          <w:color w:val="000000"/>
          <w:kern w:val="0"/>
          <w:sz w:val="27"/>
          <w:szCs w:val="27"/>
          <w14:ligatures w14:val="none"/>
        </w:rPr>
        <w:t>, and data protection laws</w:t>
      </w:r>
    </w:p>
    <w:p w14:paraId="5E598B39"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 Employment laws and regulations impacting labor costs and workforce management</w:t>
      </w:r>
    </w:p>
    <w:p w14:paraId="2C3EEE1D"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0541914D"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Environmental Factors:</w:t>
      </w:r>
    </w:p>
    <w:p w14:paraId="3F6FE461"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 Growing awareness of environmental issues impacting demand for sustainable and eco-friendly products</w:t>
      </w:r>
    </w:p>
    <w:p w14:paraId="429939ED"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 Pressure to adopt environmentally responsible and sustainable business practices</w:t>
      </w:r>
    </w:p>
    <w:p w14:paraId="0B500707"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182A476D"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PESTLE analysis provides a robust framework for comprehensive assessments of macro-environmental components of financial transactions and compilation decision-making. </w:t>
      </w:r>
      <w:proofErr w:type="spellStart"/>
      <w:r w:rsidRPr="00C21566">
        <w:rPr>
          <w:rFonts w:ascii="Arial" w:hAnsi="Arial" w:cs="Arial"/>
          <w:color w:val="000000"/>
          <w:kern w:val="0"/>
          <w:sz w:val="27"/>
          <w:szCs w:val="27"/>
          <w14:ligatures w14:val="none"/>
        </w:rPr>
        <w:t>Organizations</w:t>
      </w:r>
      <w:proofErr w:type="spellEnd"/>
      <w:r w:rsidRPr="00C21566">
        <w:rPr>
          <w:rFonts w:ascii="Arial" w:hAnsi="Arial" w:cs="Arial"/>
          <w:color w:val="000000"/>
          <w:kern w:val="0"/>
          <w:sz w:val="27"/>
          <w:szCs w:val="27"/>
          <w14:ligatures w14:val="none"/>
        </w:rPr>
        <w:t> (like Wilko) can gain rich information about the external forces shaping their industry environments by examining political, economic, social, technological, legal and growth rates. These critical insights allow them to adapt their economic strategies, reduce risks, take advantage of opportunities and promote sustainable growth from a dynamic and comprehensive macro perspective.</w:t>
      </w:r>
    </w:p>
    <w:p w14:paraId="2902D6B3"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6CF34A0C"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Alex and Smith talk about this in one of their articles:</w:t>
      </w:r>
    </w:p>
    <w:p w14:paraId="4C6C90F7"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7C022F11"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Wilko, another UK high street stalwart, is teetering on the brink. News about possible rescue deals does little to reassure us that recovery for our struggling urban areas is on the horizon.</w:t>
      </w:r>
    </w:p>
    <w:p w14:paraId="7AD4891F"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469D6452"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Wilko's disappearance would leave a huge gap. While its demise would be sad, it's vital local authorities don't make a knee-jerk decision and look to other retailers to fill the gap. The temptation to source another retail tenant will be strong, but these new occupiers won't immediately attract or </w:t>
      </w:r>
      <w:proofErr w:type="spellStart"/>
      <w:r w:rsidRPr="00C21566">
        <w:rPr>
          <w:rFonts w:ascii="Arial" w:hAnsi="Arial" w:cs="Arial"/>
          <w:color w:val="000000"/>
          <w:kern w:val="0"/>
          <w:sz w:val="27"/>
          <w:szCs w:val="27"/>
          <w14:ligatures w14:val="none"/>
        </w:rPr>
        <w:t>quarantee</w:t>
      </w:r>
      <w:proofErr w:type="spellEnd"/>
      <w:r w:rsidRPr="00C21566">
        <w:rPr>
          <w:rFonts w:ascii="Arial" w:hAnsi="Arial" w:cs="Arial"/>
          <w:color w:val="000000"/>
          <w:kern w:val="0"/>
          <w:sz w:val="27"/>
          <w:szCs w:val="27"/>
          <w14:ligatures w14:val="none"/>
        </w:rPr>
        <w:t> consistent and self-sustaining footfall.</w:t>
      </w:r>
    </w:p>
    <w:p w14:paraId="1F1E7396"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6E44F424"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Trying to tempt new anchor tenants with favourable lease terms perpetuates town centres' dependency on shops and risks high streets becoming carbon copies of out-of-town retail parks. Out-of-the-box thinking is</w:t>
      </w:r>
    </w:p>
    <w:p w14:paraId="66570130"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32D56EDF"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needed to drive town centre revival. Our More Than Stores report argues long-term revival lies in planning for a range of anchor uses, including traditional retail, but also housing, flexible office space, logistics, healthcare, </w:t>
      </w:r>
      <w:proofErr w:type="spellStart"/>
      <w:r w:rsidRPr="00C21566">
        <w:rPr>
          <w:rFonts w:ascii="Arial" w:hAnsi="Arial" w:cs="Arial"/>
          <w:color w:val="000000"/>
          <w:kern w:val="0"/>
          <w:sz w:val="27"/>
          <w:szCs w:val="27"/>
          <w14:ligatures w14:val="none"/>
        </w:rPr>
        <w:t>educatin</w:t>
      </w:r>
      <w:proofErr w:type="spellEnd"/>
      <w:r w:rsidRPr="00C21566">
        <w:rPr>
          <w:rFonts w:ascii="Arial" w:hAnsi="Arial" w:cs="Arial"/>
          <w:color w:val="000000"/>
          <w:kern w:val="0"/>
          <w:sz w:val="27"/>
          <w:szCs w:val="27"/>
          <w14:ligatures w14:val="none"/>
        </w:rPr>
        <w:t>, heritage reactivation and use of vacant land. We're used to daily warnings about the state of public finances,</w:t>
      </w:r>
    </w:p>
    <w:p w14:paraId="410B3216"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658D3DFF"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So shaking the magic money tree isn't possible to make this happen. Public funding won't stretch to every town that requires it, so there needs to be prioritisation; our research found some towns to be more resilient that others and therefore more capable of driving revival under their own steam.</w:t>
      </w:r>
    </w:p>
    <w:p w14:paraId="76904ED4"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192D0A23"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Private capital doesn't have the policy pathway to make investing in town centre regeneration financially or socially compelling. While public-private collaboration is often unjustly seen as an exception, rather than an aspiration of good local plan making, closer working between the two sectors is the key to lasting regeneration.</w:t>
      </w:r>
    </w:p>
    <w:p w14:paraId="6FEAA293"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176BD4A5"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Wilko's possible disappearance will leave up to 408 holes on UK high streets. Filling those holes with more shops is not the answer and wider thinking is needed to really reverse the decline of our beloved town centres.</w:t>
      </w:r>
    </w:p>
    <w:p w14:paraId="1EC97F5B"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33278F7D"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Conclusion</w:t>
      </w:r>
    </w:p>
    <w:p w14:paraId="0FB8888D"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In conclusion, the decline of Wilko can be attributed to a combination of internal and external factors, including failure to adapt to changing consumer trends, increased competition, economic uncertainties, and limited investment in e-commerce. The company's SWOT analysis revealed key strengths, weaknesses, opportunities, and threats, while the PESTLE analysis highlighted macro-environmental factors impacting the industry.</w:t>
      </w:r>
    </w:p>
    <w:p w14:paraId="355B5068"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0B286EB1"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Moving forward, Wilko could have potentially mitigated some of these challenges by strategically investing in e-commerce, diversifying its product range, and adapting to emerging consumer trends. Moreover, proactive measures to address regulatory changes, economic uncertainties, and environmental responsibilities could have strengthened the company's position in the market.</w:t>
      </w:r>
    </w:p>
    <w:p w14:paraId="292B25AA"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7750A86C"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sz w:val="27"/>
          <w:szCs w:val="27"/>
          <w14:ligatures w14:val="none"/>
        </w:rPr>
        <w:t>In conclusion, this report </w:t>
      </w:r>
      <w:proofErr w:type="spellStart"/>
      <w:r w:rsidRPr="00C21566">
        <w:rPr>
          <w:rFonts w:ascii="Arial" w:hAnsi="Arial" w:cs="Arial"/>
          <w:color w:val="000000"/>
          <w:kern w:val="0"/>
          <w:sz w:val="27"/>
          <w:szCs w:val="27"/>
          <w14:ligatures w14:val="none"/>
        </w:rPr>
        <w:t>emphasizes</w:t>
      </w:r>
      <w:proofErr w:type="spellEnd"/>
      <w:r w:rsidRPr="00C21566">
        <w:rPr>
          <w:rFonts w:ascii="Arial" w:hAnsi="Arial" w:cs="Arial"/>
          <w:color w:val="000000"/>
          <w:kern w:val="0"/>
          <w:sz w:val="27"/>
          <w:szCs w:val="27"/>
          <w14:ligatures w14:val="none"/>
        </w:rPr>
        <w:t> the vital role of problem-solving and strategic decision-making in the retail industry, offering valuable insights into the decline of Wilko and potential pathways for recovery and sustainable growth in a rapidly evolving market landscape.</w:t>
      </w:r>
    </w:p>
    <w:p w14:paraId="6C5A23E1"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591F571D"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225DCE6D"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14:ligatures w14:val="none"/>
        </w:rPr>
        <w:t>Anonymous (2023). Poundland owner agrees to take up to 71 Wilko stores. [online] Proquest.com. Available at: https://www.proquest.com/trade-journals/poundland-owner-agrees-take-up-71-wilko-stores/docview/2868848792/se-2?accountid=130472 [Accessed 6 Feb. 2024).</w:t>
      </w:r>
    </w:p>
    <w:p w14:paraId="03C4EBBE"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Arial" w:hAnsi="Arial" w:cs="Arial"/>
          <w:color w:val="000000"/>
          <w:kern w:val="0"/>
          <w14:ligatures w14:val="none"/>
        </w:rPr>
        <w:t>Copyright Reed Business Information UK Sep 16, 2023.</w:t>
      </w:r>
    </w:p>
    <w:p w14:paraId="349477B8"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hyperlink r:id="rId4" w:history="1">
        <w:r w:rsidRPr="00C21566">
          <w:rPr>
            <w:rFonts w:ascii="Arial" w:hAnsi="Arial" w:cs="Arial"/>
            <w:color w:val="0563C1"/>
            <w:kern w:val="0"/>
            <w:u w:val="single"/>
            <w14:ligatures w14:val="none"/>
          </w:rPr>
          <w:t>https://www.proquest.com/docview/2915133635?%20accountid=130472%20[Accessed%206%20Feb.%202024].%20English.&amp;sourcetype=Trade%20Journals</w:t>
        </w:r>
      </w:hyperlink>
    </w:p>
    <w:p w14:paraId="3EC1A150"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2556613E"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7DDD3F91"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Helvetica" w:hAnsi="Helvetica" w:cs="Times New Roman"/>
          <w:color w:val="000000"/>
          <w:kern w:val="0"/>
          <w14:ligatures w14:val="none"/>
        </w:rPr>
        <w:t>Smith and Alex (2023). Retail isn't the answer to fill Wilko's high street gap. [online| Proquest.com.</w:t>
      </w:r>
    </w:p>
    <w:p w14:paraId="2BDC98C9"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Helvetica" w:hAnsi="Helvetica" w:cs="Times New Roman"/>
          <w:color w:val="000000"/>
          <w:kern w:val="0"/>
          <w14:ligatures w14:val="none"/>
        </w:rPr>
        <w:t>Available at:</w:t>
      </w:r>
    </w:p>
    <w:p w14:paraId="48DE1B47"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Helvetica" w:hAnsi="Helvetica" w:cs="Times New Roman"/>
          <w:color w:val="000000"/>
          <w:kern w:val="0"/>
          <w14:ligatures w14:val="none"/>
        </w:rPr>
        <w:t>https://www.proquest.com/trade-journals/retail-isnt-answer-fill-wilkos-high-street-gap/docview/2915133635/se-2? accountid=130472 [Accessed 6</w:t>
      </w:r>
    </w:p>
    <w:p w14:paraId="0BC95ED8"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Helvetica" w:hAnsi="Helvetica" w:cs="Times New Roman"/>
          <w:color w:val="000000"/>
          <w:kern w:val="0"/>
          <w14:ligatures w14:val="none"/>
        </w:rPr>
        <w:t>Feb. 2024]. English.</w:t>
      </w:r>
    </w:p>
    <w:p w14:paraId="47483519"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hyperlink r:id="rId5" w:history="1">
        <w:r w:rsidRPr="00C21566">
          <w:rPr>
            <w:rFonts w:ascii="Helvetica" w:hAnsi="Helvetica" w:cs="Times New Roman"/>
            <w:color w:val="0563C1"/>
            <w:kern w:val="0"/>
            <w:u w:val="single"/>
            <w14:ligatures w14:val="none"/>
          </w:rPr>
          <w:t>https://www.proquest.com/docview/2915133635?%20accountid=130472%20[Accessed%206%20Feb.%202024].%20English.&amp;sourcetype=Trade%20Journals</w:t>
        </w:r>
      </w:hyperlink>
    </w:p>
    <w:p w14:paraId="3829D580"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37F06C0A"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1D6D7BA0"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Helvetica" w:hAnsi="Helvetica" w:cs="Times New Roman"/>
          <w:color w:val="000000"/>
          <w:kern w:val="0"/>
          <w14:ligatures w14:val="none"/>
        </w:rPr>
        <w:t>Shone and Emma (2016). Canute and Wilko help trainees make the grade. [online] Proquest.com.</w:t>
      </w:r>
    </w:p>
    <w:p w14:paraId="0C2C6140"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Helvetica" w:hAnsi="Helvetica" w:cs="Times New Roman"/>
          <w:color w:val="000000"/>
          <w:kern w:val="0"/>
          <w14:ligatures w14:val="none"/>
        </w:rPr>
        <w:t>Available at:</w:t>
      </w:r>
    </w:p>
    <w:p w14:paraId="1D9B899A"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Helvetica" w:hAnsi="Helvetica" w:cs="Times New Roman"/>
          <w:color w:val="000000"/>
          <w:kern w:val="0"/>
          <w14:ligatures w14:val="none"/>
        </w:rPr>
        <w:t>https://www.proquest.com/trade-journals/canute-wilko-help-trainees-make-grade/docview/1779242604/se-2? accountid=130472 [Accessed 6</w:t>
      </w:r>
    </w:p>
    <w:p w14:paraId="72FA9902"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Helvetica" w:hAnsi="Helvetica" w:cs="Times New Roman"/>
          <w:color w:val="000000"/>
          <w:kern w:val="0"/>
          <w14:ligatures w14:val="none"/>
        </w:rPr>
        <w:t>Feb. 2024]. Last updated 2023-06-</w:t>
      </w:r>
    </w:p>
    <w:p w14:paraId="12CCC72F"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Helvetica" w:hAnsi="Helvetica" w:cs="Times New Roman"/>
          <w:color w:val="000000"/>
          <w:kern w:val="0"/>
          <w14:ligatures w14:val="none"/>
        </w:rPr>
        <w:t>19.</w:t>
      </w:r>
    </w:p>
    <w:p w14:paraId="5502074D"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hyperlink r:id="rId6" w:history="1">
        <w:r w:rsidRPr="00C21566">
          <w:rPr>
            <w:rFonts w:ascii="Helvetica" w:hAnsi="Helvetica" w:cs="Times New Roman"/>
            <w:color w:val="0563C1"/>
            <w:kern w:val="0"/>
            <w:u w:val="single"/>
            <w14:ligatures w14:val="none"/>
          </w:rPr>
          <w:t>https://www.proquest.com/docview/1779242604?%20accountid=130472%20[Accessed%206%20Feb.%202024].%20Last%20updated%202023-06-%2019.&amp;sourcetype=Trade%20Journals</w:t>
        </w:r>
      </w:hyperlink>
    </w:p>
    <w:p w14:paraId="49DEFBC6"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0A6DBCDD"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2EF32D46"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Helvetica" w:hAnsi="Helvetica" w:cs="Times New Roman"/>
          <w:color w:val="000000"/>
          <w:kern w:val="0"/>
          <w14:ligatures w14:val="none"/>
        </w:rPr>
        <w:t>Anonymous (2023). Administrators set out plans for Wilko with 52 closures. [online| Proquest.com.</w:t>
      </w:r>
    </w:p>
    <w:p w14:paraId="421C98BE"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Helvetica" w:hAnsi="Helvetica" w:cs="Times New Roman"/>
          <w:color w:val="000000"/>
          <w:kern w:val="0"/>
          <w14:ligatures w14:val="none"/>
        </w:rPr>
        <w:t>Available at:</w:t>
      </w:r>
    </w:p>
    <w:p w14:paraId="5E1C8158"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Helvetica" w:hAnsi="Helvetica" w:cs="Times New Roman"/>
          <w:color w:val="000000"/>
          <w:kern w:val="0"/>
          <w14:ligatures w14:val="none"/>
        </w:rPr>
        <w:t>https://www.proquest.com/trade-journals/administrators-set-out-plans-wilko-with-52/docview/2866116530/se-2? accountid=130472 Accessed 6</w:t>
      </w:r>
    </w:p>
    <w:p w14:paraId="069B0263"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Helvetica" w:hAnsi="Helvetica" w:cs="Times New Roman"/>
          <w:color w:val="000000"/>
          <w:kern w:val="0"/>
          <w14:ligatures w14:val="none"/>
        </w:rPr>
        <w:t>Feb. 2024]. United Kingdom, Sutton.</w:t>
      </w:r>
    </w:p>
    <w:p w14:paraId="03B73548"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hyperlink r:id="rId7" w:history="1">
        <w:r w:rsidRPr="00C21566">
          <w:rPr>
            <w:rFonts w:ascii="Helvetica" w:hAnsi="Helvetica" w:cs="Times New Roman"/>
            <w:color w:val="0563C1"/>
            <w:kern w:val="0"/>
            <w:u w:val="single"/>
            <w14:ligatures w14:val="none"/>
          </w:rPr>
          <w:t>https://www.proquest.com/docview/2866116530?%20accountid=130472%20Accessed%206%20Feb.%202024].%20United%20Kingdom,%20Sutton.&amp;sourcetype=Trade%20Journals</w:t>
        </w:r>
      </w:hyperlink>
    </w:p>
    <w:p w14:paraId="2683D02B"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29D5C043"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083D9E7D"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Helvetica" w:hAnsi="Helvetica" w:cs="Times New Roman"/>
          <w:color w:val="000000"/>
          <w:kern w:val="0"/>
          <w14:ligatures w14:val="none"/>
        </w:rPr>
        <w:t>Taylor, S. (2023). Wilko's</w:t>
      </w:r>
    </w:p>
    <w:p w14:paraId="3EF5D436"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Helvetica" w:hAnsi="Helvetica" w:cs="Times New Roman"/>
          <w:color w:val="000000"/>
          <w:kern w:val="0"/>
          <w14:ligatures w14:val="none"/>
        </w:rPr>
        <w:t>Downfall: Why the Beloved UK</w:t>
      </w:r>
    </w:p>
    <w:p w14:paraId="77DAFB4C"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Helvetica" w:hAnsi="Helvetica" w:cs="Times New Roman"/>
          <w:color w:val="000000"/>
          <w:kern w:val="0"/>
          <w14:ligatures w14:val="none"/>
        </w:rPr>
        <w:t>Retailer Hit Rock Bottom. [online]</w:t>
      </w:r>
    </w:p>
    <w:p w14:paraId="26E79117"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proofErr w:type="spellStart"/>
      <w:r w:rsidRPr="00C21566">
        <w:rPr>
          <w:rFonts w:ascii="Helvetica" w:hAnsi="Helvetica" w:cs="Times New Roman"/>
          <w:color w:val="000000"/>
          <w:kern w:val="0"/>
          <w14:ligatures w14:val="none"/>
        </w:rPr>
        <w:t>Linkedin</w:t>
      </w:r>
      <w:proofErr w:type="spellEnd"/>
      <w:r w:rsidRPr="00C21566">
        <w:rPr>
          <w:rFonts w:ascii="Helvetica" w:hAnsi="Helvetica" w:cs="Times New Roman"/>
          <w:color w:val="000000"/>
          <w:kern w:val="0"/>
          <w14:ligatures w14:val="none"/>
        </w:rPr>
        <w:t>. Available at:https://www.linkedin.com/pulse/wilkos-downfall-why-beloved-uk-retailer-hit-rock-bottom-simon-taylor#:~:text=While%20Wilko%20had%</w:t>
      </w:r>
    </w:p>
    <w:p w14:paraId="1CB5EA36"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Helvetica" w:hAnsi="Helvetica" w:cs="Times New Roman"/>
          <w:color w:val="000000"/>
          <w:kern w:val="0"/>
          <w14:ligatures w14:val="none"/>
        </w:rPr>
        <w:t>[Accessed 7 Feb. 2024].</w:t>
      </w:r>
    </w:p>
    <w:p w14:paraId="09E6DEB4"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hyperlink r:id="rId8" w:history="1">
        <w:r w:rsidRPr="00C21566">
          <w:rPr>
            <w:rFonts w:ascii="Helvetica" w:hAnsi="Helvetica" w:cs="Times New Roman"/>
            <w:color w:val="0563C1"/>
            <w:kern w:val="0"/>
            <w:u w:val="single"/>
            <w14:ligatures w14:val="none"/>
          </w:rPr>
          <w:t>https://www.linkedin.com/pulse/wilkos-downfall-why-beloved-uk-retailer-hit-rock-bottom-simon-taylor</w:t>
        </w:r>
      </w:hyperlink>
    </w:p>
    <w:p w14:paraId="78FA64FF"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39018106"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09BF9CB9"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Helvetica" w:hAnsi="Helvetica" w:cs="Times New Roman"/>
          <w:color w:val="000000"/>
          <w:kern w:val="0"/>
          <w14:ligatures w14:val="none"/>
        </w:rPr>
        <w:t>Fletcher, G. (2023). EXPERT COMMENT: WHAT CAN WE LEARN FROM THE COLLAPSE</w:t>
      </w:r>
    </w:p>
    <w:p w14:paraId="16EC1B02"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Helvetica" w:hAnsi="Helvetica" w:cs="Times New Roman"/>
          <w:color w:val="000000"/>
          <w:kern w:val="0"/>
          <w14:ligatures w14:val="none"/>
        </w:rPr>
        <w:t>OF WILKO? [online] Salford.</w:t>
      </w:r>
    </w:p>
    <w:p w14:paraId="7AD4DF3C"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Helvetica" w:hAnsi="Helvetica" w:cs="Times New Roman"/>
          <w:color w:val="000000"/>
          <w:kern w:val="0"/>
          <w14:ligatures w14:val="none"/>
        </w:rPr>
        <w:t>Available at:</w:t>
      </w:r>
    </w:p>
    <w:p w14:paraId="5384F3E3"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Helvetica" w:hAnsi="Helvetica" w:cs="Times New Roman"/>
          <w:color w:val="000000"/>
          <w:kern w:val="0"/>
          <w14:ligatures w14:val="none"/>
        </w:rPr>
        <w:t>https://www.salford.ac.uk/news/expert-comment-what-can-we-learn-from-the-collapse-of-wilko [Accessed 6</w:t>
      </w:r>
    </w:p>
    <w:p w14:paraId="2E8D254E"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Helvetica" w:hAnsi="Helvetica" w:cs="Times New Roman"/>
          <w:color w:val="000000"/>
          <w:kern w:val="0"/>
          <w14:ligatures w14:val="none"/>
        </w:rPr>
        <w:t>Feb. 2024].</w:t>
      </w:r>
    </w:p>
    <w:p w14:paraId="77DCF301"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hyperlink r:id="rId9" w:history="1">
        <w:r w:rsidRPr="00C21566">
          <w:rPr>
            <w:rFonts w:ascii="Helvetica" w:hAnsi="Helvetica" w:cs="Times New Roman"/>
            <w:color w:val="0563C1"/>
            <w:kern w:val="0"/>
            <w:u w:val="single"/>
            <w14:ligatures w14:val="none"/>
          </w:rPr>
          <w:t>https://www.salford.ac.uk/news/expert-comment-what-can-we-learn-from-the-collapse-of-wilko</w:t>
        </w:r>
      </w:hyperlink>
    </w:p>
    <w:p w14:paraId="72636D1D"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6B5DE632"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0C550554"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Helvetica" w:hAnsi="Helvetica" w:cs="Times New Roman"/>
          <w:color w:val="000000"/>
          <w:kern w:val="0"/>
          <w14:ligatures w14:val="none"/>
        </w:rPr>
        <w:t>Baker, L. ed., (2023). Breaking down the Wilko debacle: A case of risk failures and lessons for retailers. [online] </w:t>
      </w:r>
      <w:proofErr w:type="spellStart"/>
      <w:r w:rsidRPr="00C21566">
        <w:rPr>
          <w:rFonts w:ascii="Helvetica" w:hAnsi="Helvetica" w:cs="Times New Roman"/>
          <w:color w:val="000000"/>
          <w:kern w:val="0"/>
          <w14:ligatures w14:val="none"/>
        </w:rPr>
        <w:t>Sme</w:t>
      </w:r>
      <w:proofErr w:type="spellEnd"/>
      <w:r w:rsidRPr="00C21566">
        <w:rPr>
          <w:rFonts w:ascii="Helvetica" w:hAnsi="Helvetica" w:cs="Times New Roman"/>
          <w:color w:val="000000"/>
          <w:kern w:val="0"/>
          <w14:ligatures w14:val="none"/>
        </w:rPr>
        <w:t>. Available at:</w:t>
      </w:r>
    </w:p>
    <w:p w14:paraId="34BA100E"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hyperlink r:id="rId10" w:history="1">
        <w:r w:rsidRPr="00C21566">
          <w:rPr>
            <w:rFonts w:ascii="Helvetica" w:hAnsi="Helvetica" w:cs="Times New Roman"/>
            <w:color w:val="0563C1"/>
            <w:kern w:val="0"/>
            <w:u w:val="single"/>
            <w14:ligatures w14:val="none"/>
          </w:rPr>
          <w:t>https://smebusinessnews.co.uk/2023/10/2</w:t>
        </w:r>
      </w:hyperlink>
    </w:p>
    <w:p w14:paraId="6106A6D3"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Helvetica" w:hAnsi="Helvetica" w:cs="Times New Roman"/>
          <w:color w:val="000000"/>
          <w:kern w:val="0"/>
          <w14:ligatures w14:val="none"/>
        </w:rPr>
        <w:t>down-the-wilko-debacle-a-case-of-risk-failures-and-lessons-for-retailers/ [Accessed 7 Feb. 2024].</w:t>
      </w:r>
    </w:p>
    <w:p w14:paraId="573AE044"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08BA74F6"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Helvetica" w:hAnsi="Helvetica" w:cs="Times New Roman"/>
          <w:color w:val="000000"/>
          <w:kern w:val="0"/>
          <w14:ligatures w14:val="none"/>
        </w:rPr>
        <w:t>Shaw, N. (2023). Two key reasons Wilko has been pushed to the point of collapse. [online] Wales online.</w:t>
      </w:r>
    </w:p>
    <w:p w14:paraId="7425B630"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Helvetica" w:hAnsi="Helvetica" w:cs="Times New Roman"/>
          <w:color w:val="000000"/>
          <w:kern w:val="0"/>
          <w14:ligatures w14:val="none"/>
        </w:rPr>
        <w:t>Available at:</w:t>
      </w:r>
    </w:p>
    <w:p w14:paraId="65CB51D0"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Helvetica" w:hAnsi="Helvetica" w:cs="Times New Roman"/>
          <w:color w:val="000000"/>
          <w:kern w:val="0"/>
          <w14:ligatures w14:val="none"/>
        </w:rPr>
        <w:t>https://www.walesonline.co.uk/news/uk-</w:t>
      </w:r>
    </w:p>
    <w:p w14:paraId="440E7480"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Helvetica" w:hAnsi="Helvetica" w:cs="Times New Roman"/>
          <w:color w:val="000000"/>
          <w:kern w:val="0"/>
          <w14:ligatures w14:val="none"/>
        </w:rPr>
        <w:t>news/two-key-reasons-wilko-been-27455411 [Accessed 6 Feb. 2024].</w:t>
      </w:r>
    </w:p>
    <w:p w14:paraId="79982777"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hyperlink r:id="rId11" w:history="1">
        <w:r w:rsidRPr="00C21566">
          <w:rPr>
            <w:rFonts w:ascii="Helvetica" w:hAnsi="Helvetica" w:cs="Times New Roman"/>
            <w:color w:val="0563C1"/>
            <w:kern w:val="0"/>
            <w:u w:val="single"/>
            <w14:ligatures w14:val="none"/>
          </w:rPr>
          <w:t>https://www.walesonline.co.uk/news/uk-news/two-key-reasons-wilko-been-27455411.amp</w:t>
        </w:r>
      </w:hyperlink>
    </w:p>
    <w:p w14:paraId="5D2EFFAF"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6F13B55D"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Helvetica" w:hAnsi="Helvetica" w:cs="Times New Roman"/>
          <w:color w:val="000000"/>
          <w:kern w:val="0"/>
          <w14:ligatures w14:val="none"/>
        </w:rPr>
        <w:t>Robinson, M. (2023). What does the collapse of Wilko mean for the</w:t>
      </w:r>
    </w:p>
    <w:p w14:paraId="622193FD"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Helvetica" w:hAnsi="Helvetica" w:cs="Times New Roman"/>
          <w:color w:val="000000"/>
          <w:kern w:val="0"/>
          <w14:ligatures w14:val="none"/>
        </w:rPr>
        <w:t>UK high street? [online] Retail-week.com. Available at:</w:t>
      </w:r>
    </w:p>
    <w:p w14:paraId="3D373DA2"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Helvetica" w:hAnsi="Helvetica" w:cs="Times New Roman"/>
          <w:color w:val="000000"/>
          <w:kern w:val="0"/>
          <w14:ligatures w14:val="none"/>
        </w:rPr>
        <w:t>https://www.retail-</w:t>
      </w:r>
    </w:p>
    <w:p w14:paraId="0B4438D6"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Helvetica" w:hAnsi="Helvetica" w:cs="Times New Roman"/>
          <w:color w:val="000000"/>
          <w:kern w:val="0"/>
          <w14:ligatures w14:val="none"/>
        </w:rPr>
        <w:t>week.com/wilko-collapse</w:t>
      </w:r>
    </w:p>
    <w:p w14:paraId="53451A12"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Helvetica" w:hAnsi="Helvetica" w:cs="Times New Roman"/>
          <w:color w:val="000000"/>
          <w:kern w:val="0"/>
          <w14:ligatures w14:val="none"/>
        </w:rPr>
        <w:t>[Accessed 6 Feb. 2024].</w:t>
      </w:r>
    </w:p>
    <w:p w14:paraId="1D060473"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hyperlink r:id="rId12" w:history="1">
        <w:r w:rsidRPr="00C21566">
          <w:rPr>
            <w:rFonts w:ascii="Arial" w:hAnsi="Arial" w:cs="Arial"/>
            <w:i/>
            <w:iCs/>
            <w:color w:val="0563C1"/>
            <w:kern w:val="0"/>
            <w:sz w:val="27"/>
            <w:szCs w:val="27"/>
            <w:u w:val="single"/>
            <w14:ligatures w14:val="none"/>
          </w:rPr>
          <w:t>https://www.retail-week.com/wilko-collapse</w:t>
        </w:r>
      </w:hyperlink>
    </w:p>
    <w:p w14:paraId="0AE57670"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1FFD652E"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webkit-standard" w:hAnsi="-webkit-standard" w:cs="Times New Roman"/>
          <w:color w:val="000000"/>
          <w:kern w:val="0"/>
          <w:sz w:val="27"/>
          <w:szCs w:val="27"/>
          <w14:ligatures w14:val="none"/>
        </w:rPr>
        <w:t> </w:t>
      </w:r>
    </w:p>
    <w:p w14:paraId="571F5BEB"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Helvetica" w:hAnsi="Helvetica" w:cs="Times New Roman"/>
          <w:color w:val="000000"/>
          <w:kern w:val="0"/>
          <w14:ligatures w14:val="none"/>
        </w:rPr>
        <w:t>Anonymous (2023). Administrators set out plans for Wilko with 52 closures. [online| Proquest.com.</w:t>
      </w:r>
    </w:p>
    <w:p w14:paraId="691627C7"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Helvetica" w:hAnsi="Helvetica" w:cs="Times New Roman"/>
          <w:color w:val="000000"/>
          <w:kern w:val="0"/>
          <w14:ligatures w14:val="none"/>
        </w:rPr>
        <w:t>Available at:</w:t>
      </w:r>
    </w:p>
    <w:p w14:paraId="1200DC3B"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Helvetica" w:hAnsi="Helvetica" w:cs="Times New Roman"/>
          <w:color w:val="000000"/>
          <w:kern w:val="0"/>
          <w14:ligatures w14:val="none"/>
        </w:rPr>
        <w:t>https://www.proquest.com/trade-</w:t>
      </w:r>
    </w:p>
    <w:p w14:paraId="460D7C3B"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Helvetica" w:hAnsi="Helvetica" w:cs="Times New Roman"/>
          <w:color w:val="000000"/>
          <w:kern w:val="0"/>
          <w14:ligatures w14:val="none"/>
        </w:rPr>
        <w:t>journals/administrators-set-out-plans-wilko-with-52/docview/2866116530/se-2? accountid=130472 Accessed 6</w:t>
      </w:r>
    </w:p>
    <w:p w14:paraId="0E63B123" w14:textId="77777777" w:rsidR="00C21566" w:rsidRPr="00C21566" w:rsidRDefault="00C21566" w:rsidP="00C21566">
      <w:pPr>
        <w:spacing w:after="0" w:line="324" w:lineRule="atLeast"/>
        <w:rPr>
          <w:rFonts w:ascii="-webkit-standard" w:hAnsi="-webkit-standard" w:cs="Times New Roman"/>
          <w:color w:val="000000"/>
          <w:kern w:val="0"/>
          <w:sz w:val="27"/>
          <w:szCs w:val="27"/>
          <w14:ligatures w14:val="none"/>
        </w:rPr>
      </w:pPr>
      <w:r w:rsidRPr="00C21566">
        <w:rPr>
          <w:rFonts w:ascii="Helvetica" w:hAnsi="Helvetica" w:cs="Times New Roman"/>
          <w:color w:val="000000"/>
          <w:kern w:val="0"/>
          <w14:ligatures w14:val="none"/>
        </w:rPr>
        <w:t>Feb. 2024]. United Kingdom, Sutton.</w:t>
      </w:r>
    </w:p>
    <w:p w14:paraId="218F4D0E" w14:textId="77777777" w:rsidR="00C21566" w:rsidRPr="00C21566" w:rsidRDefault="00C21566" w:rsidP="00C21566">
      <w:pPr>
        <w:spacing w:line="276" w:lineRule="auto"/>
      </w:pPr>
    </w:p>
    <w:p w14:paraId="5BF8B2E6" w14:textId="198E6E17" w:rsidR="00F324DF" w:rsidRDefault="00F324DF"/>
    <w:sectPr w:rsidR="00F324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4DF"/>
    <w:rsid w:val="003D7F71"/>
    <w:rsid w:val="00C21566"/>
    <w:rsid w:val="00F324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FC51A3"/>
  <w15:chartTrackingRefBased/>
  <w15:docId w15:val="{76D1A335-4C8E-5543-9FBC-7C4FE090E0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24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24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24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24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24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24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24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24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24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24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24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24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24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24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24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24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24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24DF"/>
    <w:rPr>
      <w:rFonts w:eastAsiaTheme="majorEastAsia" w:cstheme="majorBidi"/>
      <w:color w:val="272727" w:themeColor="text1" w:themeTint="D8"/>
    </w:rPr>
  </w:style>
  <w:style w:type="paragraph" w:styleId="Title">
    <w:name w:val="Title"/>
    <w:basedOn w:val="Normal"/>
    <w:next w:val="Normal"/>
    <w:link w:val="TitleChar"/>
    <w:uiPriority w:val="10"/>
    <w:qFormat/>
    <w:rsid w:val="00F324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24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24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24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24DF"/>
    <w:pPr>
      <w:spacing w:before="160"/>
      <w:jc w:val="center"/>
    </w:pPr>
    <w:rPr>
      <w:i/>
      <w:iCs/>
      <w:color w:val="404040" w:themeColor="text1" w:themeTint="BF"/>
    </w:rPr>
  </w:style>
  <w:style w:type="character" w:customStyle="1" w:styleId="QuoteChar">
    <w:name w:val="Quote Char"/>
    <w:basedOn w:val="DefaultParagraphFont"/>
    <w:link w:val="Quote"/>
    <w:uiPriority w:val="29"/>
    <w:rsid w:val="00F324DF"/>
    <w:rPr>
      <w:i/>
      <w:iCs/>
      <w:color w:val="404040" w:themeColor="text1" w:themeTint="BF"/>
    </w:rPr>
  </w:style>
  <w:style w:type="paragraph" w:styleId="ListParagraph">
    <w:name w:val="List Paragraph"/>
    <w:basedOn w:val="Normal"/>
    <w:uiPriority w:val="34"/>
    <w:qFormat/>
    <w:rsid w:val="00F324DF"/>
    <w:pPr>
      <w:ind w:left="720"/>
      <w:contextualSpacing/>
    </w:pPr>
  </w:style>
  <w:style w:type="character" w:styleId="IntenseEmphasis">
    <w:name w:val="Intense Emphasis"/>
    <w:basedOn w:val="DefaultParagraphFont"/>
    <w:uiPriority w:val="21"/>
    <w:qFormat/>
    <w:rsid w:val="00F324DF"/>
    <w:rPr>
      <w:i/>
      <w:iCs/>
      <w:color w:val="0F4761" w:themeColor="accent1" w:themeShade="BF"/>
    </w:rPr>
  </w:style>
  <w:style w:type="paragraph" w:styleId="IntenseQuote">
    <w:name w:val="Intense Quote"/>
    <w:basedOn w:val="Normal"/>
    <w:next w:val="Normal"/>
    <w:link w:val="IntenseQuoteChar"/>
    <w:uiPriority w:val="30"/>
    <w:qFormat/>
    <w:rsid w:val="00F324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24DF"/>
    <w:rPr>
      <w:i/>
      <w:iCs/>
      <w:color w:val="0F4761" w:themeColor="accent1" w:themeShade="BF"/>
    </w:rPr>
  </w:style>
  <w:style w:type="character" w:styleId="IntenseReference">
    <w:name w:val="Intense Reference"/>
    <w:basedOn w:val="DefaultParagraphFont"/>
    <w:uiPriority w:val="32"/>
    <w:qFormat/>
    <w:rsid w:val="00F324DF"/>
    <w:rPr>
      <w:b/>
      <w:bCs/>
      <w:smallCaps/>
      <w:color w:val="0F4761" w:themeColor="accent1" w:themeShade="BF"/>
      <w:spacing w:val="5"/>
    </w:rPr>
  </w:style>
  <w:style w:type="paragraph" w:styleId="NormalWeb">
    <w:name w:val="Normal (Web)"/>
    <w:basedOn w:val="Normal"/>
    <w:uiPriority w:val="99"/>
    <w:semiHidden/>
    <w:unhideWhenUsed/>
    <w:rsid w:val="00C21566"/>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15">
    <w:name w:val="bumpedfont15"/>
    <w:basedOn w:val="DefaultParagraphFont"/>
    <w:rsid w:val="00C21566"/>
  </w:style>
  <w:style w:type="character" w:customStyle="1" w:styleId="apple-converted-space">
    <w:name w:val="apple-converted-space"/>
    <w:basedOn w:val="DefaultParagraphFont"/>
    <w:rsid w:val="00C21566"/>
  </w:style>
  <w:style w:type="character" w:customStyle="1" w:styleId="s3">
    <w:name w:val="s3"/>
    <w:basedOn w:val="DefaultParagraphFont"/>
    <w:rsid w:val="00C21566"/>
  </w:style>
  <w:style w:type="character" w:customStyle="1" w:styleId="bumpedfont17">
    <w:name w:val="bumpedfont17"/>
    <w:basedOn w:val="DefaultParagraphFont"/>
    <w:rsid w:val="00C21566"/>
  </w:style>
  <w:style w:type="character" w:customStyle="1" w:styleId="s8">
    <w:name w:val="s8"/>
    <w:basedOn w:val="DefaultParagraphFont"/>
    <w:rsid w:val="00C215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pulse/wilkos-downfall-why-beloved-uk-retailer-hit-rock-bottom-simon-taylor"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proquest.com/docview/2866116530?%20accountid=130472%20Accessed%206%20Feb.%202024%5d.%20United%20Kingdom,%20Sutton.&amp;sourcetype=Trade%20Journals" TargetMode="External"/><Relationship Id="rId12" Type="http://schemas.openxmlformats.org/officeDocument/2006/relationships/hyperlink" Target="https://www.retail-week.com/wilko-collaps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roquest.com/docview/1779242604?%20accountid=130472%20%5bAccessed%206%20Feb.%202024%5d.%20Last%20updated%202023-06-%2019.&amp;sourcetype=Trade%20Journals" TargetMode="External"/><Relationship Id="rId11" Type="http://schemas.openxmlformats.org/officeDocument/2006/relationships/hyperlink" Target="https://www.walesonline.co.uk/news/uk-news/two-key-reasons-wilko-been-27455411.amp" TargetMode="External"/><Relationship Id="rId5" Type="http://schemas.openxmlformats.org/officeDocument/2006/relationships/hyperlink" Target="https://www.proquest.com/docview/2915133635?%20accountid=130472%20%5bAccessed%206%20Feb.%202024%5d.%20English.&amp;sourcetype=Trade%20Journals" TargetMode="External"/><Relationship Id="rId10" Type="http://schemas.openxmlformats.org/officeDocument/2006/relationships/hyperlink" Target="https://smebusinessnews.co.uk/2023/10/2" TargetMode="External"/><Relationship Id="rId4" Type="http://schemas.openxmlformats.org/officeDocument/2006/relationships/hyperlink" Target="https://www.proquest.com/docview/2915133635?%20accountid=130472%20%5bAccessed%206%20Feb.%202024%5d.%20English.&amp;sourcetype=Trade%20Journals" TargetMode="External"/><Relationship Id="rId9" Type="http://schemas.openxmlformats.org/officeDocument/2006/relationships/hyperlink" Target="https://www.salford.ac.uk/news/expert-comment-what-can-we-learn-from-the-collapse-of-wilko"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2372</Words>
  <Characters>13523</Characters>
  <Application>Microsoft Office Word</Application>
  <DocSecurity>0</DocSecurity>
  <Lines>112</Lines>
  <Paragraphs>31</Paragraphs>
  <ScaleCrop>false</ScaleCrop>
  <Company/>
  <LinksUpToDate>false</LinksUpToDate>
  <CharactersWithSpaces>15864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Raif Ismail (2307864)</dc:creator>
  <cp:keywords/>
  <dc:description/>
  <cp:lastModifiedBy>Raif Ismail (2307864)</cp:lastModifiedBy>
  <cp:revision>3</cp:revision>
  <dcterms:created xsi:type="dcterms:W3CDTF">2024-02-08T18:56:00Z</dcterms:created>
  <dcterms:modified xsi:type="dcterms:W3CDTF">2024-02-08T18:57:00Z</dcterms:modified>
</cp:coreProperties>
</file>