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1D19C" w14:textId="77777777" w:rsidR="002F233B" w:rsidRPr="00BF0151" w:rsidRDefault="00203FE2">
      <w:pPr>
        <w:spacing w:before="22"/>
        <w:ind w:left="7" w:right="23"/>
        <w:jc w:val="center"/>
        <w:rPr>
          <w:rFonts w:ascii="Arial" w:hAnsi="Arial" w:cs="Arial"/>
          <w:b/>
          <w:sz w:val="24"/>
          <w:szCs w:val="24"/>
        </w:rPr>
      </w:pPr>
      <w:r w:rsidRPr="00BF0151">
        <w:rPr>
          <w:rFonts w:ascii="Arial" w:hAnsi="Arial" w:cs="Arial"/>
          <w:b/>
          <w:sz w:val="24"/>
          <w:szCs w:val="24"/>
        </w:rPr>
        <w:t>University</w:t>
      </w:r>
      <w:r w:rsidRPr="00BF0151">
        <w:rPr>
          <w:rFonts w:ascii="Arial" w:hAnsi="Arial" w:cs="Arial"/>
          <w:b/>
          <w:spacing w:val="-8"/>
          <w:sz w:val="24"/>
          <w:szCs w:val="24"/>
        </w:rPr>
        <w:t xml:space="preserve"> </w:t>
      </w:r>
      <w:r w:rsidRPr="00BF0151">
        <w:rPr>
          <w:rFonts w:ascii="Arial" w:hAnsi="Arial" w:cs="Arial"/>
          <w:b/>
          <w:sz w:val="24"/>
          <w:szCs w:val="24"/>
        </w:rPr>
        <w:t>of</w:t>
      </w:r>
      <w:r w:rsidRPr="00BF0151">
        <w:rPr>
          <w:rFonts w:ascii="Arial" w:hAnsi="Arial" w:cs="Arial"/>
          <w:b/>
          <w:spacing w:val="-8"/>
          <w:sz w:val="24"/>
          <w:szCs w:val="24"/>
        </w:rPr>
        <w:t xml:space="preserve"> </w:t>
      </w:r>
      <w:r w:rsidRPr="00BF0151">
        <w:rPr>
          <w:rFonts w:ascii="Arial" w:hAnsi="Arial" w:cs="Arial"/>
          <w:b/>
          <w:sz w:val="24"/>
          <w:szCs w:val="24"/>
        </w:rPr>
        <w:t>Wales</w:t>
      </w:r>
      <w:r w:rsidRPr="00BF0151">
        <w:rPr>
          <w:rFonts w:ascii="Arial" w:hAnsi="Arial" w:cs="Arial"/>
          <w:b/>
          <w:spacing w:val="-8"/>
          <w:sz w:val="24"/>
          <w:szCs w:val="24"/>
        </w:rPr>
        <w:t xml:space="preserve"> </w:t>
      </w:r>
      <w:r w:rsidRPr="00BF0151">
        <w:rPr>
          <w:rFonts w:ascii="Arial" w:hAnsi="Arial" w:cs="Arial"/>
          <w:b/>
          <w:sz w:val="24"/>
          <w:szCs w:val="24"/>
        </w:rPr>
        <w:t>Trinity</w:t>
      </w:r>
      <w:r w:rsidRPr="00BF0151">
        <w:rPr>
          <w:rFonts w:ascii="Arial" w:hAnsi="Arial" w:cs="Arial"/>
          <w:b/>
          <w:spacing w:val="-8"/>
          <w:sz w:val="24"/>
          <w:szCs w:val="24"/>
        </w:rPr>
        <w:t xml:space="preserve"> </w:t>
      </w:r>
      <w:r w:rsidRPr="00BF0151">
        <w:rPr>
          <w:rFonts w:ascii="Arial" w:hAnsi="Arial" w:cs="Arial"/>
          <w:b/>
          <w:sz w:val="24"/>
          <w:szCs w:val="24"/>
        </w:rPr>
        <w:t>Saint</w:t>
      </w:r>
      <w:r w:rsidRPr="00BF0151">
        <w:rPr>
          <w:rFonts w:ascii="Arial" w:hAnsi="Arial" w:cs="Arial"/>
          <w:b/>
          <w:spacing w:val="-8"/>
          <w:sz w:val="24"/>
          <w:szCs w:val="24"/>
        </w:rPr>
        <w:t xml:space="preserve"> </w:t>
      </w:r>
      <w:r w:rsidRPr="00BF0151">
        <w:rPr>
          <w:rFonts w:ascii="Arial" w:hAnsi="Arial" w:cs="Arial"/>
          <w:b/>
          <w:spacing w:val="-4"/>
          <w:sz w:val="24"/>
          <w:szCs w:val="24"/>
        </w:rPr>
        <w:t>David</w:t>
      </w:r>
    </w:p>
    <w:p w14:paraId="1A41D19D" w14:textId="77777777" w:rsidR="002F233B" w:rsidRPr="00BF0151" w:rsidRDefault="00203FE2">
      <w:pPr>
        <w:pStyle w:val="Heading3"/>
        <w:rPr>
          <w:rFonts w:ascii="Arial" w:hAnsi="Arial" w:cs="Arial"/>
        </w:rPr>
      </w:pPr>
      <w:bookmarkStart w:id="0" w:name="_Toc216029024"/>
      <w:r w:rsidRPr="00BF0151">
        <w:rPr>
          <w:rFonts w:ascii="Arial" w:hAnsi="Arial" w:cs="Arial"/>
        </w:rPr>
        <w:t>Wales</w:t>
      </w:r>
      <w:r w:rsidRPr="00BF0151">
        <w:rPr>
          <w:rFonts w:ascii="Arial" w:hAnsi="Arial" w:cs="Arial"/>
          <w:spacing w:val="-5"/>
        </w:rPr>
        <w:t xml:space="preserve"> </w:t>
      </w:r>
      <w:r w:rsidRPr="00BF0151">
        <w:rPr>
          <w:rFonts w:ascii="Arial" w:hAnsi="Arial" w:cs="Arial"/>
        </w:rPr>
        <w:t>Institute</w:t>
      </w:r>
      <w:r w:rsidRPr="00BF0151">
        <w:rPr>
          <w:rFonts w:ascii="Arial" w:hAnsi="Arial" w:cs="Arial"/>
          <w:spacing w:val="-3"/>
        </w:rPr>
        <w:t xml:space="preserve"> </w:t>
      </w:r>
      <w:r w:rsidRPr="00BF0151">
        <w:rPr>
          <w:rFonts w:ascii="Arial" w:hAnsi="Arial" w:cs="Arial"/>
        </w:rPr>
        <w:t>of</w:t>
      </w:r>
      <w:r w:rsidRPr="00BF0151">
        <w:rPr>
          <w:rFonts w:ascii="Arial" w:hAnsi="Arial" w:cs="Arial"/>
          <w:spacing w:val="-2"/>
        </w:rPr>
        <w:t xml:space="preserve"> </w:t>
      </w:r>
      <w:r w:rsidRPr="00BF0151">
        <w:rPr>
          <w:rFonts w:ascii="Arial" w:hAnsi="Arial" w:cs="Arial"/>
        </w:rPr>
        <w:t>Science</w:t>
      </w:r>
      <w:r w:rsidRPr="00BF0151">
        <w:rPr>
          <w:rFonts w:ascii="Arial" w:hAnsi="Arial" w:cs="Arial"/>
          <w:spacing w:val="-4"/>
        </w:rPr>
        <w:t xml:space="preserve"> </w:t>
      </w:r>
      <w:r w:rsidRPr="00BF0151">
        <w:rPr>
          <w:rFonts w:ascii="Arial" w:hAnsi="Arial" w:cs="Arial"/>
        </w:rPr>
        <w:t>&amp;</w:t>
      </w:r>
      <w:r w:rsidRPr="00BF0151">
        <w:rPr>
          <w:rFonts w:ascii="Arial" w:hAnsi="Arial" w:cs="Arial"/>
          <w:spacing w:val="-3"/>
        </w:rPr>
        <w:t xml:space="preserve"> </w:t>
      </w:r>
      <w:r w:rsidRPr="00BF0151">
        <w:rPr>
          <w:rFonts w:ascii="Arial" w:hAnsi="Arial" w:cs="Arial"/>
          <w:spacing w:val="-5"/>
        </w:rPr>
        <w:t>Art</w:t>
      </w:r>
      <w:bookmarkEnd w:id="0"/>
    </w:p>
    <w:p w14:paraId="1A41D19E" w14:textId="77777777" w:rsidR="002F233B" w:rsidRPr="00BF0151" w:rsidRDefault="002F233B">
      <w:pPr>
        <w:pStyle w:val="BodyText"/>
        <w:rPr>
          <w:rFonts w:ascii="Arial" w:hAnsi="Arial" w:cs="Arial"/>
          <w:b/>
          <w:sz w:val="24"/>
          <w:szCs w:val="24"/>
        </w:rPr>
      </w:pPr>
    </w:p>
    <w:p w14:paraId="1A41D19F" w14:textId="77777777" w:rsidR="002F233B" w:rsidRPr="00BF0151" w:rsidRDefault="002F233B">
      <w:pPr>
        <w:pStyle w:val="BodyText"/>
        <w:rPr>
          <w:rFonts w:ascii="Arial" w:hAnsi="Arial" w:cs="Arial"/>
          <w:b/>
          <w:sz w:val="24"/>
          <w:szCs w:val="24"/>
        </w:rPr>
      </w:pPr>
    </w:p>
    <w:p w14:paraId="1A41D1A0" w14:textId="77777777" w:rsidR="002F233B" w:rsidRPr="00BF0151" w:rsidRDefault="002F233B">
      <w:pPr>
        <w:pStyle w:val="BodyText"/>
        <w:rPr>
          <w:rFonts w:ascii="Arial" w:hAnsi="Arial" w:cs="Arial"/>
          <w:b/>
          <w:sz w:val="24"/>
          <w:szCs w:val="24"/>
        </w:rPr>
      </w:pPr>
    </w:p>
    <w:p w14:paraId="1A41D1A1" w14:textId="77777777" w:rsidR="002F233B" w:rsidRPr="00BF0151" w:rsidRDefault="002F233B">
      <w:pPr>
        <w:pStyle w:val="BodyText"/>
        <w:rPr>
          <w:rFonts w:ascii="Arial" w:hAnsi="Arial" w:cs="Arial"/>
          <w:b/>
          <w:sz w:val="24"/>
          <w:szCs w:val="24"/>
        </w:rPr>
      </w:pPr>
    </w:p>
    <w:p w14:paraId="1A41D1A2" w14:textId="77777777" w:rsidR="002F233B" w:rsidRPr="00BF0151" w:rsidRDefault="002F233B">
      <w:pPr>
        <w:pStyle w:val="BodyText"/>
        <w:rPr>
          <w:rFonts w:ascii="Arial" w:hAnsi="Arial" w:cs="Arial"/>
          <w:b/>
          <w:sz w:val="24"/>
          <w:szCs w:val="24"/>
        </w:rPr>
      </w:pPr>
    </w:p>
    <w:p w14:paraId="1A41D1A3" w14:textId="6DC2C797" w:rsidR="002F233B" w:rsidRPr="00BF0151" w:rsidRDefault="00203FE2">
      <w:pPr>
        <w:pStyle w:val="BodyText"/>
        <w:spacing w:before="142"/>
        <w:rPr>
          <w:rFonts w:ascii="Arial" w:hAnsi="Arial" w:cs="Arial"/>
          <w:b/>
          <w:sz w:val="24"/>
          <w:szCs w:val="24"/>
        </w:rPr>
      </w:pPr>
      <w:r w:rsidRPr="00BF0151">
        <w:rPr>
          <w:rFonts w:ascii="Arial" w:hAnsi="Arial" w:cs="Arial"/>
          <w:noProof/>
          <w:sz w:val="24"/>
          <w:szCs w:val="24"/>
        </w:rPr>
        <w:drawing>
          <wp:anchor distT="0" distB="0" distL="0" distR="0" simplePos="0" relativeHeight="487589376" behindDoc="1" locked="0" layoutInCell="1" allowOverlap="1" wp14:anchorId="1A41D24E" wp14:editId="1A41D24F">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1A41D1A4" w14:textId="77777777" w:rsidR="002F233B" w:rsidRPr="00BF0151" w:rsidRDefault="002F233B">
      <w:pPr>
        <w:pStyle w:val="BodyText"/>
        <w:rPr>
          <w:rFonts w:ascii="Arial" w:hAnsi="Arial" w:cs="Arial"/>
          <w:b/>
          <w:sz w:val="24"/>
          <w:szCs w:val="24"/>
        </w:rPr>
      </w:pPr>
    </w:p>
    <w:p w14:paraId="1A41D1A5" w14:textId="77777777" w:rsidR="002F233B" w:rsidRPr="00BF0151" w:rsidRDefault="002F233B">
      <w:pPr>
        <w:pStyle w:val="BodyText"/>
        <w:rPr>
          <w:rFonts w:ascii="Arial" w:hAnsi="Arial" w:cs="Arial"/>
          <w:b/>
          <w:sz w:val="24"/>
          <w:szCs w:val="24"/>
        </w:rPr>
      </w:pPr>
    </w:p>
    <w:p w14:paraId="1A41D1A6" w14:textId="77777777" w:rsidR="002F233B" w:rsidRPr="00BF0151" w:rsidRDefault="002F233B">
      <w:pPr>
        <w:pStyle w:val="BodyText"/>
        <w:rPr>
          <w:rFonts w:ascii="Arial" w:hAnsi="Arial" w:cs="Arial"/>
          <w:b/>
          <w:sz w:val="24"/>
          <w:szCs w:val="24"/>
        </w:rPr>
      </w:pPr>
    </w:p>
    <w:p w14:paraId="1A41D1A7" w14:textId="77777777" w:rsidR="002F233B" w:rsidRPr="00BF0151" w:rsidRDefault="002F233B">
      <w:pPr>
        <w:pStyle w:val="BodyText"/>
        <w:rPr>
          <w:rFonts w:ascii="Arial" w:hAnsi="Arial" w:cs="Arial"/>
          <w:b/>
          <w:sz w:val="24"/>
          <w:szCs w:val="24"/>
        </w:rPr>
      </w:pPr>
    </w:p>
    <w:p w14:paraId="1A41D1A8" w14:textId="77777777" w:rsidR="002F233B" w:rsidRPr="00BF0151" w:rsidRDefault="002F233B">
      <w:pPr>
        <w:pStyle w:val="BodyText"/>
        <w:spacing w:before="199"/>
        <w:rPr>
          <w:rFonts w:ascii="Arial" w:hAnsi="Arial" w:cs="Arial"/>
          <w:b/>
          <w:sz w:val="24"/>
          <w:szCs w:val="24"/>
        </w:rPr>
      </w:pPr>
    </w:p>
    <w:p w14:paraId="1A41D1A9" w14:textId="6F6768D2" w:rsidR="002F233B" w:rsidRPr="00BF0151" w:rsidRDefault="00EC0010">
      <w:pPr>
        <w:ind w:right="23"/>
        <w:jc w:val="center"/>
        <w:rPr>
          <w:rFonts w:ascii="Arial" w:hAnsi="Arial" w:cs="Arial"/>
          <w:b/>
          <w:i/>
          <w:sz w:val="24"/>
          <w:szCs w:val="24"/>
        </w:rPr>
      </w:pPr>
      <w:r w:rsidRPr="00BF0151">
        <w:rPr>
          <w:rFonts w:ascii="Arial" w:hAnsi="Arial" w:cs="Arial"/>
          <w:b/>
          <w:i/>
          <w:sz w:val="24"/>
          <w:szCs w:val="24"/>
        </w:rPr>
        <w:t>Root cause analysis-technical report</w:t>
      </w:r>
    </w:p>
    <w:p w14:paraId="1A41D1AA" w14:textId="27DF1F2D" w:rsidR="002F233B" w:rsidRPr="00BF0151" w:rsidRDefault="00EC0010">
      <w:pPr>
        <w:spacing w:before="429"/>
        <w:ind w:left="5" w:right="23"/>
        <w:jc w:val="center"/>
        <w:rPr>
          <w:rFonts w:ascii="Arial" w:hAnsi="Arial" w:cs="Arial"/>
          <w:b/>
          <w:i/>
          <w:sz w:val="24"/>
          <w:szCs w:val="24"/>
        </w:rPr>
      </w:pPr>
      <w:r w:rsidRPr="00BF0151">
        <w:rPr>
          <w:rFonts w:ascii="Arial" w:hAnsi="Arial" w:cs="Arial"/>
          <w:b/>
          <w:i/>
          <w:sz w:val="24"/>
          <w:szCs w:val="24"/>
        </w:rPr>
        <w:t>Study skills (ACMA4039)</w:t>
      </w:r>
    </w:p>
    <w:p w14:paraId="1A41D1AB" w14:textId="77777777" w:rsidR="002F233B" w:rsidRPr="00BF0151" w:rsidRDefault="002F233B">
      <w:pPr>
        <w:pStyle w:val="BodyText"/>
        <w:rPr>
          <w:rFonts w:ascii="Arial" w:hAnsi="Arial" w:cs="Arial"/>
          <w:b/>
          <w:i/>
          <w:sz w:val="24"/>
          <w:szCs w:val="24"/>
        </w:rPr>
      </w:pPr>
    </w:p>
    <w:p w14:paraId="1A41D1AC" w14:textId="77777777" w:rsidR="002F233B" w:rsidRPr="00BF0151" w:rsidRDefault="002F233B">
      <w:pPr>
        <w:pStyle w:val="BodyText"/>
        <w:rPr>
          <w:rFonts w:ascii="Arial" w:hAnsi="Arial" w:cs="Arial"/>
          <w:b/>
          <w:i/>
          <w:sz w:val="24"/>
          <w:szCs w:val="24"/>
        </w:rPr>
      </w:pPr>
    </w:p>
    <w:p w14:paraId="1A41D1AD" w14:textId="77777777" w:rsidR="002F233B" w:rsidRPr="00BF0151" w:rsidRDefault="002F233B">
      <w:pPr>
        <w:pStyle w:val="BodyText"/>
        <w:rPr>
          <w:rFonts w:ascii="Arial" w:hAnsi="Arial" w:cs="Arial"/>
          <w:b/>
          <w:i/>
          <w:sz w:val="24"/>
          <w:szCs w:val="24"/>
        </w:rPr>
      </w:pPr>
    </w:p>
    <w:p w14:paraId="1A41D1AE" w14:textId="77777777" w:rsidR="002F233B" w:rsidRPr="00BF0151" w:rsidRDefault="002F233B">
      <w:pPr>
        <w:pStyle w:val="BodyText"/>
        <w:rPr>
          <w:rFonts w:ascii="Arial" w:hAnsi="Arial" w:cs="Arial"/>
          <w:b/>
          <w:i/>
          <w:sz w:val="24"/>
          <w:szCs w:val="24"/>
        </w:rPr>
      </w:pPr>
    </w:p>
    <w:p w14:paraId="1A41D1AF" w14:textId="77777777" w:rsidR="002F233B" w:rsidRPr="00BF0151" w:rsidRDefault="002F233B">
      <w:pPr>
        <w:pStyle w:val="BodyText"/>
        <w:rPr>
          <w:rFonts w:ascii="Arial" w:hAnsi="Arial" w:cs="Arial"/>
          <w:b/>
          <w:i/>
          <w:sz w:val="24"/>
          <w:szCs w:val="24"/>
        </w:rPr>
      </w:pPr>
    </w:p>
    <w:p w14:paraId="1A41D1B0" w14:textId="77777777" w:rsidR="002F233B" w:rsidRPr="00BF0151" w:rsidRDefault="002F233B">
      <w:pPr>
        <w:pStyle w:val="BodyText"/>
        <w:rPr>
          <w:rFonts w:ascii="Arial" w:hAnsi="Arial" w:cs="Arial"/>
          <w:b/>
          <w:i/>
          <w:sz w:val="24"/>
          <w:szCs w:val="24"/>
        </w:rPr>
      </w:pPr>
    </w:p>
    <w:p w14:paraId="1A41D1B1" w14:textId="77777777" w:rsidR="002F233B" w:rsidRPr="00BF0151" w:rsidRDefault="002F233B">
      <w:pPr>
        <w:pStyle w:val="BodyText"/>
        <w:rPr>
          <w:rFonts w:ascii="Arial" w:hAnsi="Arial" w:cs="Arial"/>
          <w:b/>
          <w:i/>
          <w:sz w:val="24"/>
          <w:szCs w:val="24"/>
        </w:rPr>
      </w:pPr>
    </w:p>
    <w:p w14:paraId="1A41D1B6" w14:textId="10D035FD" w:rsidR="002F233B" w:rsidRPr="00BF0151" w:rsidRDefault="00EC0010" w:rsidP="005D5309">
      <w:pPr>
        <w:pStyle w:val="BodyText"/>
        <w:ind w:right="23"/>
        <w:rPr>
          <w:rFonts w:ascii="Arial" w:hAnsi="Arial" w:cs="Arial"/>
          <w:sz w:val="24"/>
          <w:szCs w:val="24"/>
        </w:rPr>
      </w:pPr>
      <w:r w:rsidRPr="00BF0151">
        <w:rPr>
          <w:rFonts w:ascii="Arial" w:hAnsi="Arial" w:cs="Arial"/>
          <w:sz w:val="24"/>
          <w:szCs w:val="24"/>
        </w:rPr>
        <w:t>Lucas Kenny</w:t>
      </w:r>
    </w:p>
    <w:p w14:paraId="2FDDB29B" w14:textId="77777777" w:rsidR="00EC0010" w:rsidRPr="00BF0151" w:rsidRDefault="00EC0010" w:rsidP="00203FE2">
      <w:pPr>
        <w:pStyle w:val="BodyText"/>
        <w:spacing w:before="162" w:line="381" w:lineRule="auto"/>
        <w:ind w:left="3063" w:right="3077"/>
        <w:jc w:val="center"/>
        <w:rPr>
          <w:rFonts w:ascii="Arial" w:hAnsi="Arial" w:cs="Arial"/>
          <w:sz w:val="24"/>
          <w:szCs w:val="24"/>
        </w:rPr>
      </w:pPr>
      <w:r w:rsidRPr="00BF0151">
        <w:rPr>
          <w:rFonts w:ascii="Arial" w:hAnsi="Arial" w:cs="Arial"/>
          <w:sz w:val="24"/>
          <w:szCs w:val="24"/>
        </w:rPr>
        <w:t>2517368</w:t>
      </w:r>
    </w:p>
    <w:p w14:paraId="1D02D273" w14:textId="051DEAEB" w:rsidR="00621068" w:rsidRDefault="00203FE2" w:rsidP="00203FE2">
      <w:pPr>
        <w:pStyle w:val="BodyText"/>
        <w:spacing w:before="162" w:line="381" w:lineRule="auto"/>
        <w:ind w:left="3063" w:right="3077"/>
        <w:jc w:val="center"/>
        <w:rPr>
          <w:rFonts w:ascii="Arial" w:hAnsi="Arial" w:cs="Arial"/>
          <w:sz w:val="24"/>
          <w:szCs w:val="24"/>
        </w:rPr>
      </w:pPr>
      <w:r w:rsidRPr="00BF0151">
        <w:rPr>
          <w:rFonts w:ascii="Arial" w:hAnsi="Arial" w:cs="Arial"/>
          <w:sz w:val="24"/>
          <w:szCs w:val="24"/>
        </w:rPr>
        <w:t xml:space="preserve"> September 2020</w:t>
      </w:r>
    </w:p>
    <w:p w14:paraId="363D6654" w14:textId="49D7B353" w:rsidR="00621068" w:rsidRDefault="00621068" w:rsidP="00621068">
      <w:pPr>
        <w:pStyle w:val="Heading2"/>
      </w:pPr>
      <w:r>
        <w:br w:type="page"/>
      </w:r>
      <w:bookmarkStart w:id="1" w:name="_Toc216029025"/>
      <w:r>
        <w:lastRenderedPageBreak/>
        <w:t>Abstract</w:t>
      </w:r>
      <w:bookmarkEnd w:id="1"/>
    </w:p>
    <w:p w14:paraId="6F460CE1" w14:textId="234BD63D" w:rsidR="00632CBD" w:rsidRPr="00632CBD" w:rsidRDefault="00632CBD" w:rsidP="00632CBD">
      <w:pPr>
        <w:pStyle w:val="Heading2"/>
        <w:numPr>
          <w:ilvl w:val="0"/>
          <w:numId w:val="0"/>
        </w:numPr>
        <w:ind w:left="576"/>
        <w:rPr>
          <w:rFonts w:ascii="Arial" w:hAnsi="Arial" w:cs="Arial"/>
          <w:b w:val="0"/>
          <w:bCs w:val="0"/>
          <w:sz w:val="24"/>
          <w:szCs w:val="24"/>
        </w:rPr>
      </w:pPr>
      <w:r>
        <w:rPr>
          <w:rFonts w:ascii="Arial" w:hAnsi="Arial" w:cs="Arial"/>
          <w:b w:val="0"/>
          <w:bCs w:val="0"/>
          <w:sz w:val="24"/>
          <w:szCs w:val="24"/>
        </w:rPr>
        <w:t xml:space="preserve">This report’s purpose is to give you a good understanding of risk assessments in the manufacturing sector as well as giving you an understanding of a root cause analysis, how they work and what processes you need to go through to write one. The key findings were that risk assessments are of big value in the manufacturing and engineering world and that a root cause analysis is a great way to document this. The main conclusions to gain from this report are how to write a Root cause analysis and how you can use one to identify risks. This report highlights the importance of risk assessments and root cause analysis in the engineering and manufacturing sector as well as identifying </w:t>
      </w:r>
      <w:r w:rsidR="000A157E">
        <w:rPr>
          <w:rFonts w:ascii="Arial" w:hAnsi="Arial" w:cs="Arial"/>
          <w:b w:val="0"/>
          <w:bCs w:val="0"/>
          <w:sz w:val="24"/>
          <w:szCs w:val="24"/>
        </w:rPr>
        <w:t xml:space="preserve">legal and ethical concerns. The key findings of this report are how valuable risk assessments are and how they can be </w:t>
      </w:r>
      <w:r w:rsidR="00690241">
        <w:rPr>
          <w:rFonts w:ascii="Arial" w:hAnsi="Arial" w:cs="Arial"/>
          <w:b w:val="0"/>
          <w:bCs w:val="0"/>
          <w:sz w:val="24"/>
          <w:szCs w:val="24"/>
        </w:rPr>
        <w:t>used.</w:t>
      </w:r>
    </w:p>
    <w:sdt>
      <w:sdtPr>
        <w:rPr>
          <w:rFonts w:ascii="Calibri" w:eastAsia="Calibri" w:hAnsi="Calibri" w:cs="Calibri"/>
          <w:color w:val="auto"/>
          <w:sz w:val="22"/>
          <w:szCs w:val="22"/>
        </w:rPr>
        <w:id w:val="-1839376337"/>
        <w:docPartObj>
          <w:docPartGallery w:val="Table of Contents"/>
          <w:docPartUnique/>
        </w:docPartObj>
      </w:sdtPr>
      <w:sdtEndPr>
        <w:rPr>
          <w:b/>
          <w:bCs/>
          <w:noProof/>
        </w:rPr>
      </w:sdtEndPr>
      <w:sdtContent>
        <w:p w14:paraId="7617A9C0" w14:textId="67709934" w:rsidR="005D5309" w:rsidRDefault="005D5309">
          <w:pPr>
            <w:pStyle w:val="TOCHeading"/>
          </w:pPr>
          <w:r>
            <w:t>Contents</w:t>
          </w:r>
        </w:p>
        <w:p w14:paraId="0C22B4DE" w14:textId="0BAD5F15" w:rsidR="00621068" w:rsidRDefault="005D5309">
          <w:pPr>
            <w:pStyle w:val="TOC3"/>
            <w:tabs>
              <w:tab w:val="left" w:pos="1200"/>
              <w:tab w:val="right" w:leader="dot" w:pos="924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6029024" w:history="1">
            <w:r w:rsidR="00621068" w:rsidRPr="00704B9C">
              <w:rPr>
                <w:rStyle w:val="Hyperlink"/>
                <w:rFonts w:ascii="Arial" w:hAnsi="Arial" w:cs="Arial"/>
                <w:noProof/>
              </w:rPr>
              <w:t>1.1.1</w:t>
            </w:r>
            <w:r w:rsidR="00621068">
              <w:rPr>
                <w:rFonts w:asciiTheme="minorHAnsi" w:eastAsiaTheme="minorEastAsia" w:hAnsiTheme="minorHAnsi" w:cstheme="minorBidi"/>
                <w:noProof/>
                <w:kern w:val="2"/>
                <w:sz w:val="24"/>
                <w:szCs w:val="24"/>
                <w:lang w:val="en-GB" w:eastAsia="en-GB"/>
                <w14:ligatures w14:val="standardContextual"/>
              </w:rPr>
              <w:tab/>
            </w:r>
            <w:r w:rsidR="00621068" w:rsidRPr="00704B9C">
              <w:rPr>
                <w:rStyle w:val="Hyperlink"/>
                <w:rFonts w:ascii="Arial" w:hAnsi="Arial" w:cs="Arial"/>
                <w:noProof/>
              </w:rPr>
              <w:t>Wales</w:t>
            </w:r>
            <w:r w:rsidR="00621068" w:rsidRPr="00704B9C">
              <w:rPr>
                <w:rStyle w:val="Hyperlink"/>
                <w:rFonts w:ascii="Arial" w:hAnsi="Arial" w:cs="Arial"/>
                <w:noProof/>
                <w:spacing w:val="-5"/>
              </w:rPr>
              <w:t xml:space="preserve"> </w:t>
            </w:r>
            <w:r w:rsidR="00621068" w:rsidRPr="00704B9C">
              <w:rPr>
                <w:rStyle w:val="Hyperlink"/>
                <w:rFonts w:ascii="Arial" w:hAnsi="Arial" w:cs="Arial"/>
                <w:noProof/>
              </w:rPr>
              <w:t>Institute</w:t>
            </w:r>
            <w:r w:rsidR="00621068" w:rsidRPr="00704B9C">
              <w:rPr>
                <w:rStyle w:val="Hyperlink"/>
                <w:rFonts w:ascii="Arial" w:hAnsi="Arial" w:cs="Arial"/>
                <w:noProof/>
                <w:spacing w:val="-3"/>
              </w:rPr>
              <w:t xml:space="preserve"> </w:t>
            </w:r>
            <w:r w:rsidR="00621068" w:rsidRPr="00704B9C">
              <w:rPr>
                <w:rStyle w:val="Hyperlink"/>
                <w:rFonts w:ascii="Arial" w:hAnsi="Arial" w:cs="Arial"/>
                <w:noProof/>
              </w:rPr>
              <w:t>of</w:t>
            </w:r>
            <w:r w:rsidR="00621068" w:rsidRPr="00704B9C">
              <w:rPr>
                <w:rStyle w:val="Hyperlink"/>
                <w:rFonts w:ascii="Arial" w:hAnsi="Arial" w:cs="Arial"/>
                <w:noProof/>
                <w:spacing w:val="-2"/>
              </w:rPr>
              <w:t xml:space="preserve"> </w:t>
            </w:r>
            <w:r w:rsidR="00621068" w:rsidRPr="00704B9C">
              <w:rPr>
                <w:rStyle w:val="Hyperlink"/>
                <w:rFonts w:ascii="Arial" w:hAnsi="Arial" w:cs="Arial"/>
                <w:noProof/>
              </w:rPr>
              <w:t>Science</w:t>
            </w:r>
            <w:r w:rsidR="00621068" w:rsidRPr="00704B9C">
              <w:rPr>
                <w:rStyle w:val="Hyperlink"/>
                <w:rFonts w:ascii="Arial" w:hAnsi="Arial" w:cs="Arial"/>
                <w:noProof/>
                <w:spacing w:val="-4"/>
              </w:rPr>
              <w:t xml:space="preserve"> </w:t>
            </w:r>
            <w:r w:rsidR="00621068" w:rsidRPr="00704B9C">
              <w:rPr>
                <w:rStyle w:val="Hyperlink"/>
                <w:rFonts w:ascii="Arial" w:hAnsi="Arial" w:cs="Arial"/>
                <w:noProof/>
              </w:rPr>
              <w:t>&amp;</w:t>
            </w:r>
            <w:r w:rsidR="00621068" w:rsidRPr="00704B9C">
              <w:rPr>
                <w:rStyle w:val="Hyperlink"/>
                <w:rFonts w:ascii="Arial" w:hAnsi="Arial" w:cs="Arial"/>
                <w:noProof/>
                <w:spacing w:val="-3"/>
              </w:rPr>
              <w:t xml:space="preserve"> </w:t>
            </w:r>
            <w:r w:rsidR="00621068" w:rsidRPr="00704B9C">
              <w:rPr>
                <w:rStyle w:val="Hyperlink"/>
                <w:rFonts w:ascii="Arial" w:hAnsi="Arial" w:cs="Arial"/>
                <w:noProof/>
                <w:spacing w:val="-5"/>
              </w:rPr>
              <w:t>Art</w:t>
            </w:r>
            <w:r w:rsidR="00621068">
              <w:rPr>
                <w:noProof/>
                <w:webHidden/>
              </w:rPr>
              <w:tab/>
            </w:r>
            <w:r w:rsidR="00621068">
              <w:rPr>
                <w:noProof/>
                <w:webHidden/>
              </w:rPr>
              <w:fldChar w:fldCharType="begin"/>
            </w:r>
            <w:r w:rsidR="00621068">
              <w:rPr>
                <w:noProof/>
                <w:webHidden/>
              </w:rPr>
              <w:instrText xml:space="preserve"> PAGEREF _Toc216029024 \h </w:instrText>
            </w:r>
            <w:r w:rsidR="00621068">
              <w:rPr>
                <w:noProof/>
                <w:webHidden/>
              </w:rPr>
            </w:r>
            <w:r w:rsidR="00621068">
              <w:rPr>
                <w:noProof/>
                <w:webHidden/>
              </w:rPr>
              <w:fldChar w:fldCharType="separate"/>
            </w:r>
            <w:r w:rsidR="00A30053">
              <w:rPr>
                <w:noProof/>
                <w:webHidden/>
              </w:rPr>
              <w:t>1</w:t>
            </w:r>
            <w:r w:rsidR="00621068">
              <w:rPr>
                <w:noProof/>
                <w:webHidden/>
              </w:rPr>
              <w:fldChar w:fldCharType="end"/>
            </w:r>
          </w:hyperlink>
        </w:p>
        <w:p w14:paraId="2A816917" w14:textId="531A0ABB" w:rsidR="00621068" w:rsidRDefault="00621068">
          <w:pPr>
            <w:pStyle w:val="TOC2"/>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25" w:history="1">
            <w:r w:rsidRPr="00704B9C">
              <w:rPr>
                <w:rStyle w:val="Hyperlink"/>
                <w:noProof/>
              </w:rPr>
              <w:t>1.2</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Abstract</w:t>
            </w:r>
            <w:r>
              <w:rPr>
                <w:noProof/>
                <w:webHidden/>
              </w:rPr>
              <w:tab/>
            </w:r>
            <w:r>
              <w:rPr>
                <w:noProof/>
                <w:webHidden/>
              </w:rPr>
              <w:fldChar w:fldCharType="begin"/>
            </w:r>
            <w:r>
              <w:rPr>
                <w:noProof/>
                <w:webHidden/>
              </w:rPr>
              <w:instrText xml:space="preserve"> PAGEREF _Toc216029025 \h </w:instrText>
            </w:r>
            <w:r>
              <w:rPr>
                <w:noProof/>
                <w:webHidden/>
              </w:rPr>
            </w:r>
            <w:r>
              <w:rPr>
                <w:noProof/>
                <w:webHidden/>
              </w:rPr>
              <w:fldChar w:fldCharType="separate"/>
            </w:r>
            <w:r w:rsidR="00A30053">
              <w:rPr>
                <w:noProof/>
                <w:webHidden/>
              </w:rPr>
              <w:t>2</w:t>
            </w:r>
            <w:r>
              <w:rPr>
                <w:noProof/>
                <w:webHidden/>
              </w:rPr>
              <w:fldChar w:fldCharType="end"/>
            </w:r>
          </w:hyperlink>
        </w:p>
        <w:p w14:paraId="41A952EC" w14:textId="7A29F48E" w:rsidR="00621068" w:rsidRDefault="00621068">
          <w:pPr>
            <w:pStyle w:val="TOC2"/>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26" w:history="1">
            <w:r w:rsidRPr="00704B9C">
              <w:rPr>
                <w:rStyle w:val="Hyperlink"/>
                <w:noProof/>
              </w:rPr>
              <w:t>1.3</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Task 2.A-Root cause analysis</w:t>
            </w:r>
            <w:r>
              <w:rPr>
                <w:noProof/>
                <w:webHidden/>
              </w:rPr>
              <w:tab/>
            </w:r>
            <w:r>
              <w:rPr>
                <w:noProof/>
                <w:webHidden/>
              </w:rPr>
              <w:fldChar w:fldCharType="begin"/>
            </w:r>
            <w:r>
              <w:rPr>
                <w:noProof/>
                <w:webHidden/>
              </w:rPr>
              <w:instrText xml:space="preserve"> PAGEREF _Toc216029026 \h </w:instrText>
            </w:r>
            <w:r>
              <w:rPr>
                <w:noProof/>
                <w:webHidden/>
              </w:rPr>
            </w:r>
            <w:r>
              <w:rPr>
                <w:noProof/>
                <w:webHidden/>
              </w:rPr>
              <w:fldChar w:fldCharType="separate"/>
            </w:r>
            <w:r w:rsidR="00A30053">
              <w:rPr>
                <w:noProof/>
                <w:webHidden/>
              </w:rPr>
              <w:t>3</w:t>
            </w:r>
            <w:r>
              <w:rPr>
                <w:noProof/>
                <w:webHidden/>
              </w:rPr>
              <w:fldChar w:fldCharType="end"/>
            </w:r>
          </w:hyperlink>
        </w:p>
        <w:p w14:paraId="17DF1116" w14:textId="79832110" w:rsidR="00621068" w:rsidRDefault="00621068">
          <w:pPr>
            <w:pStyle w:val="TOC2"/>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27" w:history="1">
            <w:r w:rsidRPr="00704B9C">
              <w:rPr>
                <w:rStyle w:val="Hyperlink"/>
                <w:noProof/>
              </w:rPr>
              <w:t>1.4</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Introduction</w:t>
            </w:r>
            <w:r>
              <w:rPr>
                <w:noProof/>
                <w:webHidden/>
              </w:rPr>
              <w:tab/>
            </w:r>
            <w:r>
              <w:rPr>
                <w:noProof/>
                <w:webHidden/>
              </w:rPr>
              <w:fldChar w:fldCharType="begin"/>
            </w:r>
            <w:r>
              <w:rPr>
                <w:noProof/>
                <w:webHidden/>
              </w:rPr>
              <w:instrText xml:space="preserve"> PAGEREF _Toc216029027 \h </w:instrText>
            </w:r>
            <w:r>
              <w:rPr>
                <w:noProof/>
                <w:webHidden/>
              </w:rPr>
            </w:r>
            <w:r>
              <w:rPr>
                <w:noProof/>
                <w:webHidden/>
              </w:rPr>
              <w:fldChar w:fldCharType="separate"/>
            </w:r>
            <w:r w:rsidR="00A30053">
              <w:rPr>
                <w:noProof/>
                <w:webHidden/>
              </w:rPr>
              <w:t>4</w:t>
            </w:r>
            <w:r>
              <w:rPr>
                <w:noProof/>
                <w:webHidden/>
              </w:rPr>
              <w:fldChar w:fldCharType="end"/>
            </w:r>
          </w:hyperlink>
        </w:p>
        <w:p w14:paraId="6EB2EFA8" w14:textId="0E270D45" w:rsidR="00621068" w:rsidRDefault="00621068">
          <w:pPr>
            <w:pStyle w:val="TOC2"/>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29" w:history="1">
            <w:r w:rsidRPr="00704B9C">
              <w:rPr>
                <w:rStyle w:val="Hyperlink"/>
                <w:noProof/>
              </w:rPr>
              <w:t>1.5</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Literature review</w:t>
            </w:r>
            <w:r>
              <w:rPr>
                <w:noProof/>
                <w:webHidden/>
              </w:rPr>
              <w:tab/>
            </w:r>
            <w:r>
              <w:rPr>
                <w:noProof/>
                <w:webHidden/>
              </w:rPr>
              <w:fldChar w:fldCharType="begin"/>
            </w:r>
            <w:r>
              <w:rPr>
                <w:noProof/>
                <w:webHidden/>
              </w:rPr>
              <w:instrText xml:space="preserve"> PAGEREF _Toc216029029 \h </w:instrText>
            </w:r>
            <w:r>
              <w:rPr>
                <w:noProof/>
                <w:webHidden/>
              </w:rPr>
            </w:r>
            <w:r>
              <w:rPr>
                <w:noProof/>
                <w:webHidden/>
              </w:rPr>
              <w:fldChar w:fldCharType="separate"/>
            </w:r>
            <w:r w:rsidR="00A30053">
              <w:rPr>
                <w:noProof/>
                <w:webHidden/>
              </w:rPr>
              <w:t>4</w:t>
            </w:r>
            <w:r>
              <w:rPr>
                <w:noProof/>
                <w:webHidden/>
              </w:rPr>
              <w:fldChar w:fldCharType="end"/>
            </w:r>
          </w:hyperlink>
        </w:p>
        <w:p w14:paraId="1B4E699E" w14:textId="05047D3A" w:rsidR="00621068" w:rsidRDefault="00621068">
          <w:pPr>
            <w:pStyle w:val="TOC2"/>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33" w:history="1">
            <w:r w:rsidRPr="00704B9C">
              <w:rPr>
                <w:rStyle w:val="Hyperlink"/>
                <w:noProof/>
              </w:rPr>
              <w:t>1.6</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RCA results</w:t>
            </w:r>
            <w:r>
              <w:rPr>
                <w:noProof/>
                <w:webHidden/>
              </w:rPr>
              <w:tab/>
            </w:r>
            <w:r>
              <w:rPr>
                <w:noProof/>
                <w:webHidden/>
              </w:rPr>
              <w:fldChar w:fldCharType="begin"/>
            </w:r>
            <w:r>
              <w:rPr>
                <w:noProof/>
                <w:webHidden/>
              </w:rPr>
              <w:instrText xml:space="preserve"> PAGEREF _Toc216029033 \h </w:instrText>
            </w:r>
            <w:r>
              <w:rPr>
                <w:noProof/>
                <w:webHidden/>
              </w:rPr>
            </w:r>
            <w:r>
              <w:rPr>
                <w:noProof/>
                <w:webHidden/>
              </w:rPr>
              <w:fldChar w:fldCharType="separate"/>
            </w:r>
            <w:r w:rsidR="00A30053">
              <w:rPr>
                <w:noProof/>
                <w:webHidden/>
              </w:rPr>
              <w:t>6</w:t>
            </w:r>
            <w:r>
              <w:rPr>
                <w:noProof/>
                <w:webHidden/>
              </w:rPr>
              <w:fldChar w:fldCharType="end"/>
            </w:r>
          </w:hyperlink>
        </w:p>
        <w:p w14:paraId="14BCE04C" w14:textId="252C0766" w:rsidR="00621068" w:rsidRDefault="00621068">
          <w:pPr>
            <w:pStyle w:val="TOC2"/>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37" w:history="1">
            <w:r w:rsidRPr="00704B9C">
              <w:rPr>
                <w:rStyle w:val="Hyperlink"/>
                <w:noProof/>
              </w:rPr>
              <w:t>1.7</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Conclusion</w:t>
            </w:r>
            <w:r>
              <w:rPr>
                <w:noProof/>
                <w:webHidden/>
              </w:rPr>
              <w:tab/>
            </w:r>
            <w:r>
              <w:rPr>
                <w:noProof/>
                <w:webHidden/>
              </w:rPr>
              <w:fldChar w:fldCharType="begin"/>
            </w:r>
            <w:r>
              <w:rPr>
                <w:noProof/>
                <w:webHidden/>
              </w:rPr>
              <w:instrText xml:space="preserve"> PAGEREF _Toc216029037 \h </w:instrText>
            </w:r>
            <w:r>
              <w:rPr>
                <w:noProof/>
                <w:webHidden/>
              </w:rPr>
            </w:r>
            <w:r>
              <w:rPr>
                <w:noProof/>
                <w:webHidden/>
              </w:rPr>
              <w:fldChar w:fldCharType="separate"/>
            </w:r>
            <w:r w:rsidR="00A30053">
              <w:rPr>
                <w:noProof/>
                <w:webHidden/>
              </w:rPr>
              <w:t>8</w:t>
            </w:r>
            <w:r>
              <w:rPr>
                <w:noProof/>
                <w:webHidden/>
              </w:rPr>
              <w:fldChar w:fldCharType="end"/>
            </w:r>
          </w:hyperlink>
        </w:p>
        <w:p w14:paraId="2CF57A02" w14:textId="7E5EB711" w:rsidR="00621068" w:rsidRDefault="00621068" w:rsidP="00621068">
          <w:pPr>
            <w:pStyle w:val="TOC1"/>
            <w:tabs>
              <w:tab w:val="right" w:leader="dot" w:pos="9240"/>
            </w:tabs>
            <w:ind w:left="0" w:firstLine="0"/>
            <w:rPr>
              <w:rFonts w:asciiTheme="minorHAnsi" w:eastAsiaTheme="minorEastAsia" w:hAnsiTheme="minorHAnsi" w:cstheme="minorBidi"/>
              <w:noProof/>
              <w:kern w:val="2"/>
              <w:sz w:val="24"/>
              <w:szCs w:val="24"/>
              <w:lang w:val="en-GB" w:eastAsia="en-GB"/>
              <w14:ligatures w14:val="standardContextual"/>
            </w:rPr>
          </w:pPr>
        </w:p>
        <w:p w14:paraId="6056739E" w14:textId="0AF39E95" w:rsidR="00621068" w:rsidRDefault="00621068">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16029039" w:history="1">
            <w:r w:rsidRPr="00704B9C">
              <w:rPr>
                <w:rStyle w:val="Hyperlink"/>
                <w:noProof/>
              </w:rPr>
              <w:t>2</w:t>
            </w:r>
            <w:r>
              <w:rPr>
                <w:rFonts w:asciiTheme="minorHAnsi" w:eastAsiaTheme="minorEastAsia" w:hAnsiTheme="minorHAnsi" w:cstheme="minorBidi"/>
                <w:noProof/>
                <w:kern w:val="2"/>
                <w:sz w:val="24"/>
                <w:szCs w:val="24"/>
                <w:lang w:val="en-GB" w:eastAsia="en-GB"/>
                <w14:ligatures w14:val="standardContextual"/>
              </w:rPr>
              <w:tab/>
            </w:r>
            <w:r w:rsidRPr="00704B9C">
              <w:rPr>
                <w:rStyle w:val="Hyperlink"/>
                <w:noProof/>
              </w:rPr>
              <w:t>References</w:t>
            </w:r>
            <w:r>
              <w:rPr>
                <w:noProof/>
                <w:webHidden/>
              </w:rPr>
              <w:tab/>
            </w:r>
            <w:r>
              <w:rPr>
                <w:noProof/>
                <w:webHidden/>
              </w:rPr>
              <w:fldChar w:fldCharType="begin"/>
            </w:r>
            <w:r>
              <w:rPr>
                <w:noProof/>
                <w:webHidden/>
              </w:rPr>
              <w:instrText xml:space="preserve"> PAGEREF _Toc216029039 \h </w:instrText>
            </w:r>
            <w:r>
              <w:rPr>
                <w:noProof/>
                <w:webHidden/>
              </w:rPr>
            </w:r>
            <w:r>
              <w:rPr>
                <w:noProof/>
                <w:webHidden/>
              </w:rPr>
              <w:fldChar w:fldCharType="separate"/>
            </w:r>
            <w:r w:rsidR="00A30053">
              <w:rPr>
                <w:noProof/>
                <w:webHidden/>
              </w:rPr>
              <w:t>9</w:t>
            </w:r>
            <w:r>
              <w:rPr>
                <w:noProof/>
                <w:webHidden/>
              </w:rPr>
              <w:fldChar w:fldCharType="end"/>
            </w:r>
          </w:hyperlink>
        </w:p>
        <w:p w14:paraId="04D81C1F" w14:textId="6F9E6CE1" w:rsidR="005D5309" w:rsidRDefault="005D5309">
          <w:r>
            <w:rPr>
              <w:b/>
              <w:bCs/>
              <w:noProof/>
            </w:rPr>
            <w:fldChar w:fldCharType="end"/>
          </w:r>
        </w:p>
      </w:sdtContent>
    </w:sdt>
    <w:p w14:paraId="1F85F20A" w14:textId="77777777" w:rsidR="00DB2B13" w:rsidRDefault="00DB2B13">
      <w:r>
        <w:br w:type="page"/>
      </w:r>
    </w:p>
    <w:p w14:paraId="230B3C20" w14:textId="77777777" w:rsidR="00EC0010" w:rsidRDefault="00EC0010" w:rsidP="00203FE2">
      <w:pPr>
        <w:pStyle w:val="BodyText"/>
        <w:spacing w:before="162" w:line="381" w:lineRule="auto"/>
        <w:ind w:left="3063" w:right="3077"/>
        <w:jc w:val="center"/>
      </w:pPr>
    </w:p>
    <w:p w14:paraId="620E5210" w14:textId="4B5BD24D" w:rsidR="00EC0010" w:rsidRDefault="00EC0010"/>
    <w:p w14:paraId="5E115279" w14:textId="151A3256" w:rsidR="00B12337" w:rsidRPr="00BF0151" w:rsidRDefault="0096311A" w:rsidP="0096311A">
      <w:pPr>
        <w:pStyle w:val="BodyText"/>
        <w:spacing w:before="162" w:line="381" w:lineRule="auto"/>
        <w:ind w:right="3077"/>
        <w:rPr>
          <w:rFonts w:ascii="Arial" w:hAnsi="Arial" w:cs="Arial"/>
          <w:b/>
          <w:bCs/>
          <w:sz w:val="24"/>
          <w:szCs w:val="24"/>
          <w:u w:val="single"/>
        </w:rPr>
      </w:pPr>
      <w:r w:rsidRPr="00BF0151">
        <w:rPr>
          <w:rFonts w:ascii="Arial" w:hAnsi="Arial" w:cs="Arial"/>
          <w:b/>
          <w:bCs/>
          <w:sz w:val="24"/>
          <w:szCs w:val="24"/>
          <w:u w:val="single"/>
        </w:rPr>
        <w:t>Task one- Personal Development Plan</w:t>
      </w:r>
    </w:p>
    <w:p w14:paraId="78A00894" w14:textId="7D4423AF" w:rsidR="0096311A" w:rsidRPr="00BF0151" w:rsidRDefault="0096311A" w:rsidP="0096311A">
      <w:pPr>
        <w:pStyle w:val="BodyText"/>
        <w:spacing w:before="162" w:line="381" w:lineRule="auto"/>
        <w:ind w:right="3077"/>
        <w:rPr>
          <w:rFonts w:ascii="Arial" w:hAnsi="Arial" w:cs="Arial"/>
          <w:b/>
          <w:bCs/>
          <w:sz w:val="24"/>
          <w:szCs w:val="24"/>
          <w:u w:val="single"/>
        </w:rPr>
      </w:pPr>
      <w:r w:rsidRPr="00BF0151">
        <w:rPr>
          <w:rFonts w:ascii="Arial" w:hAnsi="Arial" w:cs="Arial"/>
          <w:b/>
          <w:bCs/>
          <w:noProof/>
          <w:sz w:val="24"/>
          <w:szCs w:val="24"/>
          <w:u w:val="single"/>
        </w:rPr>
        <w:drawing>
          <wp:inline distT="0" distB="0" distL="0" distR="0" wp14:anchorId="3A19EAB5" wp14:editId="3E2CC2B8">
            <wp:extent cx="4559534" cy="3962604"/>
            <wp:effectExtent l="0" t="0" r="0" b="0"/>
            <wp:docPr id="70505190"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5190" name="Picture 1" descr="A white sheet with black text&#10;&#10;AI-generated content may be incorrect."/>
                    <pic:cNvPicPr/>
                  </pic:nvPicPr>
                  <pic:blipFill>
                    <a:blip r:embed="rId12"/>
                    <a:stretch>
                      <a:fillRect/>
                    </a:stretch>
                  </pic:blipFill>
                  <pic:spPr>
                    <a:xfrm>
                      <a:off x="0" y="0"/>
                      <a:ext cx="4559534" cy="3962604"/>
                    </a:xfrm>
                    <a:prstGeom prst="rect">
                      <a:avLst/>
                    </a:prstGeom>
                  </pic:spPr>
                </pic:pic>
              </a:graphicData>
            </a:graphic>
          </wp:inline>
        </w:drawing>
      </w:r>
    </w:p>
    <w:p w14:paraId="50B5E944" w14:textId="3B18C34B" w:rsidR="0096311A" w:rsidRPr="00632CBD" w:rsidRDefault="00DC0E79" w:rsidP="005D5309">
      <w:pPr>
        <w:pStyle w:val="Heading2"/>
        <w:rPr>
          <w:u w:val="single"/>
        </w:rPr>
      </w:pPr>
      <w:bookmarkStart w:id="2" w:name="_Toc216029026"/>
      <w:r w:rsidRPr="00632CBD">
        <w:rPr>
          <w:u w:val="single"/>
        </w:rPr>
        <w:t>Task 2</w:t>
      </w:r>
      <w:r w:rsidR="00BF28CB" w:rsidRPr="00632CBD">
        <w:rPr>
          <w:u w:val="single"/>
        </w:rPr>
        <w:t>.A</w:t>
      </w:r>
      <w:r w:rsidRPr="00632CBD">
        <w:rPr>
          <w:u w:val="single"/>
        </w:rPr>
        <w:t>-Root cause analysis</w:t>
      </w:r>
      <w:bookmarkEnd w:id="2"/>
    </w:p>
    <w:p w14:paraId="10CDD3B8" w14:textId="1DB1DAC3" w:rsidR="00DB2B13" w:rsidRPr="00BF0151" w:rsidRDefault="00DB2B13" w:rsidP="00DC0E79">
      <w:pPr>
        <w:pStyle w:val="BodyText"/>
        <w:spacing w:before="162" w:line="381" w:lineRule="auto"/>
        <w:ind w:right="3077"/>
        <w:rPr>
          <w:rFonts w:ascii="Arial" w:hAnsi="Arial" w:cs="Arial"/>
          <w:b/>
          <w:bCs/>
          <w:sz w:val="24"/>
          <w:szCs w:val="24"/>
          <w:u w:val="single"/>
        </w:rPr>
      </w:pPr>
      <w:r w:rsidRPr="00BF0151">
        <w:rPr>
          <w:rFonts w:ascii="Arial" w:hAnsi="Arial" w:cs="Arial"/>
          <w:b/>
          <w:bCs/>
          <w:noProof/>
          <w:sz w:val="24"/>
          <w:szCs w:val="24"/>
          <w:u w:val="single"/>
        </w:rPr>
        <w:drawing>
          <wp:inline distT="0" distB="0" distL="0" distR="0" wp14:anchorId="4B22262F" wp14:editId="0692BB3A">
            <wp:extent cx="5873750" cy="1707515"/>
            <wp:effectExtent l="0" t="0" r="0" b="6985"/>
            <wp:docPr id="161019012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190120" name="Picture 1" descr="A close-up of a document&#10;&#10;AI-generated content may be incorrect."/>
                    <pic:cNvPicPr/>
                  </pic:nvPicPr>
                  <pic:blipFill>
                    <a:blip r:embed="rId13"/>
                    <a:stretch>
                      <a:fillRect/>
                    </a:stretch>
                  </pic:blipFill>
                  <pic:spPr>
                    <a:xfrm>
                      <a:off x="0" y="0"/>
                      <a:ext cx="5873750" cy="1707515"/>
                    </a:xfrm>
                    <a:prstGeom prst="rect">
                      <a:avLst/>
                    </a:prstGeom>
                  </pic:spPr>
                </pic:pic>
              </a:graphicData>
            </a:graphic>
          </wp:inline>
        </w:drawing>
      </w:r>
    </w:p>
    <w:p w14:paraId="031A4D00" w14:textId="77777777" w:rsidR="00DB2B13" w:rsidRPr="00BF0151" w:rsidRDefault="00DB2B13" w:rsidP="00DC0E79">
      <w:pPr>
        <w:pStyle w:val="BodyText"/>
        <w:spacing w:before="162" w:line="381" w:lineRule="auto"/>
        <w:ind w:right="3077"/>
        <w:rPr>
          <w:rFonts w:ascii="Arial" w:hAnsi="Arial" w:cs="Arial"/>
          <w:b/>
          <w:bCs/>
          <w:sz w:val="24"/>
          <w:szCs w:val="24"/>
          <w:u w:val="single"/>
        </w:rPr>
      </w:pPr>
    </w:p>
    <w:p w14:paraId="1CC26D89" w14:textId="77777777" w:rsidR="00DB2B13" w:rsidRPr="00BF0151" w:rsidRDefault="00DB2B13" w:rsidP="00DC0E79">
      <w:pPr>
        <w:pStyle w:val="BodyText"/>
        <w:spacing w:before="162" w:line="381" w:lineRule="auto"/>
        <w:ind w:right="3077"/>
        <w:rPr>
          <w:rFonts w:ascii="Arial" w:hAnsi="Arial" w:cs="Arial"/>
          <w:b/>
          <w:bCs/>
          <w:sz w:val="24"/>
          <w:szCs w:val="24"/>
          <w:u w:val="single"/>
        </w:rPr>
      </w:pPr>
    </w:p>
    <w:p w14:paraId="57D75D60" w14:textId="77777777" w:rsidR="00DB2B13" w:rsidRPr="00BF0151" w:rsidRDefault="00DB2B13" w:rsidP="00DC0E79">
      <w:pPr>
        <w:pStyle w:val="BodyText"/>
        <w:spacing w:before="162" w:line="381" w:lineRule="auto"/>
        <w:ind w:right="3077"/>
        <w:rPr>
          <w:rFonts w:ascii="Arial" w:hAnsi="Arial" w:cs="Arial"/>
          <w:b/>
          <w:bCs/>
          <w:sz w:val="24"/>
          <w:szCs w:val="24"/>
          <w:u w:val="single"/>
        </w:rPr>
      </w:pPr>
    </w:p>
    <w:p w14:paraId="5BC9D73A" w14:textId="77777777" w:rsidR="00DB2B13" w:rsidRPr="00BF0151" w:rsidRDefault="00DB2B13" w:rsidP="00DC0E79">
      <w:pPr>
        <w:pStyle w:val="BodyText"/>
        <w:spacing w:before="162" w:line="381" w:lineRule="auto"/>
        <w:ind w:right="3077"/>
        <w:rPr>
          <w:rFonts w:ascii="Arial" w:hAnsi="Arial" w:cs="Arial"/>
          <w:b/>
          <w:bCs/>
          <w:sz w:val="24"/>
          <w:szCs w:val="24"/>
          <w:u w:val="single"/>
        </w:rPr>
      </w:pPr>
    </w:p>
    <w:p w14:paraId="2360258F" w14:textId="77777777" w:rsidR="00DB2B13" w:rsidRPr="00BF0151" w:rsidRDefault="00DB2B13" w:rsidP="00DC0E79">
      <w:pPr>
        <w:pStyle w:val="BodyText"/>
        <w:spacing w:before="162" w:line="381" w:lineRule="auto"/>
        <w:ind w:right="3077"/>
        <w:rPr>
          <w:rFonts w:ascii="Arial" w:hAnsi="Arial" w:cs="Arial"/>
          <w:b/>
          <w:bCs/>
          <w:sz w:val="24"/>
          <w:szCs w:val="24"/>
          <w:u w:val="single"/>
        </w:rPr>
      </w:pPr>
    </w:p>
    <w:p w14:paraId="67564D51" w14:textId="77777777" w:rsidR="00DB2B13" w:rsidRPr="00BF0151" w:rsidRDefault="00DB2B13" w:rsidP="00DC0E79">
      <w:pPr>
        <w:pStyle w:val="BodyText"/>
        <w:spacing w:before="162" w:line="381" w:lineRule="auto"/>
        <w:ind w:right="3077"/>
        <w:rPr>
          <w:rFonts w:ascii="Arial" w:hAnsi="Arial" w:cs="Arial"/>
          <w:b/>
          <w:bCs/>
          <w:sz w:val="24"/>
          <w:szCs w:val="24"/>
          <w:u w:val="single"/>
        </w:rPr>
      </w:pPr>
    </w:p>
    <w:p w14:paraId="0A48313D" w14:textId="3A8DA741" w:rsidR="00BF28CB" w:rsidRPr="00BF0151" w:rsidRDefault="00BF28CB" w:rsidP="00DC0E79">
      <w:pPr>
        <w:pStyle w:val="BodyText"/>
        <w:spacing w:before="162" w:line="381" w:lineRule="auto"/>
        <w:ind w:right="3077"/>
        <w:rPr>
          <w:rFonts w:ascii="Arial" w:hAnsi="Arial" w:cs="Arial"/>
          <w:b/>
          <w:bCs/>
          <w:sz w:val="24"/>
          <w:szCs w:val="24"/>
          <w:u w:val="single"/>
        </w:rPr>
      </w:pPr>
      <w:r w:rsidRPr="00BF0151">
        <w:rPr>
          <w:rFonts w:ascii="Arial" w:hAnsi="Arial" w:cs="Arial"/>
          <w:b/>
          <w:bCs/>
          <w:sz w:val="24"/>
          <w:szCs w:val="24"/>
          <w:u w:val="single"/>
        </w:rPr>
        <w:t>Task 2.B- Technical report</w:t>
      </w:r>
    </w:p>
    <w:p w14:paraId="3CBA772F" w14:textId="11D9D2BA" w:rsidR="00DB2B13" w:rsidRDefault="005D5309" w:rsidP="005D5309">
      <w:pPr>
        <w:pStyle w:val="Heading2"/>
      </w:pPr>
      <w:bookmarkStart w:id="3" w:name="_Toc216029027"/>
      <w:r>
        <w:t>Introduction</w:t>
      </w:r>
      <w:bookmarkEnd w:id="3"/>
    </w:p>
    <w:p w14:paraId="6E88AEBE" w14:textId="140C7D44" w:rsidR="00D01FC8" w:rsidRDefault="00F46498" w:rsidP="00D01FC8">
      <w:pPr>
        <w:pStyle w:val="Heading1"/>
        <w:numPr>
          <w:ilvl w:val="0"/>
          <w:numId w:val="0"/>
        </w:numPr>
        <w:ind w:left="432" w:hanging="432"/>
      </w:pPr>
      <w:bookmarkStart w:id="4" w:name="_Toc216028882"/>
      <w:bookmarkStart w:id="5" w:name="_Toc216029028"/>
      <w:r>
        <w:rPr>
          <w:rFonts w:ascii="Arial" w:hAnsi="Arial" w:cs="Arial"/>
          <w:sz w:val="24"/>
          <w:szCs w:val="24"/>
        </w:rPr>
        <w:t xml:space="preserve">Effective and reliable risk management is a must to </w:t>
      </w:r>
      <w:r w:rsidR="001C040D">
        <w:rPr>
          <w:rFonts w:ascii="Arial" w:hAnsi="Arial" w:cs="Arial"/>
          <w:sz w:val="24"/>
          <w:szCs w:val="24"/>
        </w:rPr>
        <w:t>ensure</w:t>
      </w:r>
      <w:r>
        <w:rPr>
          <w:rFonts w:ascii="Arial" w:hAnsi="Arial" w:cs="Arial"/>
          <w:sz w:val="24"/>
          <w:szCs w:val="24"/>
        </w:rPr>
        <w:t xml:space="preserve"> safety and efficiency in operations within the manufacturing sector of engineering.</w:t>
      </w:r>
      <w:r w:rsidR="008C5F76">
        <w:rPr>
          <w:rFonts w:ascii="Arial" w:hAnsi="Arial" w:cs="Arial"/>
          <w:sz w:val="24"/>
          <w:szCs w:val="24"/>
        </w:rPr>
        <w:t xml:space="preserve"> </w:t>
      </w:r>
      <w:r w:rsidR="001C040D">
        <w:rPr>
          <w:rFonts w:ascii="Arial" w:hAnsi="Arial" w:cs="Arial"/>
          <w:sz w:val="24"/>
          <w:szCs w:val="24"/>
        </w:rPr>
        <w:t xml:space="preserve">This essay investigates the identification, assessment and mitigation of risks and risk management as this is essential in preventing not only risks to the safety of employees but also product quality and meeting expectations that are expected from you and your product. I am aiming to highlight the relevance of risk management in the prevention and control of operational failures and </w:t>
      </w:r>
      <w:r w:rsidR="001E2635">
        <w:rPr>
          <w:rFonts w:ascii="Arial" w:hAnsi="Arial" w:cs="Arial"/>
          <w:sz w:val="24"/>
          <w:szCs w:val="24"/>
        </w:rPr>
        <w:t xml:space="preserve">play a role in ways to improve products or the way processes are carried out. I also am aiming to examine the regulatory actions that are put in place and how risk assessments help you meet them. Which is why </w:t>
      </w:r>
      <w:r w:rsidR="004B5959">
        <w:rPr>
          <w:rFonts w:ascii="Arial" w:hAnsi="Arial" w:cs="Arial"/>
          <w:sz w:val="24"/>
          <w:szCs w:val="24"/>
        </w:rPr>
        <w:t>it’s</w:t>
      </w:r>
      <w:r w:rsidR="001E2635">
        <w:rPr>
          <w:rFonts w:ascii="Arial" w:hAnsi="Arial" w:cs="Arial"/>
          <w:sz w:val="24"/>
          <w:szCs w:val="24"/>
        </w:rPr>
        <w:t xml:space="preserve"> important for engineers to understand risk assessments.  I will also give an example of a root cause analysis, a critical and the most common way for identifying and mitigating risks effectively.</w:t>
      </w:r>
      <w:r w:rsidR="004B5959">
        <w:rPr>
          <w:rFonts w:ascii="Arial" w:hAnsi="Arial" w:cs="Arial"/>
          <w:sz w:val="24"/>
          <w:szCs w:val="24"/>
        </w:rPr>
        <w:t xml:space="preserve"> My objectives for this report are to give you a good understanding of all these points made here.</w:t>
      </w:r>
      <w:bookmarkEnd w:id="4"/>
      <w:bookmarkEnd w:id="5"/>
    </w:p>
    <w:p w14:paraId="226AB245" w14:textId="77777777" w:rsidR="00D01FC8" w:rsidRDefault="00D01FC8" w:rsidP="00D01FC8">
      <w:pPr>
        <w:pStyle w:val="Heading1"/>
        <w:numPr>
          <w:ilvl w:val="0"/>
          <w:numId w:val="0"/>
        </w:numPr>
        <w:ind w:left="432" w:hanging="432"/>
      </w:pPr>
    </w:p>
    <w:p w14:paraId="7BC97503" w14:textId="77777777" w:rsidR="00D01FC8" w:rsidRDefault="00D01FC8" w:rsidP="00D01FC8">
      <w:pPr>
        <w:pStyle w:val="Heading1"/>
        <w:numPr>
          <w:ilvl w:val="0"/>
          <w:numId w:val="0"/>
        </w:numPr>
        <w:ind w:left="432" w:hanging="432"/>
      </w:pPr>
    </w:p>
    <w:p w14:paraId="3FEB8ECE" w14:textId="1219ADA0" w:rsidR="00E775B2" w:rsidRDefault="00D01FC8" w:rsidP="00E775B2">
      <w:pPr>
        <w:pStyle w:val="Heading2"/>
      </w:pPr>
      <w:bookmarkStart w:id="6" w:name="_Toc216029029"/>
      <w:r>
        <w:t>Literature review</w:t>
      </w:r>
      <w:bookmarkEnd w:id="6"/>
    </w:p>
    <w:p w14:paraId="3F94F376" w14:textId="19701F66" w:rsidR="008600E0" w:rsidRDefault="00E775B2" w:rsidP="008600E0">
      <w:pPr>
        <w:pStyle w:val="Heading2"/>
        <w:numPr>
          <w:ilvl w:val="0"/>
          <w:numId w:val="0"/>
        </w:numPr>
        <w:ind w:left="576"/>
        <w:rPr>
          <w:rFonts w:ascii="Arial" w:hAnsi="Arial" w:cs="Arial"/>
          <w:b w:val="0"/>
          <w:bCs w:val="0"/>
          <w:sz w:val="24"/>
          <w:szCs w:val="24"/>
        </w:rPr>
      </w:pPr>
      <w:bookmarkStart w:id="7" w:name="_Toc216028884"/>
      <w:bookmarkStart w:id="8" w:name="_Toc216029030"/>
      <w:r>
        <w:rPr>
          <w:rFonts w:ascii="Arial" w:hAnsi="Arial" w:cs="Arial"/>
          <w:b w:val="0"/>
          <w:bCs w:val="0"/>
          <w:sz w:val="24"/>
          <w:szCs w:val="24"/>
        </w:rPr>
        <w:t xml:space="preserve">Risk management in short is the process of recognizing problems or potential problems before they happen and taking steps to reduce their impact. It involves finding possible risks, seeing how likely they are to happen and how much harm they cause. Finally finding the best way to handle or avoid them. There are many ways to handle them such as avoiding them, minimizing them or even accepting them. By monitoring these risks companies can adjust their strategies and make better decisions to protect resources, helping them achieve their goals. </w:t>
      </w:r>
      <w:r w:rsidR="008600E0">
        <w:rPr>
          <w:rFonts w:ascii="Arial" w:hAnsi="Arial" w:cs="Arial"/>
          <w:b w:val="0"/>
          <w:bCs w:val="0"/>
          <w:sz w:val="24"/>
          <w:szCs w:val="24"/>
        </w:rPr>
        <w:t>A source written in 2020 highlights the relevance of risk management in the engineering sector quoting that “</w:t>
      </w:r>
      <w:r w:rsidR="008600E0" w:rsidRPr="008600E0">
        <w:rPr>
          <w:rFonts w:ascii="Arial" w:hAnsi="Arial" w:cs="Arial"/>
          <w:b w:val="0"/>
          <w:bCs w:val="0"/>
          <w:sz w:val="24"/>
          <w:szCs w:val="24"/>
        </w:rPr>
        <w:t>if not proactively controlled can lead to under performance and sometimes cessation of activities for some companies</w:t>
      </w:r>
      <w:r w:rsidR="008600E0">
        <w:rPr>
          <w:rFonts w:ascii="Arial" w:hAnsi="Arial" w:cs="Arial"/>
          <w:b w:val="0"/>
          <w:bCs w:val="0"/>
          <w:sz w:val="24"/>
          <w:szCs w:val="24"/>
        </w:rPr>
        <w:t xml:space="preserve">” meaning that companies who don’t properly carry out risk management processes can lead to them performing worse than they should. </w:t>
      </w:r>
      <w:r w:rsidR="008600E0">
        <w:rPr>
          <w:rFonts w:ascii="Arial" w:hAnsi="Arial" w:cs="Arial"/>
          <w:b w:val="0"/>
          <w:bCs w:val="0"/>
          <w:sz w:val="24"/>
          <w:szCs w:val="24"/>
        </w:rPr>
        <w:lastRenderedPageBreak/>
        <w:t>The same source follows up by saying that “</w:t>
      </w:r>
      <w:r w:rsidR="008600E0" w:rsidRPr="008600E0">
        <w:rPr>
          <w:rFonts w:ascii="Arial" w:hAnsi="Arial" w:cs="Arial"/>
          <w:b w:val="0"/>
          <w:bCs w:val="0"/>
          <w:sz w:val="24"/>
          <w:szCs w:val="24"/>
        </w:rPr>
        <w:t>poorly managed risks can have an adverse effect on performance</w:t>
      </w:r>
      <w:r w:rsidR="008600E0">
        <w:rPr>
          <w:rFonts w:ascii="Arial" w:hAnsi="Arial" w:cs="Arial"/>
          <w:b w:val="0"/>
          <w:bCs w:val="0"/>
          <w:sz w:val="24"/>
          <w:szCs w:val="24"/>
        </w:rPr>
        <w:t>” furthermore backing up there point that proper risk management is a must for proper operation at an engineering standpoint.</w:t>
      </w:r>
      <w:r w:rsidR="00587B82">
        <w:rPr>
          <w:rFonts w:ascii="Arial" w:hAnsi="Arial" w:cs="Arial"/>
          <w:b w:val="0"/>
          <w:bCs w:val="0"/>
          <w:sz w:val="24"/>
          <w:szCs w:val="24"/>
        </w:rPr>
        <w:t xml:space="preserve"> A second source highlights the importance of risk management at an engineering standpoint quoting that “</w:t>
      </w:r>
      <w:r w:rsidR="00587B82" w:rsidRPr="00587B82">
        <w:rPr>
          <w:rFonts w:ascii="Arial" w:hAnsi="Arial" w:cs="Arial"/>
          <w:b w:val="0"/>
          <w:bCs w:val="0"/>
          <w:sz w:val="24"/>
          <w:szCs w:val="24"/>
        </w:rPr>
        <w:t xml:space="preserve">Risk management has added significance for ground engineering in mining because “recovery measures” may also need to be pre-planned to </w:t>
      </w:r>
      <w:proofErr w:type="spellStart"/>
      <w:r w:rsidR="00587B82" w:rsidRPr="00587B82">
        <w:rPr>
          <w:rFonts w:ascii="Arial" w:hAnsi="Arial" w:cs="Arial"/>
          <w:b w:val="0"/>
          <w:bCs w:val="0"/>
          <w:sz w:val="24"/>
          <w:szCs w:val="24"/>
        </w:rPr>
        <w:t>minimise</w:t>
      </w:r>
      <w:proofErr w:type="spellEnd"/>
      <w:r w:rsidR="00587B82" w:rsidRPr="00587B82">
        <w:rPr>
          <w:rFonts w:ascii="Arial" w:hAnsi="Arial" w:cs="Arial"/>
          <w:b w:val="0"/>
          <w:bCs w:val="0"/>
          <w:sz w:val="24"/>
          <w:szCs w:val="24"/>
        </w:rPr>
        <w:t xml:space="preserve"> the consequences of any ground instability</w:t>
      </w:r>
      <w:r w:rsidR="00587B82">
        <w:rPr>
          <w:rFonts w:ascii="Arial" w:hAnsi="Arial" w:cs="Arial"/>
          <w:b w:val="0"/>
          <w:bCs w:val="0"/>
          <w:sz w:val="24"/>
          <w:szCs w:val="24"/>
        </w:rPr>
        <w:t xml:space="preserve">” meaning that it has significantly helped </w:t>
      </w:r>
      <w:r w:rsidR="006579A4">
        <w:rPr>
          <w:rFonts w:ascii="Arial" w:hAnsi="Arial" w:cs="Arial"/>
          <w:b w:val="0"/>
          <w:bCs w:val="0"/>
          <w:sz w:val="24"/>
          <w:szCs w:val="24"/>
        </w:rPr>
        <w:t>in</w:t>
      </w:r>
      <w:r w:rsidR="00587B82">
        <w:rPr>
          <w:rFonts w:ascii="Arial" w:hAnsi="Arial" w:cs="Arial"/>
          <w:b w:val="0"/>
          <w:bCs w:val="0"/>
          <w:sz w:val="24"/>
          <w:szCs w:val="24"/>
        </w:rPr>
        <w:t xml:space="preserve"> the process of recovery measures as it was a problem in this engineering industry.</w:t>
      </w:r>
      <w:r w:rsidR="006579A4">
        <w:rPr>
          <w:rFonts w:ascii="Arial" w:hAnsi="Arial" w:cs="Arial"/>
          <w:b w:val="0"/>
          <w:bCs w:val="0"/>
          <w:sz w:val="24"/>
          <w:szCs w:val="24"/>
        </w:rPr>
        <w:t xml:space="preserve"> Another source also supports the importance of risk management quoting that “</w:t>
      </w:r>
      <w:r w:rsidR="006579A4" w:rsidRPr="006579A4">
        <w:rPr>
          <w:rFonts w:ascii="Arial" w:hAnsi="Arial" w:cs="Arial"/>
          <w:b w:val="0"/>
          <w:bCs w:val="0"/>
          <w:sz w:val="24"/>
          <w:szCs w:val="24"/>
        </w:rPr>
        <w:t>18 success factors have been identified, including the identification and prior analysis of risk factors</w:t>
      </w:r>
      <w:r w:rsidR="006579A4">
        <w:rPr>
          <w:rFonts w:ascii="Arial" w:hAnsi="Arial" w:cs="Arial"/>
          <w:b w:val="0"/>
          <w:bCs w:val="0"/>
          <w:sz w:val="24"/>
          <w:szCs w:val="24"/>
        </w:rPr>
        <w:t>” meaning that through the process of risk management they were able to analyze risks prior to them coming to light, this was used in Spanish engineering.</w:t>
      </w:r>
      <w:bookmarkEnd w:id="7"/>
      <w:bookmarkEnd w:id="8"/>
    </w:p>
    <w:p w14:paraId="00BB26C0" w14:textId="2DA9F196" w:rsidR="006579A4" w:rsidRDefault="006579A4" w:rsidP="008600E0">
      <w:pPr>
        <w:pStyle w:val="Heading2"/>
        <w:numPr>
          <w:ilvl w:val="0"/>
          <w:numId w:val="0"/>
        </w:numPr>
        <w:ind w:left="576"/>
        <w:rPr>
          <w:rFonts w:ascii="Arial" w:hAnsi="Arial" w:cs="Arial"/>
          <w:b w:val="0"/>
          <w:bCs w:val="0"/>
          <w:sz w:val="24"/>
          <w:szCs w:val="24"/>
        </w:rPr>
      </w:pPr>
      <w:bookmarkStart w:id="9" w:name="_Toc216028885"/>
      <w:bookmarkStart w:id="10" w:name="_Toc216029031"/>
      <w:r>
        <w:rPr>
          <w:rFonts w:ascii="Arial" w:hAnsi="Arial" w:cs="Arial"/>
          <w:b w:val="0"/>
          <w:bCs w:val="0"/>
          <w:sz w:val="24"/>
          <w:szCs w:val="24"/>
        </w:rPr>
        <w:t xml:space="preserve">There are several tools that are used for risk assessment these are designed to analyze risks, find </w:t>
      </w:r>
      <w:r w:rsidR="00FF4BCB">
        <w:rPr>
          <w:rFonts w:ascii="Arial" w:hAnsi="Arial" w:cs="Arial"/>
          <w:b w:val="0"/>
          <w:bCs w:val="0"/>
          <w:sz w:val="24"/>
          <w:szCs w:val="24"/>
        </w:rPr>
        <w:t>their</w:t>
      </w:r>
      <w:r>
        <w:rPr>
          <w:rFonts w:ascii="Arial" w:hAnsi="Arial" w:cs="Arial"/>
          <w:b w:val="0"/>
          <w:bCs w:val="0"/>
          <w:sz w:val="24"/>
          <w:szCs w:val="24"/>
        </w:rPr>
        <w:t xml:space="preserve"> causes and come up with ways to mitigate them</w:t>
      </w:r>
      <w:r w:rsidR="00FF4BCB">
        <w:rPr>
          <w:rFonts w:ascii="Arial" w:hAnsi="Arial" w:cs="Arial"/>
          <w:b w:val="0"/>
          <w:bCs w:val="0"/>
          <w:sz w:val="24"/>
          <w:szCs w:val="24"/>
        </w:rPr>
        <w:t>. Root cause analysis (RCA) is one of the more commonly used tools for finding risks</w:t>
      </w:r>
      <w:proofErr w:type="gramStart"/>
      <w:r w:rsidR="00FF4BCB">
        <w:rPr>
          <w:rFonts w:ascii="Arial" w:hAnsi="Arial" w:cs="Arial"/>
          <w:b w:val="0"/>
          <w:bCs w:val="0"/>
          <w:sz w:val="24"/>
          <w:szCs w:val="24"/>
        </w:rPr>
        <w:t>, the</w:t>
      </w:r>
      <w:proofErr w:type="gramEnd"/>
      <w:r w:rsidR="00FF4BCB">
        <w:rPr>
          <w:rFonts w:ascii="Arial" w:hAnsi="Arial" w:cs="Arial"/>
          <w:b w:val="0"/>
          <w:bCs w:val="0"/>
          <w:sz w:val="24"/>
          <w:szCs w:val="24"/>
        </w:rPr>
        <w:t xml:space="preserve"> process of a root cause analysis involves the five why technique, which involves repeatedly asking why when the original risk is found until you reach the root of the problem. Other methods like the fishbone diagram and brainstorming also go hand in hand with this.</w:t>
      </w:r>
      <w:r w:rsidR="005356F9">
        <w:rPr>
          <w:rFonts w:ascii="Arial" w:hAnsi="Arial" w:cs="Arial"/>
          <w:b w:val="0"/>
          <w:bCs w:val="0"/>
          <w:sz w:val="24"/>
          <w:szCs w:val="24"/>
        </w:rPr>
        <w:t xml:space="preserve"> A book written in 2017 tells us about a process called “preliminary hazard analysis” which is used at the start of a risk assessment to find potential hazards associated with certain processes. Often used on processes that have been carried out for years. A source written in 2019 shows how a root cause analysis is used effectively in the manufacturing sector quoting that “</w:t>
      </w:r>
      <w:r w:rsidR="005356F9" w:rsidRPr="005356F9">
        <w:rPr>
          <w:rFonts w:ascii="Arial" w:hAnsi="Arial" w:cs="Arial"/>
          <w:b w:val="0"/>
          <w:bCs w:val="0"/>
          <w:sz w:val="24"/>
          <w:szCs w:val="24"/>
        </w:rPr>
        <w:t>the results of RCA calculations remain reliable and useful as a guide in industrial and trade policy</w:t>
      </w:r>
      <w:r w:rsidR="005356F9">
        <w:rPr>
          <w:rFonts w:ascii="Arial" w:hAnsi="Arial" w:cs="Arial"/>
          <w:b w:val="0"/>
          <w:bCs w:val="0"/>
          <w:sz w:val="24"/>
          <w:szCs w:val="24"/>
        </w:rPr>
        <w:t>” showing that root cause analysis if carried out properly is very effective and provides accurate results.</w:t>
      </w:r>
      <w:r w:rsidR="00AC56A8">
        <w:rPr>
          <w:rFonts w:ascii="Arial" w:hAnsi="Arial" w:cs="Arial"/>
          <w:b w:val="0"/>
          <w:bCs w:val="0"/>
          <w:sz w:val="24"/>
          <w:szCs w:val="24"/>
        </w:rPr>
        <w:t xml:space="preserve"> Another source from 2023 quotes that a preliminary risk analysis or preliminary hazard analysis was useful in finding potential major incidents, it quotes that “</w:t>
      </w:r>
      <w:r w:rsidR="00AC56A8" w:rsidRPr="00AC56A8">
        <w:rPr>
          <w:rFonts w:ascii="Arial" w:hAnsi="Arial" w:cs="Arial"/>
          <w:b w:val="0"/>
          <w:bCs w:val="0"/>
          <w:sz w:val="24"/>
          <w:szCs w:val="24"/>
        </w:rPr>
        <w:t>Within the study, the identification of hazards was carried out qualitatively using PHA located in Table 6. In addition, the Identifying those hazard sources which may cause a major accident</w:t>
      </w:r>
      <w:r w:rsidR="00AC56A8">
        <w:rPr>
          <w:rFonts w:ascii="Arial" w:hAnsi="Arial" w:cs="Arial"/>
          <w:b w:val="0"/>
          <w:bCs w:val="0"/>
          <w:sz w:val="24"/>
          <w:szCs w:val="24"/>
        </w:rPr>
        <w:t>” showing evidence of this being true in a table.</w:t>
      </w:r>
      <w:bookmarkEnd w:id="9"/>
      <w:bookmarkEnd w:id="10"/>
    </w:p>
    <w:p w14:paraId="528670CC" w14:textId="4CCF2214" w:rsidR="00294577" w:rsidRPr="00E775B2" w:rsidRDefault="00294577" w:rsidP="008600E0">
      <w:pPr>
        <w:pStyle w:val="Heading2"/>
        <w:numPr>
          <w:ilvl w:val="0"/>
          <w:numId w:val="0"/>
        </w:numPr>
        <w:ind w:left="576"/>
        <w:rPr>
          <w:rFonts w:ascii="Arial" w:hAnsi="Arial" w:cs="Arial"/>
          <w:b w:val="0"/>
          <w:bCs w:val="0"/>
          <w:sz w:val="24"/>
          <w:szCs w:val="24"/>
        </w:rPr>
      </w:pPr>
      <w:bookmarkStart w:id="11" w:name="_Toc216028886"/>
      <w:bookmarkStart w:id="12" w:name="_Toc216029032"/>
      <w:r>
        <w:rPr>
          <w:rFonts w:ascii="Arial" w:hAnsi="Arial" w:cs="Arial"/>
          <w:b w:val="0"/>
          <w:bCs w:val="0"/>
          <w:sz w:val="24"/>
          <w:szCs w:val="24"/>
        </w:rPr>
        <w:lastRenderedPageBreak/>
        <w:t>There are many legal and ethical considerations to take into account when carrying out risk assessments for example the I</w:t>
      </w:r>
      <w:r w:rsidR="00402047">
        <w:rPr>
          <w:rFonts w:ascii="Arial" w:hAnsi="Arial" w:cs="Arial"/>
          <w:b w:val="0"/>
          <w:bCs w:val="0"/>
          <w:sz w:val="24"/>
          <w:szCs w:val="24"/>
        </w:rPr>
        <w:t>M</w:t>
      </w:r>
      <w:r>
        <w:rPr>
          <w:rFonts w:ascii="Arial" w:hAnsi="Arial" w:cs="Arial"/>
          <w:b w:val="0"/>
          <w:bCs w:val="0"/>
          <w:sz w:val="24"/>
          <w:szCs w:val="24"/>
        </w:rPr>
        <w:t>echE code of conduct which according to a source written in</w:t>
      </w:r>
      <w:r w:rsidR="00402047">
        <w:rPr>
          <w:rFonts w:ascii="Arial" w:hAnsi="Arial" w:cs="Arial"/>
          <w:b w:val="0"/>
          <w:bCs w:val="0"/>
          <w:sz w:val="24"/>
          <w:szCs w:val="24"/>
        </w:rPr>
        <w:t xml:space="preserve"> 2020 by IMechE “</w:t>
      </w:r>
      <w:r w:rsidR="00402047" w:rsidRPr="00402047">
        <w:rPr>
          <w:rFonts w:ascii="Arial" w:hAnsi="Arial" w:cs="Arial"/>
          <w:b w:val="0"/>
          <w:bCs w:val="0"/>
          <w:sz w:val="24"/>
          <w:szCs w:val="24"/>
        </w:rPr>
        <w:t>It promotes high ethical standards by requiring members to work competently and maintain skills, act with integrity, promote sustainability, exercise engineering leadership, and contribute positively to the public perception of the profession. The code of conduct instructs members to regularly refer to and follow the guidelines throughout their membership</w:t>
      </w:r>
      <w:r w:rsidR="00402047">
        <w:rPr>
          <w:rFonts w:ascii="Arial" w:hAnsi="Arial" w:cs="Arial"/>
          <w:b w:val="0"/>
          <w:bCs w:val="0"/>
          <w:sz w:val="24"/>
          <w:szCs w:val="24"/>
        </w:rPr>
        <w:t>” this brief description of there code of conduct highlights their main values and standards that engineers should live by or work towards. For example, integrity means the quality of having strong morale principles. Also promoting sustainability will help with the environment and renewable resources in the engineering sector.</w:t>
      </w:r>
      <w:r w:rsidR="004124FB">
        <w:rPr>
          <w:rFonts w:ascii="Arial" w:hAnsi="Arial" w:cs="Arial"/>
          <w:b w:val="0"/>
          <w:bCs w:val="0"/>
          <w:sz w:val="24"/>
          <w:szCs w:val="24"/>
        </w:rPr>
        <w:t xml:space="preserve"> Another source highlights the health and safety legislations needed in the manufacturing sector mentioning occupational health and health risk assessments which include “</w:t>
      </w:r>
      <w:r w:rsidR="004124FB" w:rsidRPr="004124FB">
        <w:rPr>
          <w:rFonts w:ascii="Arial" w:hAnsi="Arial" w:cs="Arial"/>
          <w:b w:val="0"/>
          <w:bCs w:val="0"/>
          <w:sz w:val="24"/>
          <w:szCs w:val="24"/>
        </w:rPr>
        <w:t>identifying, analyzing, and mitigating potential health risks in the workplace</w:t>
      </w:r>
      <w:r w:rsidR="004124FB">
        <w:rPr>
          <w:rFonts w:ascii="Arial" w:hAnsi="Arial" w:cs="Arial"/>
          <w:b w:val="0"/>
          <w:bCs w:val="0"/>
          <w:sz w:val="24"/>
          <w:szCs w:val="24"/>
        </w:rPr>
        <w:t xml:space="preserve">” </w:t>
      </w:r>
      <w:proofErr w:type="gramStart"/>
      <w:r w:rsidR="00014DDE">
        <w:rPr>
          <w:rFonts w:ascii="Arial" w:hAnsi="Arial" w:cs="Arial"/>
          <w:b w:val="0"/>
          <w:bCs w:val="0"/>
          <w:sz w:val="24"/>
          <w:szCs w:val="24"/>
        </w:rPr>
        <w:t>similar</w:t>
      </w:r>
      <w:r w:rsidR="004124FB">
        <w:rPr>
          <w:rFonts w:ascii="Arial" w:hAnsi="Arial" w:cs="Arial"/>
          <w:b w:val="0"/>
          <w:bCs w:val="0"/>
          <w:sz w:val="24"/>
          <w:szCs w:val="24"/>
        </w:rPr>
        <w:t xml:space="preserve"> to</w:t>
      </w:r>
      <w:proofErr w:type="gramEnd"/>
      <w:r w:rsidR="004124FB">
        <w:rPr>
          <w:rFonts w:ascii="Arial" w:hAnsi="Arial" w:cs="Arial"/>
          <w:b w:val="0"/>
          <w:bCs w:val="0"/>
          <w:sz w:val="24"/>
          <w:szCs w:val="24"/>
        </w:rPr>
        <w:t xml:space="preserve"> a root cause analysis but for keeping employees happy and healthy. Health legislation </w:t>
      </w:r>
      <w:r w:rsidR="00823F48">
        <w:rPr>
          <w:rFonts w:ascii="Arial" w:hAnsi="Arial" w:cs="Arial"/>
          <w:b w:val="0"/>
          <w:bCs w:val="0"/>
          <w:sz w:val="24"/>
          <w:szCs w:val="24"/>
        </w:rPr>
        <w:t>“</w:t>
      </w:r>
      <w:r w:rsidR="00823F48" w:rsidRPr="00823F48">
        <w:rPr>
          <w:rFonts w:ascii="Arial" w:hAnsi="Arial" w:cs="Arial"/>
          <w:b w:val="0"/>
          <w:bCs w:val="0"/>
          <w:sz w:val="24"/>
          <w:szCs w:val="24"/>
        </w:rPr>
        <w:t>encompasses a wide range of laws and regulations that are essential for the effective functioning of the healthcare system. It includes statutory laws, regulations, and case laws that shape health policy and ensure compliance within the healthcare sector.</w:t>
      </w:r>
      <w:r w:rsidR="00823F48">
        <w:rPr>
          <w:rFonts w:ascii="Arial" w:hAnsi="Arial" w:cs="Arial"/>
          <w:b w:val="0"/>
          <w:bCs w:val="0"/>
          <w:sz w:val="24"/>
          <w:szCs w:val="24"/>
        </w:rPr>
        <w:t xml:space="preserve">” For </w:t>
      </w:r>
      <w:r w:rsidR="00014DDE">
        <w:rPr>
          <w:rFonts w:ascii="Arial" w:hAnsi="Arial" w:cs="Arial"/>
          <w:b w:val="0"/>
          <w:bCs w:val="0"/>
          <w:sz w:val="24"/>
          <w:szCs w:val="24"/>
        </w:rPr>
        <w:t>example,</w:t>
      </w:r>
      <w:r w:rsidR="00823F48">
        <w:rPr>
          <w:rFonts w:ascii="Arial" w:hAnsi="Arial" w:cs="Arial"/>
          <w:b w:val="0"/>
          <w:bCs w:val="0"/>
          <w:sz w:val="24"/>
          <w:szCs w:val="24"/>
        </w:rPr>
        <w:t xml:space="preserve"> statutory laws, regulations and case laws</w:t>
      </w:r>
      <w:r w:rsidR="00014DDE">
        <w:rPr>
          <w:rFonts w:ascii="Arial" w:hAnsi="Arial" w:cs="Arial"/>
          <w:b w:val="0"/>
          <w:bCs w:val="0"/>
          <w:sz w:val="24"/>
          <w:szCs w:val="24"/>
        </w:rPr>
        <w:t xml:space="preserve"> which govern companies into a safe work environment for all employees.</w:t>
      </w:r>
      <w:bookmarkEnd w:id="11"/>
      <w:bookmarkEnd w:id="12"/>
    </w:p>
    <w:p w14:paraId="32D7DE60" w14:textId="0970C081" w:rsidR="00D01FC8" w:rsidRPr="00E775B2" w:rsidRDefault="00D01FC8" w:rsidP="00D01FC8">
      <w:pPr>
        <w:pStyle w:val="Heading1"/>
        <w:numPr>
          <w:ilvl w:val="0"/>
          <w:numId w:val="0"/>
        </w:numPr>
        <w:ind w:left="432" w:hanging="432"/>
        <w:rPr>
          <w:rFonts w:ascii="Arial" w:hAnsi="Arial" w:cs="Arial"/>
          <w:sz w:val="24"/>
          <w:szCs w:val="24"/>
        </w:rPr>
      </w:pPr>
    </w:p>
    <w:p w14:paraId="43ABEE0F" w14:textId="77777777" w:rsidR="00D01FC8" w:rsidRDefault="00D01FC8" w:rsidP="00D01FC8">
      <w:pPr>
        <w:pStyle w:val="Heading1"/>
        <w:numPr>
          <w:ilvl w:val="0"/>
          <w:numId w:val="0"/>
        </w:numPr>
        <w:ind w:left="432" w:hanging="432"/>
      </w:pPr>
    </w:p>
    <w:p w14:paraId="51B887A3" w14:textId="77777777" w:rsidR="00D01FC8" w:rsidRDefault="00D01FC8" w:rsidP="00D01FC8">
      <w:pPr>
        <w:pStyle w:val="Heading1"/>
        <w:numPr>
          <w:ilvl w:val="0"/>
          <w:numId w:val="0"/>
        </w:numPr>
        <w:ind w:left="432" w:hanging="432"/>
      </w:pPr>
    </w:p>
    <w:p w14:paraId="21401746" w14:textId="77777777" w:rsidR="00D01FC8" w:rsidRDefault="00D01FC8" w:rsidP="00D01FC8">
      <w:pPr>
        <w:pStyle w:val="Heading1"/>
        <w:numPr>
          <w:ilvl w:val="0"/>
          <w:numId w:val="0"/>
        </w:numPr>
        <w:ind w:left="432" w:hanging="432"/>
      </w:pPr>
    </w:p>
    <w:p w14:paraId="7BE3341A" w14:textId="77777777" w:rsidR="00D01FC8" w:rsidRDefault="00D01FC8" w:rsidP="00D01FC8">
      <w:pPr>
        <w:pStyle w:val="Heading1"/>
        <w:numPr>
          <w:ilvl w:val="0"/>
          <w:numId w:val="0"/>
        </w:numPr>
        <w:ind w:left="432" w:hanging="432"/>
      </w:pPr>
    </w:p>
    <w:p w14:paraId="3F59CAB6" w14:textId="77777777" w:rsidR="00D01FC8" w:rsidRDefault="00D01FC8" w:rsidP="00D01FC8">
      <w:pPr>
        <w:pStyle w:val="Heading1"/>
        <w:numPr>
          <w:ilvl w:val="0"/>
          <w:numId w:val="0"/>
        </w:numPr>
        <w:ind w:left="432" w:hanging="432"/>
      </w:pPr>
    </w:p>
    <w:p w14:paraId="24AEFD99" w14:textId="4CFBB112" w:rsidR="00D01FC8" w:rsidRDefault="00D01FC8" w:rsidP="005D5309">
      <w:pPr>
        <w:pStyle w:val="Heading2"/>
      </w:pPr>
      <w:bookmarkStart w:id="13" w:name="_Toc216029033"/>
      <w:r>
        <w:t>RCA results</w:t>
      </w:r>
      <w:bookmarkEnd w:id="13"/>
    </w:p>
    <w:p w14:paraId="7211A4F2" w14:textId="118DC44A" w:rsidR="00D01FC8" w:rsidRDefault="00872405" w:rsidP="00D01FC8">
      <w:pPr>
        <w:pStyle w:val="Heading1"/>
        <w:numPr>
          <w:ilvl w:val="0"/>
          <w:numId w:val="0"/>
        </w:numPr>
        <w:ind w:left="432" w:hanging="432"/>
        <w:rPr>
          <w:rFonts w:ascii="Arial" w:hAnsi="Arial" w:cs="Arial"/>
          <w:sz w:val="24"/>
          <w:szCs w:val="24"/>
        </w:rPr>
      </w:pPr>
      <w:bookmarkStart w:id="14" w:name="_Toc216028888"/>
      <w:bookmarkStart w:id="15" w:name="_Toc216029034"/>
      <w:r>
        <w:rPr>
          <w:rFonts w:ascii="Arial" w:hAnsi="Arial" w:cs="Arial"/>
          <w:sz w:val="24"/>
          <w:szCs w:val="24"/>
        </w:rPr>
        <w:t xml:space="preserve">When conducting the root cause analysis there were several steps, I took to complete it. Firstly, I clearly defined the problem, finding out where and when it occurred and how it could have happened as well as the severity of impacts it could have. Secondly, I collect relevant information to confirm the facts and the context of how </w:t>
      </w:r>
      <w:r>
        <w:rPr>
          <w:rFonts w:ascii="Arial" w:hAnsi="Arial" w:cs="Arial"/>
          <w:sz w:val="24"/>
          <w:szCs w:val="24"/>
        </w:rPr>
        <w:lastRenderedPageBreak/>
        <w:t xml:space="preserve">it happened. After this I then identified possible causes of the problem through brainstorming and using the five-why technique to find all factors contributing to this issue. After learning all potential </w:t>
      </w:r>
      <w:r w:rsidR="00842C4A">
        <w:rPr>
          <w:rFonts w:ascii="Arial" w:hAnsi="Arial" w:cs="Arial"/>
          <w:sz w:val="24"/>
          <w:szCs w:val="24"/>
        </w:rPr>
        <w:t>causes,</w:t>
      </w:r>
      <w:r>
        <w:rPr>
          <w:rFonts w:ascii="Arial" w:hAnsi="Arial" w:cs="Arial"/>
          <w:sz w:val="24"/>
          <w:szCs w:val="24"/>
        </w:rPr>
        <w:t xml:space="preserve"> I was able to come up with the root cause for the problem</w:t>
      </w:r>
      <w:r w:rsidR="00842C4A">
        <w:rPr>
          <w:rFonts w:ascii="Arial" w:hAnsi="Arial" w:cs="Arial"/>
          <w:sz w:val="24"/>
          <w:szCs w:val="24"/>
        </w:rPr>
        <w:t>, these are the factors that directly lead to the cause of the problem. I then developed corrective and preventive actions that I could implement to stop these problems happening again. I then implemented these actions and closely monitored them to make sure they were working as expected.</w:t>
      </w:r>
      <w:bookmarkEnd w:id="14"/>
      <w:bookmarkEnd w:id="15"/>
    </w:p>
    <w:p w14:paraId="2B27E54A" w14:textId="105E7D16" w:rsidR="00842C4A" w:rsidRDefault="00842C4A" w:rsidP="00D01FC8">
      <w:pPr>
        <w:pStyle w:val="Heading1"/>
        <w:numPr>
          <w:ilvl w:val="0"/>
          <w:numId w:val="0"/>
        </w:numPr>
        <w:ind w:left="432" w:hanging="432"/>
        <w:rPr>
          <w:rFonts w:ascii="Arial" w:hAnsi="Arial" w:cs="Arial"/>
          <w:sz w:val="24"/>
          <w:szCs w:val="24"/>
        </w:rPr>
      </w:pPr>
      <w:bookmarkStart w:id="16" w:name="_Toc216028889"/>
      <w:bookmarkStart w:id="17" w:name="_Toc216029035"/>
      <w:r>
        <w:rPr>
          <w:rFonts w:ascii="Arial" w:hAnsi="Arial" w:cs="Arial"/>
          <w:sz w:val="24"/>
          <w:szCs w:val="24"/>
        </w:rPr>
        <w:t xml:space="preserve">For the first process, before implementing the changes I gave it a severity rating of </w:t>
      </w:r>
      <w:r w:rsidR="00AB51D2">
        <w:rPr>
          <w:rFonts w:ascii="Arial" w:hAnsi="Arial" w:cs="Arial"/>
          <w:sz w:val="24"/>
          <w:szCs w:val="24"/>
        </w:rPr>
        <w:t>four, which</w:t>
      </w:r>
      <w:r>
        <w:rPr>
          <w:rFonts w:ascii="Arial" w:hAnsi="Arial" w:cs="Arial"/>
          <w:sz w:val="24"/>
          <w:szCs w:val="24"/>
        </w:rPr>
        <w:t xml:space="preserve"> is justified because we have plenty of spares that we could use if one breaks</w:t>
      </w:r>
      <w:r w:rsidR="00AB51D2">
        <w:rPr>
          <w:rFonts w:ascii="Arial" w:hAnsi="Arial" w:cs="Arial"/>
          <w:sz w:val="24"/>
          <w:szCs w:val="24"/>
        </w:rPr>
        <w:t xml:space="preserve">. I also gave an occurrence rating of two as it does not happen very often. Finally, I gave it a detection rating of </w:t>
      </w:r>
      <w:r w:rsidR="00C3469A">
        <w:rPr>
          <w:rFonts w:ascii="Arial" w:hAnsi="Arial" w:cs="Arial"/>
          <w:sz w:val="24"/>
          <w:szCs w:val="24"/>
        </w:rPr>
        <w:t>fire due</w:t>
      </w:r>
      <w:r w:rsidR="00AB51D2">
        <w:rPr>
          <w:rFonts w:ascii="Arial" w:hAnsi="Arial" w:cs="Arial"/>
          <w:sz w:val="24"/>
          <w:szCs w:val="24"/>
        </w:rPr>
        <w:t xml:space="preserve"> to not being able to look at it and see its broken as its internal however, you can detect it when the motor stops moving and you give it a better analysis. Giving it a RPN of </w:t>
      </w:r>
      <w:r w:rsidR="00C3469A">
        <w:rPr>
          <w:rFonts w:ascii="Arial" w:hAnsi="Arial" w:cs="Arial"/>
          <w:sz w:val="24"/>
          <w:szCs w:val="24"/>
        </w:rPr>
        <w:t>forty</w:t>
      </w:r>
      <w:r w:rsidR="00AB51D2">
        <w:rPr>
          <w:rFonts w:ascii="Arial" w:hAnsi="Arial" w:cs="Arial"/>
          <w:sz w:val="24"/>
          <w:szCs w:val="24"/>
        </w:rPr>
        <w:t>.</w:t>
      </w:r>
      <w:r w:rsidR="00C3469A">
        <w:rPr>
          <w:rFonts w:ascii="Arial" w:hAnsi="Arial" w:cs="Arial"/>
          <w:sz w:val="24"/>
          <w:szCs w:val="24"/>
        </w:rPr>
        <w:t xml:space="preserve"> Prior to the recommended actions being implemented the RPN dropped to four as the severity stayed the same as its just as severe as before however, the occurrence and detection rating dropped to 1 as it is more likely to detect and much less common. For the second process the severity was the same as the first with a rating of four, however the occurrence rating went up to five as it happens more often. Finally, the detection rating is 3 as once the outer layers of the motor are taken off you can clearly see the damage to the gearbox. The RPN was 60. Furthermore, the same as the first problem the RPN dropped to 4 as the severity was the same but the occurrence and detection both dropped to 1.</w:t>
      </w:r>
      <w:bookmarkEnd w:id="16"/>
      <w:bookmarkEnd w:id="17"/>
    </w:p>
    <w:p w14:paraId="696840BF" w14:textId="770BB6CA" w:rsidR="001D10AA" w:rsidRDefault="00C3469A" w:rsidP="0023421C">
      <w:pPr>
        <w:pStyle w:val="Heading1"/>
        <w:numPr>
          <w:ilvl w:val="0"/>
          <w:numId w:val="0"/>
        </w:numPr>
        <w:ind w:left="432" w:hanging="432"/>
        <w:rPr>
          <w:rFonts w:ascii="Arial" w:hAnsi="Arial" w:cs="Arial"/>
          <w:sz w:val="24"/>
          <w:szCs w:val="24"/>
        </w:rPr>
      </w:pPr>
      <w:bookmarkStart w:id="18" w:name="_Toc216028890"/>
      <w:bookmarkStart w:id="19" w:name="_Toc216029036"/>
      <w:r>
        <w:rPr>
          <w:rFonts w:ascii="Arial" w:hAnsi="Arial" w:cs="Arial"/>
          <w:sz w:val="24"/>
          <w:szCs w:val="24"/>
        </w:rPr>
        <w:t>The corrective actions we mitigated to remove or delay risks was switching motor provider, which has worked much better as these motors have triple the life of the original motors and have an internal gearbox with eight times less failures. We also added torque limiters to stop the motors being overworked so the lifetime of these motors is longer.</w:t>
      </w:r>
      <w:r w:rsidR="0023421C">
        <w:rPr>
          <w:rFonts w:ascii="Arial" w:hAnsi="Arial" w:cs="Arial"/>
          <w:sz w:val="24"/>
          <w:szCs w:val="24"/>
        </w:rPr>
        <w:t xml:space="preserve"> </w:t>
      </w:r>
      <w:r w:rsidR="001D10AA">
        <w:rPr>
          <w:rFonts w:ascii="Arial" w:hAnsi="Arial" w:cs="Arial"/>
          <w:sz w:val="24"/>
          <w:szCs w:val="24"/>
        </w:rPr>
        <w:t>There are however remaining risks with these motors, as</w:t>
      </w:r>
      <w:r w:rsidR="0023421C">
        <w:rPr>
          <w:rFonts w:ascii="Arial" w:hAnsi="Arial" w:cs="Arial"/>
          <w:sz w:val="24"/>
          <w:szCs w:val="24"/>
        </w:rPr>
        <w:t xml:space="preserve"> they can still break</w:t>
      </w:r>
      <w:r w:rsidR="0031252F">
        <w:rPr>
          <w:rFonts w:ascii="Arial" w:hAnsi="Arial" w:cs="Arial"/>
          <w:sz w:val="24"/>
          <w:szCs w:val="24"/>
        </w:rPr>
        <w:t xml:space="preserve"> internally</w:t>
      </w:r>
      <w:r w:rsidR="0023421C">
        <w:rPr>
          <w:rFonts w:ascii="Arial" w:hAnsi="Arial" w:cs="Arial"/>
          <w:sz w:val="24"/>
          <w:szCs w:val="24"/>
        </w:rPr>
        <w:t xml:space="preserve"> but have a longer life than the original ones.</w:t>
      </w:r>
      <w:r w:rsidR="000A45C9">
        <w:rPr>
          <w:rFonts w:ascii="Arial" w:hAnsi="Arial" w:cs="Arial"/>
          <w:sz w:val="24"/>
          <w:szCs w:val="24"/>
        </w:rPr>
        <w:t xml:space="preserve"> </w:t>
      </w:r>
      <w:proofErr w:type="gramStart"/>
      <w:r w:rsidR="000A45C9">
        <w:rPr>
          <w:rFonts w:ascii="Arial" w:hAnsi="Arial" w:cs="Arial"/>
          <w:sz w:val="24"/>
          <w:szCs w:val="24"/>
        </w:rPr>
        <w:t>Also</w:t>
      </w:r>
      <w:proofErr w:type="gramEnd"/>
      <w:r w:rsidR="000A45C9">
        <w:rPr>
          <w:rFonts w:ascii="Arial" w:hAnsi="Arial" w:cs="Arial"/>
          <w:sz w:val="24"/>
          <w:szCs w:val="24"/>
        </w:rPr>
        <w:t xml:space="preserve"> the gearboxes can still break but </w:t>
      </w:r>
      <w:r w:rsidR="0031252F">
        <w:rPr>
          <w:rFonts w:ascii="Arial" w:hAnsi="Arial" w:cs="Arial"/>
          <w:sz w:val="24"/>
          <w:szCs w:val="24"/>
        </w:rPr>
        <w:t>it’s</w:t>
      </w:r>
      <w:r w:rsidR="000A45C9">
        <w:rPr>
          <w:rFonts w:ascii="Arial" w:hAnsi="Arial" w:cs="Arial"/>
          <w:sz w:val="24"/>
          <w:szCs w:val="24"/>
        </w:rPr>
        <w:t xml:space="preserve"> less likely to happen as they are protected inside the</w:t>
      </w:r>
      <w:r w:rsidR="0031252F">
        <w:rPr>
          <w:rFonts w:ascii="Arial" w:hAnsi="Arial" w:cs="Arial"/>
          <w:sz w:val="24"/>
          <w:szCs w:val="24"/>
        </w:rPr>
        <w:t xml:space="preserve"> external motor casing.</w:t>
      </w:r>
      <w:bookmarkEnd w:id="18"/>
      <w:bookmarkEnd w:id="19"/>
    </w:p>
    <w:p w14:paraId="4E10BE95" w14:textId="77777777" w:rsidR="0031252F" w:rsidRDefault="0031252F" w:rsidP="0023421C">
      <w:pPr>
        <w:pStyle w:val="Heading1"/>
        <w:numPr>
          <w:ilvl w:val="0"/>
          <w:numId w:val="0"/>
        </w:numPr>
        <w:ind w:left="432" w:hanging="432"/>
        <w:rPr>
          <w:rFonts w:ascii="Arial" w:hAnsi="Arial" w:cs="Arial"/>
          <w:sz w:val="24"/>
          <w:szCs w:val="24"/>
        </w:rPr>
      </w:pPr>
    </w:p>
    <w:p w14:paraId="379B6F62" w14:textId="77777777" w:rsidR="0031252F" w:rsidRPr="00014DDE" w:rsidRDefault="0031252F" w:rsidP="0023421C">
      <w:pPr>
        <w:pStyle w:val="Heading1"/>
        <w:numPr>
          <w:ilvl w:val="0"/>
          <w:numId w:val="0"/>
        </w:numPr>
        <w:ind w:left="432" w:hanging="432"/>
        <w:rPr>
          <w:rFonts w:ascii="Arial" w:hAnsi="Arial" w:cs="Arial"/>
          <w:sz w:val="24"/>
          <w:szCs w:val="24"/>
        </w:rPr>
      </w:pPr>
    </w:p>
    <w:p w14:paraId="26B16136" w14:textId="77777777" w:rsidR="00D01FC8" w:rsidRDefault="00D01FC8" w:rsidP="00D01FC8">
      <w:pPr>
        <w:pStyle w:val="Heading1"/>
        <w:numPr>
          <w:ilvl w:val="0"/>
          <w:numId w:val="0"/>
        </w:numPr>
        <w:ind w:left="432" w:hanging="432"/>
      </w:pPr>
    </w:p>
    <w:p w14:paraId="409344FF" w14:textId="77777777" w:rsidR="00D01FC8" w:rsidRDefault="00D01FC8" w:rsidP="00D01FC8">
      <w:pPr>
        <w:pStyle w:val="Heading1"/>
        <w:numPr>
          <w:ilvl w:val="0"/>
          <w:numId w:val="0"/>
        </w:numPr>
        <w:ind w:left="432" w:hanging="432"/>
      </w:pPr>
    </w:p>
    <w:p w14:paraId="3B83FB1C" w14:textId="77777777" w:rsidR="00D01FC8" w:rsidRDefault="00D01FC8" w:rsidP="00D01FC8">
      <w:pPr>
        <w:pStyle w:val="Heading1"/>
        <w:numPr>
          <w:ilvl w:val="0"/>
          <w:numId w:val="0"/>
        </w:numPr>
        <w:ind w:left="432" w:hanging="432"/>
      </w:pPr>
    </w:p>
    <w:p w14:paraId="69B61F96" w14:textId="77777777" w:rsidR="00D01FC8" w:rsidRDefault="00D01FC8" w:rsidP="00D01FC8">
      <w:pPr>
        <w:pStyle w:val="Heading1"/>
        <w:numPr>
          <w:ilvl w:val="0"/>
          <w:numId w:val="0"/>
        </w:numPr>
        <w:ind w:left="432" w:hanging="432"/>
      </w:pPr>
    </w:p>
    <w:p w14:paraId="3F1E19A5" w14:textId="7319BD1F" w:rsidR="00D01FC8" w:rsidRDefault="00D01FC8" w:rsidP="005D5309">
      <w:pPr>
        <w:pStyle w:val="Heading2"/>
      </w:pPr>
      <w:bookmarkStart w:id="20" w:name="_Toc216029037"/>
      <w:r>
        <w:t>Conclusion</w:t>
      </w:r>
      <w:bookmarkEnd w:id="20"/>
    </w:p>
    <w:p w14:paraId="55C616C3" w14:textId="51C7ED19" w:rsidR="00621068" w:rsidRDefault="0031252F" w:rsidP="00D4567E">
      <w:pPr>
        <w:pStyle w:val="Heading1"/>
        <w:numPr>
          <w:ilvl w:val="0"/>
          <w:numId w:val="0"/>
        </w:numPr>
        <w:ind w:left="432" w:hanging="432"/>
        <w:rPr>
          <w:rFonts w:ascii="Arial" w:hAnsi="Arial" w:cs="Arial"/>
          <w:sz w:val="24"/>
          <w:szCs w:val="24"/>
        </w:rPr>
      </w:pPr>
      <w:bookmarkStart w:id="21" w:name="_Toc216028892"/>
      <w:bookmarkStart w:id="22" w:name="_Toc216029038"/>
      <w:r>
        <w:rPr>
          <w:rFonts w:ascii="Arial" w:hAnsi="Arial" w:cs="Arial"/>
          <w:sz w:val="24"/>
          <w:szCs w:val="24"/>
        </w:rPr>
        <w:t xml:space="preserve">In my RCA the RPN dropped significantly </w:t>
      </w:r>
      <w:r w:rsidR="00D4567E">
        <w:rPr>
          <w:rFonts w:ascii="Arial" w:hAnsi="Arial" w:cs="Arial"/>
          <w:sz w:val="24"/>
          <w:szCs w:val="24"/>
        </w:rPr>
        <w:t xml:space="preserve">once I implemented the mitigation factor which was the new motors for both problems that I encountered with them. The </w:t>
      </w:r>
      <w:r w:rsidR="00621068">
        <w:rPr>
          <w:rFonts w:ascii="Arial" w:hAnsi="Arial" w:cs="Arial"/>
          <w:sz w:val="24"/>
          <w:szCs w:val="24"/>
        </w:rPr>
        <w:t>RCA</w:t>
      </w:r>
      <w:r w:rsidR="00D4567E">
        <w:rPr>
          <w:rFonts w:ascii="Arial" w:hAnsi="Arial" w:cs="Arial"/>
          <w:sz w:val="24"/>
          <w:szCs w:val="24"/>
        </w:rPr>
        <w:t xml:space="preserve"> was very successful in the way that it helped me find the root cause of the problem from the first issue. It helped me do this by a step-by-step process. </w:t>
      </w:r>
      <w:r w:rsidR="00D4567E">
        <w:rPr>
          <w:rFonts w:ascii="Arial" w:hAnsi="Arial" w:cs="Arial"/>
          <w:sz w:val="24"/>
          <w:szCs w:val="24"/>
        </w:rPr>
        <w:t>The strengths of my RCA are it fulfilled its purpose and did it very effectively in eliminating the problems and helping me find a way to mitigate them however</w:t>
      </w:r>
      <w:r w:rsidR="00D4567E">
        <w:rPr>
          <w:rFonts w:ascii="Arial" w:hAnsi="Arial" w:cs="Arial"/>
          <w:sz w:val="24"/>
          <w:szCs w:val="24"/>
        </w:rPr>
        <w:t xml:space="preserve"> there were also some limitations which were that it assumed each of my problems had just one single root cause where it could have had many </w:t>
      </w:r>
      <w:r w:rsidR="00621068">
        <w:rPr>
          <w:rFonts w:ascii="Arial" w:hAnsi="Arial" w:cs="Arial"/>
          <w:sz w:val="24"/>
          <w:szCs w:val="24"/>
        </w:rPr>
        <w:t>and it also could’ve made me overlook other factors such as the environment the motors were in.</w:t>
      </w:r>
      <w:bookmarkEnd w:id="21"/>
      <w:bookmarkEnd w:id="22"/>
    </w:p>
    <w:p w14:paraId="7DDFADF2" w14:textId="77777777" w:rsidR="00621068" w:rsidRDefault="00621068">
      <w:pPr>
        <w:rPr>
          <w:rFonts w:ascii="Arial" w:eastAsia="Calibri Light" w:hAnsi="Arial" w:cs="Arial"/>
          <w:sz w:val="24"/>
          <w:szCs w:val="24"/>
        </w:rPr>
      </w:pPr>
      <w:r>
        <w:rPr>
          <w:rFonts w:ascii="Arial" w:hAnsi="Arial" w:cs="Arial"/>
          <w:sz w:val="24"/>
          <w:szCs w:val="24"/>
        </w:rPr>
        <w:br w:type="page"/>
      </w:r>
    </w:p>
    <w:p w14:paraId="64D81C70" w14:textId="2621C11C" w:rsidR="00D4567E" w:rsidRPr="00632CBD" w:rsidRDefault="00621068" w:rsidP="00621068">
      <w:pPr>
        <w:pStyle w:val="Heading1"/>
        <w:rPr>
          <w:b/>
          <w:bCs/>
          <w:u w:val="single"/>
        </w:rPr>
      </w:pPr>
      <w:bookmarkStart w:id="23" w:name="_Toc216029039"/>
      <w:r w:rsidRPr="00632CBD">
        <w:rPr>
          <w:b/>
          <w:bCs/>
          <w:u w:val="single"/>
        </w:rPr>
        <w:lastRenderedPageBreak/>
        <w:t>References</w:t>
      </w:r>
      <w:bookmarkEnd w:id="23"/>
    </w:p>
    <w:p w14:paraId="0022EEDE" w14:textId="77777777" w:rsidR="00632CBD" w:rsidRDefault="00632CBD" w:rsidP="00632CBD">
      <w:pPr>
        <w:pStyle w:val="NormalWeb"/>
        <w:spacing w:before="0" w:beforeAutospacing="0" w:after="240" w:afterAutospacing="0" w:line="360" w:lineRule="auto"/>
      </w:pPr>
      <w:r>
        <w:t xml:space="preserve">Galvin, J. (2017). Critical role of risk management in ground engineering and opportunities for improvement. </w:t>
      </w:r>
      <w:r>
        <w:rPr>
          <w:i/>
          <w:iCs/>
        </w:rPr>
        <w:t>International Journal of Mining Science and Technology</w:t>
      </w:r>
      <w:r>
        <w:t xml:space="preserve">, 27(5), pp.725–731. </w:t>
      </w:r>
      <w:proofErr w:type="spellStart"/>
      <w:proofErr w:type="gramStart"/>
      <w:r>
        <w:t>doi:https</w:t>
      </w:r>
      <w:proofErr w:type="spellEnd"/>
      <w:r>
        <w:t>://doi.org/10.1016/j.ijmst.2017.07.005</w:t>
      </w:r>
      <w:proofErr w:type="gramEnd"/>
      <w:r>
        <w:t>.</w:t>
      </w:r>
    </w:p>
    <w:p w14:paraId="573264D5" w14:textId="77777777" w:rsidR="00632CBD" w:rsidRDefault="00632CBD" w:rsidP="00632CBD">
      <w:pPr>
        <w:pStyle w:val="NormalWeb"/>
        <w:spacing w:before="0" w:beforeAutospacing="0" w:after="240" w:afterAutospacing="0" w:line="360" w:lineRule="auto"/>
      </w:pPr>
      <w:r>
        <w:t xml:space="preserve">Global Immigration Help (2017). </w:t>
      </w:r>
      <w:r>
        <w:rPr>
          <w:i/>
          <w:iCs/>
        </w:rPr>
        <w:t>IMechE Code of Conduct.pdf</w:t>
      </w:r>
      <w:r>
        <w:t xml:space="preserve">. [online] </w:t>
      </w:r>
      <w:proofErr w:type="spellStart"/>
      <w:r>
        <w:t>Slideshare</w:t>
      </w:r>
      <w:proofErr w:type="spellEnd"/>
      <w:r>
        <w:t>. Available at: https://www.slideshare.net/slideshow/imeche-code-of-conductpdf/255695176#1 [Accessed 7 Dec. 2025].</w:t>
      </w:r>
    </w:p>
    <w:p w14:paraId="43532356" w14:textId="77777777" w:rsidR="00632CBD" w:rsidRDefault="00632CBD" w:rsidP="00632CBD">
      <w:pPr>
        <w:pStyle w:val="NormalWeb"/>
        <w:spacing w:before="0" w:beforeAutospacing="0" w:after="240" w:afterAutospacing="0" w:line="360" w:lineRule="auto"/>
      </w:pPr>
      <w:r>
        <w:t xml:space="preserve">Gray, A. (2018). Health legislation and policy | South African Health Review. </w:t>
      </w:r>
      <w:r>
        <w:rPr>
          <w:i/>
          <w:iCs/>
        </w:rPr>
        <w:t>South African Health Review</w:t>
      </w:r>
      <w:r>
        <w:t xml:space="preserve">. [online] </w:t>
      </w:r>
      <w:proofErr w:type="spellStart"/>
      <w:proofErr w:type="gramStart"/>
      <w:r>
        <w:t>doi:https</w:t>
      </w:r>
      <w:proofErr w:type="spellEnd"/>
      <w:r>
        <w:t>://doi.org/10.10520/EJC-144907cf6a</w:t>
      </w:r>
      <w:proofErr w:type="gramEnd"/>
      <w:r>
        <w:t>.</w:t>
      </w:r>
    </w:p>
    <w:p w14:paraId="677F67F1" w14:textId="77777777" w:rsidR="00632CBD" w:rsidRDefault="00632CBD" w:rsidP="00632CBD">
      <w:pPr>
        <w:pStyle w:val="NormalWeb"/>
        <w:spacing w:before="0" w:beforeAutospacing="0" w:after="240" w:afterAutospacing="0" w:line="360" w:lineRule="auto"/>
      </w:pPr>
      <w:r w:rsidRPr="00632CBD">
        <w:rPr>
          <w:lang w:val="it-IT"/>
        </w:rPr>
        <w:t>Lozano-</w:t>
      </w:r>
      <w:proofErr w:type="spellStart"/>
      <w:r w:rsidRPr="00632CBD">
        <w:rPr>
          <w:lang w:val="it-IT"/>
        </w:rPr>
        <w:t>Torró</w:t>
      </w:r>
      <w:proofErr w:type="spellEnd"/>
      <w:r w:rsidRPr="00632CBD">
        <w:rPr>
          <w:lang w:val="it-IT"/>
        </w:rPr>
        <w:t xml:space="preserve">, A., García-Segura, T., </w:t>
      </w:r>
      <w:proofErr w:type="spellStart"/>
      <w:r w:rsidRPr="00632CBD">
        <w:rPr>
          <w:lang w:val="it-IT"/>
        </w:rPr>
        <w:t>Montalbán</w:t>
      </w:r>
      <w:proofErr w:type="spellEnd"/>
      <w:r w:rsidRPr="00632CBD">
        <w:rPr>
          <w:lang w:val="it-IT"/>
        </w:rPr>
        <w:t xml:space="preserve">-Domingo, L. and </w:t>
      </w:r>
      <w:proofErr w:type="spellStart"/>
      <w:r w:rsidRPr="00632CBD">
        <w:rPr>
          <w:lang w:val="it-IT"/>
        </w:rPr>
        <w:t>Pellicer</w:t>
      </w:r>
      <w:proofErr w:type="spellEnd"/>
      <w:r w:rsidRPr="00632CBD">
        <w:rPr>
          <w:lang w:val="it-IT"/>
        </w:rPr>
        <w:t xml:space="preserve">, E. (2019). </w:t>
      </w:r>
      <w:r>
        <w:t xml:space="preserve">Risk Management as a Success Factor in the International Activity of Spanish Engineering. </w:t>
      </w:r>
      <w:r>
        <w:rPr>
          <w:i/>
          <w:iCs/>
        </w:rPr>
        <w:t>Administrative Sciences</w:t>
      </w:r>
      <w:r>
        <w:t xml:space="preserve">, [online] 9(1), p.15. </w:t>
      </w:r>
      <w:proofErr w:type="spellStart"/>
      <w:proofErr w:type="gramStart"/>
      <w:r>
        <w:t>doi:https</w:t>
      </w:r>
      <w:proofErr w:type="spellEnd"/>
      <w:r>
        <w:t>://doi.org/10.3390/admsci9010015</w:t>
      </w:r>
      <w:proofErr w:type="gramEnd"/>
      <w:r>
        <w:t>.</w:t>
      </w:r>
    </w:p>
    <w:p w14:paraId="1DC37041" w14:textId="77777777" w:rsidR="00632CBD" w:rsidRDefault="00632CBD" w:rsidP="00632CBD">
      <w:pPr>
        <w:pStyle w:val="NormalWeb"/>
        <w:spacing w:before="0" w:beforeAutospacing="0" w:after="240" w:afterAutospacing="0" w:line="360" w:lineRule="auto"/>
      </w:pPr>
      <w:proofErr w:type="spellStart"/>
      <w:r>
        <w:t>Oduoza</w:t>
      </w:r>
      <w:proofErr w:type="spellEnd"/>
      <w:r>
        <w:t xml:space="preserve">, C.F. (2020). Framework for Sustainable Risk Management in the Manufacturing Sector. </w:t>
      </w:r>
      <w:r>
        <w:rPr>
          <w:i/>
          <w:iCs/>
        </w:rPr>
        <w:t>Procedia Manufacturing</w:t>
      </w:r>
      <w:r>
        <w:t xml:space="preserve">, [online] 51(1), pp.1290–1297. </w:t>
      </w:r>
      <w:proofErr w:type="spellStart"/>
      <w:proofErr w:type="gramStart"/>
      <w:r>
        <w:t>doi:https</w:t>
      </w:r>
      <w:proofErr w:type="spellEnd"/>
      <w:r>
        <w:t>://doi.org/10.1016/j.promfg.2020.10.180</w:t>
      </w:r>
      <w:proofErr w:type="gramEnd"/>
      <w:r>
        <w:t>.</w:t>
      </w:r>
    </w:p>
    <w:p w14:paraId="6DB63012" w14:textId="77777777" w:rsidR="00632CBD" w:rsidRDefault="00632CBD" w:rsidP="00632CBD">
      <w:pPr>
        <w:pStyle w:val="NormalWeb"/>
        <w:spacing w:before="0" w:beforeAutospacing="0" w:after="240" w:afterAutospacing="0" w:line="360" w:lineRule="auto"/>
      </w:pPr>
      <w:r>
        <w:t xml:space="preserve">Ostrom, L.T. and Wilhelmsen, C.A. (2012). </w:t>
      </w:r>
      <w:r>
        <w:rPr>
          <w:i/>
          <w:iCs/>
        </w:rPr>
        <w:t xml:space="preserve">Risk </w:t>
      </w:r>
      <w:proofErr w:type="gramStart"/>
      <w:r>
        <w:rPr>
          <w:i/>
          <w:iCs/>
        </w:rPr>
        <w:t>assessment :</w:t>
      </w:r>
      <w:proofErr w:type="gramEnd"/>
      <w:r>
        <w:rPr>
          <w:i/>
          <w:iCs/>
        </w:rPr>
        <w:t xml:space="preserve"> tools, techniques, and their applications</w:t>
      </w:r>
      <w:r>
        <w:t>. Hoboken, New Jersey: Wiley.</w:t>
      </w:r>
    </w:p>
    <w:p w14:paraId="015F272B" w14:textId="77777777" w:rsidR="00632CBD" w:rsidRDefault="00632CBD" w:rsidP="00632CBD">
      <w:pPr>
        <w:pStyle w:val="NormalWeb"/>
        <w:spacing w:before="0" w:beforeAutospacing="0" w:after="240" w:afterAutospacing="0" w:line="360" w:lineRule="auto"/>
      </w:pPr>
      <w:r>
        <w:t xml:space="preserve">ResearchGate (2024). </w:t>
      </w:r>
      <w:proofErr w:type="spellStart"/>
      <w:r>
        <w:rPr>
          <w:i/>
          <w:iCs/>
        </w:rPr>
        <w:t>Researchgate</w:t>
      </w:r>
      <w:proofErr w:type="spellEnd"/>
      <w:r>
        <w:t>. [online] ResearchGate. Available at: https://www.researchgate.net.</w:t>
      </w:r>
    </w:p>
    <w:p w14:paraId="3A6E3D37" w14:textId="77777777" w:rsidR="00632CBD" w:rsidRDefault="00632CBD" w:rsidP="00632CBD">
      <w:pPr>
        <w:pStyle w:val="NormalWeb"/>
        <w:spacing w:before="0" w:beforeAutospacing="0" w:after="240" w:afterAutospacing="0" w:line="360" w:lineRule="auto"/>
      </w:pPr>
      <w:r w:rsidRPr="00632CBD">
        <w:rPr>
          <w:lang w:val="it-IT"/>
        </w:rPr>
        <w:t xml:space="preserve">Rivera </w:t>
      </w:r>
      <w:proofErr w:type="spellStart"/>
      <w:r w:rsidRPr="00632CBD">
        <w:rPr>
          <w:lang w:val="it-IT"/>
        </w:rPr>
        <w:t>Domínguez</w:t>
      </w:r>
      <w:proofErr w:type="spellEnd"/>
      <w:r w:rsidRPr="00632CBD">
        <w:rPr>
          <w:lang w:val="it-IT"/>
        </w:rPr>
        <w:t xml:space="preserve">, C., Eduardo </w:t>
      </w:r>
      <w:proofErr w:type="spellStart"/>
      <w:r w:rsidRPr="00632CBD">
        <w:rPr>
          <w:lang w:val="it-IT"/>
        </w:rPr>
        <w:t>Ramírez</w:t>
      </w:r>
      <w:proofErr w:type="spellEnd"/>
      <w:r w:rsidRPr="00632CBD">
        <w:rPr>
          <w:lang w:val="it-IT"/>
        </w:rPr>
        <w:t xml:space="preserve"> </w:t>
      </w:r>
      <w:proofErr w:type="spellStart"/>
      <w:r w:rsidRPr="00632CBD">
        <w:rPr>
          <w:lang w:val="it-IT"/>
        </w:rPr>
        <w:t>Guadian</w:t>
      </w:r>
      <w:proofErr w:type="spellEnd"/>
      <w:r w:rsidRPr="00632CBD">
        <w:rPr>
          <w:lang w:val="it-IT"/>
        </w:rPr>
        <w:t xml:space="preserve">, J., Guerrero Lona, J. and Ivette </w:t>
      </w:r>
      <w:proofErr w:type="spellStart"/>
      <w:r w:rsidRPr="00632CBD">
        <w:rPr>
          <w:lang w:val="it-IT"/>
        </w:rPr>
        <w:t>Pozos</w:t>
      </w:r>
      <w:proofErr w:type="spellEnd"/>
      <w:r w:rsidRPr="00632CBD">
        <w:rPr>
          <w:lang w:val="it-IT"/>
        </w:rPr>
        <w:t xml:space="preserve"> Mares, J. (2023). </w:t>
      </w:r>
      <w:r>
        <w:t xml:space="preserve">Hazard identification for risk assessment using the PRA technique in the automotive industry. </w:t>
      </w:r>
      <w:r>
        <w:rPr>
          <w:i/>
          <w:iCs/>
        </w:rPr>
        <w:t>Safety Science</w:t>
      </w:r>
      <w:r>
        <w:t xml:space="preserve">, 160, p.106041. </w:t>
      </w:r>
      <w:proofErr w:type="spellStart"/>
      <w:proofErr w:type="gramStart"/>
      <w:r>
        <w:t>doi:https</w:t>
      </w:r>
      <w:proofErr w:type="spellEnd"/>
      <w:r>
        <w:t>://doi.org/10.1016/j.ssci.2022.106041</w:t>
      </w:r>
      <w:proofErr w:type="gramEnd"/>
      <w:r>
        <w:t>.</w:t>
      </w:r>
    </w:p>
    <w:p w14:paraId="322F4159" w14:textId="77777777" w:rsidR="00632CBD" w:rsidRDefault="00632CBD" w:rsidP="00632CBD">
      <w:pPr>
        <w:pStyle w:val="NormalWeb"/>
        <w:spacing w:before="0" w:beforeAutospacing="0" w:after="240" w:afterAutospacing="0" w:line="360" w:lineRule="auto"/>
      </w:pPr>
      <w:r>
        <w:t xml:space="preserve">Tampubolon, J. (2019). </w:t>
      </w:r>
      <w:r>
        <w:rPr>
          <w:i/>
          <w:iCs/>
        </w:rPr>
        <w:t>RCA Analysis with Selected Products to Enhance Prediction Power of Competitiveness</w:t>
      </w:r>
      <w:r>
        <w:t>. [online] Ssrn.com. Available at: https://papers.ssrn.com/sol3/papers.cfm?abstract_id=3594965.</w:t>
      </w:r>
    </w:p>
    <w:p w14:paraId="0906ACD9" w14:textId="77777777" w:rsidR="00621068" w:rsidRPr="00632CBD" w:rsidRDefault="00621068" w:rsidP="00D4567E">
      <w:pPr>
        <w:pStyle w:val="Heading1"/>
        <w:numPr>
          <w:ilvl w:val="0"/>
          <w:numId w:val="0"/>
        </w:numPr>
        <w:ind w:left="432" w:hanging="432"/>
        <w:rPr>
          <w:rFonts w:ascii="Arial" w:hAnsi="Arial" w:cs="Arial"/>
          <w:sz w:val="24"/>
          <w:szCs w:val="24"/>
          <w:lang w:val="en-GB"/>
        </w:rPr>
      </w:pPr>
    </w:p>
    <w:p w14:paraId="1349B397" w14:textId="77777777" w:rsidR="00D01FC8" w:rsidRDefault="00D01FC8" w:rsidP="00632CBD">
      <w:pPr>
        <w:pStyle w:val="Heading1"/>
        <w:numPr>
          <w:ilvl w:val="0"/>
          <w:numId w:val="0"/>
        </w:numPr>
      </w:pPr>
    </w:p>
    <w:p w14:paraId="2365FEF4" w14:textId="77777777" w:rsidR="00D01FC8" w:rsidRDefault="00D01FC8" w:rsidP="00D01FC8">
      <w:pPr>
        <w:pStyle w:val="Heading1"/>
        <w:numPr>
          <w:ilvl w:val="0"/>
          <w:numId w:val="0"/>
        </w:numPr>
        <w:ind w:left="432" w:hanging="432"/>
      </w:pPr>
    </w:p>
    <w:p w14:paraId="6AFBF544" w14:textId="77777777" w:rsidR="00D01FC8" w:rsidRPr="005D5309" w:rsidRDefault="00D01FC8" w:rsidP="00D01FC8">
      <w:pPr>
        <w:pStyle w:val="Heading1"/>
        <w:numPr>
          <w:ilvl w:val="0"/>
          <w:numId w:val="0"/>
        </w:numPr>
        <w:ind w:left="432" w:hanging="432"/>
      </w:pPr>
    </w:p>
    <w:sectPr w:rsidR="00D01FC8" w:rsidRPr="005D5309">
      <w:headerReference w:type="even" r:id="rId14"/>
      <w:headerReference w:type="default" r:id="rId15"/>
      <w:footerReference w:type="even" r:id="rId16"/>
      <w:footerReference w:type="default" r:id="rId17"/>
      <w:headerReference w:type="first" r:id="rId18"/>
      <w:footerReference w:type="first" r:id="rId19"/>
      <w:pgSz w:w="11910" w:h="16840"/>
      <w:pgMar w:top="1400" w:right="1320" w:bottom="1200" w:left="1340" w:header="0" w:footer="100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1D27B" w14:textId="77777777" w:rsidR="00203FE2" w:rsidRDefault="00203FE2">
      <w:r>
        <w:separator/>
      </w:r>
    </w:p>
  </w:endnote>
  <w:endnote w:type="continuationSeparator" w:id="0">
    <w:p w14:paraId="1A41D27D" w14:textId="77777777" w:rsidR="00203FE2" w:rsidRDefault="00203F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9A8BC" w14:textId="77777777" w:rsidR="004E7A56" w:rsidRDefault="004E7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1D276" w14:textId="77777777" w:rsidR="002F233B" w:rsidRDefault="00203FE2">
    <w:pPr>
      <w:pStyle w:val="BodyText"/>
      <w:spacing w:line="14" w:lineRule="auto"/>
      <w:rPr>
        <w:sz w:val="20"/>
      </w:rPr>
    </w:pPr>
    <w:r>
      <w:rPr>
        <w:noProof/>
      </w:rPr>
      <mc:AlternateContent>
        <mc:Choice Requires="wps">
          <w:drawing>
            <wp:anchor distT="0" distB="0" distL="0" distR="0" simplePos="0" relativeHeight="251658240" behindDoc="1" locked="0" layoutInCell="1" allowOverlap="1" wp14:anchorId="1A41D277" wp14:editId="1A41D278">
              <wp:simplePos x="0" y="0"/>
              <wp:positionH relativeFrom="page">
                <wp:posOffset>6493002</wp:posOffset>
              </wp:positionH>
              <wp:positionV relativeFrom="page">
                <wp:posOffset>9917379</wp:posOffset>
              </wp:positionV>
              <wp:extent cx="2070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7010" cy="165735"/>
                      </a:xfrm>
                      <a:prstGeom prst="rect">
                        <a:avLst/>
                      </a:prstGeom>
                    </wps:spPr>
                    <wps:txbx>
                      <w:txbxContent>
                        <w:p w14:paraId="1A41D279" w14:textId="77777777" w:rsidR="002F233B" w:rsidRDefault="00203FE2">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1A41D277" id="_x0000_t202" coordsize="21600,21600" o:spt="202" path="m,l,21600r21600,l21600,xe">
              <v:stroke joinstyle="miter"/>
              <v:path gradientshapeok="t" o:connecttype="rect"/>
            </v:shapetype>
            <v:shape id="Textbox 1" o:spid="_x0000_s1026" type="#_x0000_t202" style="position:absolute;margin-left:511.25pt;margin-top:780.9pt;width:16.3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" filled="f" stroked="f">
              <v:textbox inset="0,0,0,0">
                <w:txbxContent>
                  <w:p w14:paraId="1A41D279" w14:textId="77777777" w:rsidR="002F233B" w:rsidRDefault="00203FE2">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0149A" w14:textId="77777777" w:rsidR="004E7A56" w:rsidRDefault="004E7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1D277" w14:textId="77777777" w:rsidR="00203FE2" w:rsidRDefault="00203FE2">
      <w:r>
        <w:separator/>
      </w:r>
    </w:p>
  </w:footnote>
  <w:footnote w:type="continuationSeparator" w:id="0">
    <w:p w14:paraId="1A41D279" w14:textId="77777777" w:rsidR="00203FE2" w:rsidRDefault="00203F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CF3D2" w14:textId="77777777" w:rsidR="004E7A56" w:rsidRDefault="004E7A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CB94F" w14:textId="2A35567D" w:rsidR="004E7A56" w:rsidRDefault="004E7A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9AA01" w14:textId="77777777" w:rsidR="004E7A56" w:rsidRDefault="004E7A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1" w15:restartNumberingAfterBreak="0">
    <w:nsid w:val="35426A18"/>
    <w:multiLevelType w:val="multilevel"/>
    <w:tmpl w:val="206C278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num w:numId="1" w16cid:durableId="1609115179">
    <w:abstractNumId w:val="2"/>
  </w:num>
  <w:num w:numId="2" w16cid:durableId="942616893">
    <w:abstractNumId w:val="0"/>
  </w:num>
  <w:num w:numId="3" w16cid:durableId="1804418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3B"/>
    <w:rsid w:val="00014DDE"/>
    <w:rsid w:val="000A157E"/>
    <w:rsid w:val="000A45C9"/>
    <w:rsid w:val="001C040D"/>
    <w:rsid w:val="001D10AA"/>
    <w:rsid w:val="001E2635"/>
    <w:rsid w:val="00203FE2"/>
    <w:rsid w:val="0023421C"/>
    <w:rsid w:val="00242F52"/>
    <w:rsid w:val="00294577"/>
    <w:rsid w:val="002F233B"/>
    <w:rsid w:val="0031252F"/>
    <w:rsid w:val="00402047"/>
    <w:rsid w:val="004124DF"/>
    <w:rsid w:val="004124FB"/>
    <w:rsid w:val="0044198E"/>
    <w:rsid w:val="004B5959"/>
    <w:rsid w:val="004E7A56"/>
    <w:rsid w:val="005356F9"/>
    <w:rsid w:val="0056017E"/>
    <w:rsid w:val="00587B82"/>
    <w:rsid w:val="005D00AD"/>
    <w:rsid w:val="005D5309"/>
    <w:rsid w:val="00621068"/>
    <w:rsid w:val="00632CBD"/>
    <w:rsid w:val="006579A4"/>
    <w:rsid w:val="00690241"/>
    <w:rsid w:val="00823F48"/>
    <w:rsid w:val="00824BCB"/>
    <w:rsid w:val="00842C4A"/>
    <w:rsid w:val="008600E0"/>
    <w:rsid w:val="00872405"/>
    <w:rsid w:val="008C5F76"/>
    <w:rsid w:val="008E6F2D"/>
    <w:rsid w:val="0096311A"/>
    <w:rsid w:val="00980870"/>
    <w:rsid w:val="00A30053"/>
    <w:rsid w:val="00A34105"/>
    <w:rsid w:val="00AB51D2"/>
    <w:rsid w:val="00AC56A8"/>
    <w:rsid w:val="00AC62AB"/>
    <w:rsid w:val="00B12337"/>
    <w:rsid w:val="00BF0151"/>
    <w:rsid w:val="00BF28CB"/>
    <w:rsid w:val="00C3469A"/>
    <w:rsid w:val="00C55C6C"/>
    <w:rsid w:val="00D01FC8"/>
    <w:rsid w:val="00D4567E"/>
    <w:rsid w:val="00DB2B13"/>
    <w:rsid w:val="00DC0E79"/>
    <w:rsid w:val="00E775B2"/>
    <w:rsid w:val="00E96239"/>
    <w:rsid w:val="00EC0010"/>
    <w:rsid w:val="00F46498"/>
    <w:rsid w:val="00FF4B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41D172"/>
  <w15:docId w15:val="{82565A1F-F435-457A-B088-8B3D8003F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numPr>
        <w:numId w:val="3"/>
      </w:numPr>
      <w:spacing w:before="22"/>
      <w:outlineLvl w:val="0"/>
    </w:pPr>
    <w:rPr>
      <w:rFonts w:ascii="Calibri Light" w:eastAsia="Calibri Light" w:hAnsi="Calibri Light" w:cs="Calibri Light"/>
      <w:sz w:val="32"/>
      <w:szCs w:val="32"/>
    </w:rPr>
  </w:style>
  <w:style w:type="paragraph" w:styleId="Heading2">
    <w:name w:val="heading 2"/>
    <w:basedOn w:val="Normal"/>
    <w:uiPriority w:val="9"/>
    <w:unhideWhenUsed/>
    <w:qFormat/>
    <w:pPr>
      <w:numPr>
        <w:ilvl w:val="1"/>
        <w:numId w:val="3"/>
      </w:numPr>
      <w:ind w:right="168"/>
      <w:outlineLvl w:val="1"/>
    </w:pPr>
    <w:rPr>
      <w:b/>
      <w:bCs/>
      <w:sz w:val="28"/>
      <w:szCs w:val="28"/>
    </w:rPr>
  </w:style>
  <w:style w:type="paragraph" w:styleId="Heading3">
    <w:name w:val="heading 3"/>
    <w:basedOn w:val="Normal"/>
    <w:uiPriority w:val="9"/>
    <w:unhideWhenUsed/>
    <w:qFormat/>
    <w:pPr>
      <w:numPr>
        <w:ilvl w:val="2"/>
        <w:numId w:val="3"/>
      </w:numPr>
      <w:spacing w:before="355"/>
      <w:ind w:right="23"/>
      <w:jc w:val="center"/>
      <w:outlineLvl w:val="2"/>
    </w:pPr>
    <w:rPr>
      <w:b/>
      <w:bCs/>
      <w:sz w:val="24"/>
      <w:szCs w:val="24"/>
    </w:rPr>
  </w:style>
  <w:style w:type="paragraph" w:styleId="Heading4">
    <w:name w:val="heading 4"/>
    <w:basedOn w:val="Normal"/>
    <w:uiPriority w:val="9"/>
    <w:unhideWhenUsed/>
    <w:qFormat/>
    <w:pPr>
      <w:numPr>
        <w:ilvl w:val="3"/>
        <w:numId w:val="3"/>
      </w:numPr>
      <w:spacing w:before="135"/>
      <w:outlineLvl w:val="3"/>
    </w:pPr>
    <w:rPr>
      <w:b/>
      <w:bCs/>
    </w:rPr>
  </w:style>
  <w:style w:type="paragraph" w:styleId="Heading5">
    <w:name w:val="heading 5"/>
    <w:basedOn w:val="Normal"/>
    <w:next w:val="Normal"/>
    <w:link w:val="Heading5Char"/>
    <w:uiPriority w:val="9"/>
    <w:semiHidden/>
    <w:unhideWhenUsed/>
    <w:qFormat/>
    <w:rsid w:val="005D5309"/>
    <w:pPr>
      <w:keepNext/>
      <w:keepLines/>
      <w:numPr>
        <w:ilvl w:val="4"/>
        <w:numId w:val="3"/>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D5309"/>
    <w:pPr>
      <w:keepNext/>
      <w:keepLines/>
      <w:numPr>
        <w:ilvl w:val="5"/>
        <w:numId w:val="3"/>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D5309"/>
    <w:pPr>
      <w:keepNext/>
      <w:keepLines/>
      <w:numPr>
        <w:ilvl w:val="6"/>
        <w:numId w:val="3"/>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D5309"/>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5309"/>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5"/>
      <w:ind w:left="539" w:hanging="439"/>
    </w:pPr>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customStyle="1" w:styleId="HeaderChar">
    <w:name w:val="Header Char"/>
    <w:basedOn w:val="DefaultParagraphFont"/>
    <w:link w:val="Header"/>
    <w:uiPriority w:val="99"/>
    <w:rsid w:val="00824BCB"/>
    <w:rPr>
      <w:rFonts w:ascii="Calibri" w:eastAsia="Calibri" w:hAnsi="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customStyle="1" w:styleId="FooterChar">
    <w:name w:val="Footer Char"/>
    <w:basedOn w:val="DefaultParagraphFont"/>
    <w:link w:val="Footer"/>
    <w:uiPriority w:val="99"/>
    <w:rsid w:val="00824BCB"/>
    <w:rPr>
      <w:rFonts w:ascii="Calibri" w:eastAsia="Calibri" w:hAnsi="Calibri" w:cs="Calibri"/>
    </w:rPr>
  </w:style>
  <w:style w:type="character" w:customStyle="1" w:styleId="Heading5Char">
    <w:name w:val="Heading 5 Char"/>
    <w:basedOn w:val="DefaultParagraphFont"/>
    <w:link w:val="Heading5"/>
    <w:uiPriority w:val="9"/>
    <w:semiHidden/>
    <w:rsid w:val="005D5309"/>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5D5309"/>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5D5309"/>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5D530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530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D5309"/>
    <w:pPr>
      <w:keepNext/>
      <w:keepLines/>
      <w:numPr>
        <w:numId w:val="0"/>
      </w:numPr>
      <w:spacing w:before="240" w:line="259" w:lineRule="auto"/>
      <w:outlineLvl w:val="9"/>
    </w:pPr>
    <w:rPr>
      <w:rFonts w:asciiTheme="majorHAnsi" w:eastAsiaTheme="majorEastAsia" w:hAnsiTheme="majorHAnsi" w:cstheme="majorBidi"/>
      <w:color w:val="365F91" w:themeColor="accent1" w:themeShade="BF"/>
    </w:rPr>
  </w:style>
  <w:style w:type="paragraph" w:styleId="TOC3">
    <w:name w:val="toc 3"/>
    <w:basedOn w:val="Normal"/>
    <w:next w:val="Normal"/>
    <w:autoRedefine/>
    <w:uiPriority w:val="39"/>
    <w:unhideWhenUsed/>
    <w:rsid w:val="005D5309"/>
    <w:pPr>
      <w:spacing w:after="100"/>
      <w:ind w:left="440"/>
    </w:pPr>
  </w:style>
  <w:style w:type="paragraph" w:styleId="TOC2">
    <w:name w:val="toc 2"/>
    <w:basedOn w:val="Normal"/>
    <w:next w:val="Normal"/>
    <w:autoRedefine/>
    <w:uiPriority w:val="39"/>
    <w:unhideWhenUsed/>
    <w:rsid w:val="005D5309"/>
    <w:pPr>
      <w:spacing w:after="100"/>
      <w:ind w:left="220"/>
    </w:pPr>
  </w:style>
  <w:style w:type="character" w:styleId="Hyperlink">
    <w:name w:val="Hyperlink"/>
    <w:basedOn w:val="DefaultParagraphFont"/>
    <w:uiPriority w:val="99"/>
    <w:unhideWhenUsed/>
    <w:rsid w:val="005D5309"/>
    <w:rPr>
      <w:color w:val="0000FF" w:themeColor="hyperlink"/>
      <w:u w:val="single"/>
    </w:rPr>
  </w:style>
  <w:style w:type="paragraph" w:styleId="NormalWeb">
    <w:name w:val="Normal (Web)"/>
    <w:basedOn w:val="Normal"/>
    <w:uiPriority w:val="99"/>
    <w:semiHidden/>
    <w:unhideWhenUsed/>
    <w:rsid w:val="00632CB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7ace9db9-6fa9-4ee8-8786-0f97f964f6c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9A80D6DED8A544FBF168598CF7EFFA4" ma:contentTypeVersion="1" ma:contentTypeDescription="Create a new document." ma:contentTypeScope="" ma:versionID="e1ee5b2c6939c3270b56b39f8a452c8b">
  <xsd:schema xmlns:xsd="http://www.w3.org/2001/XMLSchema" xmlns:xs="http://www.w3.org/2001/XMLSchema" xmlns:p="http://schemas.microsoft.com/office/2006/metadata/properties" xmlns:ns2="7ace9db9-6fa9-4ee8-8786-0f97f964f6c6" targetNamespace="http://schemas.microsoft.com/office/2006/metadata/properties" ma:root="true" ma:fieldsID="61ab5dee18ad7b9802d6b9c030340b45" ns2:_="">
    <xsd:import namespace="7ace9db9-6fa9-4ee8-8786-0f97f964f6c6"/>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e9db9-6fa9-4ee8-8786-0f97f964f6c6"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B6426-2FF3-421A-B783-23ED89A95530}">
  <ds:schemaRefs>
    <ds:schemaRef ds:uri="http://purl.org/dc/dcmitype/"/>
    <ds:schemaRef ds:uri="7ace9db9-6fa9-4ee8-8786-0f97f964f6c6"/>
    <ds:schemaRef ds:uri="http://schemas.microsoft.com/office/infopath/2007/PartnerControls"/>
    <ds:schemaRef ds:uri="http://schemas.microsoft.com/office/2006/documentManagement/types"/>
    <ds:schemaRef ds:uri="http://purl.org/dc/elements/1.1/"/>
    <ds:schemaRef ds:uri="http://www.w3.org/XML/1998/namespace"/>
    <ds:schemaRef ds:uri="http://schemas.microsoft.com/office/2006/metadata/properties"/>
    <ds:schemaRef ds:uri="http://purl.org/dc/terms/"/>
    <ds:schemaRef ds:uri="http://schemas.openxmlformats.org/package/2006/metadata/core-properties"/>
  </ds:schemaRefs>
</ds:datastoreItem>
</file>

<file path=customXml/itemProps2.xml><?xml version="1.0" encoding="utf-8"?>
<ds:datastoreItem xmlns:ds="http://schemas.openxmlformats.org/officeDocument/2006/customXml" ds:itemID="{2BF957C4-1989-4474-B4D1-5F336A53A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e9db9-6fa9-4ee8-8786-0f97f964f6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1FB733-A5E0-4F3F-B927-196CB0063B95}">
  <ds:schemaRefs>
    <ds:schemaRef ds:uri="http://schemas.openxmlformats.org/officeDocument/2006/bibliography"/>
  </ds:schemaRefs>
</ds:datastoreItem>
</file>

<file path=customXml/itemProps4.xml><?xml version="1.0" encoding="utf-8"?>
<ds:datastoreItem xmlns:ds="http://schemas.openxmlformats.org/officeDocument/2006/customXml" ds:itemID="{192579AA-7B52-4EBF-9081-D1E728D11C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1976</Words>
  <Characters>10586</Characters>
  <Application>Microsoft Office Word</Application>
  <DocSecurity>0</DocSecurity>
  <Lines>233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John Alexander Noble</dc:creator>
  <cp:lastModifiedBy>Lucas Kenny</cp:lastModifiedBy>
  <cp:revision>5</cp:revision>
  <dcterms:created xsi:type="dcterms:W3CDTF">2025-12-07T19:59:00Z</dcterms:created>
  <dcterms:modified xsi:type="dcterms:W3CDTF">2025-12-07T20:01:00Z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0x01010049A80D6DED8A544FBF168598CF7EFFA4</vt:lpwstr>
  </property>
  <property fmtid="{D5CDD505-2E9C-101B-9397-08002B2CF9AE}" pid="7" name="MSIP_Label_defa4170-0d19-0005-0004-bc88714345d2_Enabled">
    <vt:lpwstr>true</vt:lpwstr>
  </property>
  <property fmtid="{D5CDD505-2E9C-101B-9397-08002B2CF9AE}" pid="8" name="MSIP_Label_defa4170-0d19-0005-0004-bc88714345d2_SetDate">
    <vt:lpwstr>2025-12-07T19:59:45Z</vt:lpwstr>
  </property>
  <property fmtid="{D5CDD505-2E9C-101B-9397-08002B2CF9AE}" pid="9" name="MSIP_Label_defa4170-0d19-0005-0004-bc88714345d2_Method">
    <vt:lpwstr>Standard</vt:lpwstr>
  </property>
  <property fmtid="{D5CDD505-2E9C-101B-9397-08002B2CF9AE}" pid="10" name="MSIP_Label_defa4170-0d19-0005-0004-bc88714345d2_Name">
    <vt:lpwstr>defa4170-0d19-0005-0004-bc88714345d2</vt:lpwstr>
  </property>
  <property fmtid="{D5CDD505-2E9C-101B-9397-08002B2CF9AE}" pid="11" name="MSIP_Label_defa4170-0d19-0005-0004-bc88714345d2_SiteId">
    <vt:lpwstr>ccab82e2-05ba-4bb8-8a94-7c2bab30376c</vt:lpwstr>
  </property>
  <property fmtid="{D5CDD505-2E9C-101B-9397-08002B2CF9AE}" pid="12" name="MSIP_Label_defa4170-0d19-0005-0004-bc88714345d2_ActionId">
    <vt:lpwstr>aef07069-2d90-453c-88d2-7e1e4c2df5db</vt:lpwstr>
  </property>
  <property fmtid="{D5CDD505-2E9C-101B-9397-08002B2CF9AE}" pid="13" name="MSIP_Label_defa4170-0d19-0005-0004-bc88714345d2_ContentBits">
    <vt:lpwstr>0</vt:lpwstr>
  </property>
  <property fmtid="{D5CDD505-2E9C-101B-9397-08002B2CF9AE}" pid="14" name="MSIP_Label_defa4170-0d19-0005-0004-bc88714345d2_Tag">
    <vt:lpwstr>10, 3, 0, 1</vt:lpwstr>
  </property>
</Properties>
</file>