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881780167"/>
        <w:docPartObj>
          <w:docPartGallery w:val="Cover Pages"/>
          <w:docPartUnique/>
        </w:docPartObj>
      </w:sdtPr>
      <w:sdtContent>
        <w:p w:rsidR="009A1853" w:rsidRDefault="009A1853"/>
        <w:p w:rsidR="009A1853" w:rsidRDefault="009A1853"/>
        <w:p w:rsidR="009A1853" w:rsidRDefault="009A1853"/>
        <w:p w:rsidR="009A1853" w:rsidRDefault="009A1853"/>
        <w:p w:rsidR="009A1853" w:rsidRDefault="009A1853"/>
        <w:p w:rsidR="009A1853" w:rsidRDefault="009A1853"/>
        <w:p w:rsidR="009A1853" w:rsidRDefault="009A1853"/>
        <w:p w:rsidR="009A1853" w:rsidRDefault="009A1853"/>
        <w:p w:rsidR="009A1853" w:rsidRDefault="009A1853"/>
        <w:p w:rsidR="009A1853" w:rsidRDefault="009A1853"/>
        <w:p w:rsidR="009A1853" w:rsidRDefault="004B6DB0">
          <w:r w:rsidRPr="004B6DB0">
            <w:rPr>
              <w:noProof/>
            </w:rPr>
            <w:pict>
              <v:shapetype id="_x0000_t202" coordsize="21600,21600" o:spt="202" path="m,l,21600r21600,l21600,xe">
                <v:stroke joinstyle="miter"/>
                <v:path gradientshapeok="t" o:connecttype="rect"/>
              </v:shapetype>
              <v:shape id="Text Box 131" o:spid="_x0000_s1026" type="#_x0000_t202" style="position:absolute;margin-left:0;margin-top:308.15pt;width:369pt;height:529.2pt;z-index:251660288;visibility:visible;mso-width-percent:790;mso-height-percent:350;mso-wrap-distance-left:14.4pt;mso-wrap-distance-right:14.4pt;mso-position-horizontal:center;mso-position-horizontal-relative:margin;mso-position-vertical-relative:page;mso-width-percent:790;mso-height-percent:35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" filled="f" stroked="f" strokeweight=".5pt">
                <v:textbox style="mso-fit-shape-to-text:t" inset="0,0,0,0">
                  <w:txbxContent>
                    <w:p w:rsidR="005A64AA" w:rsidRDefault="005A64AA" w:rsidP="005A64AA">
                      <w:pPr>
                        <w:jc w:val="center"/>
                        <w:rPr>
                          <w:rFonts w:ascii="Arial Black" w:hAnsi="Arial Black"/>
                          <w:b/>
                          <w:sz w:val="44"/>
                          <w:szCs w:val="44"/>
                        </w:rPr>
                      </w:pPr>
                      <w:r>
                        <w:rPr>
                          <w:rFonts w:ascii="Arial Black" w:hAnsi="Arial Black"/>
                          <w:b/>
                          <w:sz w:val="44"/>
                          <w:szCs w:val="44"/>
                        </w:rPr>
                        <w:t xml:space="preserve">Business Report </w:t>
                      </w:r>
                    </w:p>
                    <w:p w:rsidR="009A1853" w:rsidRPr="005A64AA" w:rsidRDefault="005A64AA" w:rsidP="005A64AA">
                      <w:pPr>
                        <w:jc w:val="center"/>
                        <w:rPr>
                          <w:rFonts w:ascii="Arial Black" w:hAnsi="Arial Black"/>
                          <w:b/>
                          <w:sz w:val="44"/>
                          <w:szCs w:val="44"/>
                        </w:rPr>
                      </w:pPr>
                      <w:r w:rsidRPr="005A64AA">
                        <w:rPr>
                          <w:rFonts w:ascii="Arial Black" w:hAnsi="Arial Black"/>
                          <w:b/>
                          <w:sz w:val="44"/>
                          <w:szCs w:val="44"/>
                        </w:rPr>
                        <w:t xml:space="preserve"> Comparison of Two Hospitality Organisations</w:t>
                      </w:r>
                    </w:p>
                  </w:txbxContent>
                </v:textbox>
                <w10:wrap type="square" anchorx="margin" anchory="page"/>
              </v:shape>
            </w:pict>
          </w:r>
        </w:p>
        <w:p w:rsidR="009A1853" w:rsidRDefault="009A1853"/>
        <w:p w:rsidR="009A1853" w:rsidRDefault="009A1853"/>
        <w:p w:rsidR="009A1853" w:rsidRDefault="009A1853"/>
        <w:p w:rsidR="009A1853" w:rsidRDefault="009A1853"/>
        <w:p w:rsidR="009A1853" w:rsidRDefault="009A1853"/>
        <w:p w:rsidR="009A1853" w:rsidRDefault="009A1853"/>
        <w:p w:rsidR="009A1853" w:rsidRDefault="009A1853"/>
        <w:p w:rsidR="009A1853" w:rsidRDefault="009A1853"/>
        <w:p w:rsidR="009A1853" w:rsidRDefault="009A1853"/>
        <w:p w:rsidR="009A1853" w:rsidRDefault="009A1853"/>
        <w:p w:rsidR="009A1853" w:rsidRDefault="009A1853"/>
        <w:p w:rsidR="00AA6D9E" w:rsidRPr="005A64AA" w:rsidRDefault="005A64AA" w:rsidP="00E643A7">
          <w:pPr>
            <w:pStyle w:val="NoSpacing"/>
            <w:framePr w:w="5746" w:hSpace="180" w:wrap="around" w:vAnchor="text" w:hAnchor="page" w:x="2942" w:y="327"/>
            <w:spacing w:line="360" w:lineRule="auto"/>
            <w:jc w:val="center"/>
            <w:rPr>
              <w:rFonts w:ascii="Arial" w:hAnsi="Arial" w:cs="Arial"/>
              <w:b/>
              <w:sz w:val="24"/>
              <w:szCs w:val="24"/>
            </w:rPr>
          </w:pPr>
          <w:r w:rsidRPr="005A64AA">
            <w:rPr>
              <w:rFonts w:ascii="Arial" w:hAnsi="Arial" w:cs="Arial"/>
              <w:b/>
              <w:sz w:val="24"/>
              <w:szCs w:val="24"/>
            </w:rPr>
            <w:t>Financial Management for the Hotel Industry</w:t>
          </w:r>
        </w:p>
        <w:p w:rsidR="00E643A7" w:rsidRPr="005A64AA" w:rsidRDefault="005A64AA" w:rsidP="00E643A7">
          <w:pPr>
            <w:pStyle w:val="NoSpacing"/>
            <w:framePr w:w="5746" w:hSpace="180" w:wrap="around" w:vAnchor="text" w:hAnchor="page" w:x="2942" w:y="327"/>
            <w:spacing w:line="360" w:lineRule="auto"/>
            <w:jc w:val="center"/>
            <w:rPr>
              <w:rFonts w:ascii="Arial" w:hAnsi="Arial" w:cs="Arial"/>
              <w:b/>
              <w:bCs/>
              <w:sz w:val="24"/>
              <w:szCs w:val="24"/>
            </w:rPr>
          </w:pPr>
          <w:r>
            <w:rPr>
              <w:rFonts w:ascii="Arial" w:hAnsi="Arial" w:cs="Arial"/>
              <w:b/>
              <w:bCs/>
              <w:sz w:val="24"/>
              <w:szCs w:val="24"/>
            </w:rPr>
            <w:t>BMIH5007</w:t>
          </w:r>
        </w:p>
        <w:p w:rsidR="00E643A7" w:rsidRPr="005A64AA" w:rsidRDefault="005A64AA" w:rsidP="00E643A7">
          <w:pPr>
            <w:pStyle w:val="NoSpacing"/>
            <w:framePr w:w="5746" w:hSpace="180" w:wrap="around" w:vAnchor="text" w:hAnchor="page" w:x="2942" w:y="327"/>
            <w:spacing w:line="360" w:lineRule="auto"/>
            <w:jc w:val="center"/>
            <w:rPr>
              <w:rFonts w:ascii="Arial" w:hAnsi="Arial" w:cs="Arial"/>
              <w:b/>
              <w:bCs/>
              <w:sz w:val="24"/>
              <w:szCs w:val="24"/>
            </w:rPr>
          </w:pPr>
          <w:r w:rsidRPr="005A64AA">
            <w:rPr>
              <w:rFonts w:ascii="Arial" w:hAnsi="Arial" w:cs="Arial"/>
              <w:b/>
              <w:bCs/>
              <w:sz w:val="24"/>
              <w:szCs w:val="24"/>
            </w:rPr>
            <w:t xml:space="preserve">Lecturer: </w:t>
          </w:r>
          <w:r w:rsidRPr="005A64AA">
            <w:rPr>
              <w:rFonts w:ascii="Arial" w:hAnsi="Arial" w:cs="Arial"/>
              <w:b/>
              <w:sz w:val="24"/>
              <w:szCs w:val="24"/>
            </w:rPr>
            <w:t>Tristan Hawkins</w:t>
          </w:r>
        </w:p>
        <w:p w:rsidR="009A1853" w:rsidRPr="00AA6D9E" w:rsidRDefault="009A1853" w:rsidP="00E643A7">
          <w:pPr>
            <w:pStyle w:val="NoSpacing"/>
            <w:framePr w:w="5746" w:hSpace="180" w:wrap="around" w:vAnchor="text" w:hAnchor="page" w:x="2942" w:y="327"/>
            <w:spacing w:line="360" w:lineRule="auto"/>
            <w:jc w:val="center"/>
            <w:rPr>
              <w:rFonts w:ascii="Arial" w:hAnsi="Arial" w:cs="Arial"/>
              <w:b/>
              <w:sz w:val="24"/>
              <w:szCs w:val="24"/>
            </w:rPr>
          </w:pPr>
          <w:r w:rsidRPr="00AA6D9E">
            <w:rPr>
              <w:rFonts w:ascii="Arial" w:hAnsi="Arial" w:cs="Arial"/>
              <w:b/>
              <w:sz w:val="24"/>
              <w:szCs w:val="24"/>
            </w:rPr>
            <w:t xml:space="preserve">Student name: </w:t>
          </w:r>
          <w:proofErr w:type="spellStart"/>
          <w:r w:rsidR="001D6CC5" w:rsidRPr="00AA6D9E">
            <w:rPr>
              <w:rFonts w:ascii="Arial" w:hAnsi="Arial" w:cs="Arial"/>
              <w:b/>
              <w:sz w:val="24"/>
              <w:szCs w:val="24"/>
            </w:rPr>
            <w:t>Florica</w:t>
          </w:r>
          <w:proofErr w:type="spellEnd"/>
          <w:r w:rsidR="00DA2DF5" w:rsidRPr="00AA6D9E">
            <w:rPr>
              <w:rFonts w:ascii="Arial" w:hAnsi="Arial" w:cs="Arial"/>
              <w:b/>
              <w:sz w:val="24"/>
              <w:szCs w:val="24"/>
            </w:rPr>
            <w:t xml:space="preserve"> </w:t>
          </w:r>
          <w:proofErr w:type="spellStart"/>
          <w:r w:rsidRPr="00AA6D9E">
            <w:rPr>
              <w:rFonts w:ascii="Arial" w:hAnsi="Arial" w:cs="Arial"/>
              <w:b/>
              <w:sz w:val="24"/>
              <w:szCs w:val="24"/>
            </w:rPr>
            <w:t>Ana</w:t>
          </w:r>
          <w:r w:rsidR="001D6CC5" w:rsidRPr="00AA6D9E">
            <w:rPr>
              <w:rFonts w:ascii="Arial" w:hAnsi="Arial" w:cs="Arial"/>
              <w:b/>
              <w:sz w:val="24"/>
              <w:szCs w:val="24"/>
            </w:rPr>
            <w:t>m</w:t>
          </w:r>
          <w:r w:rsidRPr="00AA6D9E">
            <w:rPr>
              <w:rFonts w:ascii="Arial" w:hAnsi="Arial" w:cs="Arial"/>
              <w:b/>
              <w:sz w:val="24"/>
              <w:szCs w:val="24"/>
            </w:rPr>
            <w:t>aria</w:t>
          </w:r>
          <w:proofErr w:type="spellEnd"/>
          <w:r w:rsidRPr="00AA6D9E">
            <w:rPr>
              <w:rFonts w:ascii="Arial" w:hAnsi="Arial" w:cs="Arial"/>
              <w:b/>
              <w:sz w:val="24"/>
              <w:szCs w:val="24"/>
            </w:rPr>
            <w:t xml:space="preserve"> </w:t>
          </w:r>
          <w:proofErr w:type="spellStart"/>
          <w:r w:rsidRPr="00AA6D9E">
            <w:rPr>
              <w:rFonts w:ascii="Arial" w:hAnsi="Arial" w:cs="Arial"/>
              <w:b/>
              <w:sz w:val="24"/>
              <w:szCs w:val="24"/>
            </w:rPr>
            <w:t>Ciuta</w:t>
          </w:r>
          <w:proofErr w:type="spellEnd"/>
        </w:p>
        <w:p w:rsidR="009A1853" w:rsidRPr="00AA6D9E" w:rsidRDefault="009A1853" w:rsidP="00E643A7">
          <w:pPr>
            <w:pStyle w:val="NoSpacing"/>
            <w:framePr w:w="5746" w:hSpace="180" w:wrap="around" w:vAnchor="text" w:hAnchor="page" w:x="2942" w:y="327"/>
            <w:spacing w:line="360" w:lineRule="auto"/>
            <w:jc w:val="center"/>
            <w:rPr>
              <w:rFonts w:ascii="Arial" w:hAnsi="Arial" w:cs="Arial"/>
              <w:b/>
              <w:sz w:val="24"/>
              <w:szCs w:val="24"/>
            </w:rPr>
          </w:pPr>
          <w:r w:rsidRPr="00AA6D9E">
            <w:rPr>
              <w:rFonts w:ascii="Arial" w:hAnsi="Arial" w:cs="Arial"/>
              <w:b/>
              <w:sz w:val="24"/>
              <w:szCs w:val="24"/>
            </w:rPr>
            <w:t>Student ID: 22</w:t>
          </w:r>
          <w:r w:rsidR="00483EE8" w:rsidRPr="00AA6D9E">
            <w:rPr>
              <w:rFonts w:ascii="Arial" w:hAnsi="Arial" w:cs="Arial"/>
              <w:b/>
              <w:sz w:val="24"/>
              <w:szCs w:val="24"/>
            </w:rPr>
            <w:t>43597</w:t>
          </w:r>
        </w:p>
        <w:p w:rsidR="009A1853" w:rsidRPr="00FB7EA3" w:rsidRDefault="009A1853" w:rsidP="009A1853">
          <w:pPr>
            <w:pStyle w:val="NoSpacing"/>
            <w:framePr w:w="5746" w:hSpace="180" w:wrap="around" w:vAnchor="text" w:hAnchor="page" w:x="2942" w:y="327"/>
            <w:spacing w:line="360" w:lineRule="auto"/>
            <w:rPr>
              <w:rFonts w:ascii="Arial" w:hAnsi="Arial" w:cs="Arial"/>
              <w:b/>
              <w:sz w:val="24"/>
              <w:szCs w:val="24"/>
            </w:rPr>
          </w:pPr>
        </w:p>
        <w:p w:rsidR="009A1853" w:rsidRDefault="009A1853"/>
        <w:p w:rsidR="009A1853" w:rsidRDefault="009A1853"/>
        <w:p w:rsidR="009A1853" w:rsidRDefault="009A1853"/>
        <w:p w:rsidR="009A1853" w:rsidRDefault="009A1853" w:rsidP="009A1853"/>
        <w:p w:rsidR="009A1853" w:rsidRDefault="009A1853"/>
        <w:p w:rsidR="009A1853" w:rsidRDefault="004B6DB0">
          <w:r w:rsidRPr="004B6DB0">
            <w:rPr>
              <w:noProof/>
            </w:rPr>
            <w:pict>
              <v:rect id="Rectangle 132" o:spid="_x0000_s1027" style="position:absolute;margin-left:56.8pt;margin-top:0;width:46.8pt;height:77.75pt;z-index:251659264;visibility:visible;mso-width-percent:76;mso-height-percent:98;mso-top-percent:23;mso-position-horizontal:right;mso-position-horizontal-relative:margin;mso-position-vertical-relative:page;mso-width-percent:76;mso-height-percent:98;mso-top-percent:23;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rsidR="009A1853" w:rsidRDefault="009A1853">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w:r>
        </w:p>
        <w:p w:rsidR="009A1853" w:rsidRDefault="009A1853"/>
        <w:p w:rsidR="009A1853" w:rsidRDefault="009A1853"/>
        <w:p w:rsidR="009A1853" w:rsidRDefault="004B6DB0"/>
      </w:sdtContent>
    </w:sdt>
    <w:p w:rsidR="004436EA" w:rsidRDefault="009B56C6" w:rsidP="00713B12">
      <w:pPr>
        <w:spacing w:line="360" w:lineRule="auto"/>
        <w:jc w:val="both"/>
        <w:rPr>
          <w:rFonts w:ascii="Arial" w:hAnsi="Arial" w:cs="Arial"/>
          <w:sz w:val="24"/>
          <w:szCs w:val="24"/>
        </w:rPr>
      </w:pPr>
      <w:r w:rsidRPr="00692449">
        <w:rPr>
          <w:rFonts w:ascii="Arial" w:hAnsi="Arial" w:cs="Arial"/>
          <w:sz w:val="24"/>
          <w:szCs w:val="24"/>
        </w:rPr>
        <w:lastRenderedPageBreak/>
        <w:t>Acknowledgement for AI</w:t>
      </w:r>
    </w:p>
    <w:p w:rsidR="00991F8A" w:rsidRPr="00692449" w:rsidRDefault="00991F8A" w:rsidP="00713B12">
      <w:pPr>
        <w:spacing w:line="360" w:lineRule="auto"/>
        <w:jc w:val="both"/>
        <w:rPr>
          <w:rFonts w:ascii="Arial" w:hAnsi="Arial" w:cs="Arial"/>
          <w:sz w:val="24"/>
          <w:szCs w:val="24"/>
        </w:rPr>
      </w:pPr>
    </w:p>
    <w:p w:rsidR="00FB14D6" w:rsidRPr="00692449" w:rsidRDefault="00FB14D6" w:rsidP="00713B12">
      <w:pPr>
        <w:spacing w:line="360" w:lineRule="auto"/>
        <w:jc w:val="both"/>
        <w:rPr>
          <w:rFonts w:ascii="Arial" w:hAnsi="Arial" w:cs="Arial"/>
          <w:sz w:val="24"/>
          <w:szCs w:val="24"/>
        </w:rPr>
      </w:pPr>
      <w:r w:rsidRPr="00692449">
        <w:rPr>
          <w:rFonts w:ascii="Arial" w:hAnsi="Arial" w:cs="Arial"/>
          <w:sz w:val="24"/>
          <w:szCs w:val="24"/>
        </w:rPr>
        <w:t xml:space="preserve">I acknowledge the use of Gemini (https://gemini.google.com/) on 10-12.October 2024 to </w:t>
      </w:r>
      <w:r w:rsidR="00DC372F">
        <w:rPr>
          <w:rFonts w:ascii="Arial" w:hAnsi="Arial" w:cs="Arial"/>
          <w:sz w:val="24"/>
          <w:szCs w:val="24"/>
        </w:rPr>
        <w:t>create a structure for my report</w:t>
      </w:r>
      <w:r w:rsidRPr="00692449">
        <w:rPr>
          <w:rFonts w:ascii="Arial" w:hAnsi="Arial" w:cs="Arial"/>
          <w:sz w:val="24"/>
          <w:szCs w:val="24"/>
        </w:rPr>
        <w:t xml:space="preserve"> using the prompt(s):</w:t>
      </w:r>
    </w:p>
    <w:p w:rsidR="00FB14D6" w:rsidRPr="00692449" w:rsidRDefault="00FB14D6" w:rsidP="00713B12">
      <w:pPr>
        <w:pStyle w:val="ListParagraph"/>
        <w:numPr>
          <w:ilvl w:val="0"/>
          <w:numId w:val="1"/>
        </w:numPr>
        <w:spacing w:line="360" w:lineRule="auto"/>
        <w:jc w:val="both"/>
        <w:rPr>
          <w:rFonts w:ascii="Arial" w:hAnsi="Arial" w:cs="Arial"/>
          <w:sz w:val="24"/>
          <w:szCs w:val="24"/>
        </w:rPr>
      </w:pPr>
      <w:r w:rsidRPr="00692449">
        <w:rPr>
          <w:rFonts w:ascii="Arial" w:hAnsi="Arial" w:cs="Arial"/>
          <w:sz w:val="24"/>
          <w:szCs w:val="24"/>
        </w:rPr>
        <w:t xml:space="preserve">Please create a structure for my </w:t>
      </w:r>
      <w:r w:rsidR="000E104B" w:rsidRPr="00692449">
        <w:rPr>
          <w:rFonts w:ascii="Arial" w:hAnsi="Arial" w:cs="Arial"/>
          <w:sz w:val="24"/>
          <w:szCs w:val="24"/>
        </w:rPr>
        <w:t>report</w:t>
      </w:r>
      <w:r w:rsidRPr="00692449">
        <w:rPr>
          <w:rFonts w:ascii="Arial" w:hAnsi="Arial" w:cs="Arial"/>
          <w:sz w:val="24"/>
          <w:szCs w:val="24"/>
        </w:rPr>
        <w:t>.</w:t>
      </w:r>
    </w:p>
    <w:p w:rsidR="00FB14D6" w:rsidRPr="00692449" w:rsidRDefault="00FB14D6" w:rsidP="00713B12">
      <w:pPr>
        <w:spacing w:line="360" w:lineRule="auto"/>
        <w:jc w:val="both"/>
        <w:rPr>
          <w:rFonts w:ascii="Arial" w:hAnsi="Arial" w:cs="Arial"/>
          <w:sz w:val="24"/>
          <w:szCs w:val="24"/>
        </w:rPr>
      </w:pPr>
    </w:p>
    <w:p w:rsidR="009B56C6" w:rsidRPr="00692449" w:rsidRDefault="004436EA" w:rsidP="00713B12">
      <w:pPr>
        <w:spacing w:line="360" w:lineRule="auto"/>
        <w:jc w:val="both"/>
        <w:rPr>
          <w:rFonts w:ascii="Arial" w:hAnsi="Arial" w:cs="Arial"/>
          <w:sz w:val="24"/>
          <w:szCs w:val="24"/>
        </w:rPr>
      </w:pPr>
      <w:r w:rsidRPr="00692449">
        <w:rPr>
          <w:rFonts w:ascii="Arial" w:hAnsi="Arial" w:cs="Arial"/>
          <w:sz w:val="24"/>
          <w:szCs w:val="24"/>
        </w:rPr>
        <w:t xml:space="preserve">I acknowledge the use of </w:t>
      </w:r>
      <w:proofErr w:type="spellStart"/>
      <w:r w:rsidRPr="00692449">
        <w:rPr>
          <w:rFonts w:ascii="Arial" w:hAnsi="Arial" w:cs="Arial"/>
          <w:sz w:val="24"/>
          <w:szCs w:val="24"/>
        </w:rPr>
        <w:t>Grammarly</w:t>
      </w:r>
      <w:proofErr w:type="spellEnd"/>
      <w:r w:rsidRPr="00692449">
        <w:rPr>
          <w:rFonts w:ascii="Arial" w:hAnsi="Arial" w:cs="Arial"/>
          <w:sz w:val="24"/>
          <w:szCs w:val="24"/>
        </w:rPr>
        <w:t xml:space="preserve"> (ht</w:t>
      </w:r>
      <w:r w:rsidR="009B56C6" w:rsidRPr="00692449">
        <w:rPr>
          <w:rFonts w:ascii="Arial" w:hAnsi="Arial" w:cs="Arial"/>
          <w:sz w:val="24"/>
          <w:szCs w:val="24"/>
        </w:rPr>
        <w:t>tps://www.grammarly.com/) on 12.October</w:t>
      </w:r>
      <w:r w:rsidRPr="00692449">
        <w:rPr>
          <w:rFonts w:ascii="Arial" w:hAnsi="Arial" w:cs="Arial"/>
          <w:sz w:val="24"/>
          <w:szCs w:val="24"/>
        </w:rPr>
        <w:t xml:space="preserve"> 2024 to check my work using the prompt(s):</w:t>
      </w:r>
    </w:p>
    <w:p w:rsidR="009B56C6" w:rsidRPr="00692449" w:rsidRDefault="00FB14D6" w:rsidP="00713B12">
      <w:pPr>
        <w:pStyle w:val="ListParagraph"/>
        <w:numPr>
          <w:ilvl w:val="0"/>
          <w:numId w:val="1"/>
        </w:numPr>
        <w:spacing w:line="360" w:lineRule="auto"/>
        <w:jc w:val="both"/>
        <w:rPr>
          <w:rFonts w:ascii="Arial" w:hAnsi="Arial" w:cs="Arial"/>
          <w:sz w:val="24"/>
          <w:szCs w:val="24"/>
        </w:rPr>
      </w:pPr>
      <w:r w:rsidRPr="00692449">
        <w:rPr>
          <w:rFonts w:ascii="Arial" w:hAnsi="Arial" w:cs="Arial"/>
          <w:sz w:val="24"/>
          <w:szCs w:val="24"/>
        </w:rPr>
        <w:t xml:space="preserve"> </w:t>
      </w:r>
      <w:r w:rsidR="004436EA" w:rsidRPr="00692449">
        <w:rPr>
          <w:rFonts w:ascii="Arial" w:hAnsi="Arial" w:cs="Arial"/>
          <w:sz w:val="24"/>
          <w:szCs w:val="24"/>
        </w:rPr>
        <w:t xml:space="preserve">Please check the </w:t>
      </w:r>
      <w:r w:rsidR="009B56C6" w:rsidRPr="00692449">
        <w:rPr>
          <w:rFonts w:ascii="Arial" w:hAnsi="Arial" w:cs="Arial"/>
          <w:sz w:val="24"/>
          <w:szCs w:val="24"/>
        </w:rPr>
        <w:t>below text for correct grammar</w:t>
      </w:r>
      <w:r w:rsidR="004436EA" w:rsidRPr="00692449">
        <w:rPr>
          <w:rFonts w:ascii="Arial" w:hAnsi="Arial" w:cs="Arial"/>
          <w:sz w:val="24"/>
          <w:szCs w:val="24"/>
        </w:rPr>
        <w:t xml:space="preserve">. </w:t>
      </w:r>
    </w:p>
    <w:p w:rsidR="009B56C6" w:rsidRPr="00692449" w:rsidRDefault="009B56C6" w:rsidP="00713B12">
      <w:pPr>
        <w:pStyle w:val="ListParagraph"/>
        <w:numPr>
          <w:ilvl w:val="0"/>
          <w:numId w:val="1"/>
        </w:numPr>
        <w:spacing w:line="360" w:lineRule="auto"/>
        <w:jc w:val="both"/>
        <w:rPr>
          <w:rFonts w:ascii="Arial" w:hAnsi="Arial" w:cs="Arial"/>
          <w:sz w:val="24"/>
          <w:szCs w:val="24"/>
        </w:rPr>
      </w:pPr>
      <w:r w:rsidRPr="00692449">
        <w:rPr>
          <w:rFonts w:ascii="Arial" w:hAnsi="Arial" w:cs="Arial"/>
          <w:sz w:val="24"/>
          <w:szCs w:val="24"/>
        </w:rPr>
        <w:t>Please make sure that the text below is understandable.</w:t>
      </w:r>
    </w:p>
    <w:p w:rsidR="00FB14D6" w:rsidRPr="00692449" w:rsidRDefault="00FB14D6" w:rsidP="00713B12">
      <w:pPr>
        <w:pStyle w:val="ListParagraph"/>
        <w:spacing w:line="360" w:lineRule="auto"/>
        <w:jc w:val="both"/>
        <w:rPr>
          <w:rFonts w:ascii="Arial" w:hAnsi="Arial" w:cs="Arial"/>
          <w:sz w:val="24"/>
          <w:szCs w:val="24"/>
        </w:rPr>
      </w:pPr>
    </w:p>
    <w:p w:rsidR="001366C3" w:rsidRPr="00692449" w:rsidRDefault="001366C3" w:rsidP="00713B12">
      <w:pPr>
        <w:spacing w:line="360" w:lineRule="auto"/>
        <w:jc w:val="both"/>
        <w:rPr>
          <w:rFonts w:ascii="Arial" w:hAnsi="Arial" w:cs="Arial"/>
          <w:sz w:val="24"/>
          <w:szCs w:val="24"/>
        </w:rPr>
      </w:pPr>
      <w:r w:rsidRPr="00692449">
        <w:rPr>
          <w:rFonts w:ascii="Arial" w:hAnsi="Arial" w:cs="Arial"/>
          <w:sz w:val="24"/>
          <w:szCs w:val="24"/>
        </w:rPr>
        <w:t xml:space="preserve">I acknowledge the use of </w:t>
      </w:r>
      <w:proofErr w:type="spellStart"/>
      <w:r w:rsidRPr="00692449">
        <w:rPr>
          <w:rFonts w:ascii="Arial" w:hAnsi="Arial" w:cs="Arial"/>
          <w:sz w:val="24"/>
          <w:szCs w:val="24"/>
        </w:rPr>
        <w:t>Quillbot</w:t>
      </w:r>
      <w:proofErr w:type="spellEnd"/>
      <w:r w:rsidRPr="00692449">
        <w:rPr>
          <w:rFonts w:ascii="Arial" w:hAnsi="Arial" w:cs="Arial"/>
          <w:sz w:val="24"/>
          <w:szCs w:val="24"/>
        </w:rPr>
        <w:t xml:space="preserve"> (https://quillbot.com/) on 12-14.October 2024 to check my work using the prompt(s): </w:t>
      </w:r>
    </w:p>
    <w:p w:rsidR="001366C3" w:rsidRPr="00692449" w:rsidRDefault="001366C3" w:rsidP="00713B12">
      <w:pPr>
        <w:pStyle w:val="ListParagraph"/>
        <w:numPr>
          <w:ilvl w:val="0"/>
          <w:numId w:val="2"/>
        </w:numPr>
        <w:spacing w:line="360" w:lineRule="auto"/>
        <w:jc w:val="both"/>
        <w:rPr>
          <w:rFonts w:ascii="Arial" w:hAnsi="Arial" w:cs="Arial"/>
          <w:sz w:val="24"/>
          <w:szCs w:val="24"/>
        </w:rPr>
      </w:pPr>
      <w:r w:rsidRPr="00692449">
        <w:rPr>
          <w:rFonts w:ascii="Arial" w:hAnsi="Arial" w:cs="Arial"/>
          <w:sz w:val="24"/>
          <w:szCs w:val="24"/>
        </w:rPr>
        <w:t>Paraphrase.</w:t>
      </w:r>
    </w:p>
    <w:p w:rsidR="00FB14D6" w:rsidRPr="00692449" w:rsidRDefault="00FB14D6" w:rsidP="00713B12">
      <w:pPr>
        <w:pStyle w:val="ListParagraph"/>
        <w:spacing w:line="360" w:lineRule="auto"/>
        <w:jc w:val="both"/>
        <w:rPr>
          <w:rFonts w:ascii="Arial" w:hAnsi="Arial" w:cs="Arial"/>
          <w:sz w:val="24"/>
          <w:szCs w:val="24"/>
        </w:rPr>
      </w:pPr>
      <w:r w:rsidRPr="00692449">
        <w:rPr>
          <w:rFonts w:ascii="Arial" w:hAnsi="Arial" w:cs="Arial"/>
          <w:sz w:val="24"/>
          <w:szCs w:val="24"/>
        </w:rPr>
        <w:br/>
      </w:r>
    </w:p>
    <w:p w:rsidR="00FB14D6" w:rsidRPr="00692449" w:rsidRDefault="00FB14D6" w:rsidP="00713B12">
      <w:pPr>
        <w:spacing w:line="360" w:lineRule="auto"/>
        <w:jc w:val="both"/>
        <w:rPr>
          <w:rFonts w:ascii="Arial" w:hAnsi="Arial" w:cs="Arial"/>
          <w:sz w:val="24"/>
          <w:szCs w:val="24"/>
        </w:rPr>
      </w:pPr>
      <w:r w:rsidRPr="00692449">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rsidR="00FB14D6" w:rsidRPr="00692449" w:rsidRDefault="00FB14D6" w:rsidP="00353499">
      <w:pPr>
        <w:spacing w:line="360" w:lineRule="auto"/>
        <w:ind w:left="360"/>
        <w:rPr>
          <w:rFonts w:ascii="Arial" w:hAnsi="Arial" w:cs="Arial"/>
          <w:sz w:val="24"/>
          <w:szCs w:val="24"/>
        </w:rPr>
      </w:pPr>
    </w:p>
    <w:p w:rsidR="001366C3" w:rsidRDefault="001366C3" w:rsidP="00353499">
      <w:pPr>
        <w:spacing w:line="360" w:lineRule="auto"/>
      </w:pPr>
    </w:p>
    <w:p w:rsidR="001366C3" w:rsidRDefault="001366C3" w:rsidP="00353499">
      <w:pPr>
        <w:pStyle w:val="ListParagraph"/>
        <w:spacing w:line="360" w:lineRule="auto"/>
      </w:pPr>
    </w:p>
    <w:p w:rsidR="001366C3" w:rsidRDefault="001366C3" w:rsidP="00353499">
      <w:pPr>
        <w:spacing w:line="360" w:lineRule="auto"/>
      </w:pPr>
    </w:p>
    <w:p w:rsidR="001366C3" w:rsidRDefault="001366C3" w:rsidP="00353499">
      <w:pPr>
        <w:spacing w:line="360" w:lineRule="auto"/>
      </w:pPr>
      <w:r>
        <w:t xml:space="preserve">         </w:t>
      </w:r>
    </w:p>
    <w:p w:rsidR="001366C3" w:rsidRDefault="001366C3" w:rsidP="00353499">
      <w:pPr>
        <w:spacing w:line="360" w:lineRule="auto"/>
      </w:pPr>
    </w:p>
    <w:p w:rsidR="000073B8" w:rsidRDefault="000073B8" w:rsidP="00353499">
      <w:pPr>
        <w:spacing w:line="360" w:lineRule="auto"/>
      </w:pPr>
    </w:p>
    <w:p w:rsidR="00353499" w:rsidRDefault="00353499" w:rsidP="00353499">
      <w:pPr>
        <w:spacing w:line="360" w:lineRule="auto"/>
      </w:pPr>
    </w:p>
    <w:p w:rsidR="000073B8" w:rsidRPr="000073B8" w:rsidRDefault="000073B8" w:rsidP="00353499">
      <w:pPr>
        <w:spacing w:line="360" w:lineRule="auto"/>
        <w:jc w:val="both"/>
        <w:rPr>
          <w:rFonts w:ascii="Arial" w:hAnsi="Arial" w:cs="Arial"/>
          <w:color w:val="000000" w:themeColor="text1"/>
          <w:sz w:val="24"/>
          <w:szCs w:val="24"/>
        </w:rPr>
      </w:pPr>
      <w:r w:rsidRPr="000073B8">
        <w:rPr>
          <w:rFonts w:ascii="Arial" w:hAnsi="Arial" w:cs="Arial"/>
          <w:color w:val="000000" w:themeColor="text1"/>
          <w:sz w:val="24"/>
          <w:szCs w:val="24"/>
        </w:rPr>
        <w:lastRenderedPageBreak/>
        <w:t>(Words 1916)</w:t>
      </w:r>
    </w:p>
    <w:p w:rsidR="000073B8" w:rsidRPr="000073B8" w:rsidRDefault="000073B8" w:rsidP="00353499">
      <w:pPr>
        <w:spacing w:line="360" w:lineRule="auto"/>
        <w:jc w:val="both"/>
        <w:rPr>
          <w:rFonts w:ascii="Arial" w:hAnsi="Arial" w:cs="Arial"/>
          <w:color w:val="000000" w:themeColor="text1"/>
          <w:sz w:val="24"/>
          <w:szCs w:val="24"/>
        </w:rPr>
      </w:pPr>
      <w:r w:rsidRPr="000073B8">
        <w:rPr>
          <w:rFonts w:ascii="Arial" w:hAnsi="Arial" w:cs="Arial"/>
          <w:color w:val="000000" w:themeColor="text1"/>
          <w:sz w:val="24"/>
          <w:szCs w:val="24"/>
        </w:rPr>
        <w:t>The hospitality industry is highly dynamic, offering a variety of services that cater to both luxury and budget-conscious guests. It is an essential part of the global economy, adapting constantly to shifts in consumer preferences and travel patterns. Shangri-La Hotels, a leader in the luxury segment, operates high-end properties worldwide, delivering premium services to guests seeking exclusive experiences</w:t>
      </w:r>
      <w:r w:rsidR="00ED25B9" w:rsidRPr="00ED25B9">
        <w:rPr>
          <w:rFonts w:ascii="Arial" w:hAnsi="Arial" w:cs="Arial"/>
          <w:color w:val="000000" w:themeColor="text1"/>
          <w:sz w:val="24"/>
          <w:szCs w:val="24"/>
        </w:rPr>
        <w:t xml:space="preserve"> </w:t>
      </w:r>
      <w:r w:rsidR="00ED25B9" w:rsidRPr="000073B8">
        <w:rPr>
          <w:rFonts w:ascii="Arial" w:hAnsi="Arial" w:cs="Arial"/>
          <w:color w:val="000000" w:themeColor="text1"/>
          <w:sz w:val="24"/>
          <w:szCs w:val="24"/>
        </w:rPr>
        <w:t>Shangri-La</w:t>
      </w:r>
      <w:r w:rsidR="00ED25B9">
        <w:rPr>
          <w:rFonts w:ascii="Arial" w:hAnsi="Arial" w:cs="Arial"/>
          <w:color w:val="000000" w:themeColor="text1"/>
          <w:sz w:val="24"/>
          <w:szCs w:val="24"/>
        </w:rPr>
        <w:t xml:space="preserve"> Hotels, 2024</w:t>
      </w:r>
      <w:r w:rsidR="00ED25B9" w:rsidRPr="000073B8">
        <w:rPr>
          <w:rFonts w:ascii="Arial" w:hAnsi="Arial" w:cs="Arial"/>
          <w:color w:val="000000" w:themeColor="text1"/>
          <w:sz w:val="24"/>
          <w:szCs w:val="24"/>
        </w:rPr>
        <w:t>).</w:t>
      </w:r>
      <w:r w:rsidRPr="000073B8">
        <w:rPr>
          <w:rFonts w:ascii="Arial" w:hAnsi="Arial" w:cs="Arial"/>
          <w:color w:val="000000" w:themeColor="text1"/>
          <w:sz w:val="24"/>
          <w:szCs w:val="24"/>
        </w:rPr>
        <w:t>In contrast, Premier Inn</w:t>
      </w:r>
      <w:r w:rsidR="00DA7893">
        <w:rPr>
          <w:rFonts w:ascii="Arial" w:hAnsi="Arial" w:cs="Arial"/>
          <w:color w:val="000000" w:themeColor="text1"/>
          <w:sz w:val="24"/>
          <w:szCs w:val="24"/>
        </w:rPr>
        <w:t xml:space="preserve"> </w:t>
      </w:r>
      <w:r w:rsidRPr="000073B8">
        <w:rPr>
          <w:rFonts w:ascii="Arial" w:hAnsi="Arial" w:cs="Arial"/>
          <w:color w:val="000000" w:themeColor="text1"/>
          <w:sz w:val="24"/>
          <w:szCs w:val="24"/>
        </w:rPr>
        <w:t>dominates the UK’s budget hotel sector, providing affordable s</w:t>
      </w:r>
      <w:r w:rsidR="00DA7893">
        <w:rPr>
          <w:rFonts w:ascii="Arial" w:hAnsi="Arial" w:cs="Arial"/>
          <w:color w:val="000000" w:themeColor="text1"/>
          <w:sz w:val="24"/>
          <w:szCs w:val="24"/>
        </w:rPr>
        <w:t>tays primarily for leisure</w:t>
      </w:r>
      <w:r w:rsidR="003945B1">
        <w:rPr>
          <w:rFonts w:ascii="Arial" w:hAnsi="Arial" w:cs="Arial"/>
          <w:color w:val="000000" w:themeColor="text1"/>
          <w:sz w:val="24"/>
          <w:szCs w:val="24"/>
        </w:rPr>
        <w:t xml:space="preserve"> and business </w:t>
      </w:r>
      <w:r w:rsidR="00ED25B9">
        <w:rPr>
          <w:rFonts w:ascii="Arial" w:hAnsi="Arial" w:cs="Arial"/>
          <w:color w:val="000000" w:themeColor="text1"/>
          <w:sz w:val="24"/>
          <w:szCs w:val="24"/>
        </w:rPr>
        <w:t>guests (</w:t>
      </w:r>
      <w:r w:rsidR="00DA7893" w:rsidRPr="00DA7893">
        <w:rPr>
          <w:rFonts w:ascii="Arial" w:hAnsi="Arial" w:cs="Arial"/>
          <w:color w:val="000000" w:themeColor="text1"/>
          <w:sz w:val="24"/>
          <w:szCs w:val="24"/>
        </w:rPr>
        <w:t xml:space="preserve"> </w:t>
      </w:r>
      <w:r w:rsidR="00DA7893" w:rsidRPr="000073B8">
        <w:rPr>
          <w:rFonts w:ascii="Arial" w:hAnsi="Arial" w:cs="Arial"/>
          <w:color w:val="000000" w:themeColor="text1"/>
          <w:sz w:val="24"/>
          <w:szCs w:val="24"/>
        </w:rPr>
        <w:t>Premier Inn, 2024</w:t>
      </w:r>
      <w:r w:rsidR="00DA7893">
        <w:rPr>
          <w:rFonts w:ascii="Arial" w:hAnsi="Arial" w:cs="Arial"/>
          <w:color w:val="000000" w:themeColor="text1"/>
          <w:sz w:val="24"/>
          <w:szCs w:val="24"/>
        </w:rPr>
        <w:t>)</w:t>
      </w:r>
    </w:p>
    <w:p w:rsidR="000073B8" w:rsidRPr="000073B8" w:rsidRDefault="000073B8" w:rsidP="00353499">
      <w:pPr>
        <w:spacing w:line="360" w:lineRule="auto"/>
        <w:jc w:val="both"/>
        <w:rPr>
          <w:rFonts w:ascii="Arial" w:hAnsi="Arial" w:cs="Arial"/>
          <w:color w:val="000000" w:themeColor="text1"/>
          <w:sz w:val="24"/>
          <w:szCs w:val="24"/>
        </w:rPr>
      </w:pPr>
      <w:r w:rsidRPr="000073B8">
        <w:rPr>
          <w:rFonts w:ascii="Arial" w:hAnsi="Arial" w:cs="Arial"/>
          <w:color w:val="000000" w:themeColor="text1"/>
          <w:sz w:val="24"/>
          <w:szCs w:val="24"/>
        </w:rPr>
        <w:t>This report aims to compare the financial management strategies of both Shangri-La Hotels and Premier Inn, with a focus on their approaches to sustainability and corporate social responsibility (CSR). The comparison will cover total revenue, market position, growth potential, and financi</w:t>
      </w:r>
      <w:r w:rsidR="00ED25B9">
        <w:rPr>
          <w:rFonts w:ascii="Arial" w:hAnsi="Arial" w:cs="Arial"/>
          <w:color w:val="000000" w:themeColor="text1"/>
          <w:sz w:val="24"/>
          <w:szCs w:val="24"/>
        </w:rPr>
        <w:t>al commitment to CSR.</w:t>
      </w:r>
    </w:p>
    <w:p w:rsidR="000073B8" w:rsidRPr="000073B8" w:rsidRDefault="000073B8" w:rsidP="00353499">
      <w:pPr>
        <w:pStyle w:val="Heading1"/>
        <w:spacing w:line="360" w:lineRule="auto"/>
        <w:jc w:val="both"/>
        <w:rPr>
          <w:rFonts w:ascii="Arial" w:hAnsi="Arial" w:cs="Arial"/>
          <w:color w:val="000000" w:themeColor="text1"/>
          <w:sz w:val="24"/>
          <w:szCs w:val="24"/>
        </w:rPr>
      </w:pPr>
      <w:bookmarkStart w:id="0" w:name="_Toc180166050"/>
      <w:r w:rsidRPr="000073B8">
        <w:rPr>
          <w:rFonts w:ascii="Arial" w:hAnsi="Arial" w:cs="Arial"/>
          <w:color w:val="000000" w:themeColor="text1"/>
          <w:sz w:val="24"/>
          <w:szCs w:val="24"/>
        </w:rPr>
        <w:t>Shangri-La Hotels Financial Data (GBP, 2019-2023)</w:t>
      </w:r>
      <w:bookmarkEnd w:id="0"/>
    </w:p>
    <w:p w:rsidR="000073B8" w:rsidRPr="00476973" w:rsidRDefault="000073B8" w:rsidP="000073B8">
      <w:pPr>
        <w:rPr>
          <w:lang w:val="en-US"/>
        </w:rPr>
      </w:pPr>
    </w:p>
    <w:tbl>
      <w:tblPr>
        <w:tblStyle w:val="TableGrid"/>
        <w:tblW w:w="10803" w:type="dxa"/>
        <w:tblInd w:w="-892" w:type="dxa"/>
        <w:tblLook w:val="04A0"/>
      </w:tblPr>
      <w:tblGrid>
        <w:gridCol w:w="663"/>
        <w:gridCol w:w="995"/>
        <w:gridCol w:w="995"/>
        <w:gridCol w:w="995"/>
        <w:gridCol w:w="995"/>
        <w:gridCol w:w="979"/>
        <w:gridCol w:w="1113"/>
        <w:gridCol w:w="830"/>
        <w:gridCol w:w="905"/>
        <w:gridCol w:w="830"/>
        <w:gridCol w:w="1503"/>
      </w:tblGrid>
      <w:tr w:rsidR="000073B8" w:rsidTr="00682055">
        <w:tc>
          <w:tcPr>
            <w:tcW w:w="663" w:type="dxa"/>
          </w:tcPr>
          <w:p w:rsidR="000073B8" w:rsidRDefault="000073B8" w:rsidP="00682055">
            <w:pPr>
              <w:jc w:val="center"/>
            </w:pPr>
            <w:r>
              <w:t>Year</w:t>
            </w:r>
          </w:p>
        </w:tc>
        <w:tc>
          <w:tcPr>
            <w:tcW w:w="995" w:type="dxa"/>
          </w:tcPr>
          <w:p w:rsidR="000073B8" w:rsidRDefault="000073B8" w:rsidP="00682055">
            <w:pPr>
              <w:jc w:val="center"/>
            </w:pPr>
            <w:r>
              <w:t>Revenue</w:t>
            </w:r>
            <w:r>
              <w:br/>
              <w:t>(GBP, millions)</w:t>
            </w:r>
          </w:p>
        </w:tc>
        <w:tc>
          <w:tcPr>
            <w:tcW w:w="995" w:type="dxa"/>
          </w:tcPr>
          <w:p w:rsidR="000073B8" w:rsidRDefault="000073B8" w:rsidP="00682055">
            <w:pPr>
              <w:jc w:val="center"/>
            </w:pPr>
            <w:r>
              <w:t>Rooms</w:t>
            </w:r>
            <w:r>
              <w:br/>
              <w:t>Revenue</w:t>
            </w:r>
          </w:p>
        </w:tc>
        <w:tc>
          <w:tcPr>
            <w:tcW w:w="995" w:type="dxa"/>
          </w:tcPr>
          <w:p w:rsidR="000073B8" w:rsidRDefault="000073B8" w:rsidP="00682055">
            <w:pPr>
              <w:jc w:val="center"/>
            </w:pPr>
            <w:r>
              <w:t>F&amp;B</w:t>
            </w:r>
            <w:r>
              <w:br/>
              <w:t>Revenue</w:t>
            </w:r>
          </w:p>
        </w:tc>
        <w:tc>
          <w:tcPr>
            <w:tcW w:w="995" w:type="dxa"/>
          </w:tcPr>
          <w:p w:rsidR="000073B8" w:rsidRDefault="000073B8" w:rsidP="00682055">
            <w:pPr>
              <w:jc w:val="center"/>
            </w:pPr>
            <w:r>
              <w:t>Other</w:t>
            </w:r>
            <w:r>
              <w:br/>
              <w:t>Revenue</w:t>
            </w:r>
          </w:p>
        </w:tc>
        <w:tc>
          <w:tcPr>
            <w:tcW w:w="979" w:type="dxa"/>
          </w:tcPr>
          <w:p w:rsidR="000073B8" w:rsidRDefault="000073B8" w:rsidP="00682055">
            <w:pPr>
              <w:jc w:val="center"/>
            </w:pPr>
            <w:proofErr w:type="spellStart"/>
            <w:r>
              <w:t>CoGS</w:t>
            </w:r>
            <w:proofErr w:type="spellEnd"/>
            <w:r>
              <w:br/>
              <w:t>(GBP, millions)</w:t>
            </w:r>
          </w:p>
        </w:tc>
        <w:tc>
          <w:tcPr>
            <w:tcW w:w="1113" w:type="dxa"/>
          </w:tcPr>
          <w:p w:rsidR="000073B8" w:rsidRDefault="000073B8" w:rsidP="00682055">
            <w:pPr>
              <w:jc w:val="center"/>
            </w:pPr>
            <w:r>
              <w:t>Operating Costs</w:t>
            </w:r>
            <w:r>
              <w:br/>
              <w:t>(GBP, millions)</w:t>
            </w:r>
          </w:p>
        </w:tc>
        <w:tc>
          <w:tcPr>
            <w:tcW w:w="830" w:type="dxa"/>
          </w:tcPr>
          <w:p w:rsidR="000073B8" w:rsidRDefault="000073B8" w:rsidP="00682055">
            <w:pPr>
              <w:jc w:val="center"/>
            </w:pPr>
            <w:r>
              <w:t>No. of</w:t>
            </w:r>
            <w:r>
              <w:br/>
              <w:t>Rooms</w:t>
            </w:r>
          </w:p>
        </w:tc>
        <w:tc>
          <w:tcPr>
            <w:tcW w:w="905" w:type="dxa"/>
          </w:tcPr>
          <w:p w:rsidR="000073B8" w:rsidRDefault="000073B8" w:rsidP="00682055">
            <w:pPr>
              <w:jc w:val="center"/>
            </w:pPr>
            <w:proofErr w:type="spellStart"/>
            <w:r>
              <w:t>RevPAR</w:t>
            </w:r>
            <w:proofErr w:type="spellEnd"/>
            <w:r>
              <w:br/>
              <w:t>(GBP)</w:t>
            </w:r>
          </w:p>
        </w:tc>
        <w:tc>
          <w:tcPr>
            <w:tcW w:w="830" w:type="dxa"/>
          </w:tcPr>
          <w:p w:rsidR="000073B8" w:rsidRDefault="000073B8" w:rsidP="00682055">
            <w:pPr>
              <w:jc w:val="center"/>
            </w:pPr>
            <w:r>
              <w:t>Room Rate</w:t>
            </w:r>
            <w:r>
              <w:br/>
              <w:t>(GBP)</w:t>
            </w:r>
          </w:p>
        </w:tc>
        <w:tc>
          <w:tcPr>
            <w:tcW w:w="1503" w:type="dxa"/>
          </w:tcPr>
          <w:p w:rsidR="000073B8" w:rsidRDefault="000073B8" w:rsidP="00682055">
            <w:pPr>
              <w:jc w:val="center"/>
            </w:pPr>
            <w:r>
              <w:t>Occupancy %</w:t>
            </w:r>
          </w:p>
        </w:tc>
      </w:tr>
      <w:tr w:rsidR="000073B8" w:rsidTr="00682055">
        <w:tc>
          <w:tcPr>
            <w:tcW w:w="663" w:type="dxa"/>
          </w:tcPr>
          <w:p w:rsidR="000073B8" w:rsidRDefault="000073B8" w:rsidP="00682055">
            <w:pPr>
              <w:jc w:val="center"/>
            </w:pPr>
            <w:r>
              <w:t>2023</w:t>
            </w:r>
          </w:p>
        </w:tc>
        <w:tc>
          <w:tcPr>
            <w:tcW w:w="995" w:type="dxa"/>
          </w:tcPr>
          <w:p w:rsidR="000073B8" w:rsidRDefault="000073B8" w:rsidP="00682055">
            <w:pPr>
              <w:jc w:val="center"/>
            </w:pPr>
            <w:r>
              <w:t>1734.86</w:t>
            </w:r>
          </w:p>
        </w:tc>
        <w:tc>
          <w:tcPr>
            <w:tcW w:w="995" w:type="dxa"/>
          </w:tcPr>
          <w:p w:rsidR="000073B8" w:rsidRDefault="000073B8" w:rsidP="00682055">
            <w:pPr>
              <w:jc w:val="center"/>
            </w:pPr>
            <w:r>
              <w:t>843.21</w:t>
            </w:r>
          </w:p>
        </w:tc>
        <w:tc>
          <w:tcPr>
            <w:tcW w:w="995" w:type="dxa"/>
          </w:tcPr>
          <w:p w:rsidR="000073B8" w:rsidRDefault="000073B8" w:rsidP="00682055">
            <w:pPr>
              <w:jc w:val="center"/>
            </w:pPr>
            <w:r>
              <w:t>638.85</w:t>
            </w:r>
          </w:p>
        </w:tc>
        <w:tc>
          <w:tcPr>
            <w:tcW w:w="995" w:type="dxa"/>
          </w:tcPr>
          <w:p w:rsidR="000073B8" w:rsidRDefault="000073B8" w:rsidP="00682055">
            <w:pPr>
              <w:jc w:val="center"/>
            </w:pPr>
            <w:r>
              <w:t>78.25</w:t>
            </w:r>
          </w:p>
        </w:tc>
        <w:tc>
          <w:tcPr>
            <w:tcW w:w="979" w:type="dxa"/>
          </w:tcPr>
          <w:p w:rsidR="000073B8" w:rsidRDefault="000073B8" w:rsidP="00682055">
            <w:pPr>
              <w:jc w:val="center"/>
            </w:pPr>
            <w:r>
              <w:t>789.83</w:t>
            </w:r>
          </w:p>
        </w:tc>
        <w:tc>
          <w:tcPr>
            <w:tcW w:w="1113" w:type="dxa"/>
          </w:tcPr>
          <w:p w:rsidR="000073B8" w:rsidRDefault="000073B8" w:rsidP="00682055">
            <w:pPr>
              <w:jc w:val="center"/>
            </w:pPr>
            <w:r>
              <w:t>526.82</w:t>
            </w:r>
          </w:p>
        </w:tc>
        <w:tc>
          <w:tcPr>
            <w:tcW w:w="830" w:type="dxa"/>
          </w:tcPr>
          <w:p w:rsidR="000073B8" w:rsidRDefault="000073B8" w:rsidP="00682055">
            <w:pPr>
              <w:jc w:val="center"/>
            </w:pPr>
            <w:r>
              <w:t>35135</w:t>
            </w:r>
          </w:p>
        </w:tc>
        <w:tc>
          <w:tcPr>
            <w:tcW w:w="905" w:type="dxa"/>
          </w:tcPr>
          <w:p w:rsidR="000073B8" w:rsidRDefault="000073B8" w:rsidP="00682055">
            <w:pPr>
              <w:jc w:val="center"/>
            </w:pPr>
            <w:r>
              <w:t>87.48</w:t>
            </w:r>
          </w:p>
        </w:tc>
        <w:tc>
          <w:tcPr>
            <w:tcW w:w="830" w:type="dxa"/>
          </w:tcPr>
          <w:p w:rsidR="000073B8" w:rsidRDefault="000073B8" w:rsidP="00682055">
            <w:pPr>
              <w:jc w:val="center"/>
            </w:pPr>
            <w:r>
              <w:t>140.13</w:t>
            </w:r>
          </w:p>
        </w:tc>
        <w:tc>
          <w:tcPr>
            <w:tcW w:w="1503" w:type="dxa"/>
          </w:tcPr>
          <w:p w:rsidR="000073B8" w:rsidRDefault="000073B8" w:rsidP="00682055">
            <w:pPr>
              <w:jc w:val="center"/>
            </w:pPr>
            <w:r>
              <w:t>62</w:t>
            </w:r>
          </w:p>
        </w:tc>
      </w:tr>
      <w:tr w:rsidR="000073B8" w:rsidTr="00682055">
        <w:tc>
          <w:tcPr>
            <w:tcW w:w="663" w:type="dxa"/>
          </w:tcPr>
          <w:p w:rsidR="000073B8" w:rsidRDefault="000073B8" w:rsidP="00682055">
            <w:pPr>
              <w:jc w:val="center"/>
            </w:pPr>
            <w:r>
              <w:t>2022</w:t>
            </w:r>
          </w:p>
        </w:tc>
        <w:tc>
          <w:tcPr>
            <w:tcW w:w="995" w:type="dxa"/>
          </w:tcPr>
          <w:p w:rsidR="000073B8" w:rsidRDefault="000073B8" w:rsidP="00682055">
            <w:pPr>
              <w:jc w:val="center"/>
            </w:pPr>
            <w:r>
              <w:t>1111.20</w:t>
            </w:r>
          </w:p>
        </w:tc>
        <w:tc>
          <w:tcPr>
            <w:tcW w:w="995" w:type="dxa"/>
          </w:tcPr>
          <w:p w:rsidR="000073B8" w:rsidRDefault="000073B8" w:rsidP="00682055">
            <w:pPr>
              <w:jc w:val="center"/>
            </w:pPr>
            <w:r>
              <w:t>473.40</w:t>
            </w:r>
          </w:p>
        </w:tc>
        <w:tc>
          <w:tcPr>
            <w:tcW w:w="995" w:type="dxa"/>
          </w:tcPr>
          <w:p w:rsidR="000073B8" w:rsidRDefault="000073B8" w:rsidP="00682055">
            <w:pPr>
              <w:jc w:val="center"/>
            </w:pPr>
            <w:r>
              <w:t>425.52</w:t>
            </w:r>
          </w:p>
        </w:tc>
        <w:tc>
          <w:tcPr>
            <w:tcW w:w="995" w:type="dxa"/>
          </w:tcPr>
          <w:p w:rsidR="000073B8" w:rsidRDefault="000073B8" w:rsidP="00682055">
            <w:pPr>
              <w:jc w:val="center"/>
            </w:pPr>
            <w:r>
              <w:t>60.12</w:t>
            </w:r>
          </w:p>
        </w:tc>
        <w:tc>
          <w:tcPr>
            <w:tcW w:w="979" w:type="dxa"/>
          </w:tcPr>
          <w:p w:rsidR="000073B8" w:rsidRDefault="000073B8" w:rsidP="00682055">
            <w:pPr>
              <w:jc w:val="center"/>
            </w:pPr>
            <w:r>
              <w:t>589.46</w:t>
            </w:r>
          </w:p>
        </w:tc>
        <w:tc>
          <w:tcPr>
            <w:tcW w:w="1113" w:type="dxa"/>
          </w:tcPr>
          <w:p w:rsidR="000073B8" w:rsidRDefault="000073B8" w:rsidP="00682055">
            <w:pPr>
              <w:jc w:val="center"/>
            </w:pPr>
            <w:r>
              <w:t>400.60</w:t>
            </w:r>
          </w:p>
        </w:tc>
        <w:tc>
          <w:tcPr>
            <w:tcW w:w="830" w:type="dxa"/>
          </w:tcPr>
          <w:p w:rsidR="000073B8" w:rsidRDefault="000073B8" w:rsidP="00682055">
            <w:pPr>
              <w:jc w:val="center"/>
            </w:pPr>
            <w:r>
              <w:t>35144</w:t>
            </w:r>
          </w:p>
        </w:tc>
        <w:tc>
          <w:tcPr>
            <w:tcW w:w="905" w:type="dxa"/>
          </w:tcPr>
          <w:p w:rsidR="000073B8" w:rsidRDefault="000073B8" w:rsidP="00682055">
            <w:pPr>
              <w:jc w:val="center"/>
            </w:pPr>
            <w:r>
              <w:t>48.64</w:t>
            </w:r>
          </w:p>
        </w:tc>
        <w:tc>
          <w:tcPr>
            <w:tcW w:w="830" w:type="dxa"/>
          </w:tcPr>
          <w:p w:rsidR="000073B8" w:rsidRDefault="000073B8" w:rsidP="00682055">
            <w:pPr>
              <w:jc w:val="center"/>
            </w:pPr>
            <w:r>
              <w:t>117.80</w:t>
            </w:r>
          </w:p>
        </w:tc>
        <w:tc>
          <w:tcPr>
            <w:tcW w:w="1503" w:type="dxa"/>
          </w:tcPr>
          <w:p w:rsidR="000073B8" w:rsidRDefault="000073B8" w:rsidP="00682055">
            <w:pPr>
              <w:jc w:val="center"/>
            </w:pPr>
            <w:r>
              <w:t>42</w:t>
            </w:r>
          </w:p>
        </w:tc>
      </w:tr>
      <w:tr w:rsidR="000073B8" w:rsidTr="00682055">
        <w:tc>
          <w:tcPr>
            <w:tcW w:w="663" w:type="dxa"/>
          </w:tcPr>
          <w:p w:rsidR="000073B8" w:rsidRDefault="000073B8" w:rsidP="00682055">
            <w:pPr>
              <w:jc w:val="center"/>
            </w:pPr>
            <w:r>
              <w:t>2021</w:t>
            </w:r>
          </w:p>
        </w:tc>
        <w:tc>
          <w:tcPr>
            <w:tcW w:w="995" w:type="dxa"/>
          </w:tcPr>
          <w:p w:rsidR="000073B8" w:rsidRDefault="000073B8" w:rsidP="00682055">
            <w:pPr>
              <w:jc w:val="center"/>
            </w:pPr>
            <w:r>
              <w:t>905.93</w:t>
            </w:r>
          </w:p>
        </w:tc>
        <w:tc>
          <w:tcPr>
            <w:tcW w:w="995" w:type="dxa"/>
          </w:tcPr>
          <w:p w:rsidR="000073B8" w:rsidRDefault="000073B8" w:rsidP="00682055">
            <w:pPr>
              <w:jc w:val="center"/>
            </w:pPr>
            <w:r>
              <w:t>330.32</w:t>
            </w:r>
          </w:p>
        </w:tc>
        <w:tc>
          <w:tcPr>
            <w:tcW w:w="995" w:type="dxa"/>
          </w:tcPr>
          <w:p w:rsidR="000073B8" w:rsidRDefault="000073B8" w:rsidP="00682055">
            <w:pPr>
              <w:jc w:val="center"/>
            </w:pPr>
            <w:r>
              <w:t>372.08</w:t>
            </w:r>
          </w:p>
        </w:tc>
        <w:tc>
          <w:tcPr>
            <w:tcW w:w="995" w:type="dxa"/>
          </w:tcPr>
          <w:p w:rsidR="000073B8" w:rsidRDefault="000073B8" w:rsidP="00682055">
            <w:pPr>
              <w:jc w:val="center"/>
            </w:pPr>
            <w:r>
              <w:t>63.66</w:t>
            </w:r>
          </w:p>
        </w:tc>
        <w:tc>
          <w:tcPr>
            <w:tcW w:w="979" w:type="dxa"/>
          </w:tcPr>
          <w:p w:rsidR="000073B8" w:rsidRDefault="000073B8" w:rsidP="00682055">
            <w:pPr>
              <w:jc w:val="center"/>
            </w:pPr>
            <w:r>
              <w:t>508.44</w:t>
            </w:r>
          </w:p>
        </w:tc>
        <w:tc>
          <w:tcPr>
            <w:tcW w:w="1113" w:type="dxa"/>
          </w:tcPr>
          <w:p w:rsidR="000073B8" w:rsidRDefault="000073B8" w:rsidP="00682055">
            <w:pPr>
              <w:jc w:val="center"/>
            </w:pPr>
            <w:r>
              <w:t>329.89</w:t>
            </w:r>
          </w:p>
        </w:tc>
        <w:tc>
          <w:tcPr>
            <w:tcW w:w="830" w:type="dxa"/>
          </w:tcPr>
          <w:p w:rsidR="000073B8" w:rsidRDefault="000073B8" w:rsidP="00682055">
            <w:pPr>
              <w:jc w:val="center"/>
            </w:pPr>
            <w:r>
              <w:t>35154</w:t>
            </w:r>
          </w:p>
        </w:tc>
        <w:tc>
          <w:tcPr>
            <w:tcW w:w="905" w:type="dxa"/>
          </w:tcPr>
          <w:p w:rsidR="000073B8" w:rsidRDefault="000073B8" w:rsidP="00682055">
            <w:pPr>
              <w:jc w:val="center"/>
            </w:pPr>
            <w:r>
              <w:t>37.23</w:t>
            </w:r>
          </w:p>
        </w:tc>
        <w:tc>
          <w:tcPr>
            <w:tcW w:w="830" w:type="dxa"/>
          </w:tcPr>
          <w:p w:rsidR="000073B8" w:rsidRDefault="000073B8" w:rsidP="00682055">
            <w:pPr>
              <w:jc w:val="center"/>
            </w:pPr>
            <w:r>
              <w:t>94.90</w:t>
            </w:r>
          </w:p>
        </w:tc>
        <w:tc>
          <w:tcPr>
            <w:tcW w:w="1503" w:type="dxa"/>
          </w:tcPr>
          <w:p w:rsidR="000073B8" w:rsidRDefault="000073B8" w:rsidP="00682055">
            <w:pPr>
              <w:jc w:val="center"/>
            </w:pPr>
            <w:r>
              <w:t>39</w:t>
            </w:r>
          </w:p>
        </w:tc>
      </w:tr>
      <w:tr w:rsidR="000073B8" w:rsidTr="00682055">
        <w:tc>
          <w:tcPr>
            <w:tcW w:w="663" w:type="dxa"/>
          </w:tcPr>
          <w:p w:rsidR="000073B8" w:rsidRDefault="000073B8" w:rsidP="00682055">
            <w:pPr>
              <w:jc w:val="center"/>
            </w:pPr>
            <w:r>
              <w:t>2020</w:t>
            </w:r>
          </w:p>
        </w:tc>
        <w:tc>
          <w:tcPr>
            <w:tcW w:w="995" w:type="dxa"/>
          </w:tcPr>
          <w:p w:rsidR="000073B8" w:rsidRDefault="000073B8" w:rsidP="00682055">
            <w:pPr>
              <w:jc w:val="center"/>
            </w:pPr>
            <w:r>
              <w:t>764.72</w:t>
            </w:r>
          </w:p>
        </w:tc>
        <w:tc>
          <w:tcPr>
            <w:tcW w:w="995" w:type="dxa"/>
          </w:tcPr>
          <w:p w:rsidR="000073B8" w:rsidRDefault="000073B8" w:rsidP="00682055">
            <w:pPr>
              <w:jc w:val="center"/>
            </w:pPr>
            <w:r>
              <w:t>496.69</w:t>
            </w:r>
          </w:p>
        </w:tc>
        <w:tc>
          <w:tcPr>
            <w:tcW w:w="995" w:type="dxa"/>
          </w:tcPr>
          <w:p w:rsidR="000073B8" w:rsidRDefault="000073B8" w:rsidP="00682055">
            <w:pPr>
              <w:jc w:val="center"/>
            </w:pPr>
            <w:r>
              <w:t>377.18</w:t>
            </w:r>
          </w:p>
        </w:tc>
        <w:tc>
          <w:tcPr>
            <w:tcW w:w="995" w:type="dxa"/>
          </w:tcPr>
          <w:p w:rsidR="000073B8" w:rsidRDefault="000073B8" w:rsidP="00682055">
            <w:pPr>
              <w:jc w:val="center"/>
            </w:pPr>
            <w:r>
              <w:t>64.53</w:t>
            </w:r>
          </w:p>
        </w:tc>
        <w:tc>
          <w:tcPr>
            <w:tcW w:w="979" w:type="dxa"/>
          </w:tcPr>
          <w:p w:rsidR="000073B8" w:rsidRDefault="000073B8" w:rsidP="00682055">
            <w:pPr>
              <w:jc w:val="center"/>
            </w:pPr>
            <w:r>
              <w:t>496.69</w:t>
            </w:r>
          </w:p>
        </w:tc>
        <w:tc>
          <w:tcPr>
            <w:tcW w:w="1113" w:type="dxa"/>
          </w:tcPr>
          <w:p w:rsidR="000073B8" w:rsidRDefault="000073B8" w:rsidP="00682055">
            <w:pPr>
              <w:jc w:val="center"/>
            </w:pPr>
            <w:r>
              <w:t>369.93</w:t>
            </w:r>
          </w:p>
        </w:tc>
        <w:tc>
          <w:tcPr>
            <w:tcW w:w="830" w:type="dxa"/>
          </w:tcPr>
          <w:p w:rsidR="000073B8" w:rsidRDefault="000073B8" w:rsidP="00682055">
            <w:pPr>
              <w:jc w:val="center"/>
            </w:pPr>
            <w:r>
              <w:t>35154</w:t>
            </w:r>
          </w:p>
        </w:tc>
        <w:tc>
          <w:tcPr>
            <w:tcW w:w="905" w:type="dxa"/>
          </w:tcPr>
          <w:p w:rsidR="000073B8" w:rsidRDefault="000073B8" w:rsidP="00682055">
            <w:pPr>
              <w:jc w:val="center"/>
            </w:pPr>
            <w:r>
              <w:t>29.60</w:t>
            </w:r>
          </w:p>
        </w:tc>
        <w:tc>
          <w:tcPr>
            <w:tcW w:w="830" w:type="dxa"/>
          </w:tcPr>
          <w:p w:rsidR="000073B8" w:rsidRDefault="000073B8" w:rsidP="00682055">
            <w:pPr>
              <w:jc w:val="center"/>
            </w:pPr>
            <w:r>
              <w:t>89.54</w:t>
            </w:r>
          </w:p>
        </w:tc>
        <w:tc>
          <w:tcPr>
            <w:tcW w:w="1503" w:type="dxa"/>
          </w:tcPr>
          <w:p w:rsidR="000073B8" w:rsidRDefault="000073B8" w:rsidP="00682055">
            <w:pPr>
              <w:jc w:val="center"/>
            </w:pPr>
            <w:r>
              <w:t>33</w:t>
            </w:r>
          </w:p>
        </w:tc>
      </w:tr>
      <w:tr w:rsidR="000073B8" w:rsidTr="00682055">
        <w:tc>
          <w:tcPr>
            <w:tcW w:w="663" w:type="dxa"/>
          </w:tcPr>
          <w:p w:rsidR="000073B8" w:rsidRDefault="000073B8" w:rsidP="00682055">
            <w:pPr>
              <w:jc w:val="center"/>
            </w:pPr>
            <w:r>
              <w:t>2019</w:t>
            </w:r>
          </w:p>
        </w:tc>
        <w:tc>
          <w:tcPr>
            <w:tcW w:w="995" w:type="dxa"/>
          </w:tcPr>
          <w:p w:rsidR="000073B8" w:rsidRDefault="000073B8" w:rsidP="00682055">
            <w:pPr>
              <w:jc w:val="center"/>
            </w:pPr>
            <w:r>
              <w:t>1896.34</w:t>
            </w:r>
          </w:p>
        </w:tc>
        <w:tc>
          <w:tcPr>
            <w:tcW w:w="995" w:type="dxa"/>
          </w:tcPr>
          <w:p w:rsidR="000073B8" w:rsidRDefault="000073B8" w:rsidP="00682055">
            <w:pPr>
              <w:jc w:val="center"/>
            </w:pPr>
            <w:r>
              <w:t>864.71</w:t>
            </w:r>
          </w:p>
        </w:tc>
        <w:tc>
          <w:tcPr>
            <w:tcW w:w="995" w:type="dxa"/>
          </w:tcPr>
          <w:p w:rsidR="000073B8" w:rsidRDefault="000073B8" w:rsidP="00682055">
            <w:pPr>
              <w:jc w:val="center"/>
            </w:pPr>
            <w:r>
              <w:t>864.71</w:t>
            </w:r>
          </w:p>
        </w:tc>
        <w:tc>
          <w:tcPr>
            <w:tcW w:w="995" w:type="dxa"/>
          </w:tcPr>
          <w:p w:rsidR="000073B8" w:rsidRDefault="000073B8" w:rsidP="00682055">
            <w:pPr>
              <w:jc w:val="center"/>
            </w:pPr>
            <w:r>
              <w:t>71.53</w:t>
            </w:r>
          </w:p>
        </w:tc>
        <w:tc>
          <w:tcPr>
            <w:tcW w:w="979" w:type="dxa"/>
          </w:tcPr>
          <w:p w:rsidR="000073B8" w:rsidRDefault="000073B8" w:rsidP="00682055">
            <w:pPr>
              <w:jc w:val="center"/>
            </w:pPr>
            <w:r>
              <w:t>864.71</w:t>
            </w:r>
          </w:p>
        </w:tc>
        <w:tc>
          <w:tcPr>
            <w:tcW w:w="1113" w:type="dxa"/>
          </w:tcPr>
          <w:p w:rsidR="000073B8" w:rsidRDefault="000073B8" w:rsidP="00682055">
            <w:pPr>
              <w:jc w:val="center"/>
            </w:pPr>
            <w:r>
              <w:t>577.04</w:t>
            </w:r>
          </w:p>
        </w:tc>
        <w:tc>
          <w:tcPr>
            <w:tcW w:w="830" w:type="dxa"/>
          </w:tcPr>
          <w:p w:rsidR="000073B8" w:rsidRDefault="000073B8" w:rsidP="00682055">
            <w:pPr>
              <w:jc w:val="center"/>
            </w:pPr>
            <w:r>
              <w:t>35500</w:t>
            </w:r>
          </w:p>
        </w:tc>
        <w:tc>
          <w:tcPr>
            <w:tcW w:w="905" w:type="dxa"/>
          </w:tcPr>
          <w:p w:rsidR="000073B8" w:rsidRDefault="000073B8" w:rsidP="00682055">
            <w:pPr>
              <w:jc w:val="center"/>
            </w:pPr>
            <w:r>
              <w:t>59.28</w:t>
            </w:r>
          </w:p>
        </w:tc>
        <w:tc>
          <w:tcPr>
            <w:tcW w:w="830" w:type="dxa"/>
          </w:tcPr>
          <w:p w:rsidR="000073B8" w:rsidRDefault="000073B8" w:rsidP="00682055">
            <w:pPr>
              <w:jc w:val="center"/>
            </w:pPr>
            <w:r>
              <w:t>109.20</w:t>
            </w:r>
          </w:p>
        </w:tc>
        <w:tc>
          <w:tcPr>
            <w:tcW w:w="1503" w:type="dxa"/>
          </w:tcPr>
          <w:p w:rsidR="000073B8" w:rsidRDefault="000073B8" w:rsidP="00682055">
            <w:pPr>
              <w:jc w:val="center"/>
            </w:pPr>
            <w:r>
              <w:t>63</w:t>
            </w:r>
          </w:p>
        </w:tc>
      </w:tr>
    </w:tbl>
    <w:p w:rsidR="000073B8" w:rsidRDefault="000073B8" w:rsidP="000073B8">
      <w:pPr>
        <w:jc w:val="center"/>
      </w:pPr>
    </w:p>
    <w:p w:rsidR="000073B8" w:rsidRPr="000073B8" w:rsidRDefault="000073B8" w:rsidP="004A4D9F">
      <w:pPr>
        <w:spacing w:line="360" w:lineRule="auto"/>
        <w:jc w:val="both"/>
        <w:rPr>
          <w:rFonts w:ascii="Arial" w:hAnsi="Arial" w:cs="Arial"/>
          <w:sz w:val="24"/>
          <w:szCs w:val="24"/>
        </w:rPr>
      </w:pPr>
      <w:r w:rsidRPr="000073B8">
        <w:rPr>
          <w:rFonts w:ascii="Arial" w:hAnsi="Arial" w:cs="Arial"/>
          <w:sz w:val="24"/>
          <w:szCs w:val="24"/>
        </w:rPr>
        <w:t>Shangri-La's revenue fluctuated significantly during the 2019–2023 period, primarily due to its reliance on luxury markets and international guests. In 2019, Shangri-La reported total revenue of £1,896.34 million, but this figure dropped to £764.72 million in 2020 as the COVID-19 pandemic hit (Shangri-La Financial Statement, 2019, p. 3). The sharp decline reflected the impact of global travel restrictions and the subsequent reduction in luxury tourism. Despite this, by 2023, the company showed signs of recovery, with total revenues increasing to £1,734.86 million as international travel resumed (Shangri-La Financial Statement, 2023, p. 2).</w:t>
      </w:r>
    </w:p>
    <w:p w:rsidR="000073B8" w:rsidRPr="000073B8" w:rsidRDefault="000073B8" w:rsidP="004A4D9F">
      <w:pPr>
        <w:spacing w:line="360" w:lineRule="auto"/>
        <w:jc w:val="both"/>
        <w:rPr>
          <w:rFonts w:ascii="Arial" w:hAnsi="Arial" w:cs="Arial"/>
          <w:sz w:val="24"/>
          <w:szCs w:val="24"/>
        </w:rPr>
      </w:pPr>
      <w:r w:rsidRPr="000073B8">
        <w:rPr>
          <w:rFonts w:ascii="Arial" w:hAnsi="Arial" w:cs="Arial"/>
          <w:sz w:val="24"/>
          <w:szCs w:val="24"/>
        </w:rPr>
        <w:t xml:space="preserve">Room Revenue: Shangri-La’s room revenue declined from £864.71 million in 2019 to £330.32 million in 2021 (Shangri-La Financial Statement, 2021, p. 2). However, by </w:t>
      </w:r>
      <w:r w:rsidRPr="000073B8">
        <w:rPr>
          <w:rFonts w:ascii="Arial" w:hAnsi="Arial" w:cs="Arial"/>
          <w:sz w:val="24"/>
          <w:szCs w:val="24"/>
        </w:rPr>
        <w:lastRenderedPageBreak/>
        <w:t>2023, room revenue had nearly recovered, reaching £843.21 million (Shangri-La Financial Statement, 2023, p. 2).</w:t>
      </w:r>
    </w:p>
    <w:p w:rsidR="000073B8" w:rsidRPr="000073B8" w:rsidRDefault="000073B8" w:rsidP="004A4D9F">
      <w:pPr>
        <w:spacing w:line="360" w:lineRule="auto"/>
        <w:jc w:val="both"/>
        <w:rPr>
          <w:rFonts w:ascii="Arial" w:hAnsi="Arial" w:cs="Arial"/>
          <w:sz w:val="24"/>
          <w:szCs w:val="24"/>
        </w:rPr>
      </w:pPr>
      <w:proofErr w:type="spellStart"/>
      <w:r w:rsidRPr="000073B8">
        <w:rPr>
          <w:rFonts w:ascii="Arial" w:hAnsi="Arial" w:cs="Arial"/>
          <w:sz w:val="24"/>
          <w:szCs w:val="24"/>
        </w:rPr>
        <w:t>RevPAR</w:t>
      </w:r>
      <w:proofErr w:type="spellEnd"/>
      <w:r w:rsidRPr="000073B8">
        <w:rPr>
          <w:rFonts w:ascii="Arial" w:hAnsi="Arial" w:cs="Arial"/>
          <w:sz w:val="24"/>
          <w:szCs w:val="24"/>
        </w:rPr>
        <w:t xml:space="preserve"> (Revenue per Available Room): </w:t>
      </w:r>
      <w:proofErr w:type="spellStart"/>
      <w:r w:rsidRPr="000073B8">
        <w:rPr>
          <w:rFonts w:ascii="Arial" w:hAnsi="Arial" w:cs="Arial"/>
          <w:sz w:val="24"/>
          <w:szCs w:val="24"/>
        </w:rPr>
        <w:t>RevPAR</w:t>
      </w:r>
      <w:proofErr w:type="spellEnd"/>
      <w:r w:rsidRPr="000073B8">
        <w:rPr>
          <w:rFonts w:ascii="Arial" w:hAnsi="Arial" w:cs="Arial"/>
          <w:sz w:val="24"/>
          <w:szCs w:val="24"/>
        </w:rPr>
        <w:t xml:space="preserve"> dropped from £59.28 in 2019 to £29.60 in 2020 due to the low occupancy rates during the pandemic (Shangri-La Financial Statement, 2020, p. 2(a)). </w:t>
      </w:r>
      <w:proofErr w:type="spellStart"/>
      <w:r w:rsidRPr="000073B8">
        <w:rPr>
          <w:rFonts w:ascii="Arial" w:hAnsi="Arial" w:cs="Arial"/>
          <w:sz w:val="24"/>
          <w:szCs w:val="24"/>
        </w:rPr>
        <w:t>RevPAR</w:t>
      </w:r>
      <w:proofErr w:type="spellEnd"/>
      <w:r w:rsidRPr="000073B8">
        <w:rPr>
          <w:rFonts w:ascii="Arial" w:hAnsi="Arial" w:cs="Arial"/>
          <w:sz w:val="24"/>
          <w:szCs w:val="24"/>
        </w:rPr>
        <w:t xml:space="preserve"> improved to £87.48 in 2023 as occupancy rates began to recover with the easing of restrictions (Shangri-La Financial Statement, 2023, p. 2(b)).</w:t>
      </w:r>
    </w:p>
    <w:p w:rsidR="000073B8" w:rsidRPr="000073B8" w:rsidRDefault="000073B8" w:rsidP="004A4D9F">
      <w:pPr>
        <w:spacing w:line="360" w:lineRule="auto"/>
        <w:jc w:val="both"/>
        <w:rPr>
          <w:rFonts w:ascii="Arial" w:hAnsi="Arial" w:cs="Arial"/>
          <w:sz w:val="24"/>
          <w:szCs w:val="24"/>
        </w:rPr>
      </w:pPr>
      <w:r w:rsidRPr="000073B8">
        <w:rPr>
          <w:rFonts w:ascii="Arial" w:hAnsi="Arial" w:cs="Arial"/>
          <w:sz w:val="24"/>
          <w:szCs w:val="24"/>
        </w:rPr>
        <w:t>Operating Costs: Operating costs in 2020 were significantly high, at £496.69 million, as the company faced fixed costs despite lower revenues (Shangri-La Financial Statement, 2020, p. 2(b)). In 2023, these costs were reduced to £526.82 million due to the implementation of cost-saving measures (Shangri-La Financial Statement, 2023, p. 2(c)).</w:t>
      </w:r>
    </w:p>
    <w:p w:rsidR="000073B8" w:rsidRPr="000073B8" w:rsidRDefault="000073B8" w:rsidP="004A4D9F">
      <w:pPr>
        <w:pStyle w:val="Heading1"/>
        <w:spacing w:line="360" w:lineRule="auto"/>
        <w:jc w:val="both"/>
        <w:rPr>
          <w:rFonts w:ascii="Arial" w:hAnsi="Arial" w:cs="Arial"/>
          <w:color w:val="000000" w:themeColor="text1"/>
          <w:sz w:val="24"/>
          <w:szCs w:val="24"/>
        </w:rPr>
      </w:pPr>
      <w:bookmarkStart w:id="1" w:name="_Toc180166051"/>
      <w:r w:rsidRPr="000073B8">
        <w:rPr>
          <w:rFonts w:ascii="Arial" w:hAnsi="Arial" w:cs="Arial"/>
          <w:color w:val="000000" w:themeColor="text1"/>
          <w:sz w:val="24"/>
          <w:szCs w:val="24"/>
        </w:rPr>
        <w:t>Premier Inn Hotels Financial Data (GBP, 2019-2023)</w:t>
      </w:r>
      <w:bookmarkEnd w:id="1"/>
    </w:p>
    <w:tbl>
      <w:tblPr>
        <w:tblStyle w:val="TableGrid"/>
        <w:tblpPr w:leftFromText="180" w:rightFromText="180" w:vertAnchor="text" w:horzAnchor="margin" w:tblpXSpec="center" w:tblpY="269"/>
        <w:tblW w:w="10774" w:type="dxa"/>
        <w:tblLook w:val="04A0"/>
      </w:tblPr>
      <w:tblGrid>
        <w:gridCol w:w="680"/>
        <w:gridCol w:w="995"/>
        <w:gridCol w:w="995"/>
        <w:gridCol w:w="995"/>
        <w:gridCol w:w="995"/>
        <w:gridCol w:w="979"/>
        <w:gridCol w:w="1113"/>
        <w:gridCol w:w="830"/>
        <w:gridCol w:w="905"/>
        <w:gridCol w:w="744"/>
        <w:gridCol w:w="1543"/>
      </w:tblGrid>
      <w:tr w:rsidR="000073B8" w:rsidTr="00682055">
        <w:tc>
          <w:tcPr>
            <w:tcW w:w="680" w:type="dxa"/>
          </w:tcPr>
          <w:p w:rsidR="000073B8" w:rsidRDefault="000073B8" w:rsidP="00682055">
            <w:r>
              <w:t>Year</w:t>
            </w:r>
          </w:p>
        </w:tc>
        <w:tc>
          <w:tcPr>
            <w:tcW w:w="995" w:type="dxa"/>
          </w:tcPr>
          <w:p w:rsidR="000073B8" w:rsidRDefault="000073B8" w:rsidP="00682055">
            <w:r>
              <w:t>Revenue</w:t>
            </w:r>
            <w:r>
              <w:br/>
              <w:t>(GBP, millions)</w:t>
            </w:r>
          </w:p>
        </w:tc>
        <w:tc>
          <w:tcPr>
            <w:tcW w:w="995" w:type="dxa"/>
          </w:tcPr>
          <w:p w:rsidR="000073B8" w:rsidRDefault="000073B8" w:rsidP="00682055">
            <w:r>
              <w:t>Rooms</w:t>
            </w:r>
            <w:r>
              <w:br/>
              <w:t>Revenue</w:t>
            </w:r>
          </w:p>
        </w:tc>
        <w:tc>
          <w:tcPr>
            <w:tcW w:w="995" w:type="dxa"/>
          </w:tcPr>
          <w:p w:rsidR="000073B8" w:rsidRDefault="000073B8" w:rsidP="00682055">
            <w:r>
              <w:t>F&amp;B</w:t>
            </w:r>
            <w:r>
              <w:br/>
              <w:t>Revenue</w:t>
            </w:r>
          </w:p>
        </w:tc>
        <w:tc>
          <w:tcPr>
            <w:tcW w:w="995" w:type="dxa"/>
          </w:tcPr>
          <w:p w:rsidR="000073B8" w:rsidRDefault="000073B8" w:rsidP="00682055">
            <w:r>
              <w:t>Other</w:t>
            </w:r>
            <w:r>
              <w:br/>
              <w:t>Revenue</w:t>
            </w:r>
          </w:p>
        </w:tc>
        <w:tc>
          <w:tcPr>
            <w:tcW w:w="979" w:type="dxa"/>
          </w:tcPr>
          <w:p w:rsidR="000073B8" w:rsidRDefault="000073B8" w:rsidP="00682055">
            <w:proofErr w:type="spellStart"/>
            <w:r>
              <w:t>CoGS</w:t>
            </w:r>
            <w:proofErr w:type="spellEnd"/>
            <w:r>
              <w:br/>
              <w:t>(GBP, millions)</w:t>
            </w:r>
          </w:p>
        </w:tc>
        <w:tc>
          <w:tcPr>
            <w:tcW w:w="1113" w:type="dxa"/>
          </w:tcPr>
          <w:p w:rsidR="000073B8" w:rsidRDefault="000073B8" w:rsidP="00682055">
            <w:r>
              <w:t>Operating Costs</w:t>
            </w:r>
            <w:r>
              <w:br/>
              <w:t>(GBP, millions)</w:t>
            </w:r>
          </w:p>
        </w:tc>
        <w:tc>
          <w:tcPr>
            <w:tcW w:w="830" w:type="dxa"/>
          </w:tcPr>
          <w:p w:rsidR="000073B8" w:rsidRDefault="000073B8" w:rsidP="00682055">
            <w:r>
              <w:t>No. of</w:t>
            </w:r>
            <w:r>
              <w:br/>
              <w:t>Rooms</w:t>
            </w:r>
          </w:p>
        </w:tc>
        <w:tc>
          <w:tcPr>
            <w:tcW w:w="905" w:type="dxa"/>
          </w:tcPr>
          <w:p w:rsidR="000073B8" w:rsidRDefault="000073B8" w:rsidP="00682055">
            <w:proofErr w:type="spellStart"/>
            <w:r>
              <w:t>RevPAR</w:t>
            </w:r>
            <w:proofErr w:type="spellEnd"/>
            <w:r>
              <w:br/>
              <w:t>(GBP)</w:t>
            </w:r>
          </w:p>
        </w:tc>
        <w:tc>
          <w:tcPr>
            <w:tcW w:w="744" w:type="dxa"/>
          </w:tcPr>
          <w:p w:rsidR="000073B8" w:rsidRDefault="000073B8" w:rsidP="00682055">
            <w:r>
              <w:t>Room Rate</w:t>
            </w:r>
            <w:r>
              <w:br/>
              <w:t>(GBP)</w:t>
            </w:r>
          </w:p>
        </w:tc>
        <w:tc>
          <w:tcPr>
            <w:tcW w:w="1543" w:type="dxa"/>
          </w:tcPr>
          <w:p w:rsidR="000073B8" w:rsidRDefault="000073B8" w:rsidP="00682055">
            <w:r>
              <w:t>Occupancy %</w:t>
            </w:r>
          </w:p>
        </w:tc>
      </w:tr>
      <w:tr w:rsidR="000073B8" w:rsidTr="00682055">
        <w:tc>
          <w:tcPr>
            <w:tcW w:w="680" w:type="dxa"/>
          </w:tcPr>
          <w:p w:rsidR="000073B8" w:rsidRDefault="000073B8" w:rsidP="00682055">
            <w:r>
              <w:t>2023</w:t>
            </w:r>
          </w:p>
        </w:tc>
        <w:tc>
          <w:tcPr>
            <w:tcW w:w="995" w:type="dxa"/>
          </w:tcPr>
          <w:p w:rsidR="000073B8" w:rsidRDefault="000073B8" w:rsidP="00682055">
            <w:r>
              <w:t>2960</w:t>
            </w:r>
          </w:p>
        </w:tc>
        <w:tc>
          <w:tcPr>
            <w:tcW w:w="995" w:type="dxa"/>
          </w:tcPr>
          <w:p w:rsidR="000073B8" w:rsidRDefault="000073B8" w:rsidP="00682055">
            <w:r>
              <w:t>2100</w:t>
            </w:r>
          </w:p>
        </w:tc>
        <w:tc>
          <w:tcPr>
            <w:tcW w:w="995" w:type="dxa"/>
          </w:tcPr>
          <w:p w:rsidR="000073B8" w:rsidRDefault="000073B8" w:rsidP="00682055">
            <w:r>
              <w:t>647</w:t>
            </w:r>
          </w:p>
        </w:tc>
        <w:tc>
          <w:tcPr>
            <w:tcW w:w="995" w:type="dxa"/>
          </w:tcPr>
          <w:p w:rsidR="000073B8" w:rsidRDefault="000073B8" w:rsidP="00682055">
            <w:r>
              <w:t>213</w:t>
            </w:r>
          </w:p>
        </w:tc>
        <w:tc>
          <w:tcPr>
            <w:tcW w:w="979" w:type="dxa"/>
          </w:tcPr>
          <w:p w:rsidR="000073B8" w:rsidRDefault="000073B8" w:rsidP="00682055">
            <w:r>
              <w:t>1040</w:t>
            </w:r>
          </w:p>
        </w:tc>
        <w:tc>
          <w:tcPr>
            <w:tcW w:w="1113" w:type="dxa"/>
          </w:tcPr>
          <w:p w:rsidR="000073B8" w:rsidRDefault="000073B8" w:rsidP="00682055">
            <w:r>
              <w:t>720</w:t>
            </w:r>
          </w:p>
        </w:tc>
        <w:tc>
          <w:tcPr>
            <w:tcW w:w="830" w:type="dxa"/>
          </w:tcPr>
          <w:p w:rsidR="000073B8" w:rsidRDefault="000073B8" w:rsidP="00682055">
            <w:r>
              <w:t>83576</w:t>
            </w:r>
          </w:p>
        </w:tc>
        <w:tc>
          <w:tcPr>
            <w:tcW w:w="905" w:type="dxa"/>
          </w:tcPr>
          <w:p w:rsidR="000073B8" w:rsidRDefault="000073B8" w:rsidP="00682055">
            <w:r>
              <w:t>67</w:t>
            </w:r>
          </w:p>
        </w:tc>
        <w:tc>
          <w:tcPr>
            <w:tcW w:w="744" w:type="dxa"/>
          </w:tcPr>
          <w:p w:rsidR="000073B8" w:rsidRDefault="000073B8" w:rsidP="00682055">
            <w:r>
              <w:t>81</w:t>
            </w:r>
          </w:p>
        </w:tc>
        <w:tc>
          <w:tcPr>
            <w:tcW w:w="1543" w:type="dxa"/>
          </w:tcPr>
          <w:p w:rsidR="000073B8" w:rsidRDefault="000073B8" w:rsidP="00682055">
            <w:r>
              <w:t>83</w:t>
            </w:r>
          </w:p>
        </w:tc>
      </w:tr>
      <w:tr w:rsidR="000073B8" w:rsidTr="00682055">
        <w:tc>
          <w:tcPr>
            <w:tcW w:w="680" w:type="dxa"/>
          </w:tcPr>
          <w:p w:rsidR="000073B8" w:rsidRDefault="000073B8" w:rsidP="00682055">
            <w:r>
              <w:t>2022</w:t>
            </w:r>
          </w:p>
        </w:tc>
        <w:tc>
          <w:tcPr>
            <w:tcW w:w="995" w:type="dxa"/>
          </w:tcPr>
          <w:p w:rsidR="000073B8" w:rsidRDefault="000073B8" w:rsidP="00682055">
            <w:r>
              <w:t>2625</w:t>
            </w:r>
          </w:p>
        </w:tc>
        <w:tc>
          <w:tcPr>
            <w:tcW w:w="995" w:type="dxa"/>
          </w:tcPr>
          <w:p w:rsidR="000073B8" w:rsidRDefault="000073B8" w:rsidP="00682055">
            <w:r>
              <w:t>1950</w:t>
            </w:r>
          </w:p>
        </w:tc>
        <w:tc>
          <w:tcPr>
            <w:tcW w:w="995" w:type="dxa"/>
          </w:tcPr>
          <w:p w:rsidR="000073B8" w:rsidRDefault="000073B8" w:rsidP="00682055">
            <w:r>
              <w:t>523</w:t>
            </w:r>
          </w:p>
        </w:tc>
        <w:tc>
          <w:tcPr>
            <w:tcW w:w="995" w:type="dxa"/>
          </w:tcPr>
          <w:p w:rsidR="000073B8" w:rsidRDefault="000073B8" w:rsidP="00682055">
            <w:r>
              <w:t>152</w:t>
            </w:r>
          </w:p>
        </w:tc>
        <w:tc>
          <w:tcPr>
            <w:tcW w:w="979" w:type="dxa"/>
          </w:tcPr>
          <w:p w:rsidR="000073B8" w:rsidRDefault="000073B8" w:rsidP="00682055">
            <w:r>
              <w:t>1020</w:t>
            </w:r>
          </w:p>
        </w:tc>
        <w:tc>
          <w:tcPr>
            <w:tcW w:w="1113" w:type="dxa"/>
          </w:tcPr>
          <w:p w:rsidR="000073B8" w:rsidRDefault="000073B8" w:rsidP="00682055">
            <w:r>
              <w:t>710</w:t>
            </w:r>
          </w:p>
        </w:tc>
        <w:tc>
          <w:tcPr>
            <w:tcW w:w="830" w:type="dxa"/>
          </w:tcPr>
          <w:p w:rsidR="000073B8" w:rsidRDefault="000073B8" w:rsidP="00682055">
            <w:r>
              <w:t>83500</w:t>
            </w:r>
          </w:p>
        </w:tc>
        <w:tc>
          <w:tcPr>
            <w:tcW w:w="905" w:type="dxa"/>
          </w:tcPr>
          <w:p w:rsidR="000073B8" w:rsidRDefault="000073B8" w:rsidP="00682055">
            <w:r>
              <w:t>64</w:t>
            </w:r>
          </w:p>
        </w:tc>
        <w:tc>
          <w:tcPr>
            <w:tcW w:w="744" w:type="dxa"/>
          </w:tcPr>
          <w:p w:rsidR="000073B8" w:rsidRDefault="000073B8" w:rsidP="00682055">
            <w:r>
              <w:t>79</w:t>
            </w:r>
          </w:p>
        </w:tc>
        <w:tc>
          <w:tcPr>
            <w:tcW w:w="1543" w:type="dxa"/>
          </w:tcPr>
          <w:p w:rsidR="000073B8" w:rsidRDefault="000073B8" w:rsidP="00682055">
            <w:r>
              <w:t>81</w:t>
            </w:r>
          </w:p>
        </w:tc>
      </w:tr>
      <w:tr w:rsidR="000073B8" w:rsidTr="00682055">
        <w:tc>
          <w:tcPr>
            <w:tcW w:w="680" w:type="dxa"/>
          </w:tcPr>
          <w:p w:rsidR="000073B8" w:rsidRDefault="000073B8" w:rsidP="00682055">
            <w:r>
              <w:t>2021</w:t>
            </w:r>
          </w:p>
        </w:tc>
        <w:tc>
          <w:tcPr>
            <w:tcW w:w="995" w:type="dxa"/>
          </w:tcPr>
          <w:p w:rsidR="000073B8" w:rsidRDefault="000073B8" w:rsidP="00682055">
            <w:r>
              <w:t>1703</w:t>
            </w:r>
          </w:p>
        </w:tc>
        <w:tc>
          <w:tcPr>
            <w:tcW w:w="995" w:type="dxa"/>
          </w:tcPr>
          <w:p w:rsidR="000073B8" w:rsidRDefault="000073B8" w:rsidP="00682055">
            <w:r>
              <w:t>1100</w:t>
            </w:r>
          </w:p>
        </w:tc>
        <w:tc>
          <w:tcPr>
            <w:tcW w:w="995" w:type="dxa"/>
          </w:tcPr>
          <w:p w:rsidR="000073B8" w:rsidRDefault="000073B8" w:rsidP="00682055">
            <w:r>
              <w:t>450</w:t>
            </w:r>
          </w:p>
        </w:tc>
        <w:tc>
          <w:tcPr>
            <w:tcW w:w="995" w:type="dxa"/>
          </w:tcPr>
          <w:p w:rsidR="000073B8" w:rsidRDefault="000073B8" w:rsidP="00682055">
            <w:r>
              <w:t>153</w:t>
            </w:r>
          </w:p>
        </w:tc>
        <w:tc>
          <w:tcPr>
            <w:tcW w:w="979" w:type="dxa"/>
          </w:tcPr>
          <w:p w:rsidR="000073B8" w:rsidRDefault="000073B8" w:rsidP="00682055">
            <w:r>
              <w:t>850</w:t>
            </w:r>
          </w:p>
        </w:tc>
        <w:tc>
          <w:tcPr>
            <w:tcW w:w="1113" w:type="dxa"/>
          </w:tcPr>
          <w:p w:rsidR="000073B8" w:rsidRDefault="000073B8" w:rsidP="00682055">
            <w:r>
              <w:t>675</w:t>
            </w:r>
          </w:p>
        </w:tc>
        <w:tc>
          <w:tcPr>
            <w:tcW w:w="830" w:type="dxa"/>
          </w:tcPr>
          <w:p w:rsidR="000073B8" w:rsidRDefault="000073B8" w:rsidP="00682055">
            <w:r>
              <w:t>82286</w:t>
            </w:r>
          </w:p>
        </w:tc>
        <w:tc>
          <w:tcPr>
            <w:tcW w:w="905" w:type="dxa"/>
          </w:tcPr>
          <w:p w:rsidR="000073B8" w:rsidRDefault="000073B8" w:rsidP="00682055">
            <w:r>
              <w:t>52</w:t>
            </w:r>
          </w:p>
        </w:tc>
        <w:tc>
          <w:tcPr>
            <w:tcW w:w="744" w:type="dxa"/>
          </w:tcPr>
          <w:p w:rsidR="000073B8" w:rsidRDefault="000073B8" w:rsidP="00682055">
            <w:r>
              <w:t>72</w:t>
            </w:r>
          </w:p>
        </w:tc>
        <w:tc>
          <w:tcPr>
            <w:tcW w:w="1543" w:type="dxa"/>
          </w:tcPr>
          <w:p w:rsidR="000073B8" w:rsidRDefault="000073B8" w:rsidP="00682055">
            <w:r>
              <w:t>72</w:t>
            </w:r>
          </w:p>
        </w:tc>
      </w:tr>
      <w:tr w:rsidR="000073B8" w:rsidTr="00682055">
        <w:tc>
          <w:tcPr>
            <w:tcW w:w="680" w:type="dxa"/>
          </w:tcPr>
          <w:p w:rsidR="000073B8" w:rsidRDefault="000073B8" w:rsidP="00682055">
            <w:r>
              <w:t>2020</w:t>
            </w:r>
          </w:p>
        </w:tc>
        <w:tc>
          <w:tcPr>
            <w:tcW w:w="995" w:type="dxa"/>
          </w:tcPr>
          <w:p w:rsidR="000073B8" w:rsidRDefault="000073B8" w:rsidP="00682055">
            <w:r>
              <w:t>590</w:t>
            </w:r>
          </w:p>
        </w:tc>
        <w:tc>
          <w:tcPr>
            <w:tcW w:w="995" w:type="dxa"/>
          </w:tcPr>
          <w:p w:rsidR="000073B8" w:rsidRDefault="000073B8" w:rsidP="00682055">
            <w:r>
              <w:t>310</w:t>
            </w:r>
          </w:p>
        </w:tc>
        <w:tc>
          <w:tcPr>
            <w:tcW w:w="995" w:type="dxa"/>
          </w:tcPr>
          <w:p w:rsidR="000073B8" w:rsidRDefault="000073B8" w:rsidP="00682055">
            <w:r>
              <w:t>180</w:t>
            </w:r>
          </w:p>
        </w:tc>
        <w:tc>
          <w:tcPr>
            <w:tcW w:w="995" w:type="dxa"/>
          </w:tcPr>
          <w:p w:rsidR="000073B8" w:rsidRDefault="000073B8" w:rsidP="00682055">
            <w:r>
              <w:t>100</w:t>
            </w:r>
          </w:p>
        </w:tc>
        <w:tc>
          <w:tcPr>
            <w:tcW w:w="979" w:type="dxa"/>
          </w:tcPr>
          <w:p w:rsidR="000073B8" w:rsidRDefault="000073B8" w:rsidP="00682055">
            <w:r>
              <w:t>450</w:t>
            </w:r>
          </w:p>
        </w:tc>
        <w:tc>
          <w:tcPr>
            <w:tcW w:w="1113" w:type="dxa"/>
          </w:tcPr>
          <w:p w:rsidR="000073B8" w:rsidRDefault="000073B8" w:rsidP="00682055">
            <w:r>
              <w:t>340</w:t>
            </w:r>
          </w:p>
        </w:tc>
        <w:tc>
          <w:tcPr>
            <w:tcW w:w="830" w:type="dxa"/>
          </w:tcPr>
          <w:p w:rsidR="000073B8" w:rsidRDefault="000073B8" w:rsidP="00682055">
            <w:r>
              <w:t>78718</w:t>
            </w:r>
          </w:p>
        </w:tc>
        <w:tc>
          <w:tcPr>
            <w:tcW w:w="905" w:type="dxa"/>
          </w:tcPr>
          <w:p w:rsidR="000073B8" w:rsidRDefault="000073B8" w:rsidP="00682055">
            <w:r>
              <w:t>29</w:t>
            </w:r>
          </w:p>
        </w:tc>
        <w:tc>
          <w:tcPr>
            <w:tcW w:w="744" w:type="dxa"/>
          </w:tcPr>
          <w:p w:rsidR="000073B8" w:rsidRDefault="000073B8" w:rsidP="00682055">
            <w:r>
              <w:t>64</w:t>
            </w:r>
          </w:p>
        </w:tc>
        <w:tc>
          <w:tcPr>
            <w:tcW w:w="1543" w:type="dxa"/>
          </w:tcPr>
          <w:p w:rsidR="000073B8" w:rsidRDefault="000073B8" w:rsidP="00682055">
            <w:r>
              <w:t>45</w:t>
            </w:r>
          </w:p>
        </w:tc>
      </w:tr>
      <w:tr w:rsidR="000073B8" w:rsidTr="00682055">
        <w:tc>
          <w:tcPr>
            <w:tcW w:w="680" w:type="dxa"/>
          </w:tcPr>
          <w:p w:rsidR="000073B8" w:rsidRDefault="000073B8" w:rsidP="00682055">
            <w:r>
              <w:t>2019</w:t>
            </w:r>
          </w:p>
        </w:tc>
        <w:tc>
          <w:tcPr>
            <w:tcW w:w="995" w:type="dxa"/>
          </w:tcPr>
          <w:p w:rsidR="000073B8" w:rsidRDefault="000073B8" w:rsidP="00682055">
            <w:r>
              <w:t>2072</w:t>
            </w:r>
          </w:p>
        </w:tc>
        <w:tc>
          <w:tcPr>
            <w:tcW w:w="995" w:type="dxa"/>
          </w:tcPr>
          <w:p w:rsidR="000073B8" w:rsidRDefault="000073B8" w:rsidP="00682055">
            <w:r>
              <w:t>1450</w:t>
            </w:r>
          </w:p>
        </w:tc>
        <w:tc>
          <w:tcPr>
            <w:tcW w:w="995" w:type="dxa"/>
          </w:tcPr>
          <w:p w:rsidR="000073B8" w:rsidRDefault="000073B8" w:rsidP="00682055">
            <w:r>
              <w:t>467</w:t>
            </w:r>
          </w:p>
        </w:tc>
        <w:tc>
          <w:tcPr>
            <w:tcW w:w="995" w:type="dxa"/>
          </w:tcPr>
          <w:p w:rsidR="000073B8" w:rsidRDefault="000073B8" w:rsidP="00682055">
            <w:r>
              <w:t>155</w:t>
            </w:r>
          </w:p>
        </w:tc>
        <w:tc>
          <w:tcPr>
            <w:tcW w:w="979" w:type="dxa"/>
          </w:tcPr>
          <w:p w:rsidR="000073B8" w:rsidRDefault="000073B8" w:rsidP="00682055">
            <w:r>
              <w:t>1050</w:t>
            </w:r>
          </w:p>
        </w:tc>
        <w:tc>
          <w:tcPr>
            <w:tcW w:w="1113" w:type="dxa"/>
          </w:tcPr>
          <w:p w:rsidR="000073B8" w:rsidRDefault="000073B8" w:rsidP="00682055">
            <w:r>
              <w:t>750</w:t>
            </w:r>
          </w:p>
        </w:tc>
        <w:tc>
          <w:tcPr>
            <w:tcW w:w="830" w:type="dxa"/>
          </w:tcPr>
          <w:p w:rsidR="000073B8" w:rsidRDefault="000073B8" w:rsidP="00682055">
            <w:r>
              <w:t>78547</w:t>
            </w:r>
          </w:p>
        </w:tc>
        <w:tc>
          <w:tcPr>
            <w:tcW w:w="905" w:type="dxa"/>
          </w:tcPr>
          <w:p w:rsidR="000073B8" w:rsidRDefault="000073B8" w:rsidP="00682055">
            <w:r>
              <w:t>59</w:t>
            </w:r>
          </w:p>
        </w:tc>
        <w:tc>
          <w:tcPr>
            <w:tcW w:w="744" w:type="dxa"/>
          </w:tcPr>
          <w:p w:rsidR="000073B8" w:rsidRDefault="000073B8" w:rsidP="00682055">
            <w:r>
              <w:t>73</w:t>
            </w:r>
          </w:p>
        </w:tc>
        <w:tc>
          <w:tcPr>
            <w:tcW w:w="1543" w:type="dxa"/>
          </w:tcPr>
          <w:p w:rsidR="000073B8" w:rsidRDefault="000073B8" w:rsidP="00682055">
            <w:r>
              <w:t>81</w:t>
            </w:r>
          </w:p>
        </w:tc>
      </w:tr>
    </w:tbl>
    <w:p w:rsidR="000073B8" w:rsidRDefault="000073B8" w:rsidP="000073B8">
      <w:pPr>
        <w:jc w:val="center"/>
      </w:pPr>
    </w:p>
    <w:p w:rsidR="000073B8" w:rsidRDefault="000073B8" w:rsidP="000073B8">
      <w:pPr>
        <w:jc w:val="both"/>
      </w:pPr>
    </w:p>
    <w:p w:rsidR="000073B8" w:rsidRPr="000073B8" w:rsidRDefault="000073B8" w:rsidP="004A4D9F">
      <w:pPr>
        <w:spacing w:line="360" w:lineRule="auto"/>
        <w:jc w:val="both"/>
        <w:rPr>
          <w:rFonts w:ascii="Arial" w:hAnsi="Arial" w:cs="Arial"/>
          <w:sz w:val="24"/>
          <w:szCs w:val="24"/>
        </w:rPr>
      </w:pPr>
      <w:r w:rsidRPr="000073B8">
        <w:rPr>
          <w:rFonts w:ascii="Arial" w:hAnsi="Arial" w:cs="Arial"/>
          <w:sz w:val="24"/>
          <w:szCs w:val="24"/>
        </w:rPr>
        <w:t>Premier Inn demonstrated more stability compared to Shangri-La due to its focus on the budget market and a strong presence in domestic and business travel. While the pandemic caused a temporary revenue dip—from £2,072 million in 2019 to £590 million in 2020—Premier Inn quickly rebounded, achieving total revenue of £2,960 million in 2023 (Premier Inn Financial Statement, 2020, p. 2; Premier Inn Financial Statement, 2023, p. 1).</w:t>
      </w:r>
    </w:p>
    <w:p w:rsidR="000073B8" w:rsidRPr="000073B8" w:rsidRDefault="000073B8" w:rsidP="004A4D9F">
      <w:pPr>
        <w:spacing w:line="360" w:lineRule="auto"/>
        <w:jc w:val="both"/>
        <w:rPr>
          <w:rFonts w:ascii="Arial" w:hAnsi="Arial" w:cs="Arial"/>
          <w:sz w:val="24"/>
          <w:szCs w:val="24"/>
        </w:rPr>
      </w:pPr>
      <w:r w:rsidRPr="000073B8">
        <w:rPr>
          <w:rFonts w:ascii="Arial" w:hAnsi="Arial" w:cs="Arial"/>
          <w:sz w:val="24"/>
          <w:szCs w:val="24"/>
        </w:rPr>
        <w:t>Room Revenue: Premier Inn’s room revenue fell to £310 million in 2020 but recovered to £2,100 million by 2023 (Premier Inn Financial Statement, 2020, p. 2; Premier Inn Financial Statement, 2023, p. 1).</w:t>
      </w:r>
    </w:p>
    <w:p w:rsidR="000073B8" w:rsidRPr="000073B8" w:rsidRDefault="000073B8" w:rsidP="004A4D9F">
      <w:pPr>
        <w:spacing w:line="360" w:lineRule="auto"/>
        <w:jc w:val="both"/>
        <w:rPr>
          <w:rFonts w:ascii="Arial" w:hAnsi="Arial" w:cs="Arial"/>
          <w:sz w:val="24"/>
          <w:szCs w:val="24"/>
        </w:rPr>
      </w:pPr>
      <w:r w:rsidRPr="000073B8">
        <w:rPr>
          <w:rFonts w:ascii="Arial" w:hAnsi="Arial" w:cs="Arial"/>
          <w:sz w:val="24"/>
          <w:szCs w:val="24"/>
        </w:rPr>
        <w:lastRenderedPageBreak/>
        <w:t>Occupancy Rates: Occupancy rates dropped to 45% in 2020 but quickly improved, reaching 83% by 2023 (Premier Inn Financial Statement, 2020, p. 3; Premier Inn Financial Statement, 2023, p. 2).</w:t>
      </w:r>
    </w:p>
    <w:p w:rsidR="000073B8" w:rsidRPr="000073B8" w:rsidRDefault="000073B8" w:rsidP="004A4D9F">
      <w:pPr>
        <w:spacing w:line="360" w:lineRule="auto"/>
        <w:jc w:val="both"/>
        <w:rPr>
          <w:rFonts w:ascii="Arial" w:hAnsi="Arial" w:cs="Arial"/>
          <w:sz w:val="24"/>
          <w:szCs w:val="24"/>
        </w:rPr>
      </w:pPr>
      <w:r w:rsidRPr="000073B8">
        <w:rPr>
          <w:rFonts w:ascii="Arial" w:hAnsi="Arial" w:cs="Arial"/>
          <w:sz w:val="24"/>
          <w:szCs w:val="24"/>
        </w:rPr>
        <w:t>Operating Costs: Despite fluctuations in revenue, Premier Inn maintained relatively consistent operating costs, with costs of £720 million in 2023, highlighting the brand’s operational efficiency (Premier Inn Financial Statement, 2023, p. 3).</w:t>
      </w:r>
    </w:p>
    <w:p w:rsidR="000073B8" w:rsidRPr="000073B8" w:rsidRDefault="000073B8" w:rsidP="004A4D9F">
      <w:pPr>
        <w:spacing w:line="360" w:lineRule="auto"/>
        <w:jc w:val="both"/>
        <w:rPr>
          <w:rFonts w:ascii="Arial" w:hAnsi="Arial" w:cs="Arial"/>
          <w:sz w:val="24"/>
          <w:szCs w:val="24"/>
        </w:rPr>
      </w:pPr>
      <w:r w:rsidRPr="000073B8">
        <w:rPr>
          <w:rFonts w:ascii="Arial" w:hAnsi="Arial" w:cs="Arial"/>
          <w:sz w:val="24"/>
          <w:szCs w:val="24"/>
        </w:rPr>
        <w:t xml:space="preserve">Impact of COVID-19: The pandemic significantly affected both Shangri-La and Premier Inn. Shangri-La’s revenue decline was more severe due to its focus on luxury international tourism, which suffered during travel restrictions, while Premier Inn’s domestic focus helped cushion the blow (Shangri-La Financial Statement, 2020, p. 2(a); Premier Inn Financial Statement, 2020, p. 3).   </w:t>
      </w:r>
    </w:p>
    <w:p w:rsidR="000073B8" w:rsidRPr="000073B8" w:rsidRDefault="000073B8" w:rsidP="004A4D9F">
      <w:pPr>
        <w:spacing w:line="360" w:lineRule="auto"/>
        <w:jc w:val="both"/>
        <w:rPr>
          <w:rFonts w:ascii="Arial" w:hAnsi="Arial" w:cs="Arial"/>
          <w:sz w:val="24"/>
          <w:szCs w:val="24"/>
        </w:rPr>
      </w:pPr>
      <w:r w:rsidRPr="000073B8">
        <w:rPr>
          <w:rFonts w:ascii="Arial" w:hAnsi="Arial" w:cs="Arial"/>
          <w:sz w:val="24"/>
          <w:szCs w:val="24"/>
        </w:rPr>
        <w:t>Luxury vs. Budget Market: Shangri-La's high-end positioning made it vulnerable to economic downturns and international travel restrictions. Premier Inn’s positioning in the budget segment and focus on domestic travel markets allowed it to recover more quickly (Shangri-La Financial Statement, 2020, p. 3(b); Premier Inn Financial Statement, 2020, p. 3).</w:t>
      </w:r>
    </w:p>
    <w:p w:rsidR="000073B8" w:rsidRPr="000073B8" w:rsidRDefault="000073B8" w:rsidP="004A4D9F">
      <w:pPr>
        <w:spacing w:line="360" w:lineRule="auto"/>
        <w:jc w:val="both"/>
        <w:rPr>
          <w:rFonts w:ascii="Arial" w:hAnsi="Arial" w:cs="Arial"/>
          <w:sz w:val="24"/>
          <w:szCs w:val="24"/>
        </w:rPr>
      </w:pPr>
      <w:r w:rsidRPr="000073B8">
        <w:rPr>
          <w:rFonts w:ascii="Arial" w:hAnsi="Arial" w:cs="Arial"/>
          <w:sz w:val="24"/>
          <w:szCs w:val="24"/>
        </w:rPr>
        <w:t>Geographical Influence: Shangri-La’s significant exposure to Asia, especially China and Hong Kong, impacted its recovery trajectory, whereas Premier Inn, with its focus on the UK and Germany, experienced more stable domestic demand (Shangri-La Financial Statement, 2022, p. 3(b); Premier Inn Financial Statement, 2021, p. 2).</w:t>
      </w:r>
    </w:p>
    <w:p w:rsidR="000073B8" w:rsidRPr="000073B8" w:rsidRDefault="000073B8" w:rsidP="004A4D9F">
      <w:pPr>
        <w:spacing w:line="360" w:lineRule="auto"/>
        <w:jc w:val="both"/>
        <w:rPr>
          <w:rFonts w:ascii="Arial" w:hAnsi="Arial" w:cs="Arial"/>
          <w:sz w:val="24"/>
          <w:szCs w:val="24"/>
        </w:rPr>
      </w:pPr>
      <w:r w:rsidRPr="000073B8">
        <w:rPr>
          <w:rFonts w:ascii="Arial" w:hAnsi="Arial" w:cs="Arial"/>
          <w:sz w:val="24"/>
          <w:szCs w:val="24"/>
        </w:rPr>
        <w:t>Cost Management and Efficiency: Both companies implemented strategies to reduce costs during the pandemic. Shangri-La managed to reduce its operating costs significantly by 2023, while Premier Inn maintained consistent cost control throughout the period (Shangri-La Financial Statement, 2023, p. 2(b); Premier Inn Financial Statement, 2023, p. 2(c)).</w:t>
      </w:r>
    </w:p>
    <w:p w:rsidR="000073B8" w:rsidRPr="000073B8" w:rsidRDefault="000073B8" w:rsidP="004A4D9F">
      <w:pPr>
        <w:spacing w:line="360" w:lineRule="auto"/>
        <w:jc w:val="both"/>
        <w:rPr>
          <w:rFonts w:ascii="Arial" w:hAnsi="Arial" w:cs="Arial"/>
          <w:sz w:val="24"/>
          <w:szCs w:val="24"/>
        </w:rPr>
      </w:pPr>
      <w:r w:rsidRPr="000073B8">
        <w:rPr>
          <w:rFonts w:ascii="Arial" w:hAnsi="Arial" w:cs="Arial"/>
          <w:sz w:val="24"/>
          <w:szCs w:val="24"/>
        </w:rPr>
        <w:t xml:space="preserve">Shangri-La Hotels holds a prominent position in the luxury hospitality market, with a strong global presence. The brand operates over 100 hotels across key regions including Asia, Europe, and North America, positioning itself in high-traffic tourist destinations such as Hong Kong, Singapore, London, and Paris (Hospitality Net, 2023). The company's target demographic consists primarily of high-net-worth individuals seeking premium services, such as personalized experiences, luxury </w:t>
      </w:r>
      <w:r w:rsidRPr="000073B8">
        <w:rPr>
          <w:rFonts w:ascii="Arial" w:hAnsi="Arial" w:cs="Arial"/>
          <w:sz w:val="24"/>
          <w:szCs w:val="24"/>
        </w:rPr>
        <w:lastRenderedPageBreak/>
        <w:t>accommodations, and exclusive amenities. This positioning has earned Shangri-La a strong brand perception as a top-tier luxury brand, appealing mainly to international guests with a preference for luxury (China Travel News, 2024).</w:t>
      </w:r>
    </w:p>
    <w:p w:rsidR="000073B8" w:rsidRPr="000073B8" w:rsidRDefault="000073B8" w:rsidP="004A4D9F">
      <w:pPr>
        <w:spacing w:line="360" w:lineRule="auto"/>
        <w:jc w:val="both"/>
        <w:rPr>
          <w:rFonts w:ascii="Arial" w:hAnsi="Arial" w:cs="Arial"/>
          <w:sz w:val="24"/>
          <w:szCs w:val="24"/>
        </w:rPr>
      </w:pPr>
      <w:r w:rsidRPr="000073B8">
        <w:rPr>
          <w:rFonts w:ascii="Arial" w:hAnsi="Arial" w:cs="Arial"/>
          <w:sz w:val="24"/>
          <w:szCs w:val="24"/>
        </w:rPr>
        <w:t>In terms of market share, Shangri-La dominates the luxury hotel sector in regions like Asia, particularly in Mainland China and Hong Kong, where it commands significant market share. However, its luxury positioning also limits its flexibility in expanding into more budget-conscious segments. The high-end nature of its services means the brand is susceptible to economic fluctuations and travel restrictions, particularly affecting international tourism (</w:t>
      </w:r>
      <w:proofErr w:type="spellStart"/>
      <w:r w:rsidRPr="000073B8">
        <w:rPr>
          <w:rFonts w:ascii="Arial" w:hAnsi="Arial" w:cs="Arial"/>
          <w:sz w:val="24"/>
          <w:szCs w:val="24"/>
        </w:rPr>
        <w:t>Mingtiandi</w:t>
      </w:r>
      <w:proofErr w:type="spellEnd"/>
      <w:r w:rsidRPr="000073B8">
        <w:rPr>
          <w:rFonts w:ascii="Arial" w:hAnsi="Arial" w:cs="Arial"/>
          <w:sz w:val="24"/>
          <w:szCs w:val="24"/>
        </w:rPr>
        <w:t>, 2024). Despite these challenges, Shangri-La has maintained a strong recovery post-pandemic, driven by demand in its core markets, particularly in Asia (Hospitality Net, 2023).</w:t>
      </w:r>
    </w:p>
    <w:p w:rsidR="000073B8" w:rsidRPr="000073B8" w:rsidRDefault="000073B8" w:rsidP="004A4D9F">
      <w:pPr>
        <w:spacing w:line="360" w:lineRule="auto"/>
        <w:jc w:val="both"/>
        <w:rPr>
          <w:rFonts w:ascii="Arial" w:hAnsi="Arial" w:cs="Arial"/>
          <w:sz w:val="24"/>
          <w:szCs w:val="24"/>
        </w:rPr>
      </w:pPr>
      <w:r w:rsidRPr="000073B8">
        <w:rPr>
          <w:rFonts w:ascii="Arial" w:hAnsi="Arial" w:cs="Arial"/>
          <w:sz w:val="24"/>
          <w:szCs w:val="24"/>
        </w:rPr>
        <w:t>Premier Inn operates as a leading budget/mid-tier hotel chain in the UK, and it is expanding into regions such as Germany. The company targets domestic guests and business guests who seek affordable, comfortable stays. Premier Inn's brand perception is built around affordability and convenience, making it a popular choice among budget-conscious consumers. Its customer bas</w:t>
      </w:r>
      <w:r w:rsidR="00397DB0">
        <w:rPr>
          <w:rFonts w:ascii="Arial" w:hAnsi="Arial" w:cs="Arial"/>
          <w:sz w:val="24"/>
          <w:szCs w:val="24"/>
        </w:rPr>
        <w:t>e primarily consists of leisure</w:t>
      </w:r>
      <w:r w:rsidRPr="000073B8">
        <w:rPr>
          <w:rFonts w:ascii="Arial" w:hAnsi="Arial" w:cs="Arial"/>
          <w:sz w:val="24"/>
          <w:szCs w:val="24"/>
        </w:rPr>
        <w:t xml:space="preserve"> guests and business professionals who value efficiency and cost-effectiveness over luxury (Whitbread PLC, 2023).</w:t>
      </w:r>
    </w:p>
    <w:p w:rsidR="000073B8" w:rsidRPr="000073B8" w:rsidRDefault="000073B8" w:rsidP="004A4D9F">
      <w:pPr>
        <w:spacing w:line="360" w:lineRule="auto"/>
        <w:jc w:val="both"/>
        <w:rPr>
          <w:rFonts w:ascii="Arial" w:hAnsi="Arial" w:cs="Arial"/>
          <w:sz w:val="24"/>
          <w:szCs w:val="24"/>
        </w:rPr>
      </w:pPr>
      <w:r w:rsidRPr="000073B8">
        <w:rPr>
          <w:rFonts w:ascii="Arial" w:hAnsi="Arial" w:cs="Arial"/>
          <w:sz w:val="24"/>
          <w:szCs w:val="24"/>
        </w:rPr>
        <w:t>With a significant market share in the UK budget hotel sector, Premier Inn has established itself as a trusted brand. The company has been expanding into Europe, particularly in Germany, where it seeks to replicate its success in the UK. Premier Inn’s ability to maintain high occupancy rates and deliver consistent value to customers gives it a competitive edge over other budget hotel chains (The Caterer, 2023). Its regional focus and customer loyalty ensure that the company remains financially stable, even during economic downturns.</w:t>
      </w:r>
    </w:p>
    <w:p w:rsidR="000073B8" w:rsidRPr="000073B8" w:rsidRDefault="000073B8" w:rsidP="004A4D9F">
      <w:pPr>
        <w:spacing w:line="360" w:lineRule="auto"/>
        <w:jc w:val="both"/>
        <w:rPr>
          <w:rFonts w:ascii="Arial" w:hAnsi="Arial" w:cs="Arial"/>
          <w:sz w:val="24"/>
          <w:szCs w:val="24"/>
        </w:rPr>
      </w:pPr>
      <w:r w:rsidRPr="000073B8">
        <w:rPr>
          <w:rFonts w:ascii="Arial" w:hAnsi="Arial" w:cs="Arial"/>
          <w:sz w:val="24"/>
          <w:szCs w:val="24"/>
        </w:rPr>
        <w:t>The contrasting market positions of Shangri-La and Premier Inn have a direct impact on their financial stability. Shangri-La’s reliance on luxury and international guests makes it more vulnerable to economic shocks and travel restrictions. However, its strong brand loyalty and presence in key tourist regions provide a consistent revenue stream when international tourism is stable (</w:t>
      </w:r>
      <w:proofErr w:type="spellStart"/>
      <w:r w:rsidRPr="000073B8">
        <w:rPr>
          <w:rFonts w:ascii="Arial" w:hAnsi="Arial" w:cs="Arial"/>
          <w:sz w:val="24"/>
          <w:szCs w:val="24"/>
        </w:rPr>
        <w:t>Mingtiandi</w:t>
      </w:r>
      <w:proofErr w:type="spellEnd"/>
      <w:r w:rsidRPr="000073B8">
        <w:rPr>
          <w:rFonts w:ascii="Arial" w:hAnsi="Arial" w:cs="Arial"/>
          <w:sz w:val="24"/>
          <w:szCs w:val="24"/>
        </w:rPr>
        <w:t xml:space="preserve">, 2024). On the other hand, Premier Inn’s domestic focus and budget positioning allow it to remain resilient during economic downturns, as its customer base primarily consists of domestic </w:t>
      </w:r>
      <w:r w:rsidRPr="000073B8">
        <w:rPr>
          <w:rFonts w:ascii="Arial" w:hAnsi="Arial" w:cs="Arial"/>
          <w:sz w:val="24"/>
          <w:szCs w:val="24"/>
        </w:rPr>
        <w:lastRenderedPageBreak/>
        <w:t>guests and business guests. This focus on affordability and regional markets ensures a more stable financial position compared to Shangri-La’s high-end model (Whitbread PLC, 2023).</w:t>
      </w:r>
    </w:p>
    <w:p w:rsidR="000073B8" w:rsidRPr="000073B8" w:rsidRDefault="000073B8" w:rsidP="004A4D9F">
      <w:pPr>
        <w:spacing w:line="360" w:lineRule="auto"/>
        <w:jc w:val="both"/>
        <w:rPr>
          <w:rFonts w:ascii="Arial" w:hAnsi="Arial" w:cs="Arial"/>
          <w:sz w:val="24"/>
          <w:szCs w:val="24"/>
        </w:rPr>
      </w:pPr>
      <w:r w:rsidRPr="000073B8">
        <w:rPr>
          <w:rFonts w:ascii="Arial" w:hAnsi="Arial" w:cs="Arial"/>
          <w:sz w:val="24"/>
          <w:szCs w:val="24"/>
        </w:rPr>
        <w:t>Shangri-La Hotels is strongly committed to sustainability a</w:t>
      </w:r>
      <w:r w:rsidR="00397DB0">
        <w:rPr>
          <w:rFonts w:ascii="Arial" w:hAnsi="Arial" w:cs="Arial"/>
          <w:sz w:val="24"/>
          <w:szCs w:val="24"/>
        </w:rPr>
        <w:t xml:space="preserve">nd community engagement through </w:t>
      </w:r>
      <w:r w:rsidRPr="000073B8">
        <w:rPr>
          <w:rFonts w:ascii="Arial" w:hAnsi="Arial" w:cs="Arial"/>
          <w:sz w:val="24"/>
          <w:szCs w:val="24"/>
        </w:rPr>
        <w:t>its EMBRACE and SANCTUARY programs. EMBRACE focuses on enhancing education and healthcare in underprivileg</w:t>
      </w:r>
      <w:r w:rsidR="004348AB">
        <w:rPr>
          <w:rFonts w:ascii="Arial" w:hAnsi="Arial" w:cs="Arial"/>
          <w:sz w:val="24"/>
          <w:szCs w:val="24"/>
        </w:rPr>
        <w:t xml:space="preserve">ed communities, while SANCTUARY </w:t>
      </w:r>
      <w:r w:rsidRPr="000073B8">
        <w:rPr>
          <w:rFonts w:ascii="Arial" w:hAnsi="Arial" w:cs="Arial"/>
          <w:sz w:val="24"/>
          <w:szCs w:val="24"/>
        </w:rPr>
        <w:t>works to conserve biodiversity and restore ecosystems in the regions where the company operates (Shangri-La Experiences, 2023). Shangri-La has made substantial financial investments in green energy and sustainable tourism, prioritizing energy-efficient operations and waste reduction initiatives (Shangri-La, 2022). This financial commitment has improved the brand’s perception, particularly among eco-conscious high-end guests who seek out sustainable luxury experiences (The Purpose Business, 2023).</w:t>
      </w:r>
    </w:p>
    <w:p w:rsidR="000073B8" w:rsidRPr="000073B8" w:rsidRDefault="000073B8" w:rsidP="004A4D9F">
      <w:pPr>
        <w:spacing w:line="360" w:lineRule="auto"/>
        <w:jc w:val="both"/>
        <w:rPr>
          <w:rFonts w:ascii="Arial" w:hAnsi="Arial" w:cs="Arial"/>
          <w:sz w:val="24"/>
          <w:szCs w:val="24"/>
        </w:rPr>
      </w:pPr>
      <w:r w:rsidRPr="000073B8">
        <w:rPr>
          <w:rFonts w:ascii="Arial" w:hAnsi="Arial" w:cs="Arial"/>
          <w:sz w:val="24"/>
          <w:szCs w:val="24"/>
        </w:rPr>
        <w:t>Premier Inn focuses its CSR efforts on sustainability and community support through the Force for Good initiative. The company has invested in energy-efficient buildings and waste reduction strategies to minimize its environmental impact (Whitbread PLC, 2023). These efforts align with Premier Inn’s commitment to affordable and responsible tourism, ensuring that sustainability is a core part of the company’s long-term strategy in the budget hotel market. Premier Inn’s cost-efficient CSR approach allows it to maintain its commitment to responsible practices while continuing to offer affordable stays (The Caterer, 2023).</w:t>
      </w:r>
    </w:p>
    <w:p w:rsidR="000073B8" w:rsidRPr="000073B8" w:rsidRDefault="000073B8" w:rsidP="004A4D9F">
      <w:pPr>
        <w:spacing w:line="360" w:lineRule="auto"/>
        <w:jc w:val="both"/>
        <w:rPr>
          <w:rFonts w:ascii="Arial" w:hAnsi="Arial" w:cs="Arial"/>
          <w:sz w:val="24"/>
          <w:szCs w:val="24"/>
        </w:rPr>
      </w:pPr>
      <w:r w:rsidRPr="000073B8">
        <w:rPr>
          <w:rFonts w:ascii="Arial" w:hAnsi="Arial" w:cs="Arial"/>
          <w:sz w:val="24"/>
          <w:szCs w:val="24"/>
        </w:rPr>
        <w:t>Shangri-La and Premier Inn have distinct approaches to CSR. Shangri-La focuses on luxury-based sustainable tourism, making substantial investments in green technologies and biodiversity conservation. In contrast, Premier Inn integrates CSR into its cost-effective business model, emphasizing energy efficiency and community support as part of its sustainability efforts. Shangri-La’s CSR strategy appeals to luxury guests, while Premier Inn’s CSR focus supports its competitive edge in the budget market (Shangri-La, 2022; Whitbread PLC, 2023).</w:t>
      </w:r>
    </w:p>
    <w:p w:rsidR="000073B8" w:rsidRPr="000073B8" w:rsidRDefault="000073B8" w:rsidP="004A4D9F">
      <w:pPr>
        <w:spacing w:line="360" w:lineRule="auto"/>
        <w:jc w:val="both"/>
        <w:rPr>
          <w:rFonts w:ascii="Arial" w:hAnsi="Arial" w:cs="Arial"/>
          <w:sz w:val="24"/>
          <w:szCs w:val="24"/>
        </w:rPr>
      </w:pPr>
      <w:r w:rsidRPr="000073B8">
        <w:rPr>
          <w:rFonts w:ascii="Arial" w:hAnsi="Arial" w:cs="Arial"/>
          <w:sz w:val="24"/>
          <w:szCs w:val="24"/>
        </w:rPr>
        <w:t xml:space="preserve">Shangri-La should explore mid-tier market expansion to increase its customer base and reduce reliance on high-end guests. By offering more affordable luxury experiences through a sub-brand, the company could attract a broader range of guests, especially those seeking premium services at lower prices. This strategy </w:t>
      </w:r>
      <w:r w:rsidRPr="000073B8">
        <w:rPr>
          <w:rFonts w:ascii="Arial" w:hAnsi="Arial" w:cs="Arial"/>
          <w:sz w:val="24"/>
          <w:szCs w:val="24"/>
        </w:rPr>
        <w:lastRenderedPageBreak/>
        <w:t>would also help cushion the company against economic uncertainties and fluctuations in international travel. With its established reputation for high-end service, Shangri-La is well-positioned to appeal to a wider market while maintaining its luxury standards.</w:t>
      </w:r>
    </w:p>
    <w:p w:rsidR="000073B8" w:rsidRPr="000073B8" w:rsidRDefault="000073B8" w:rsidP="004A4D9F">
      <w:pPr>
        <w:spacing w:line="360" w:lineRule="auto"/>
        <w:jc w:val="both"/>
        <w:rPr>
          <w:rFonts w:ascii="Arial" w:hAnsi="Arial" w:cs="Arial"/>
          <w:sz w:val="24"/>
          <w:szCs w:val="24"/>
        </w:rPr>
      </w:pPr>
      <w:r w:rsidRPr="000073B8">
        <w:rPr>
          <w:rFonts w:ascii="Arial" w:hAnsi="Arial" w:cs="Arial"/>
          <w:sz w:val="24"/>
          <w:szCs w:val="24"/>
        </w:rPr>
        <w:t>Premier Inn should prioritize international expansion, particularly in Europe. Strengthening its presence in countries like Germany would allow the brand to grow beyond the UK and balance risks across multiple markets. To support this, investing in technology to streamline operations, such as automated booking and check-in systems, would improve guest experience and reduce costs. This approach will enable Premier Inn to remain competitive in the budget sector while enhancing efficiency and maintaining affordability.</w:t>
      </w:r>
    </w:p>
    <w:p w:rsidR="000073B8" w:rsidRPr="000073B8" w:rsidRDefault="000073B8" w:rsidP="004A4D9F">
      <w:pPr>
        <w:spacing w:line="360" w:lineRule="auto"/>
        <w:jc w:val="both"/>
        <w:rPr>
          <w:rFonts w:ascii="Arial" w:hAnsi="Arial" w:cs="Arial"/>
          <w:sz w:val="24"/>
          <w:szCs w:val="24"/>
        </w:rPr>
      </w:pPr>
      <w:r w:rsidRPr="000073B8">
        <w:rPr>
          <w:rFonts w:ascii="Arial" w:hAnsi="Arial" w:cs="Arial"/>
          <w:sz w:val="24"/>
          <w:szCs w:val="24"/>
        </w:rPr>
        <w:t xml:space="preserve">In summary, Shangri-La and Premier Inn operate in distinct market segments, with Shangri-La positioned in the luxury market and Premier Inn focusing on the budget/mid-tier sector. Shangri-La’s reliance on high-end international guests results in greater revenue per customer but also exposes it to higher volatility during economic downturns. In contrast, Premier Inn benefits from a stable revenue base driven by domestic and business guests, with lower operational costs and consistent demand in the budget sector. </w:t>
      </w:r>
    </w:p>
    <w:p w:rsidR="000073B8" w:rsidRPr="000073B8" w:rsidRDefault="000073B8" w:rsidP="004A4D9F">
      <w:pPr>
        <w:spacing w:line="360" w:lineRule="auto"/>
        <w:jc w:val="both"/>
        <w:rPr>
          <w:rFonts w:ascii="Arial" w:hAnsi="Arial" w:cs="Arial"/>
          <w:sz w:val="24"/>
          <w:szCs w:val="24"/>
        </w:rPr>
      </w:pPr>
    </w:p>
    <w:p w:rsidR="000073B8" w:rsidRPr="000073B8" w:rsidRDefault="000073B8" w:rsidP="004A4D9F">
      <w:pPr>
        <w:spacing w:line="360" w:lineRule="auto"/>
        <w:jc w:val="both"/>
        <w:rPr>
          <w:rFonts w:ascii="Arial" w:hAnsi="Arial" w:cs="Arial"/>
          <w:sz w:val="24"/>
          <w:szCs w:val="24"/>
        </w:rPr>
      </w:pPr>
      <w:r w:rsidRPr="000073B8">
        <w:rPr>
          <w:rFonts w:ascii="Arial" w:hAnsi="Arial" w:cs="Arial"/>
          <w:sz w:val="24"/>
          <w:szCs w:val="24"/>
        </w:rPr>
        <w:t xml:space="preserve">Effective financial management is crucial for both organizations. Shangri-La’s focus on maintaining luxury standards requires significant investment in sustainability and premium services, while Premier Inn's cost-efficient approach allows it to thrive through affordability and operational efficiency. </w:t>
      </w:r>
    </w:p>
    <w:p w:rsidR="00377770" w:rsidRDefault="000073B8" w:rsidP="004A4D9F">
      <w:pPr>
        <w:spacing w:line="360" w:lineRule="auto"/>
        <w:jc w:val="both"/>
        <w:rPr>
          <w:rFonts w:ascii="Arial" w:hAnsi="Arial" w:cs="Arial"/>
          <w:sz w:val="24"/>
          <w:szCs w:val="24"/>
        </w:rPr>
      </w:pPr>
      <w:r w:rsidRPr="000073B8">
        <w:rPr>
          <w:rFonts w:ascii="Arial" w:hAnsi="Arial" w:cs="Arial"/>
          <w:sz w:val="24"/>
          <w:szCs w:val="24"/>
        </w:rPr>
        <w:t>Overall, Shangri-La’s strength lies in its strong brand appeal to luxury guests, but it faces risks from external economic factors. Premier Inn’s strength is its resilience in the budget market, but it must continue to innovate and expand internationally to stay competitive. Both companies must adapt their financial strategies to ensure long-term sustainability in their respective markets.</w:t>
      </w:r>
    </w:p>
    <w:p w:rsidR="004A4D9F" w:rsidRDefault="004A4D9F" w:rsidP="004A4D9F">
      <w:pPr>
        <w:spacing w:line="360" w:lineRule="auto"/>
        <w:jc w:val="both"/>
        <w:rPr>
          <w:rFonts w:ascii="Arial" w:hAnsi="Arial" w:cs="Arial"/>
          <w:sz w:val="24"/>
          <w:szCs w:val="24"/>
        </w:rPr>
      </w:pPr>
    </w:p>
    <w:sdt>
      <w:sdtPr>
        <w:rPr>
          <w:rFonts w:asciiTheme="minorHAnsi" w:eastAsiaTheme="minorHAnsi" w:hAnsiTheme="minorHAnsi" w:cstheme="minorBidi"/>
          <w:color w:val="auto"/>
          <w:kern w:val="2"/>
          <w:sz w:val="22"/>
          <w:szCs w:val="22"/>
          <w:lang w:val="en-GB"/>
        </w:rPr>
        <w:id w:val="453926939"/>
        <w:docPartObj>
          <w:docPartGallery w:val="Table of Contents"/>
          <w:docPartUnique/>
        </w:docPartObj>
      </w:sdtPr>
      <w:sdtContent>
        <w:p w:rsidR="00377770" w:rsidRDefault="00377770" w:rsidP="00377770">
          <w:pPr>
            <w:pStyle w:val="TOCHeading"/>
          </w:pPr>
          <w:r>
            <w:t>References</w:t>
          </w:r>
        </w:p>
        <w:p w:rsidR="00377770" w:rsidRDefault="00377770" w:rsidP="00377770">
          <w:proofErr w:type="gramStart"/>
          <w:r>
            <w:t>Shangri-La Experiences.</w:t>
          </w:r>
          <w:proofErr w:type="gramEnd"/>
          <w:r>
            <w:t xml:space="preserve"> </w:t>
          </w:r>
          <w:proofErr w:type="gramStart"/>
          <w:r>
            <w:t>(2023). Environmental, Social and Corporate Governance.</w:t>
          </w:r>
          <w:proofErr w:type="gramEnd"/>
          <w:r>
            <w:t xml:space="preserve"> Available at: https://www.shangrilaexperiences.com/communit</w:t>
          </w:r>
          <w:r w:rsidR="004510D9">
            <w:t>y-and-social-impact [Accessed 17</w:t>
          </w:r>
          <w:r>
            <w:t xml:space="preserve"> Oct. 2024].</w:t>
          </w:r>
        </w:p>
        <w:p w:rsidR="00377770" w:rsidRDefault="00377770" w:rsidP="00377770">
          <w:proofErr w:type="gramStart"/>
          <w:r>
            <w:t>The Purpose Business.</w:t>
          </w:r>
          <w:proofErr w:type="gramEnd"/>
          <w:r>
            <w:t xml:space="preserve"> (2023). Demonstrating progress on Shangri-La’s sustainability strategy. Available at: https://thepurposebusiness.com/shangrila-strategy [Accessed 16</w:t>
          </w:r>
          <w:r w:rsidR="004510D9">
            <w:t>-17</w:t>
          </w:r>
          <w:r>
            <w:t xml:space="preserve"> Oct. 2024].</w:t>
          </w:r>
        </w:p>
        <w:p w:rsidR="00377770" w:rsidRDefault="00377770" w:rsidP="00377770">
          <w:r>
            <w:t>Whitbread PLC. (2023). Force for Good – CSR Strategy. Available at: https://www.whitbread.co.u</w:t>
          </w:r>
          <w:r w:rsidR="004510D9">
            <w:t>k [Accessed 15</w:t>
          </w:r>
          <w:r>
            <w:t xml:space="preserve"> Oct. 2024].</w:t>
          </w:r>
        </w:p>
        <w:p w:rsidR="00377770" w:rsidRDefault="00377770" w:rsidP="00377770">
          <w:proofErr w:type="gramStart"/>
          <w:r>
            <w:t>The Caterer.</w:t>
          </w:r>
          <w:proofErr w:type="gramEnd"/>
          <w:r>
            <w:t xml:space="preserve"> </w:t>
          </w:r>
          <w:proofErr w:type="gramStart"/>
          <w:r>
            <w:t>(2023). Premier Inn's commitment to responsible tourism.</w:t>
          </w:r>
          <w:proofErr w:type="gramEnd"/>
          <w:r>
            <w:t xml:space="preserve"> Available at: https:/</w:t>
          </w:r>
          <w:r w:rsidR="004510D9">
            <w:t>/www.thecaterer.com [Accessed 14</w:t>
          </w:r>
          <w:r>
            <w:t xml:space="preserve"> Oct. 2024].</w:t>
          </w:r>
        </w:p>
        <w:p w:rsidR="00377770" w:rsidRDefault="00377770" w:rsidP="00377770">
          <w:proofErr w:type="gramStart"/>
          <w:r>
            <w:t>Shangri-La. (20</w:t>
          </w:r>
          <w:r w:rsidR="004510D9">
            <w:t>22).</w:t>
          </w:r>
          <w:proofErr w:type="gramEnd"/>
          <w:r w:rsidR="004510D9">
            <w:t xml:space="preserve"> </w:t>
          </w:r>
          <w:proofErr w:type="gramStart"/>
          <w:r w:rsidR="004510D9">
            <w:t>Sustainability Report 2022</w:t>
          </w:r>
          <w:r>
            <w:t>.</w:t>
          </w:r>
          <w:proofErr w:type="gramEnd"/>
          <w:r>
            <w:t xml:space="preserve"> Available at: https://sitecore-cd.shangri-la.com/-/media/Project/Shangri-La-Group/Investor/Files/Corporate-Governance-and-CSR/Sustainability-Reports/2022_SLA_Sustainab</w:t>
          </w:r>
          <w:r w:rsidR="004510D9">
            <w:t>ility-Report_TC.pdf [Accessed 14-16</w:t>
          </w:r>
          <w:r>
            <w:t xml:space="preserve"> Oct. 2024].</w:t>
          </w:r>
        </w:p>
        <w:p w:rsidR="00377770" w:rsidRDefault="00377770" w:rsidP="00377770">
          <w:proofErr w:type="spellStart"/>
          <w:proofErr w:type="gramStart"/>
          <w:r>
            <w:t>Mingtiandi</w:t>
          </w:r>
          <w:proofErr w:type="spellEnd"/>
          <w:r>
            <w:t>.</w:t>
          </w:r>
          <w:proofErr w:type="gramEnd"/>
          <w:r>
            <w:t xml:space="preserve"> (2024). Shangri-La Returned to Profit in 2023 with 47% Revenue Jump. Available at: https://www.mingtiandi.com [Accessed 16 Oct. 2024].</w:t>
          </w:r>
        </w:p>
        <w:p w:rsidR="00377770" w:rsidRDefault="00377770" w:rsidP="00377770">
          <w:proofErr w:type="gramStart"/>
          <w:r>
            <w:t>The Caterer.</w:t>
          </w:r>
          <w:proofErr w:type="gramEnd"/>
          <w:r>
            <w:t xml:space="preserve"> (2023). Premier Inn Owner Reports Revenues 27% Ahead of Pre-Pandemic Levels. Available at: https://www.thecaterer.com [Accessed 16 Oct. 2024].</w:t>
          </w:r>
        </w:p>
        <w:p w:rsidR="00377770" w:rsidRDefault="00377770" w:rsidP="00377770">
          <w:r>
            <w:t xml:space="preserve">Whitbread PLC. </w:t>
          </w:r>
          <w:proofErr w:type="gramStart"/>
          <w:r>
            <w:t>(2023). FY23 Results Report.</w:t>
          </w:r>
          <w:proofErr w:type="gramEnd"/>
          <w:r>
            <w:t xml:space="preserve"> Available at: https://www.whitbread.co.uk [Accessed 16 Oct. 2024].</w:t>
          </w:r>
        </w:p>
        <w:p w:rsidR="00377770" w:rsidRDefault="00377770" w:rsidP="00377770">
          <w:proofErr w:type="gramStart"/>
          <w:r>
            <w:t>Hospitality Net.</w:t>
          </w:r>
          <w:proofErr w:type="gramEnd"/>
          <w:r>
            <w:t xml:space="preserve"> (2023). Shangri-La Group Releases 2022 Full Year Results. Available at: https://www.hospitalitynet.org/news/4115617.html [Accessed 16</w:t>
          </w:r>
          <w:r w:rsidR="004510D9">
            <w:t>-17</w:t>
          </w:r>
          <w:r>
            <w:t xml:space="preserve"> Oct. 2024].</w:t>
          </w:r>
        </w:p>
        <w:p w:rsidR="00377770" w:rsidRDefault="00377770" w:rsidP="00377770">
          <w:proofErr w:type="gramStart"/>
          <w:r>
            <w:t>China Travel News.</w:t>
          </w:r>
          <w:proofErr w:type="gramEnd"/>
          <w:r>
            <w:t xml:space="preserve"> (2024). Shangri-La Group's 2023 revenue recovers to 95% of 2019. Available at: https://www.chinatravelnews.com/article/180835 [Accessed 16 Oct. 2024].</w:t>
          </w:r>
        </w:p>
        <w:p w:rsidR="00377770" w:rsidRDefault="00377770" w:rsidP="00377770">
          <w:r>
            <w:t>Shangri-La Annual Report 2023, p. 15 (a)</w:t>
          </w:r>
        </w:p>
        <w:p w:rsidR="00377770" w:rsidRDefault="00377770" w:rsidP="00377770">
          <w:r>
            <w:t>Shangri-La Annual Report 2023, p. 15 (b)</w:t>
          </w:r>
        </w:p>
        <w:p w:rsidR="00377770" w:rsidRDefault="00377770" w:rsidP="00377770">
          <w:r>
            <w:t>Shangri-La Annual Report 2023, p. 18</w:t>
          </w:r>
        </w:p>
        <w:p w:rsidR="00377770" w:rsidRDefault="00377770" w:rsidP="00377770">
          <w:r>
            <w:t>Shangri-La Annual Report 2023, p. 25</w:t>
          </w:r>
        </w:p>
        <w:p w:rsidR="00377770" w:rsidRDefault="00377770" w:rsidP="00377770">
          <w:r>
            <w:t>Shangri-La Annual Report 2023, p. 35</w:t>
          </w:r>
        </w:p>
        <w:p w:rsidR="00377770" w:rsidRDefault="00377770" w:rsidP="00377770">
          <w:r>
            <w:t>Shangri-La Annual Report 2023, p. 39</w:t>
          </w:r>
        </w:p>
        <w:p w:rsidR="00377770" w:rsidRDefault="00377770" w:rsidP="00377770">
          <w:r>
            <w:t>Shangri-La Annual Report 2022, p. 12 (a)</w:t>
          </w:r>
        </w:p>
        <w:p w:rsidR="00377770" w:rsidRDefault="00377770" w:rsidP="00377770">
          <w:r>
            <w:t>Shangri-La Annual Report 2022, p. 12 (b)</w:t>
          </w:r>
        </w:p>
        <w:p w:rsidR="00377770" w:rsidRDefault="00377770" w:rsidP="00377770">
          <w:r>
            <w:t>Shangri-La Annual Report 2022, p. 14</w:t>
          </w:r>
        </w:p>
        <w:p w:rsidR="00377770" w:rsidRDefault="00377770" w:rsidP="00377770">
          <w:r>
            <w:t>Shangri-La Annual Report 2022, p. 28</w:t>
          </w:r>
        </w:p>
        <w:p w:rsidR="00377770" w:rsidRDefault="00377770" w:rsidP="00377770">
          <w:r>
            <w:t>Shangri-La Annual Report 2022, p. 34</w:t>
          </w:r>
        </w:p>
        <w:p w:rsidR="00377770" w:rsidRDefault="00377770" w:rsidP="00377770">
          <w:r>
            <w:t>Shangri-La Annual Report 2022, p. 38</w:t>
          </w:r>
        </w:p>
        <w:p w:rsidR="00377770" w:rsidRDefault="00377770" w:rsidP="00377770">
          <w:r>
            <w:t>Shangri-La Annual Report 2021, p. 9 (a)</w:t>
          </w:r>
        </w:p>
        <w:p w:rsidR="00377770" w:rsidRDefault="00377770" w:rsidP="00377770">
          <w:r>
            <w:lastRenderedPageBreak/>
            <w:t>Shangri-La Annual Report 2021, p. 9 (b)</w:t>
          </w:r>
        </w:p>
        <w:p w:rsidR="00377770" w:rsidRDefault="00377770" w:rsidP="00377770">
          <w:r>
            <w:t>Shangri-La Annual Report 2021, p. 12</w:t>
          </w:r>
        </w:p>
        <w:p w:rsidR="00377770" w:rsidRDefault="00377770" w:rsidP="00377770">
          <w:r>
            <w:t>Shangri-La Annual Report 2021, p. 18</w:t>
          </w:r>
        </w:p>
        <w:p w:rsidR="00377770" w:rsidRDefault="00377770" w:rsidP="00377770">
          <w:r>
            <w:t>Shangri-La Annual Report 2021, p. 21</w:t>
          </w:r>
        </w:p>
        <w:p w:rsidR="00377770" w:rsidRDefault="00377770" w:rsidP="00377770">
          <w:r>
            <w:t>Shangri-La Annual Report 2021, p. 25</w:t>
          </w:r>
        </w:p>
        <w:p w:rsidR="00377770" w:rsidRDefault="00377770" w:rsidP="00377770">
          <w:r>
            <w:t>Shangri-La Annual Report 2020, p. 17 (a)</w:t>
          </w:r>
        </w:p>
        <w:p w:rsidR="00377770" w:rsidRDefault="00377770" w:rsidP="00377770">
          <w:r>
            <w:t>Shangri-La Annual Report 2020, p. 17 (b)</w:t>
          </w:r>
        </w:p>
        <w:p w:rsidR="00377770" w:rsidRDefault="00377770" w:rsidP="00377770">
          <w:r>
            <w:t>Shangri-La Annual Report 2020, p. 19</w:t>
          </w:r>
        </w:p>
        <w:p w:rsidR="00377770" w:rsidRDefault="00377770" w:rsidP="00377770">
          <w:r>
            <w:t>Shangri-La Annual Report 2020, p. 24</w:t>
          </w:r>
        </w:p>
        <w:p w:rsidR="00377770" w:rsidRDefault="00377770" w:rsidP="00377770">
          <w:r>
            <w:t>Shangri-La Annual Report 2020, p. 27</w:t>
          </w:r>
        </w:p>
        <w:p w:rsidR="00377770" w:rsidRDefault="00377770" w:rsidP="00377770">
          <w:r>
            <w:t>Shangri-La Annual Report 2020, p. 30</w:t>
          </w:r>
        </w:p>
        <w:p w:rsidR="00377770" w:rsidRDefault="00377770" w:rsidP="00377770">
          <w:r>
            <w:t>Shangri-La Annual Report 2019, p. 11 (a)</w:t>
          </w:r>
        </w:p>
        <w:p w:rsidR="00377770" w:rsidRDefault="00377770" w:rsidP="00377770">
          <w:r>
            <w:t>Shangri-La Annual Report 2019, p. 11 (b)</w:t>
          </w:r>
        </w:p>
        <w:p w:rsidR="00377770" w:rsidRDefault="00377770" w:rsidP="00377770">
          <w:r>
            <w:t>Shangri-La Annual Report 2019, p. 14</w:t>
          </w:r>
        </w:p>
        <w:p w:rsidR="00377770" w:rsidRDefault="00377770" w:rsidP="00377770">
          <w:r>
            <w:t>Shangri-La Annual Report 2019, p. 20</w:t>
          </w:r>
        </w:p>
        <w:p w:rsidR="00377770" w:rsidRDefault="00377770" w:rsidP="00377770">
          <w:r>
            <w:t>Shangri-La Annual Report 2019, p. 23</w:t>
          </w:r>
        </w:p>
        <w:p w:rsidR="00377770" w:rsidRDefault="00377770" w:rsidP="00377770">
          <w:r>
            <w:t>Shangri-La Annual Report 2019, p. 26</w:t>
          </w:r>
        </w:p>
        <w:p w:rsidR="00377770" w:rsidRPr="00377770" w:rsidRDefault="00377770" w:rsidP="00377770">
          <w:pPr>
            <w:rPr>
              <w:lang w:val="en-US"/>
            </w:rPr>
          </w:pPr>
        </w:p>
        <w:p w:rsidR="00377770" w:rsidRDefault="004B6DB0"/>
      </w:sdtContent>
    </w:sdt>
    <w:p w:rsidR="00377770" w:rsidRPr="000073B8" w:rsidRDefault="00377770" w:rsidP="000073B8">
      <w:pPr>
        <w:jc w:val="both"/>
        <w:rPr>
          <w:rFonts w:ascii="Arial" w:hAnsi="Arial" w:cs="Arial"/>
          <w:sz w:val="24"/>
          <w:szCs w:val="24"/>
        </w:rPr>
      </w:pPr>
    </w:p>
    <w:sectPr w:rsidR="00377770" w:rsidRPr="000073B8" w:rsidSect="009A1853">
      <w:pgSz w:w="11906" w:h="16838"/>
      <w:pgMar w:top="1440" w:right="1440" w:bottom="1440" w:left="1440" w:header="708" w:footer="708" w:gutter="0"/>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15496"/>
    <w:multiLevelType w:val="hybridMultilevel"/>
    <w:tmpl w:val="605288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05D151E"/>
    <w:multiLevelType w:val="hybridMultilevel"/>
    <w:tmpl w:val="605288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DA4F9F"/>
    <w:rsid w:val="000073B8"/>
    <w:rsid w:val="00015EC8"/>
    <w:rsid w:val="00082C65"/>
    <w:rsid w:val="000A7C80"/>
    <w:rsid w:val="000E104B"/>
    <w:rsid w:val="000E1EDA"/>
    <w:rsid w:val="001366C3"/>
    <w:rsid w:val="001D6CC5"/>
    <w:rsid w:val="002633A1"/>
    <w:rsid w:val="002731AC"/>
    <w:rsid w:val="00290450"/>
    <w:rsid w:val="003011AE"/>
    <w:rsid w:val="00333E3E"/>
    <w:rsid w:val="00353499"/>
    <w:rsid w:val="00377770"/>
    <w:rsid w:val="003945B1"/>
    <w:rsid w:val="00397DB0"/>
    <w:rsid w:val="004348AB"/>
    <w:rsid w:val="004436EA"/>
    <w:rsid w:val="004510D9"/>
    <w:rsid w:val="00483EE8"/>
    <w:rsid w:val="004A4D9F"/>
    <w:rsid w:val="004B6DB0"/>
    <w:rsid w:val="005A64AA"/>
    <w:rsid w:val="005C1A33"/>
    <w:rsid w:val="005D4BCD"/>
    <w:rsid w:val="00692449"/>
    <w:rsid w:val="00713B12"/>
    <w:rsid w:val="00752497"/>
    <w:rsid w:val="00830F24"/>
    <w:rsid w:val="00851ACE"/>
    <w:rsid w:val="008532FB"/>
    <w:rsid w:val="00991F8A"/>
    <w:rsid w:val="009A1853"/>
    <w:rsid w:val="009B56C6"/>
    <w:rsid w:val="009F0F41"/>
    <w:rsid w:val="00A06B02"/>
    <w:rsid w:val="00A20030"/>
    <w:rsid w:val="00A64429"/>
    <w:rsid w:val="00AA6D9E"/>
    <w:rsid w:val="00AF76AA"/>
    <w:rsid w:val="00BE6DE5"/>
    <w:rsid w:val="00CA09D5"/>
    <w:rsid w:val="00CD4F40"/>
    <w:rsid w:val="00D27590"/>
    <w:rsid w:val="00D57F8D"/>
    <w:rsid w:val="00D60980"/>
    <w:rsid w:val="00DA2DF5"/>
    <w:rsid w:val="00DA4F9F"/>
    <w:rsid w:val="00DA7893"/>
    <w:rsid w:val="00DC372F"/>
    <w:rsid w:val="00E150E8"/>
    <w:rsid w:val="00E643A7"/>
    <w:rsid w:val="00EB3E1B"/>
    <w:rsid w:val="00ED25B9"/>
    <w:rsid w:val="00FA336D"/>
    <w:rsid w:val="00FB14D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5B9"/>
  </w:style>
  <w:style w:type="paragraph" w:styleId="Heading1">
    <w:name w:val="heading 1"/>
    <w:basedOn w:val="Normal"/>
    <w:next w:val="Normal"/>
    <w:link w:val="Heading1Char"/>
    <w:uiPriority w:val="9"/>
    <w:qFormat/>
    <w:rsid w:val="00AF76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A1853"/>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9A1853"/>
    <w:rPr>
      <w:rFonts w:eastAsiaTheme="minorEastAsia"/>
      <w:kern w:val="0"/>
      <w:lang w:val="en-US"/>
    </w:rPr>
  </w:style>
  <w:style w:type="character" w:customStyle="1" w:styleId="Heading1Char">
    <w:name w:val="Heading 1 Char"/>
    <w:basedOn w:val="DefaultParagraphFont"/>
    <w:link w:val="Heading1"/>
    <w:uiPriority w:val="9"/>
    <w:rsid w:val="00AF76A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F76AA"/>
    <w:pPr>
      <w:outlineLvl w:val="9"/>
    </w:pPr>
    <w:rPr>
      <w:kern w:val="0"/>
      <w:lang w:val="en-US"/>
    </w:rPr>
  </w:style>
  <w:style w:type="paragraph" w:styleId="BalloonText">
    <w:name w:val="Balloon Text"/>
    <w:basedOn w:val="Normal"/>
    <w:link w:val="BalloonTextChar"/>
    <w:uiPriority w:val="99"/>
    <w:semiHidden/>
    <w:unhideWhenUsed/>
    <w:rsid w:val="00DA2D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2DF5"/>
    <w:rPr>
      <w:rFonts w:ascii="Tahoma" w:hAnsi="Tahoma" w:cs="Tahoma"/>
      <w:sz w:val="16"/>
      <w:szCs w:val="16"/>
    </w:rPr>
  </w:style>
  <w:style w:type="paragraph" w:styleId="ListParagraph">
    <w:name w:val="List Paragraph"/>
    <w:basedOn w:val="Normal"/>
    <w:uiPriority w:val="34"/>
    <w:qFormat/>
    <w:rsid w:val="009B56C6"/>
    <w:pPr>
      <w:ind w:left="720"/>
      <w:contextualSpacing/>
    </w:pPr>
  </w:style>
  <w:style w:type="table" w:styleId="TableGrid">
    <w:name w:val="Table Grid"/>
    <w:basedOn w:val="TableNormal"/>
    <w:uiPriority w:val="59"/>
    <w:rsid w:val="000073B8"/>
    <w:pPr>
      <w:spacing w:after="0" w:line="240" w:lineRule="auto"/>
    </w:pPr>
    <w:rPr>
      <w:rFonts w:eastAsiaTheme="minorEastAsia"/>
      <w:kern w:val="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unhideWhenUsed/>
    <w:rsid w:val="00377770"/>
    <w:pPr>
      <w:spacing w:after="100"/>
    </w:pPr>
  </w:style>
  <w:style w:type="character" w:styleId="Hyperlink">
    <w:name w:val="Hyperlink"/>
    <w:basedOn w:val="DefaultParagraphFont"/>
    <w:uiPriority w:val="99"/>
    <w:unhideWhenUsed/>
    <w:rsid w:val="00377770"/>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D39F65-89B5-499F-8B4E-ECFB738D5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10</Pages>
  <Words>2571</Words>
  <Characters>14660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Discuss how the evolution of HRM facilitates the strategic development of an international hotel brand through workforce planning, recruitment and selection</vt:lpstr>
    </vt:vector>
  </TitlesOfParts>
  <Company/>
  <LinksUpToDate>false</LinksUpToDate>
  <CharactersWithSpaces>17197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 how the evolution of HRM facilitates the strategic development of an international hotel brand through workforce planning, recruitment and selection</dc:title>
  <dc:subject/>
  <dc:creator/>
  <cp:keywords/>
  <dc:description/>
  <dcterms:created xsi:type="dcterms:W3CDTF">2024-05-13T17:39:00Z</dcterms:created>
  <dcterms:modified xsi:type="dcterms:W3CDTF">2024-10-18T19:56:00Z</dcterms:modified>
</cp:coreProperties>
</file>