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B80F97" wp14:paraId="02B89CFD" wp14:textId="58642288">
      <w:pPr>
        <w:pStyle w:val="Normal"/>
        <w:shd w:val="clear" w:color="auto" w:fill="F5F5F5"/>
        <w:spacing w:after="0" w:line="360" w:lineRule="auto"/>
        <w:rPr>
          <w:rFonts w:ascii="Arial" w:hAnsi="Arial" w:eastAsia="Arial" w:cs="Arial" w:asciiTheme="minorAscii" w:hAnsiTheme="minorAscii" w:eastAsiaTheme="minorAscii" w:cstheme="minorAscii"/>
          <w:b w:val="1"/>
          <w:bCs w:val="1"/>
          <w:noProof w:val="0"/>
          <w:sz w:val="40"/>
          <w:szCs w:val="40"/>
          <w:lang w:val="en-GB"/>
        </w:rPr>
      </w:pPr>
      <w:r w:rsidRPr="1FB80F97" w:rsidR="344AFD8D">
        <w:rPr>
          <w:rFonts w:ascii="Arial" w:hAnsi="Arial" w:eastAsia="Arial" w:cs="Arial" w:asciiTheme="minorAscii" w:hAnsiTheme="minorAscii" w:eastAsiaTheme="minorAscii" w:cstheme="minorAscii"/>
          <w:b w:val="1"/>
          <w:bCs w:val="1"/>
          <w:noProof w:val="0"/>
          <w:sz w:val="40"/>
          <w:szCs w:val="40"/>
          <w:lang w:val="en-GB"/>
        </w:rPr>
        <w:t xml:space="preserve">AYESHA MASOOD </w:t>
      </w:r>
    </w:p>
    <w:p xmlns:wp14="http://schemas.microsoft.com/office/word/2010/wordml" w:rsidP="1FB80F97" wp14:paraId="08C777CC" wp14:textId="09D8790E">
      <w:pPr>
        <w:pStyle w:val="Normal"/>
        <w:shd w:val="clear" w:color="auto" w:fill="F5F5F5"/>
        <w:spacing w:after="0" w:line="360" w:lineRule="auto"/>
        <w:rPr>
          <w:rFonts w:ascii="Arial" w:hAnsi="Arial" w:eastAsia="Arial" w:cs="Arial" w:asciiTheme="minorAscii" w:hAnsiTheme="minorAscii" w:eastAsiaTheme="minorAscii" w:cstheme="minorAscii"/>
          <w:b w:val="1"/>
          <w:bCs w:val="1"/>
          <w:noProof w:val="0"/>
          <w:sz w:val="40"/>
          <w:szCs w:val="40"/>
          <w:lang w:val="en-GB"/>
        </w:rPr>
      </w:pPr>
      <w:r w:rsidRPr="1FB80F97" w:rsidR="344AFD8D">
        <w:rPr>
          <w:rFonts w:ascii="Arial" w:hAnsi="Arial" w:eastAsia="Arial" w:cs="Arial" w:asciiTheme="minorAscii" w:hAnsiTheme="minorAscii" w:eastAsiaTheme="minorAscii" w:cstheme="minorAscii"/>
          <w:b w:val="1"/>
          <w:bCs w:val="1"/>
          <w:noProof w:val="0"/>
          <w:sz w:val="40"/>
          <w:szCs w:val="40"/>
          <w:lang w:val="en-GB"/>
        </w:rPr>
        <w:t>2220784</w:t>
      </w:r>
    </w:p>
    <w:p xmlns:wp14="http://schemas.microsoft.com/office/word/2010/wordml" w:rsidP="1FB80F97" wp14:paraId="6D9330AA" wp14:textId="55624F48">
      <w:pPr>
        <w:pStyle w:val="Normal"/>
        <w:shd w:val="clear" w:color="auto" w:fill="F5F5F5"/>
        <w:spacing w:after="0" w:line="360" w:lineRule="auto"/>
        <w:rPr>
          <w:rFonts w:ascii="Arial" w:hAnsi="Arial" w:eastAsia="Arial" w:cs="Arial"/>
          <w:noProof w:val="0"/>
          <w:sz w:val="36"/>
          <w:szCs w:val="36"/>
          <w:lang w:val="en-GB"/>
        </w:rPr>
      </w:pPr>
      <w:r w:rsidRPr="1FB80F97" w:rsidR="344AFD8D">
        <w:rPr>
          <w:rFonts w:ascii="Arial" w:hAnsi="Arial" w:eastAsia="Arial" w:cs="Arial"/>
          <w:b w:val="1"/>
          <w:bCs w:val="1"/>
          <w:noProof w:val="0"/>
          <w:sz w:val="36"/>
          <w:szCs w:val="36"/>
          <w:lang w:val="en-GB"/>
        </w:rPr>
        <w:t>Health Care System Organisation and Leadership</w:t>
      </w:r>
    </w:p>
    <w:p xmlns:wp14="http://schemas.microsoft.com/office/word/2010/wordml" w:rsidP="1FB80F97" wp14:paraId="5E1444EB" wp14:textId="71537C73">
      <w:pPr>
        <w:pStyle w:val="Normal"/>
        <w:shd w:val="clear" w:color="auto" w:fill="F5F5F5"/>
        <w:spacing w:after="0" w:line="360" w:lineRule="auto"/>
        <w:rPr>
          <w:rFonts w:ascii="Arial" w:hAnsi="Arial" w:eastAsia="Arial" w:cs="Arial"/>
          <w:b w:val="1"/>
          <w:bCs w:val="1"/>
          <w:noProof w:val="0"/>
          <w:sz w:val="36"/>
          <w:szCs w:val="36"/>
          <w:lang w:val="en-GB"/>
        </w:rPr>
      </w:pPr>
      <w:r w:rsidRPr="1FB80F97" w:rsidR="5C9BEB65">
        <w:rPr>
          <w:rFonts w:ascii="Arial" w:hAnsi="Arial" w:eastAsia="Arial" w:cs="Arial"/>
          <w:b w:val="1"/>
          <w:bCs w:val="1"/>
          <w:noProof w:val="0"/>
          <w:sz w:val="36"/>
          <w:szCs w:val="36"/>
          <w:lang w:val="en-GB"/>
        </w:rPr>
        <w:t>LCHS7002</w:t>
      </w:r>
    </w:p>
    <w:p xmlns:wp14="http://schemas.microsoft.com/office/word/2010/wordml" w:rsidP="1FB80F97" wp14:paraId="65F5A726" wp14:textId="5C3D984A">
      <w:pPr>
        <w:pStyle w:val="Normal"/>
        <w:shd w:val="clear" w:color="auto" w:fill="F5F5F5"/>
        <w:spacing w:after="0" w:line="360" w:lineRule="auto"/>
        <w:rPr>
          <w:rFonts w:ascii="Arial" w:hAnsi="Arial" w:eastAsia="Arial" w:cs="Arial"/>
          <w:b w:val="1"/>
          <w:bCs w:val="1"/>
          <w:noProof w:val="0"/>
          <w:sz w:val="36"/>
          <w:szCs w:val="36"/>
          <w:lang w:val="en-GB"/>
        </w:rPr>
      </w:pPr>
      <w:r w:rsidRPr="1FB80F97" w:rsidR="6D3B05C4">
        <w:rPr>
          <w:rFonts w:ascii="Arial" w:hAnsi="Arial" w:eastAsia="Arial" w:cs="Arial"/>
          <w:b w:val="1"/>
          <w:bCs w:val="1"/>
          <w:noProof w:val="0"/>
          <w:sz w:val="36"/>
          <w:szCs w:val="36"/>
          <w:lang w:val="en-GB"/>
        </w:rPr>
        <w:t>DR FAHAD KHAN</w:t>
      </w:r>
    </w:p>
    <w:p xmlns:wp14="http://schemas.microsoft.com/office/word/2010/wordml" w:rsidP="1FB80F97" wp14:paraId="195BF078" wp14:textId="36FEF0B5">
      <w:pPr>
        <w:pStyle w:val="Normal"/>
        <w:shd w:val="clear" w:color="auto" w:fill="F5F5F5"/>
        <w:spacing w:after="0" w:line="360" w:lineRule="auto"/>
        <w:rPr>
          <w:rFonts w:ascii="Arial" w:hAnsi="Arial" w:eastAsia="Arial" w:cs="Arial"/>
          <w:noProof w:val="0"/>
          <w:sz w:val="36"/>
          <w:szCs w:val="36"/>
          <w:lang w:val="en-GB"/>
        </w:rPr>
      </w:pPr>
      <w:r w:rsidRPr="1FB80F97" w:rsidR="6D3B05C4">
        <w:rPr>
          <w:rFonts w:ascii="Arial" w:hAnsi="Arial" w:eastAsia="Arial" w:cs="Arial"/>
          <w:b w:val="1"/>
          <w:bCs w:val="1"/>
          <w:noProof w:val="0"/>
          <w:sz w:val="36"/>
          <w:szCs w:val="36"/>
          <w:lang w:val="en-GB"/>
        </w:rPr>
        <w:t>Case Study Analysis Report</w:t>
      </w:r>
    </w:p>
    <w:p xmlns:wp14="http://schemas.microsoft.com/office/word/2010/wordml" w:rsidP="1FB80F97" wp14:paraId="61D46EA1" wp14:textId="572CD13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ED1681E" wp14:textId="27FF2BB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9245BDB" wp14:textId="1172E45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F3496F5" wp14:textId="28A78AF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759384E" wp14:textId="758DED9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07A90C2" wp14:textId="17F08D4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0400FA5B" wp14:textId="41CDF26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249FB9D" wp14:textId="5BCE154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01AFD4E" wp14:textId="1675E43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60E7031" wp14:textId="310065E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87F5AC3" wp14:textId="2C1068D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B668DC4" wp14:textId="081919F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AD963A0" wp14:textId="07FA4B95">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3DC667C0" wp14:textId="05283C8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C098D79" wp14:textId="0DE9664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1966EC2" wp14:textId="680F796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DC96F3A" wp14:textId="63F575F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EEC03B3" wp14:textId="7C27C30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56A1DBEA" wp14:textId="15080DA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B24A979" wp14:textId="4DDBDF25">
      <w:pPr>
        <w:spacing w:before="240" w:beforeAutospacing="off" w:after="240" w:afterAutospacing="off"/>
        <w:rPr>
          <w:rFonts w:ascii="Arial" w:hAnsi="Arial" w:eastAsia="Arial" w:cs="Arial"/>
          <w:b w:val="1"/>
          <w:bCs w:val="1"/>
          <w:noProof w:val="0"/>
          <w:sz w:val="36"/>
          <w:szCs w:val="36"/>
          <w:lang w:val="en-GB"/>
        </w:rPr>
      </w:pPr>
      <w:r w:rsidRPr="1FB80F97" w:rsidR="6D3B05C4">
        <w:rPr>
          <w:rFonts w:ascii="Arial" w:hAnsi="Arial" w:eastAsia="Arial" w:cs="Arial"/>
          <w:b w:val="1"/>
          <w:bCs w:val="1"/>
          <w:noProof w:val="0"/>
          <w:sz w:val="36"/>
          <w:szCs w:val="36"/>
          <w:lang w:val="en-GB"/>
        </w:rPr>
        <w:t>Contents</w:t>
      </w:r>
    </w:p>
    <w:p xmlns:wp14="http://schemas.microsoft.com/office/word/2010/wordml" w:rsidP="1FB80F97" wp14:paraId="054A6BEA" wp14:textId="67E859DF">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Introduction .......................................</w:t>
      </w:r>
    </w:p>
    <w:p xmlns:wp14="http://schemas.microsoft.com/office/word/2010/wordml" w:rsidP="1FB80F97" wp14:paraId="7BC026F3" wp14:textId="34A31102">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Main Body </w:t>
      </w:r>
      <w:r>
        <w:br/>
      </w:r>
      <w:r w:rsidRPr="1FB80F97" w:rsidR="6D3B05C4">
        <w:rPr>
          <w:rFonts w:ascii="Arial" w:hAnsi="Arial" w:eastAsia="Arial" w:cs="Arial"/>
          <w:noProof w:val="0"/>
          <w:sz w:val="36"/>
          <w:szCs w:val="36"/>
          <w:lang w:val="en-GB"/>
        </w:rPr>
        <w:t xml:space="preserve"> 2.1 Identifying the Problem and Systems </w:t>
      </w:r>
      <w:r>
        <w:br/>
      </w:r>
      <w:r w:rsidRPr="1FB80F97" w:rsidR="6D3B05C4">
        <w:rPr>
          <w:rFonts w:ascii="Arial" w:hAnsi="Arial" w:eastAsia="Arial" w:cs="Arial"/>
          <w:noProof w:val="0"/>
          <w:sz w:val="36"/>
          <w:szCs w:val="36"/>
          <w:lang w:val="en-GB"/>
        </w:rPr>
        <w:t xml:space="preserve"> 2.2 Centralisation and Decentralisation </w:t>
      </w:r>
      <w:r>
        <w:br/>
      </w:r>
      <w:r w:rsidRPr="1FB80F97" w:rsidR="6D3B05C4">
        <w:rPr>
          <w:rFonts w:ascii="Arial" w:hAnsi="Arial" w:eastAsia="Arial" w:cs="Arial"/>
          <w:noProof w:val="0"/>
          <w:sz w:val="36"/>
          <w:szCs w:val="36"/>
          <w:lang w:val="en-GB"/>
        </w:rPr>
        <w:t xml:space="preserve"> 2.3 Leadership Theories and Application </w:t>
      </w:r>
      <w:r>
        <w:br/>
      </w:r>
      <w:r w:rsidRPr="1FB80F97" w:rsidR="6D3B05C4">
        <w:rPr>
          <w:rFonts w:ascii="Arial" w:hAnsi="Arial" w:eastAsia="Arial" w:cs="Arial"/>
          <w:noProof w:val="0"/>
          <w:sz w:val="36"/>
          <w:szCs w:val="36"/>
          <w:lang w:val="en-GB"/>
        </w:rPr>
        <w:t xml:space="preserve"> 2.4 Improvements and Lessons </w:t>
      </w:r>
      <w:r w:rsidRPr="1FB80F97" w:rsidR="2702625A">
        <w:rPr>
          <w:rFonts w:ascii="Arial" w:hAnsi="Arial" w:eastAsia="Arial" w:cs="Arial"/>
          <w:noProof w:val="0"/>
          <w:sz w:val="36"/>
          <w:szCs w:val="36"/>
          <w:lang w:val="en-GB"/>
        </w:rPr>
        <w:t>Learned.</w:t>
      </w:r>
    </w:p>
    <w:p xmlns:wp14="http://schemas.microsoft.com/office/word/2010/wordml" w:rsidP="1FB80F97" wp14:paraId="79D2A516" wp14:textId="1386A364">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Recommendations </w:t>
      </w:r>
    </w:p>
    <w:p xmlns:wp14="http://schemas.microsoft.com/office/word/2010/wordml" w:rsidP="1FB80F97" wp14:paraId="4624B395" wp14:textId="795F2A01">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Conclusion  </w:t>
      </w:r>
    </w:p>
    <w:p xmlns:wp14="http://schemas.microsoft.com/office/word/2010/wordml" w:rsidP="1FB80F97" wp14:paraId="7FB04626" wp14:textId="1B6CA438">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References </w:t>
      </w:r>
    </w:p>
    <w:p xmlns:wp14="http://schemas.microsoft.com/office/word/2010/wordml" w:rsidP="1FB80F97" wp14:paraId="368CA17D" wp14:textId="4E08394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CA6A92D" wp14:textId="3E04258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0DE3FFD2" wp14:textId="6FAEDDD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46ABFAA" wp14:textId="570ABA4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C0F35B3" wp14:textId="503FE94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1CCD909" wp14:textId="33056A3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5B1EC17" wp14:textId="307371F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F6D1F1A" wp14:textId="5414993A">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30C228B2" wp14:textId="2892A92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515685CA" wp14:textId="242FBFB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8B0A81E" wp14:textId="020BD51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AB9191C" wp14:textId="1704673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3BDF3D2B" wp14:textId="2128E28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57B8287" wp14:textId="1C3E864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BBEE135" wp14:textId="3BAADC2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5E5787A5" wp14:textId="4A8F834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1DD5DDDD">
        <w:rPr>
          <w:rFonts w:ascii="Arial" w:hAnsi="Arial" w:eastAsia="Arial" w:cs="Arial" w:asciiTheme="minorAscii" w:hAnsiTheme="minorAscii" w:eastAsiaTheme="minorAscii" w:cstheme="minorAscii"/>
          <w:b w:val="1"/>
          <w:bCs w:val="1"/>
          <w:noProof w:val="0"/>
          <w:sz w:val="22"/>
          <w:szCs w:val="22"/>
          <w:lang w:val="en-GB"/>
        </w:rPr>
        <w:t>Introduction</w:t>
      </w:r>
    </w:p>
    <w:p w:rsidR="1DD5DDDD" w:rsidP="1FB80F97" w:rsidRDefault="1DD5DDDD" w14:paraId="0D8E3EA3" w14:textId="0FD4BB1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1DD5DDDD">
        <w:rPr>
          <w:rFonts w:ascii="Arial" w:hAnsi="Arial" w:eastAsia="Arial" w:cs="Arial" w:asciiTheme="minorAscii" w:hAnsiTheme="minorAscii" w:eastAsiaTheme="minorAscii" w:cstheme="minorAscii"/>
          <w:noProof w:val="0"/>
          <w:sz w:val="22"/>
          <w:szCs w:val="22"/>
          <w:lang w:val="en-GB"/>
        </w:rPr>
        <w:t xml:space="preserve">Healthcare systems are complex, high-risk environments where effective leadership is essential to ensure patient safety, quality of care, and organisational performance. Failures in leadership, governance, and system design can lead to significant patient harm, as </w:t>
      </w:r>
      <w:r w:rsidRPr="1FB80F97" w:rsidR="1DD5DDDD">
        <w:rPr>
          <w:rFonts w:ascii="Arial" w:hAnsi="Arial" w:eastAsia="Arial" w:cs="Arial" w:asciiTheme="minorAscii" w:hAnsiTheme="minorAscii" w:eastAsiaTheme="minorAscii" w:cstheme="minorAscii"/>
          <w:noProof w:val="0"/>
          <w:sz w:val="22"/>
          <w:szCs w:val="22"/>
          <w:lang w:val="en-GB"/>
        </w:rPr>
        <w:t>demonstrated</w:t>
      </w:r>
      <w:r w:rsidRPr="1FB80F97" w:rsidR="1DD5DDDD">
        <w:rPr>
          <w:rFonts w:ascii="Arial" w:hAnsi="Arial" w:eastAsia="Arial" w:cs="Arial" w:asciiTheme="minorAscii" w:hAnsiTheme="minorAscii" w:eastAsiaTheme="minorAscii" w:cstheme="minorAscii"/>
          <w:noProof w:val="0"/>
          <w:sz w:val="22"/>
          <w:szCs w:val="22"/>
          <w:lang w:val="en-GB"/>
        </w:rPr>
        <w:t xml:space="preserve"> in the case of a four-week-old infant in the </w:t>
      </w:r>
      <w:r w:rsidRPr="1FB80F97" w:rsidR="5B5A5913">
        <w:rPr>
          <w:rFonts w:ascii="Arial" w:hAnsi="Arial" w:eastAsia="Arial" w:cs="Arial" w:asciiTheme="minorAscii" w:hAnsiTheme="minorAscii" w:eastAsiaTheme="minorAscii" w:cstheme="minorAscii"/>
          <w:noProof w:val="0"/>
          <w:sz w:val="22"/>
          <w:szCs w:val="22"/>
          <w:lang w:val="en-GB"/>
        </w:rPr>
        <w:t>Northeast</w:t>
      </w:r>
      <w:r w:rsidRPr="1FB80F97" w:rsidR="1DD5DDDD">
        <w:rPr>
          <w:rFonts w:ascii="Arial" w:hAnsi="Arial" w:eastAsia="Arial" w:cs="Arial" w:asciiTheme="minorAscii" w:hAnsiTheme="minorAscii" w:eastAsiaTheme="minorAscii" w:cstheme="minorAscii"/>
          <w:noProof w:val="0"/>
          <w:sz w:val="22"/>
          <w:szCs w:val="22"/>
          <w:lang w:val="en-GB"/>
        </w:rPr>
        <w:t xml:space="preserve"> and Yorkshire region of England who received a morphine overdose twenty times higher than the intended dose. The incident occurred due to the dispensing of an incorrect formulation of morphine sulphate oral solution, highlighting critical failures across prescribing, dispensing, and governance processes within the National Health Service (NHS).</w:t>
      </w:r>
      <w:r w:rsidRPr="1FB80F97" w:rsidR="58706788">
        <w:rPr>
          <w:rFonts w:ascii="Arial" w:hAnsi="Arial" w:eastAsia="Arial" w:cs="Arial" w:asciiTheme="minorAscii" w:hAnsiTheme="minorAscii" w:eastAsiaTheme="minorAscii" w:cstheme="minorAscii"/>
          <w:noProof w:val="0"/>
          <w:sz w:val="22"/>
          <w:szCs w:val="22"/>
          <w:lang w:val="en-GB"/>
        </w:rPr>
        <w:t xml:space="preserve"> </w:t>
      </w:r>
      <w:r w:rsidRPr="1FB80F97" w:rsidR="1DD5DDDD">
        <w:rPr>
          <w:rFonts w:ascii="Arial" w:hAnsi="Arial" w:eastAsia="Arial" w:cs="Arial" w:asciiTheme="minorAscii" w:hAnsiTheme="minorAscii" w:eastAsiaTheme="minorAscii" w:cstheme="minorAscii"/>
          <w:noProof w:val="0"/>
          <w:sz w:val="22"/>
          <w:szCs w:val="22"/>
          <w:lang w:val="en-GB"/>
        </w:rPr>
        <w:t>Leadership in health and social care can be understood as the process of influencing individuals and teams to achieve shared goals related to patient safety and service delivery (West et al., 2015). In such settings, leadership extends beyond individual authority and involves shaping organisational culture, ensuring accountability, and enabling effective communication across multidisciplinary teams. Different leadership approaches may be adopted depending on context, including transformational leadership, which focuses on vision and cultural change, transactional leadership, which emphasises compliance and performance management, and situational leadership, which adapts leadership behaviour to the demands of specific circumstances (Northouse, 2021).</w:t>
      </w:r>
    </w:p>
    <w:p w:rsidR="1DD5DDDD" w:rsidP="1FB80F97" w:rsidRDefault="1DD5DDDD" w14:paraId="7572E225" w14:textId="5B68030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1DD5DDDD">
        <w:rPr>
          <w:rFonts w:ascii="Arial" w:hAnsi="Arial" w:eastAsia="Arial" w:cs="Arial" w:asciiTheme="minorAscii" w:hAnsiTheme="minorAscii" w:eastAsiaTheme="minorAscii" w:cstheme="minorAscii"/>
          <w:noProof w:val="0"/>
          <w:sz w:val="22"/>
          <w:szCs w:val="22"/>
          <w:lang w:val="en-GB"/>
        </w:rPr>
        <w:t xml:space="preserve">The structure of healthcare systems also plays a critical role in shaping outcomes. Centralised systems concentrate decision-making authority at higher organisational levels, promoting standardisation and control, </w:t>
      </w:r>
      <w:r w:rsidRPr="1FB80F97" w:rsidR="1DD5DDDD">
        <w:rPr>
          <w:rFonts w:ascii="Arial" w:hAnsi="Arial" w:eastAsia="Arial" w:cs="Arial" w:asciiTheme="minorAscii" w:hAnsiTheme="minorAscii" w:eastAsiaTheme="minorAscii" w:cstheme="minorAscii"/>
          <w:noProof w:val="0"/>
          <w:sz w:val="22"/>
          <w:szCs w:val="22"/>
          <w:lang w:val="en-GB"/>
        </w:rPr>
        <w:t>whereas</w:t>
      </w:r>
      <w:r w:rsidRPr="1FB80F97" w:rsidR="1DD5DDDD">
        <w:rPr>
          <w:rFonts w:ascii="Arial" w:hAnsi="Arial" w:eastAsia="Arial" w:cs="Arial" w:asciiTheme="minorAscii" w:hAnsiTheme="minorAscii" w:eastAsiaTheme="minorAscii" w:cstheme="minorAscii"/>
          <w:noProof w:val="0"/>
          <w:sz w:val="22"/>
          <w:szCs w:val="22"/>
          <w:lang w:val="en-GB"/>
        </w:rPr>
        <w:t xml:space="preserve"> decentralised systems distribute authority to local units, allowing flexibility and responsiveness (Saltman et al., 2011). While both approaches have advantages, their effectiveness depends on how well governance mechanisms, leadership practices, and communication systems are aligned.</w:t>
      </w:r>
      <w:r w:rsidRPr="1FB80F97" w:rsidR="15FD4A18">
        <w:rPr>
          <w:rFonts w:ascii="Arial" w:hAnsi="Arial" w:eastAsia="Arial" w:cs="Arial" w:asciiTheme="minorAscii" w:hAnsiTheme="minorAscii" w:eastAsiaTheme="minorAscii" w:cstheme="minorAscii"/>
          <w:noProof w:val="0"/>
          <w:sz w:val="22"/>
          <w:szCs w:val="22"/>
          <w:lang w:val="en-GB"/>
        </w:rPr>
        <w:t xml:space="preserve"> </w:t>
      </w:r>
      <w:r w:rsidRPr="1FB80F97" w:rsidR="1DD5DDDD">
        <w:rPr>
          <w:rFonts w:ascii="Arial" w:hAnsi="Arial" w:eastAsia="Arial" w:cs="Arial" w:asciiTheme="minorAscii" w:hAnsiTheme="minorAscii" w:eastAsiaTheme="minorAscii" w:cstheme="minorAscii"/>
          <w:noProof w:val="0"/>
          <w:sz w:val="22"/>
          <w:szCs w:val="22"/>
          <w:lang w:val="en-GB"/>
        </w:rPr>
        <w:t xml:space="preserve">The importance of selecting </w:t>
      </w:r>
      <w:r w:rsidRPr="1FB80F97" w:rsidR="1DD5DDDD">
        <w:rPr>
          <w:rFonts w:ascii="Arial" w:hAnsi="Arial" w:eastAsia="Arial" w:cs="Arial" w:asciiTheme="minorAscii" w:hAnsiTheme="minorAscii" w:eastAsiaTheme="minorAscii" w:cstheme="minorAscii"/>
          <w:noProof w:val="0"/>
          <w:sz w:val="22"/>
          <w:szCs w:val="22"/>
          <w:lang w:val="en-GB"/>
        </w:rPr>
        <w:t>an appropriate leadership</w:t>
      </w:r>
      <w:r w:rsidRPr="1FB80F97" w:rsidR="1DD5DDDD">
        <w:rPr>
          <w:rFonts w:ascii="Arial" w:hAnsi="Arial" w:eastAsia="Arial" w:cs="Arial" w:asciiTheme="minorAscii" w:hAnsiTheme="minorAscii" w:eastAsiaTheme="minorAscii" w:cstheme="minorAscii"/>
          <w:noProof w:val="0"/>
          <w:sz w:val="22"/>
          <w:szCs w:val="22"/>
          <w:lang w:val="en-GB"/>
        </w:rPr>
        <w:t xml:space="preserve"> approach is particularly </w:t>
      </w:r>
      <w:r w:rsidRPr="1FB80F97" w:rsidR="1DD5DDDD">
        <w:rPr>
          <w:rFonts w:ascii="Arial" w:hAnsi="Arial" w:eastAsia="Arial" w:cs="Arial" w:asciiTheme="minorAscii" w:hAnsiTheme="minorAscii" w:eastAsiaTheme="minorAscii" w:cstheme="minorAscii"/>
          <w:noProof w:val="0"/>
          <w:sz w:val="22"/>
          <w:szCs w:val="22"/>
          <w:lang w:val="en-GB"/>
        </w:rPr>
        <w:t>evident</w:t>
      </w:r>
      <w:r w:rsidRPr="1FB80F97" w:rsidR="1DD5DDDD">
        <w:rPr>
          <w:rFonts w:ascii="Arial" w:hAnsi="Arial" w:eastAsia="Arial" w:cs="Arial" w:asciiTheme="minorAscii" w:hAnsiTheme="minorAscii" w:eastAsiaTheme="minorAscii" w:cstheme="minorAscii"/>
          <w:noProof w:val="0"/>
          <w:sz w:val="22"/>
          <w:szCs w:val="22"/>
          <w:lang w:val="en-GB"/>
        </w:rPr>
        <w:t xml:space="preserve"> in high-risk situations such as medication management. Ineffective leadership can contribute to poor oversight, weak safety cultures, and communication breakdowns, </w:t>
      </w:r>
      <w:r w:rsidRPr="1FB80F97" w:rsidR="663AFD09">
        <w:rPr>
          <w:rFonts w:ascii="Arial" w:hAnsi="Arial" w:eastAsia="Arial" w:cs="Arial" w:asciiTheme="minorAscii" w:hAnsiTheme="minorAscii" w:eastAsiaTheme="minorAscii" w:cstheme="minorAscii"/>
          <w:noProof w:val="0"/>
          <w:sz w:val="22"/>
          <w:szCs w:val="22"/>
          <w:lang w:val="en-GB"/>
        </w:rPr>
        <w:t>increasing</w:t>
      </w:r>
      <w:r w:rsidRPr="1FB80F97" w:rsidR="1DD5DDDD">
        <w:rPr>
          <w:rFonts w:ascii="Arial" w:hAnsi="Arial" w:eastAsia="Arial" w:cs="Arial" w:asciiTheme="minorAscii" w:hAnsiTheme="minorAscii" w:eastAsiaTheme="minorAscii" w:cstheme="minorAscii"/>
          <w:noProof w:val="0"/>
          <w:sz w:val="22"/>
          <w:szCs w:val="22"/>
          <w:lang w:val="en-GB"/>
        </w:rPr>
        <w:t xml:space="preserve"> the likelihood of adverse events (Francis, 2013). Conversely, effective leadership can enhance organisational learning, improve staff engagement, and support safer systems of care.</w:t>
      </w:r>
    </w:p>
    <w:p w:rsidR="1DD5DDDD" w:rsidP="1FB80F97" w:rsidRDefault="1DD5DDDD" w14:paraId="7706BE51" w14:textId="4D71499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1DD5DDDD">
        <w:rPr>
          <w:rFonts w:ascii="Arial" w:hAnsi="Arial" w:eastAsia="Arial" w:cs="Arial" w:asciiTheme="minorAscii" w:hAnsiTheme="minorAscii" w:eastAsiaTheme="minorAscii" w:cstheme="minorAscii"/>
          <w:noProof w:val="0"/>
          <w:sz w:val="22"/>
          <w:szCs w:val="22"/>
          <w:lang w:val="en-GB"/>
        </w:rPr>
        <w:t xml:space="preserve">This report critically analyses the selected case study using systems thinking, leadership theory, and governance frameworks. It will examine the underlying causes of the incident, evaluate the role of centralisation and decentralisation, assess leadership effectiveness, and </w:t>
      </w:r>
      <w:r w:rsidRPr="1FB80F97" w:rsidR="1DD5DDDD">
        <w:rPr>
          <w:rFonts w:ascii="Arial" w:hAnsi="Arial" w:eastAsia="Arial" w:cs="Arial" w:asciiTheme="minorAscii" w:hAnsiTheme="minorAscii" w:eastAsiaTheme="minorAscii" w:cstheme="minorAscii"/>
          <w:noProof w:val="0"/>
          <w:sz w:val="22"/>
          <w:szCs w:val="22"/>
          <w:lang w:val="en-GB"/>
        </w:rPr>
        <w:t>identify</w:t>
      </w:r>
      <w:r w:rsidRPr="1FB80F97" w:rsidR="1DD5DDDD">
        <w:rPr>
          <w:rFonts w:ascii="Arial" w:hAnsi="Arial" w:eastAsia="Arial" w:cs="Arial" w:asciiTheme="minorAscii" w:hAnsiTheme="minorAscii" w:eastAsiaTheme="minorAscii" w:cstheme="minorAscii"/>
          <w:noProof w:val="0"/>
          <w:sz w:val="22"/>
          <w:szCs w:val="22"/>
          <w:lang w:val="en-GB"/>
        </w:rPr>
        <w:t xml:space="preserve"> evidence-based strategies for improving performance and preventing similar incidents in the future.</w:t>
      </w:r>
    </w:p>
    <w:p w:rsidR="3BF0F694" w:rsidP="1FB80F97" w:rsidRDefault="3BF0F694" w14:paraId="11B93520" w14:textId="7B3209E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3BF0F694">
        <w:rPr>
          <w:rFonts w:ascii="Arial" w:hAnsi="Arial" w:eastAsia="Arial" w:cs="Arial" w:asciiTheme="minorAscii" w:hAnsiTheme="minorAscii" w:eastAsiaTheme="minorAscii" w:cstheme="minorAscii"/>
          <w:b w:val="1"/>
          <w:bCs w:val="1"/>
          <w:noProof w:val="0"/>
          <w:sz w:val="22"/>
          <w:szCs w:val="22"/>
          <w:lang w:val="en-GB"/>
        </w:rPr>
        <w:t>Main Body</w:t>
      </w:r>
      <w:r w:rsidRPr="1FB80F97" w:rsidR="4074A58D">
        <w:rPr>
          <w:rFonts w:ascii="Arial" w:hAnsi="Arial" w:eastAsia="Arial" w:cs="Arial" w:asciiTheme="minorAscii" w:hAnsiTheme="minorAscii" w:eastAsiaTheme="minorAscii" w:cstheme="minorAscii"/>
          <w:b w:val="1"/>
          <w:bCs w:val="1"/>
          <w:noProof w:val="0"/>
          <w:sz w:val="22"/>
          <w:szCs w:val="22"/>
          <w:lang w:val="en-GB"/>
        </w:rPr>
        <w:t xml:space="preserve"> </w:t>
      </w:r>
      <w:r w:rsidRPr="1FB80F97" w:rsidR="4074A58D">
        <w:rPr>
          <w:rFonts w:ascii="Arial" w:hAnsi="Arial" w:eastAsia="Arial" w:cs="Arial" w:asciiTheme="minorAscii" w:hAnsiTheme="minorAscii" w:eastAsiaTheme="minorAscii" w:cstheme="minorAscii"/>
          <w:b w:val="1"/>
          <w:bCs w:val="1"/>
          <w:noProof w:val="0"/>
          <w:sz w:val="22"/>
          <w:szCs w:val="22"/>
          <w:lang w:val="en-GB"/>
        </w:rPr>
        <w:t>Section A</w:t>
      </w:r>
    </w:p>
    <w:p w:rsidR="4074A58D" w:rsidP="1FB80F97" w:rsidRDefault="4074A58D" w14:paraId="5C810989" w14:textId="01F76C1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4074A58D">
        <w:rPr>
          <w:rFonts w:ascii="Arial" w:hAnsi="Arial" w:eastAsia="Arial" w:cs="Arial" w:asciiTheme="minorAscii" w:hAnsiTheme="minorAscii" w:eastAsiaTheme="minorAscii" w:cstheme="minorAscii"/>
          <w:b w:val="1"/>
          <w:bCs w:val="1"/>
          <w:noProof w:val="0"/>
          <w:sz w:val="22"/>
          <w:szCs w:val="22"/>
          <w:lang w:val="en-GB"/>
        </w:rPr>
        <w:t>Identifying</w:t>
      </w:r>
      <w:r w:rsidRPr="1FB80F97" w:rsidR="4074A58D">
        <w:rPr>
          <w:rFonts w:ascii="Arial" w:hAnsi="Arial" w:eastAsia="Arial" w:cs="Arial" w:asciiTheme="minorAscii" w:hAnsiTheme="minorAscii" w:eastAsiaTheme="minorAscii" w:cstheme="minorAscii"/>
          <w:b w:val="1"/>
          <w:bCs w:val="1"/>
          <w:noProof w:val="0"/>
          <w:sz w:val="22"/>
          <w:szCs w:val="22"/>
          <w:lang w:val="en-GB"/>
        </w:rPr>
        <w:t xml:space="preserve"> the Problem and Setting the System Context</w:t>
      </w:r>
    </w:p>
    <w:p w:rsidR="4074A58D" w:rsidP="1FB80F97" w:rsidRDefault="4074A58D" w14:paraId="0A59AEA2" w14:textId="22F4A3E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The selected case study involves a four-week-old infant in the </w:t>
      </w:r>
      <w:r w:rsidRPr="1FB80F97" w:rsidR="526E82EA">
        <w:rPr>
          <w:rFonts w:ascii="Arial" w:hAnsi="Arial" w:eastAsia="Arial" w:cs="Arial" w:asciiTheme="minorAscii" w:hAnsiTheme="minorAscii" w:eastAsiaTheme="minorAscii" w:cstheme="minorAscii"/>
          <w:noProof w:val="0"/>
          <w:sz w:val="22"/>
          <w:szCs w:val="22"/>
          <w:lang w:val="en-GB"/>
        </w:rPr>
        <w:t>Northeast</w:t>
      </w:r>
      <w:r w:rsidRPr="1FB80F97" w:rsidR="4074A58D">
        <w:rPr>
          <w:rFonts w:ascii="Arial" w:hAnsi="Arial" w:eastAsia="Arial" w:cs="Arial" w:asciiTheme="minorAscii" w:hAnsiTheme="minorAscii" w:eastAsiaTheme="minorAscii" w:cstheme="minorAscii"/>
          <w:noProof w:val="0"/>
          <w:sz w:val="22"/>
          <w:szCs w:val="22"/>
          <w:lang w:val="en-GB"/>
        </w:rPr>
        <w:t xml:space="preserve"> and Yorkshire region who received a morphine sulphate oral solution at a dose twenty times higher than intended due to the dispensing of an incorrect formulation. Although the infant survived following treatment with naloxone, the incident reflects a significant failure in medication safety processes. Notably, national reporting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that this is the fifth similar incident since 2018, with at least one resulting in death, suggesting that this is not an isolated occurrence but part of a broader systemic issue within healthcare delivery.</w:t>
      </w:r>
    </w:p>
    <w:p w:rsidR="4074A58D" w:rsidP="1FB80F97" w:rsidRDefault="4074A58D" w14:paraId="1472105A" w14:textId="3EB6BE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From a global perspective, medication-related harm </w:t>
      </w:r>
      <w:r w:rsidRPr="1FB80F97" w:rsidR="4074A58D">
        <w:rPr>
          <w:rFonts w:ascii="Arial" w:hAnsi="Arial" w:eastAsia="Arial" w:cs="Arial" w:asciiTheme="minorAscii" w:hAnsiTheme="minorAscii" w:eastAsiaTheme="minorAscii" w:cstheme="minorAscii"/>
          <w:noProof w:val="0"/>
          <w:sz w:val="22"/>
          <w:szCs w:val="22"/>
          <w:lang w:val="en-GB"/>
        </w:rPr>
        <w:t>represents</w:t>
      </w:r>
      <w:r w:rsidRPr="1FB80F97" w:rsidR="4074A58D">
        <w:rPr>
          <w:rFonts w:ascii="Arial" w:hAnsi="Arial" w:eastAsia="Arial" w:cs="Arial" w:asciiTheme="minorAscii" w:hAnsiTheme="minorAscii" w:eastAsiaTheme="minorAscii" w:cstheme="minorAscii"/>
          <w:noProof w:val="0"/>
          <w:sz w:val="22"/>
          <w:szCs w:val="22"/>
          <w:lang w:val="en-GB"/>
        </w:rPr>
        <w:t xml:space="preserve"> a substantial burden on healthcare systems. The World Health Organization (WHO) estimates that medication errors affect </w:t>
      </w:r>
      <w:r w:rsidRPr="1FB80F97" w:rsidR="522A9F1B">
        <w:rPr>
          <w:rFonts w:ascii="Arial" w:hAnsi="Arial" w:eastAsia="Arial" w:cs="Arial" w:asciiTheme="minorAscii" w:hAnsiTheme="minorAscii" w:eastAsiaTheme="minorAscii" w:cstheme="minorAscii"/>
          <w:noProof w:val="0"/>
          <w:sz w:val="22"/>
          <w:szCs w:val="22"/>
          <w:lang w:val="en-GB"/>
        </w:rPr>
        <w:t>1</w:t>
      </w:r>
      <w:r w:rsidRPr="1FB80F97" w:rsidR="4074A58D">
        <w:rPr>
          <w:rFonts w:ascii="Arial" w:hAnsi="Arial" w:eastAsia="Arial" w:cs="Arial" w:asciiTheme="minorAscii" w:hAnsiTheme="minorAscii" w:eastAsiaTheme="minorAscii" w:cstheme="minorAscii"/>
          <w:noProof w:val="0"/>
          <w:sz w:val="22"/>
          <w:szCs w:val="22"/>
          <w:lang w:val="en-GB"/>
        </w:rPr>
        <w:t xml:space="preserve"> in 10 patients worldwide and cost an estimated $42 billion annually (WHO, 2017). This highlights medication safety as a critical international patient safety priority. Furthermore, the WHO’s “Medication Without Harm” initiative emphasises that many of these errors are preventable and often arise from system-level failures rather than individual negligence. At a national level, evidence further reinforces the scale of the issue. Elliott et al. (2018), in a large study published in BMJ Quality &amp; Safety, estimated that there are </w:t>
      </w:r>
      <w:r w:rsidRPr="1FB80F97" w:rsidR="1BC1688F">
        <w:rPr>
          <w:rFonts w:ascii="Arial" w:hAnsi="Arial" w:eastAsia="Arial" w:cs="Arial" w:asciiTheme="minorAscii" w:hAnsiTheme="minorAscii" w:eastAsiaTheme="minorAscii" w:cstheme="minorAscii"/>
          <w:noProof w:val="0"/>
          <w:sz w:val="22"/>
          <w:szCs w:val="22"/>
          <w:lang w:val="en-GB"/>
        </w:rPr>
        <w:t>237</w:t>
      </w:r>
      <w:r w:rsidRPr="1FB80F97" w:rsidR="4074A58D">
        <w:rPr>
          <w:rFonts w:ascii="Arial" w:hAnsi="Arial" w:eastAsia="Arial" w:cs="Arial" w:asciiTheme="minorAscii" w:hAnsiTheme="minorAscii" w:eastAsiaTheme="minorAscii" w:cstheme="minorAscii"/>
          <w:noProof w:val="0"/>
          <w:sz w:val="22"/>
          <w:szCs w:val="22"/>
          <w:lang w:val="en-GB"/>
        </w:rPr>
        <w:t xml:space="preserve"> million medication errors annually in England, with around 66 million considered potentially clinically significant. These errors contribute to an estimated 1,700–22,000 deaths each year and impose a financial burden of approximately £98 million on the NHS. This data </w:t>
      </w:r>
      <w:r w:rsidRPr="1FB80F97" w:rsidR="4074A58D">
        <w:rPr>
          <w:rFonts w:ascii="Arial" w:hAnsi="Arial" w:eastAsia="Arial" w:cs="Arial" w:asciiTheme="minorAscii" w:hAnsiTheme="minorAscii" w:eastAsiaTheme="minorAscii" w:cstheme="minorAscii"/>
          <w:noProof w:val="0"/>
          <w:sz w:val="22"/>
          <w:szCs w:val="22"/>
          <w:lang w:val="en-GB"/>
        </w:rPr>
        <w:t>demonstrates</w:t>
      </w:r>
      <w:r w:rsidRPr="1FB80F97" w:rsidR="4074A58D">
        <w:rPr>
          <w:rFonts w:ascii="Arial" w:hAnsi="Arial" w:eastAsia="Arial" w:cs="Arial" w:asciiTheme="minorAscii" w:hAnsiTheme="minorAscii" w:eastAsiaTheme="minorAscii" w:cstheme="minorAscii"/>
          <w:noProof w:val="0"/>
          <w:sz w:val="22"/>
          <w:szCs w:val="22"/>
          <w:lang w:val="en-GB"/>
        </w:rPr>
        <w:t xml:space="preserve"> that the incident described in the case study is symptomatic of wider systemic weaknesses in medication management processes across the healthcare system.</w:t>
      </w:r>
    </w:p>
    <w:p w:rsidR="4074A58D" w:rsidP="1FB80F97" w:rsidRDefault="4074A58D" w14:paraId="0BB03670" w14:textId="3A381B9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In addition, organisations such as the Institute for Healthcare Improvement (IHI) have </w:t>
      </w:r>
      <w:r w:rsidRPr="1FB80F97" w:rsidR="4074A58D">
        <w:rPr>
          <w:rFonts w:ascii="Arial" w:hAnsi="Arial" w:eastAsia="Arial" w:cs="Arial" w:asciiTheme="minorAscii" w:hAnsiTheme="minorAscii" w:eastAsiaTheme="minorAscii" w:cstheme="minorAscii"/>
          <w:noProof w:val="0"/>
          <w:sz w:val="22"/>
          <w:szCs w:val="22"/>
          <w:lang w:val="en-GB"/>
        </w:rPr>
        <w:t>identified</w:t>
      </w:r>
      <w:r w:rsidRPr="1FB80F97" w:rsidR="4074A58D">
        <w:rPr>
          <w:rFonts w:ascii="Arial" w:hAnsi="Arial" w:eastAsia="Arial" w:cs="Arial" w:asciiTheme="minorAscii" w:hAnsiTheme="minorAscii" w:eastAsiaTheme="minorAscii" w:cstheme="minorAscii"/>
          <w:noProof w:val="0"/>
          <w:sz w:val="22"/>
          <w:szCs w:val="22"/>
          <w:lang w:val="en-GB"/>
        </w:rPr>
        <w:t xml:space="preserve"> medication errors as a leading cause of preventable harm, emphasising the importance of system redesign and leadership engagement in improving safety outcomes (IHI, 2020). The recurrence of similar incidents involving morphine dosing errors suggests persistent gaps in governance, standardisation, and communication across healthcare settings. </w:t>
      </w:r>
    </w:p>
    <w:p w:rsidR="4074A58D" w:rsidP="1FB80F97" w:rsidRDefault="4074A58D" w14:paraId="33FA6B20" w14:textId="00A3816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Applying systems thinking to this case reveals that the error cannot be attributed solely to an individual mistake but rather to a series of interconnected failures across multiple components of the healthcare system. Systems thinking, as articulated by Senge (2006), emphasises understanding how different elements within a system interact to produce outcomes. In this case, several systemic weaknesses can be </w:t>
      </w:r>
      <w:r w:rsidRPr="1FB80F97" w:rsidR="4074A58D">
        <w:rPr>
          <w:rFonts w:ascii="Arial" w:hAnsi="Arial" w:eastAsia="Arial" w:cs="Arial" w:asciiTheme="minorAscii" w:hAnsiTheme="minorAscii" w:eastAsiaTheme="minorAscii" w:cstheme="minorAscii"/>
          <w:noProof w:val="0"/>
          <w:sz w:val="22"/>
          <w:szCs w:val="22"/>
          <w:lang w:val="en-GB"/>
        </w:rPr>
        <w:t>identified</w:t>
      </w:r>
      <w:r w:rsidRPr="1FB80F97" w:rsidR="4074A58D">
        <w:rPr>
          <w:rFonts w:ascii="Arial" w:hAnsi="Arial" w:eastAsia="Arial" w:cs="Arial" w:asciiTheme="minorAscii" w:hAnsiTheme="minorAscii" w:eastAsiaTheme="minorAscii" w:cstheme="minorAscii"/>
          <w:noProof w:val="0"/>
          <w:sz w:val="22"/>
          <w:szCs w:val="22"/>
          <w:lang w:val="en-GB"/>
        </w:rPr>
        <w:t>.</w:t>
      </w:r>
    </w:p>
    <w:p w:rsidR="00526C32" w:rsidP="1FB80F97" w:rsidRDefault="00526C32" w14:paraId="390DFD39" w14:textId="2BBBC801">
      <w:pPr>
        <w:pStyle w:val="Normal"/>
        <w:spacing w:before="240" w:beforeAutospacing="off" w:after="240" w:afterAutospacing="off" w:line="360" w:lineRule="auto"/>
      </w:pPr>
      <w:r w:rsidR="00526C32">
        <w:drawing>
          <wp:inline wp14:editId="6EFDAD22" wp14:anchorId="79D29BA3">
            <wp:extent cx="5724525" cy="4295775"/>
            <wp:effectExtent l="0" t="0" r="0" b="0"/>
            <wp:docPr id="987297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7297574" name="Picture 987297574"/>
                    <pic:cNvPicPr/>
                  </pic:nvPicPr>
                  <pic:blipFill>
                    <a:blip xmlns:r="http://schemas.openxmlformats.org/officeDocument/2006/relationships" r:embed="rId1216532022">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4074A58D" w:rsidP="1FB80F97" w:rsidRDefault="4074A58D" w14:paraId="51402DB5" w14:textId="460AEB2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Firstly, communication failures played </w:t>
      </w:r>
      <w:r w:rsidRPr="1FB80F97" w:rsidR="5067FD11">
        <w:rPr>
          <w:rFonts w:ascii="Arial" w:hAnsi="Arial" w:eastAsia="Arial" w:cs="Arial" w:asciiTheme="minorAscii" w:hAnsiTheme="minorAscii" w:eastAsiaTheme="minorAscii" w:cstheme="minorAscii"/>
          <w:noProof w:val="0"/>
          <w:sz w:val="22"/>
          <w:szCs w:val="22"/>
          <w:lang w:val="en-GB"/>
        </w:rPr>
        <w:t>a leading role</w:t>
      </w:r>
      <w:r w:rsidRPr="1FB80F97" w:rsidR="4074A58D">
        <w:rPr>
          <w:rFonts w:ascii="Arial" w:hAnsi="Arial" w:eastAsia="Arial" w:cs="Arial" w:asciiTheme="minorAscii" w:hAnsiTheme="minorAscii" w:eastAsiaTheme="minorAscii" w:cstheme="minorAscii"/>
          <w:noProof w:val="0"/>
          <w:sz w:val="22"/>
          <w:szCs w:val="22"/>
          <w:lang w:val="en-GB"/>
        </w:rPr>
        <w:t xml:space="preserve">. The incorrect formulation of morphine was supplied, </w:t>
      </w:r>
      <w:r w:rsidRPr="1FB80F97" w:rsidR="4074A58D">
        <w:rPr>
          <w:rFonts w:ascii="Arial" w:hAnsi="Arial" w:eastAsia="Arial" w:cs="Arial" w:asciiTheme="minorAscii" w:hAnsiTheme="minorAscii" w:eastAsiaTheme="minorAscii" w:cstheme="minorAscii"/>
          <w:noProof w:val="0"/>
          <w:sz w:val="22"/>
          <w:szCs w:val="22"/>
          <w:lang w:val="en-GB"/>
        </w:rPr>
        <w:t>indicating</w:t>
      </w:r>
      <w:r w:rsidRPr="1FB80F97" w:rsidR="4074A58D">
        <w:rPr>
          <w:rFonts w:ascii="Arial" w:hAnsi="Arial" w:eastAsia="Arial" w:cs="Arial" w:asciiTheme="minorAscii" w:hAnsiTheme="minorAscii" w:eastAsiaTheme="minorAscii" w:cstheme="minorAscii"/>
          <w:noProof w:val="0"/>
          <w:sz w:val="22"/>
          <w:szCs w:val="22"/>
          <w:lang w:val="en-GB"/>
        </w:rPr>
        <w:t xml:space="preserve"> a breakdown in information transfer between prescribing and dispensing stages. This suggests inadequate verification processes and potential ambiguity in prescribing instructions. Secondly, governance failures are </w:t>
      </w:r>
      <w:r w:rsidRPr="1FB80F97" w:rsidR="4074A58D">
        <w:rPr>
          <w:rFonts w:ascii="Arial" w:hAnsi="Arial" w:eastAsia="Arial" w:cs="Arial" w:asciiTheme="minorAscii" w:hAnsiTheme="minorAscii" w:eastAsiaTheme="minorAscii" w:cstheme="minorAscii"/>
          <w:noProof w:val="0"/>
          <w:sz w:val="22"/>
          <w:szCs w:val="22"/>
          <w:lang w:val="en-GB"/>
        </w:rPr>
        <w:t>evident</w:t>
      </w:r>
      <w:r w:rsidRPr="1FB80F97" w:rsidR="4074A58D">
        <w:rPr>
          <w:rFonts w:ascii="Arial" w:hAnsi="Arial" w:eastAsia="Arial" w:cs="Arial" w:asciiTheme="minorAscii" w:hAnsiTheme="minorAscii" w:eastAsiaTheme="minorAscii" w:cstheme="minorAscii"/>
          <w:noProof w:val="0"/>
          <w:sz w:val="22"/>
          <w:szCs w:val="22"/>
          <w:lang w:val="en-GB"/>
        </w:rPr>
        <w:t xml:space="preserve"> in the handling of ‘RED drugs</w:t>
      </w:r>
      <w:bookmarkStart w:name="_Int_joat1DTB" w:id="1784490976"/>
      <w:r w:rsidRPr="1FB80F97" w:rsidR="4074A58D">
        <w:rPr>
          <w:rFonts w:ascii="Arial" w:hAnsi="Arial" w:eastAsia="Arial" w:cs="Arial" w:asciiTheme="minorAscii" w:hAnsiTheme="minorAscii" w:eastAsiaTheme="minorAscii" w:cstheme="minorAscii"/>
          <w:noProof w:val="0"/>
          <w:sz w:val="22"/>
          <w:szCs w:val="22"/>
          <w:lang w:val="en-GB"/>
        </w:rPr>
        <w:t>’,</w:t>
      </w:r>
      <w:bookmarkEnd w:id="1784490976"/>
      <w:r w:rsidRPr="1FB80F97" w:rsidR="4074A58D">
        <w:rPr>
          <w:rFonts w:ascii="Arial" w:hAnsi="Arial" w:eastAsia="Arial" w:cs="Arial" w:asciiTheme="minorAscii" w:hAnsiTheme="minorAscii" w:eastAsiaTheme="minorAscii" w:cstheme="minorAscii"/>
          <w:noProof w:val="0"/>
          <w:sz w:val="22"/>
          <w:szCs w:val="22"/>
          <w:lang w:val="en-GB"/>
        </w:rPr>
        <w:t xml:space="preserve"> which are intended to be prescribed and dispensed within specialist settings only. The availability of such medication in a community context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a breach of established protocols and insufficient oversight mechanisms.</w:t>
      </w:r>
    </w:p>
    <w:p w:rsidR="4074A58D" w:rsidP="1FB80F97" w:rsidRDefault="4074A58D" w14:paraId="024425A5" w14:textId="1A79263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Thirdly, there appear to be deficiencies in safety culture and accountability. High-reliability organisations typically employ multiple layers of checking to prevent such errors; however, the absence of effective double-check systems suggests a lack of robust safety processes. Reason’s (2000) Swiss Cheese Model provides a useful framework for understanding this incident, illustrating how multiple latent failures aligned to allow the error to occur. Underlying these issues are broader systemic challenges, including workforce pressures and resource constraints. NHS workforce data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ongoing staff shortages across both pharmacy and nursing professions, which have been linked to increased risk of medication errors due to workload pressures and fatigue (NHS England, 2022). Additionally, variations in training and competency in handling high-risk medications may further contribute to inconsistencies in practice.</w:t>
      </w:r>
    </w:p>
    <w:p w:rsidR="4074A58D" w:rsidP="1FB80F97" w:rsidRDefault="4074A58D" w14:paraId="41633178" w14:textId="0AFA298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The governance context of this case spans multiple levels. At the national level, policies </w:t>
      </w:r>
      <w:r w:rsidRPr="1FB80F97" w:rsidR="4074A58D">
        <w:rPr>
          <w:rFonts w:ascii="Arial" w:hAnsi="Arial" w:eastAsia="Arial" w:cs="Arial" w:asciiTheme="minorAscii" w:hAnsiTheme="minorAscii" w:eastAsiaTheme="minorAscii" w:cstheme="minorAscii"/>
          <w:noProof w:val="0"/>
          <w:sz w:val="22"/>
          <w:szCs w:val="22"/>
          <w:lang w:val="en-GB"/>
        </w:rPr>
        <w:t>regarding</w:t>
      </w:r>
      <w:r w:rsidRPr="1FB80F97" w:rsidR="4074A58D">
        <w:rPr>
          <w:rFonts w:ascii="Arial" w:hAnsi="Arial" w:eastAsia="Arial" w:cs="Arial" w:asciiTheme="minorAscii" w:hAnsiTheme="minorAscii" w:eastAsiaTheme="minorAscii" w:cstheme="minorAscii"/>
          <w:noProof w:val="0"/>
          <w:sz w:val="22"/>
          <w:szCs w:val="22"/>
          <w:lang w:val="en-GB"/>
        </w:rPr>
        <w:t xml:space="preserve"> the classification and management of RED drugs are intended to standardise safe practice. However, the recurrence of similar incidents suggests limitations in policy implementation and monitoring. At the local level, healthcare organisations </w:t>
      </w:r>
      <w:r w:rsidRPr="1FB80F97" w:rsidR="4074A58D">
        <w:rPr>
          <w:rFonts w:ascii="Arial" w:hAnsi="Arial" w:eastAsia="Arial" w:cs="Arial" w:asciiTheme="minorAscii" w:hAnsiTheme="minorAscii" w:eastAsiaTheme="minorAscii" w:cstheme="minorAscii"/>
          <w:noProof w:val="0"/>
          <w:sz w:val="22"/>
          <w:szCs w:val="22"/>
          <w:lang w:val="en-GB"/>
        </w:rPr>
        <w:t>are responsible for</w:t>
      </w:r>
      <w:r w:rsidRPr="1FB80F97" w:rsidR="4074A58D">
        <w:rPr>
          <w:rFonts w:ascii="Arial" w:hAnsi="Arial" w:eastAsia="Arial" w:cs="Arial" w:asciiTheme="minorAscii" w:hAnsiTheme="minorAscii" w:eastAsiaTheme="minorAscii" w:cstheme="minorAscii"/>
          <w:noProof w:val="0"/>
          <w:sz w:val="22"/>
          <w:szCs w:val="22"/>
          <w:lang w:val="en-GB"/>
        </w:rPr>
        <w:t xml:space="preserve"> ensuring adherence to these policies through effective leadership, training, and audit processes. The failure to prevent this incident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weaknesses in local governance structures, including insufficient accountability and oversight. To further illustrate the complexity of this system, a Rich Picture can be used as a visual tool to map the relationships, processes, and issues involved. The Rich Picture for this case should include key </w:t>
      </w:r>
      <w:r w:rsidRPr="1FB80F97" w:rsidR="298CC09E">
        <w:rPr>
          <w:rFonts w:ascii="Arial" w:hAnsi="Arial" w:eastAsia="Arial" w:cs="Arial" w:asciiTheme="minorAscii" w:hAnsiTheme="minorAscii" w:eastAsiaTheme="minorAscii" w:cstheme="minorAscii"/>
          <w:noProof w:val="0"/>
          <w:sz w:val="22"/>
          <w:szCs w:val="22"/>
          <w:lang w:val="en-GB"/>
        </w:rPr>
        <w:t>factors</w:t>
      </w:r>
      <w:r w:rsidRPr="1FB80F97" w:rsidR="4074A58D">
        <w:rPr>
          <w:rFonts w:ascii="Arial" w:hAnsi="Arial" w:eastAsia="Arial" w:cs="Arial" w:asciiTheme="minorAscii" w:hAnsiTheme="minorAscii" w:eastAsiaTheme="minorAscii" w:cstheme="minorAscii"/>
          <w:noProof w:val="0"/>
          <w:sz w:val="22"/>
          <w:szCs w:val="22"/>
          <w:lang w:val="en-GB"/>
        </w:rPr>
        <w:t xml:space="preserve"> such as general practitioners, hospital specialists, pharmacists, nurses, patients, and parents. It should depict the medication pathway, including prescribing, dispensing, and administration processes, highlighting where communication breakdowns occurred. Structural elements such as NHS policies, formularies, and IT systems should also be included, alongside emotional components such as parental anxiety and staff stress.</w:t>
      </w:r>
    </w:p>
    <w:p w:rsidR="4074A58D" w:rsidP="1FB80F97" w:rsidRDefault="4074A58D" w14:paraId="38D4FF77" w14:textId="739B00D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Importantly, the Rich Picture should illustrate feedback loops, such as incident reporting systems and audit mechanisms, and </w:t>
      </w:r>
      <w:r w:rsidRPr="1FB80F97" w:rsidR="4074A58D">
        <w:rPr>
          <w:rFonts w:ascii="Arial" w:hAnsi="Arial" w:eastAsia="Arial" w:cs="Arial" w:asciiTheme="minorAscii" w:hAnsiTheme="minorAscii" w:eastAsiaTheme="minorAscii" w:cstheme="minorAscii"/>
          <w:noProof w:val="0"/>
          <w:sz w:val="22"/>
          <w:szCs w:val="22"/>
          <w:lang w:val="en-GB"/>
        </w:rPr>
        <w:t>demonstrate</w:t>
      </w:r>
      <w:r w:rsidRPr="1FB80F97" w:rsidR="4074A58D">
        <w:rPr>
          <w:rFonts w:ascii="Arial" w:hAnsi="Arial" w:eastAsia="Arial" w:cs="Arial" w:asciiTheme="minorAscii" w:hAnsiTheme="minorAscii" w:eastAsiaTheme="minorAscii" w:cstheme="minorAscii"/>
          <w:noProof w:val="0"/>
          <w:sz w:val="22"/>
          <w:szCs w:val="22"/>
          <w:lang w:val="en-GB"/>
        </w:rPr>
        <w:t xml:space="preserve"> where these failed to function effectively. For example, delayed or incomplete reporting of </w:t>
      </w:r>
      <w:r w:rsidRPr="1FB80F97" w:rsidR="4074A58D">
        <w:rPr>
          <w:rFonts w:ascii="Arial" w:hAnsi="Arial" w:eastAsia="Arial" w:cs="Arial" w:asciiTheme="minorAscii" w:hAnsiTheme="minorAscii" w:eastAsiaTheme="minorAscii" w:cstheme="minorAscii"/>
          <w:noProof w:val="0"/>
          <w:sz w:val="22"/>
          <w:szCs w:val="22"/>
          <w:lang w:val="en-GB"/>
        </w:rPr>
        <w:t>previous</w:t>
      </w:r>
      <w:r w:rsidRPr="1FB80F97" w:rsidR="4074A58D">
        <w:rPr>
          <w:rFonts w:ascii="Arial" w:hAnsi="Arial" w:eastAsia="Arial" w:cs="Arial" w:asciiTheme="minorAscii" w:hAnsiTheme="minorAscii" w:eastAsiaTheme="minorAscii" w:cstheme="minorAscii"/>
          <w:noProof w:val="0"/>
          <w:sz w:val="22"/>
          <w:szCs w:val="22"/>
          <w:lang w:val="en-GB"/>
        </w:rPr>
        <w:t xml:space="preserve"> incidents may have limited organisational learning, allowing similar errors to recur. Arrows can be used to show the flow of information and </w:t>
      </w:r>
      <w:r w:rsidRPr="1FB80F97" w:rsidR="4074A58D">
        <w:rPr>
          <w:rFonts w:ascii="Arial" w:hAnsi="Arial" w:eastAsia="Arial" w:cs="Arial" w:asciiTheme="minorAscii" w:hAnsiTheme="minorAscii" w:eastAsiaTheme="minorAscii" w:cstheme="minorAscii"/>
          <w:noProof w:val="0"/>
          <w:sz w:val="22"/>
          <w:szCs w:val="22"/>
          <w:lang w:val="en-GB"/>
        </w:rPr>
        <w:t>identify</w:t>
      </w:r>
      <w:r w:rsidRPr="1FB80F97" w:rsidR="4074A58D">
        <w:rPr>
          <w:rFonts w:ascii="Arial" w:hAnsi="Arial" w:eastAsia="Arial" w:cs="Arial" w:asciiTheme="minorAscii" w:hAnsiTheme="minorAscii" w:eastAsiaTheme="minorAscii" w:cstheme="minorAscii"/>
          <w:noProof w:val="0"/>
          <w:sz w:val="22"/>
          <w:szCs w:val="22"/>
          <w:lang w:val="en-GB"/>
        </w:rPr>
        <w:t xml:space="preserve"> gaps or breakdowns within the system.</w:t>
      </w:r>
    </w:p>
    <w:p w:rsidR="4074A58D" w:rsidP="1FB80F97" w:rsidRDefault="4074A58D" w14:paraId="6CDE8DA6" w14:textId="3D3DA7B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In summary, the case reflects a complex interplay of system-level failures involving communication, governance, and leadership. </w:t>
      </w:r>
      <w:bookmarkStart w:name="_Int_QU6NgLRx" w:id="809907234"/>
      <w:r w:rsidRPr="1FB80F97" w:rsidR="4074A58D">
        <w:rPr>
          <w:rFonts w:ascii="Arial" w:hAnsi="Arial" w:eastAsia="Arial" w:cs="Arial" w:asciiTheme="minorAscii" w:hAnsiTheme="minorAscii" w:eastAsiaTheme="minorAscii" w:cstheme="minorAscii"/>
          <w:noProof w:val="0"/>
          <w:sz w:val="22"/>
          <w:szCs w:val="22"/>
          <w:lang w:val="en-GB"/>
        </w:rPr>
        <w:t>By situating the incident within both national and global contexts, it</w:t>
      </w:r>
      <w:bookmarkEnd w:id="809907234"/>
      <w:r w:rsidRPr="1FB80F97" w:rsidR="4074A58D">
        <w:rPr>
          <w:rFonts w:ascii="Arial" w:hAnsi="Arial" w:eastAsia="Arial" w:cs="Arial" w:asciiTheme="minorAscii" w:hAnsiTheme="minorAscii" w:eastAsiaTheme="minorAscii" w:cstheme="minorAscii"/>
          <w:noProof w:val="0"/>
          <w:sz w:val="22"/>
          <w:szCs w:val="22"/>
          <w:lang w:val="en-GB"/>
        </w:rPr>
        <w:t xml:space="preserve"> becomes </w:t>
      </w:r>
      <w:r w:rsidRPr="1FB80F97" w:rsidR="4074A58D">
        <w:rPr>
          <w:rFonts w:ascii="Arial" w:hAnsi="Arial" w:eastAsia="Arial" w:cs="Arial" w:asciiTheme="minorAscii" w:hAnsiTheme="minorAscii" w:eastAsiaTheme="minorAscii" w:cstheme="minorAscii"/>
          <w:noProof w:val="0"/>
          <w:sz w:val="22"/>
          <w:szCs w:val="22"/>
          <w:lang w:val="en-GB"/>
        </w:rPr>
        <w:t>evident</w:t>
      </w:r>
      <w:r w:rsidRPr="1FB80F97" w:rsidR="4074A58D">
        <w:rPr>
          <w:rFonts w:ascii="Arial" w:hAnsi="Arial" w:eastAsia="Arial" w:cs="Arial" w:asciiTheme="minorAscii" w:hAnsiTheme="minorAscii" w:eastAsiaTheme="minorAscii" w:cstheme="minorAscii"/>
          <w:noProof w:val="0"/>
          <w:sz w:val="22"/>
          <w:szCs w:val="22"/>
          <w:lang w:val="en-GB"/>
        </w:rPr>
        <w:t xml:space="preserve"> that medication safety is a persistent challenge requiring coordinated, system-wide interventions. A systems thinking approach highlights the need to move beyond individual blame and instead focus on strengthening processes, improving communication, and enhancing leadership and governance to prevent future harm.</w:t>
      </w:r>
    </w:p>
    <w:p w:rsidR="1FB80F97" w:rsidP="1FB80F97" w:rsidRDefault="1FB80F97" w14:paraId="2AD0E661" w14:textId="6AF21DF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FB80F97" w:rsidP="1FB80F97" w:rsidRDefault="1FB80F97" w14:paraId="39F50856" w14:textId="5FC3549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08E58AD8" w:rsidP="213E3D7D" w:rsidRDefault="08E58AD8" w14:paraId="359C1412" w14:textId="61ED9BB6">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8E58AD8" w:rsidP="213E3D7D" w:rsidRDefault="08E58AD8" w14:paraId="540089A6" w14:textId="19006868">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8E58AD8" w:rsidP="1FB80F97" w:rsidRDefault="08E58AD8" w14:paraId="41B4ACE5" w14:textId="107FE014">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213E3D7D" w:rsidR="08E58AD8">
        <w:rPr>
          <w:rFonts w:ascii="Arial" w:hAnsi="Arial" w:eastAsia="Arial" w:cs="Arial" w:asciiTheme="minorAscii" w:hAnsiTheme="minorAscii" w:eastAsiaTheme="minorAscii" w:cstheme="minorAscii"/>
          <w:b w:val="1"/>
          <w:bCs w:val="1"/>
          <w:noProof w:val="0"/>
          <w:sz w:val="22"/>
          <w:szCs w:val="22"/>
          <w:lang w:val="en-GB"/>
        </w:rPr>
        <w:t>Main Body</w:t>
      </w:r>
    </w:p>
    <w:p w:rsidR="08E58AD8" w:rsidP="1FB80F97" w:rsidRDefault="08E58AD8" w14:paraId="626D0A15" w14:textId="51AB9B4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8E58AD8">
        <w:rPr>
          <w:rFonts w:ascii="Arial" w:hAnsi="Arial" w:eastAsia="Arial" w:cs="Arial" w:asciiTheme="minorAscii" w:hAnsiTheme="minorAscii" w:eastAsiaTheme="minorAscii" w:cstheme="minorAscii"/>
          <w:b w:val="1"/>
          <w:bCs w:val="1"/>
          <w:noProof w:val="0"/>
          <w:sz w:val="22"/>
          <w:szCs w:val="22"/>
          <w:lang w:val="en-GB"/>
        </w:rPr>
        <w:t>b.</w:t>
      </w:r>
      <w:r w:rsidRPr="1FB80F97" w:rsidR="08E58AD8">
        <w:rPr>
          <w:rFonts w:ascii="Arial" w:hAnsi="Arial" w:eastAsia="Arial" w:cs="Arial" w:asciiTheme="minorAscii" w:hAnsiTheme="minorAscii" w:eastAsiaTheme="minorAscii" w:cstheme="minorAscii"/>
          <w:b w:val="1"/>
          <w:bCs w:val="1"/>
          <w:noProof w:val="0"/>
          <w:sz w:val="22"/>
          <w:szCs w:val="22"/>
          <w:lang w:val="en-GB"/>
        </w:rPr>
        <w:t xml:space="preserve"> Centralisation or Decentralisation within the Case Study</w:t>
      </w:r>
    </w:p>
    <w:p w:rsidR="4D20B002" w:rsidP="1FB80F97" w:rsidRDefault="4D20B002" w14:paraId="110C8493" w14:textId="0126EE3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The structural configuration of healthcare systems, particularly the balance between centralisation and decentralisation, significantly influences organisational performance, decision-making processes, and patient safety outcomes. In the case of the morphine overdose involving a four-week-old infant, the interplay between centralised governance and decentralised operational practices reveals critical systemic weaknesses. A more nuanced and critical evaluation </w:t>
      </w:r>
      <w:r w:rsidRPr="1FB80F97" w:rsidR="4D20B002">
        <w:rPr>
          <w:rFonts w:ascii="Arial" w:hAnsi="Arial" w:eastAsia="Arial" w:cs="Arial" w:asciiTheme="minorAscii" w:hAnsiTheme="minorAscii" w:eastAsiaTheme="minorAscii" w:cstheme="minorAscii"/>
          <w:noProof w:val="0"/>
          <w:sz w:val="22"/>
          <w:szCs w:val="22"/>
          <w:lang w:val="en-GB"/>
        </w:rPr>
        <w:t>demonstrates</w:t>
      </w:r>
      <w:r w:rsidRPr="1FB80F97" w:rsidR="4D20B002">
        <w:rPr>
          <w:rFonts w:ascii="Arial" w:hAnsi="Arial" w:eastAsia="Arial" w:cs="Arial" w:asciiTheme="minorAscii" w:hAnsiTheme="minorAscii" w:eastAsiaTheme="minorAscii" w:cstheme="minorAscii"/>
          <w:noProof w:val="0"/>
          <w:sz w:val="22"/>
          <w:szCs w:val="22"/>
          <w:lang w:val="en-GB"/>
        </w:rPr>
        <w:t xml:space="preserve"> that neither approach, in isolation, is sufficient to ensure safe and effective care delivery; rather, it is the misalignment between the two that contributed to the adverse event.</w:t>
      </w:r>
      <w:r w:rsidRPr="1FB80F97" w:rsidR="2D90AE5E">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Centralisation within the National Health Service (NHS) is primarily reflected in the development of national policies, clinical guidelines, and medication classifications designed to standardise practice and minimise risk. The designation of morphine sulphate oral solution as a ‘RED drug’ </w:t>
      </w:r>
      <w:r w:rsidRPr="1FB80F97" w:rsidR="4D20B002">
        <w:rPr>
          <w:rFonts w:ascii="Arial" w:hAnsi="Arial" w:eastAsia="Arial" w:cs="Arial" w:asciiTheme="minorAscii" w:hAnsiTheme="minorAscii" w:eastAsiaTheme="minorAscii" w:cstheme="minorAscii"/>
          <w:noProof w:val="0"/>
          <w:sz w:val="22"/>
          <w:szCs w:val="22"/>
          <w:lang w:val="en-GB"/>
        </w:rPr>
        <w:t>represents</w:t>
      </w:r>
      <w:r w:rsidRPr="1FB80F97" w:rsidR="4D20B002">
        <w:rPr>
          <w:rFonts w:ascii="Arial" w:hAnsi="Arial" w:eastAsia="Arial" w:cs="Arial" w:asciiTheme="minorAscii" w:hAnsiTheme="minorAscii" w:eastAsiaTheme="minorAscii" w:cstheme="minorAscii"/>
          <w:noProof w:val="0"/>
          <w:sz w:val="22"/>
          <w:szCs w:val="22"/>
          <w:lang w:val="en-GB"/>
        </w:rPr>
        <w:t xml:space="preserve"> a clear example of centralised control, whereby prescribing and dispensing are intended to be restricted to specialist settings. This approach aligns with broader patient safety strategies aimed at reducing variation and ensuring that high-risk medications are managed by appropriately trained professionals (Saltman et al., 2011).</w:t>
      </w:r>
    </w:p>
    <w:p w:rsidR="4D20B002" w:rsidP="1FB80F97" w:rsidRDefault="4D20B002" w14:paraId="048932F0" w14:textId="1020C3B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In theory, centralisation offers several advantages. It enables the establishment of uniform safety standards, </w:t>
      </w:r>
      <w:r w:rsidRPr="1FB80F97" w:rsidR="4D20B002">
        <w:rPr>
          <w:rFonts w:ascii="Arial" w:hAnsi="Arial" w:eastAsia="Arial" w:cs="Arial" w:asciiTheme="minorAscii" w:hAnsiTheme="minorAscii" w:eastAsiaTheme="minorAscii" w:cstheme="minorAscii"/>
          <w:noProof w:val="0"/>
          <w:sz w:val="22"/>
          <w:szCs w:val="22"/>
          <w:lang w:val="en-GB"/>
        </w:rPr>
        <w:t>facilitates</w:t>
      </w:r>
      <w:r w:rsidRPr="1FB80F97" w:rsidR="4D20B002">
        <w:rPr>
          <w:rFonts w:ascii="Arial" w:hAnsi="Arial" w:eastAsia="Arial" w:cs="Arial" w:asciiTheme="minorAscii" w:hAnsiTheme="minorAscii" w:eastAsiaTheme="minorAscii" w:cstheme="minorAscii"/>
          <w:noProof w:val="0"/>
          <w:sz w:val="22"/>
          <w:szCs w:val="22"/>
          <w:lang w:val="en-GB"/>
        </w:rPr>
        <w:t xml:space="preserve"> coordinated responses to national safety concerns, and provides clear frameworks for accountability. For example, following repeated medication incidents, central bodies such as NHS England and the Medicines and Healthcare products Regulatory Agency (MHRA) can issue safety alerts and mandate changes in practice. However, the effectiveness of such centralised mechanisms is contingent upon their translation into local practice. The recurrence of similar morphine-related incidents since 2018 </w:t>
      </w:r>
      <w:r w:rsidRPr="1FB80F97" w:rsidR="4D20B002">
        <w:rPr>
          <w:rFonts w:ascii="Arial" w:hAnsi="Arial" w:eastAsia="Arial" w:cs="Arial" w:asciiTheme="minorAscii" w:hAnsiTheme="minorAscii" w:eastAsiaTheme="minorAscii" w:cstheme="minorAscii"/>
          <w:noProof w:val="0"/>
          <w:sz w:val="22"/>
          <w:szCs w:val="22"/>
          <w:lang w:val="en-GB"/>
        </w:rPr>
        <w:t>indicates</w:t>
      </w:r>
      <w:r w:rsidRPr="1FB80F97" w:rsidR="4D20B002">
        <w:rPr>
          <w:rFonts w:ascii="Arial" w:hAnsi="Arial" w:eastAsia="Arial" w:cs="Arial" w:asciiTheme="minorAscii" w:hAnsiTheme="minorAscii" w:eastAsiaTheme="minorAscii" w:cstheme="minorAscii"/>
          <w:noProof w:val="0"/>
          <w:sz w:val="22"/>
          <w:szCs w:val="22"/>
          <w:lang w:val="en-GB"/>
        </w:rPr>
        <w:t xml:space="preserve"> that centralised policies, while necessary, have not been sufficient to prevent harm.</w:t>
      </w:r>
    </w:p>
    <w:p w:rsidR="4D20B002" w:rsidP="1FB80F97" w:rsidRDefault="4D20B002" w14:paraId="61EE404A" w14:textId="0039B51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A key limitation of centralisation lies in its reliance on hierarchical control and compliance. As highlighted by Fulop et al. (2019), overly centralised systems may struggle to engage frontline staff, particularly when policies are perceived as detached from the realities of clinical practice. In the present case, the existence of clear guidelines </w:t>
      </w:r>
      <w:r w:rsidRPr="1FB80F97" w:rsidR="4D20B002">
        <w:rPr>
          <w:rFonts w:ascii="Arial" w:hAnsi="Arial" w:eastAsia="Arial" w:cs="Arial" w:asciiTheme="minorAscii" w:hAnsiTheme="minorAscii" w:eastAsiaTheme="minorAscii" w:cstheme="minorAscii"/>
          <w:noProof w:val="0"/>
          <w:sz w:val="22"/>
          <w:szCs w:val="22"/>
          <w:lang w:val="en-GB"/>
        </w:rPr>
        <w:t>regarding</w:t>
      </w:r>
      <w:r w:rsidRPr="1FB80F97" w:rsidR="4D20B002">
        <w:rPr>
          <w:rFonts w:ascii="Arial" w:hAnsi="Arial" w:eastAsia="Arial" w:cs="Arial" w:asciiTheme="minorAscii" w:hAnsiTheme="minorAscii" w:eastAsiaTheme="minorAscii" w:cstheme="minorAscii"/>
          <w:noProof w:val="0"/>
          <w:sz w:val="22"/>
          <w:szCs w:val="22"/>
          <w:lang w:val="en-GB"/>
        </w:rPr>
        <w:t xml:space="preserve"> RED drugs did not prevent the inappropriate dispensing of morphine in a non-specialist context. This suggests that centralised directives were not effectively embedded within local workflows, potentially due to inadequate training, limited awareness, or insufficient reinforcement through audit and feedback mechanisms.</w:t>
      </w:r>
    </w:p>
    <w:p w:rsidR="4D20B002" w:rsidP="1FB80F97" w:rsidRDefault="4D20B002" w14:paraId="2DC1C903" w14:textId="3DA0A0D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Furthermore, centralisation can create a false sense of security, whereby the existence of policies is assumed to equate to safe practice. </w:t>
      </w:r>
      <w:r w:rsidRPr="1FB80F97" w:rsidR="44D5BAED">
        <w:rPr>
          <w:rFonts w:ascii="Arial" w:hAnsi="Arial" w:eastAsia="Arial" w:cs="Arial" w:asciiTheme="minorAscii" w:hAnsiTheme="minorAscii" w:eastAsiaTheme="minorAscii" w:cstheme="minorAscii"/>
          <w:noProof w:val="0"/>
          <w:sz w:val="22"/>
          <w:szCs w:val="22"/>
          <w:lang w:val="en-GB"/>
        </w:rPr>
        <w:t>Safety</w:t>
      </w:r>
      <w:r w:rsidRPr="1FB80F97" w:rsidR="4D20B002">
        <w:rPr>
          <w:rFonts w:ascii="Arial" w:hAnsi="Arial" w:eastAsia="Arial" w:cs="Arial" w:asciiTheme="minorAscii" w:hAnsiTheme="minorAscii" w:eastAsiaTheme="minorAscii" w:cstheme="minorAscii"/>
          <w:noProof w:val="0"/>
          <w:sz w:val="22"/>
          <w:szCs w:val="22"/>
          <w:lang w:val="en-GB"/>
        </w:rPr>
        <w:t xml:space="preserve"> is dependent on the consistent enactment of these policies at the point of care. The failure to ensure adherence reflects a gap in governance, where accountability for implementation is insufficiently defined or </w:t>
      </w:r>
      <w:r w:rsidRPr="1FB80F97" w:rsidR="4D20B002">
        <w:rPr>
          <w:rFonts w:ascii="Arial" w:hAnsi="Arial" w:eastAsia="Arial" w:cs="Arial" w:asciiTheme="minorAscii" w:hAnsiTheme="minorAscii" w:eastAsiaTheme="minorAscii" w:cstheme="minorAscii"/>
          <w:noProof w:val="0"/>
          <w:sz w:val="22"/>
          <w:szCs w:val="22"/>
          <w:lang w:val="en-GB"/>
        </w:rPr>
        <w:t>monitored</w:t>
      </w:r>
      <w:r w:rsidRPr="1FB80F97" w:rsidR="4D20B002">
        <w:rPr>
          <w:rFonts w:ascii="Arial" w:hAnsi="Arial" w:eastAsia="Arial" w:cs="Arial" w:asciiTheme="minorAscii" w:hAnsiTheme="minorAscii" w:eastAsiaTheme="minorAscii" w:cstheme="minorAscii"/>
          <w:noProof w:val="0"/>
          <w:sz w:val="22"/>
          <w:szCs w:val="22"/>
          <w:lang w:val="en-GB"/>
        </w:rPr>
        <w:t>. This is consistent with findings from the Francis Report (2013), which emphasised that formal structures alone cannot guarantee quality and safety without a supportive organisational culture and effective leadership.</w:t>
      </w:r>
      <w:r w:rsidRPr="1FB80F97" w:rsidR="2F1773F5">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In contrast, decentralisation within the NHS grants significant autonomy to local organisations, including hospital trusts, general practitioners, and community pharmacies. This decentralised structure is intended to promote responsiveness, innovation, and adaptation to local population needs. In principle, decentralisation can enhance efficiency by enabling decisions to be made closer to the point of care, where contextual knowledge is greatest (Saltman et al., 2011).</w:t>
      </w:r>
      <w:r w:rsidRPr="1FB80F97" w:rsidR="15A29A9A">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However, in the context of medication safety, decentralisation introduces considerable risks if not supported by robust governance systems. The case study illustrates how local autonomy in dispensing practices contributed to the error. The supply of an incorrect morphine formulation </w:t>
      </w:r>
      <w:r w:rsidRPr="1FB80F97" w:rsidR="4D20B002">
        <w:rPr>
          <w:rFonts w:ascii="Arial" w:hAnsi="Arial" w:eastAsia="Arial" w:cs="Arial" w:asciiTheme="minorAscii" w:hAnsiTheme="minorAscii" w:eastAsiaTheme="minorAscii" w:cstheme="minorAscii"/>
          <w:noProof w:val="0"/>
          <w:sz w:val="22"/>
          <w:szCs w:val="22"/>
          <w:lang w:val="en-GB"/>
        </w:rPr>
        <w:t>indicates</w:t>
      </w:r>
      <w:r w:rsidRPr="1FB80F97" w:rsidR="4D20B002">
        <w:rPr>
          <w:rFonts w:ascii="Arial" w:hAnsi="Arial" w:eastAsia="Arial" w:cs="Arial" w:asciiTheme="minorAscii" w:hAnsiTheme="minorAscii" w:eastAsiaTheme="minorAscii" w:cstheme="minorAscii"/>
          <w:noProof w:val="0"/>
          <w:sz w:val="22"/>
          <w:szCs w:val="22"/>
          <w:lang w:val="en-GB"/>
        </w:rPr>
        <w:t xml:space="preserve"> a failure of local safety checks, including verification processes and adherence to prescribing restrictions. This suggests that decentralised decision-making occurred without sufficient oversight or standardisation, increasing the likelihood of variation and error.</w:t>
      </w:r>
      <w:r w:rsidRPr="1FB80F97" w:rsidR="666E0670">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Empirical evidence supports the association between decentralisation and variability in healthcare outcomes. Dixon-Woods et al. (2014) </w:t>
      </w:r>
      <w:r w:rsidRPr="1FB80F97" w:rsidR="4D20B002">
        <w:rPr>
          <w:rFonts w:ascii="Arial" w:hAnsi="Arial" w:eastAsia="Arial" w:cs="Arial" w:asciiTheme="minorAscii" w:hAnsiTheme="minorAscii" w:eastAsiaTheme="minorAscii" w:cstheme="minorAscii"/>
          <w:noProof w:val="0"/>
          <w:sz w:val="22"/>
          <w:szCs w:val="22"/>
          <w:lang w:val="en-GB"/>
        </w:rPr>
        <w:t>demonstrated</w:t>
      </w:r>
      <w:r w:rsidRPr="1FB80F97" w:rsidR="4D20B002">
        <w:rPr>
          <w:rFonts w:ascii="Arial" w:hAnsi="Arial" w:eastAsia="Arial" w:cs="Arial" w:asciiTheme="minorAscii" w:hAnsiTheme="minorAscii" w:eastAsiaTheme="minorAscii" w:cstheme="minorAscii"/>
          <w:noProof w:val="0"/>
          <w:sz w:val="22"/>
          <w:szCs w:val="22"/>
          <w:lang w:val="en-GB"/>
        </w:rPr>
        <w:t xml:space="preserve"> that differences in organisational culture and local practices can lead to significant disparities in patient safety, even within a unified national system. Similarly, Ashcroft et al. (2015) found that variations in pharmacy staffing and workload were linked to increased dispensing errors, highlighting how local resource constraints can directly </w:t>
      </w:r>
      <w:r w:rsidRPr="1FB80F97" w:rsidR="4D20B002">
        <w:rPr>
          <w:rFonts w:ascii="Arial" w:hAnsi="Arial" w:eastAsia="Arial" w:cs="Arial" w:asciiTheme="minorAscii" w:hAnsiTheme="minorAscii" w:eastAsiaTheme="minorAscii" w:cstheme="minorAscii"/>
          <w:noProof w:val="0"/>
          <w:sz w:val="22"/>
          <w:szCs w:val="22"/>
          <w:lang w:val="en-GB"/>
        </w:rPr>
        <w:t>impact</w:t>
      </w:r>
      <w:r w:rsidRPr="1FB80F97" w:rsidR="4D20B002">
        <w:rPr>
          <w:rFonts w:ascii="Arial" w:hAnsi="Arial" w:eastAsia="Arial" w:cs="Arial" w:asciiTheme="minorAscii" w:hAnsiTheme="minorAscii" w:eastAsiaTheme="minorAscii" w:cstheme="minorAscii"/>
          <w:noProof w:val="0"/>
          <w:sz w:val="22"/>
          <w:szCs w:val="22"/>
          <w:lang w:val="en-GB"/>
        </w:rPr>
        <w:t xml:space="preserve"> safety.</w:t>
      </w:r>
      <w:r w:rsidRPr="1FB80F97" w:rsidR="08D85D3F">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In addition, decentralised systems often rely heavily on individual competence and vigilance, which can be compromised under conditions of high workload or insufficient training. Studies have shown that medication errors are more likely to occur in environments characterised by staffing shortages, time pressures, and inadequate support systems (</w:t>
      </w:r>
      <w:r w:rsidRPr="1FB80F97" w:rsidR="4D20B002">
        <w:rPr>
          <w:rFonts w:ascii="Arial" w:hAnsi="Arial" w:eastAsia="Arial" w:cs="Arial" w:asciiTheme="minorAscii" w:hAnsiTheme="minorAscii" w:eastAsiaTheme="minorAscii" w:cstheme="minorAscii"/>
          <w:noProof w:val="0"/>
          <w:sz w:val="22"/>
          <w:szCs w:val="22"/>
          <w:lang w:val="en-GB"/>
        </w:rPr>
        <w:t>Alsulami</w:t>
      </w:r>
      <w:r w:rsidRPr="1FB80F97" w:rsidR="4D20B002">
        <w:rPr>
          <w:rFonts w:ascii="Arial" w:hAnsi="Arial" w:eastAsia="Arial" w:cs="Arial" w:asciiTheme="minorAscii" w:hAnsiTheme="minorAscii" w:eastAsiaTheme="minorAscii" w:cstheme="minorAscii"/>
          <w:noProof w:val="0"/>
          <w:sz w:val="22"/>
          <w:szCs w:val="22"/>
          <w:lang w:val="en-GB"/>
        </w:rPr>
        <w:t xml:space="preserve"> et al., 2012). In the NHS, ongoing workforce challenges, including shortages in pharmacy and nursing staff, </w:t>
      </w:r>
      <w:r w:rsidRPr="1FB80F97" w:rsidR="4D20B002">
        <w:rPr>
          <w:rFonts w:ascii="Arial" w:hAnsi="Arial" w:eastAsia="Arial" w:cs="Arial" w:asciiTheme="minorAscii" w:hAnsiTheme="minorAscii" w:eastAsiaTheme="minorAscii" w:cstheme="minorAscii"/>
          <w:noProof w:val="0"/>
          <w:sz w:val="22"/>
          <w:szCs w:val="22"/>
          <w:lang w:val="en-GB"/>
        </w:rPr>
        <w:t>exacerbate</w:t>
      </w:r>
      <w:r w:rsidRPr="1FB80F97" w:rsidR="4D20B002">
        <w:rPr>
          <w:rFonts w:ascii="Arial" w:hAnsi="Arial" w:eastAsia="Arial" w:cs="Arial" w:asciiTheme="minorAscii" w:hAnsiTheme="minorAscii" w:eastAsiaTheme="minorAscii" w:cstheme="minorAscii"/>
          <w:noProof w:val="0"/>
          <w:sz w:val="22"/>
          <w:szCs w:val="22"/>
          <w:lang w:val="en-GB"/>
        </w:rPr>
        <w:t xml:space="preserve"> these risks and undermine the reliability of decentralised processes (NHS England, 2022).</w:t>
      </w:r>
    </w:p>
    <w:p w:rsidR="4D20B002" w:rsidP="1FB80F97" w:rsidRDefault="4D20B002" w14:paraId="3B0D71E2" w14:textId="7083C83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A critical issue in this case is the lack of integration between centralised and decentralised components of the system. While central policies defined the </w:t>
      </w:r>
      <w:r w:rsidRPr="1FB80F97" w:rsidR="4D20B002">
        <w:rPr>
          <w:rFonts w:ascii="Arial" w:hAnsi="Arial" w:eastAsia="Arial" w:cs="Arial" w:asciiTheme="minorAscii" w:hAnsiTheme="minorAscii" w:eastAsiaTheme="minorAscii" w:cstheme="minorAscii"/>
          <w:noProof w:val="0"/>
          <w:sz w:val="22"/>
          <w:szCs w:val="22"/>
          <w:lang w:val="en-GB"/>
        </w:rPr>
        <w:t>appropriate management</w:t>
      </w:r>
      <w:r w:rsidRPr="1FB80F97" w:rsidR="4D20B002">
        <w:rPr>
          <w:rFonts w:ascii="Arial" w:hAnsi="Arial" w:eastAsia="Arial" w:cs="Arial" w:asciiTheme="minorAscii" w:hAnsiTheme="minorAscii" w:eastAsiaTheme="minorAscii" w:cstheme="minorAscii"/>
          <w:noProof w:val="0"/>
          <w:sz w:val="22"/>
          <w:szCs w:val="22"/>
          <w:lang w:val="en-GB"/>
        </w:rPr>
        <w:t xml:space="preserve"> of RED drugs, local systems </w:t>
      </w:r>
      <w:r w:rsidRPr="1FB80F97" w:rsidR="4D20B002">
        <w:rPr>
          <w:rFonts w:ascii="Arial" w:hAnsi="Arial" w:eastAsia="Arial" w:cs="Arial" w:asciiTheme="minorAscii" w:hAnsiTheme="minorAscii" w:eastAsiaTheme="minorAscii" w:cstheme="minorAscii"/>
          <w:noProof w:val="0"/>
          <w:sz w:val="22"/>
          <w:szCs w:val="22"/>
          <w:lang w:val="en-GB"/>
        </w:rPr>
        <w:t>failed to</w:t>
      </w:r>
      <w:r w:rsidRPr="1FB80F97" w:rsidR="4D20B002">
        <w:rPr>
          <w:rFonts w:ascii="Arial" w:hAnsi="Arial" w:eastAsia="Arial" w:cs="Arial" w:asciiTheme="minorAscii" w:hAnsiTheme="minorAscii" w:eastAsiaTheme="minorAscii" w:cstheme="minorAscii"/>
          <w:noProof w:val="0"/>
          <w:sz w:val="22"/>
          <w:szCs w:val="22"/>
          <w:lang w:val="en-GB"/>
        </w:rPr>
        <w:t xml:space="preserve"> operationalise these requirements effectively. This misalignment created a fragmented governance structure in which responsibility for patient safety was distributed but not clearly coordinated. As a result, multiple opportunities to prevent the error were missed, including at the prescribing, dispensing, and administration stages.</w:t>
      </w:r>
      <w:r w:rsidRPr="1FB80F97" w:rsidR="21CED8DF">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From a systems thinking perspective, this reflects a failure to align </w:t>
      </w:r>
      <w:r w:rsidRPr="1FB80F97" w:rsidR="0065ACCF">
        <w:rPr>
          <w:rFonts w:ascii="Arial" w:hAnsi="Arial" w:eastAsia="Arial" w:cs="Arial" w:asciiTheme="minorAscii" w:hAnsiTheme="minorAscii" w:eastAsiaTheme="minorAscii" w:cstheme="minorAscii"/>
          <w:noProof w:val="0"/>
          <w:sz w:val="22"/>
          <w:szCs w:val="22"/>
          <w:lang w:val="en-GB"/>
        </w:rPr>
        <w:t>distinct parts</w:t>
      </w:r>
      <w:r w:rsidRPr="1FB80F97" w:rsidR="4D20B002">
        <w:rPr>
          <w:rFonts w:ascii="Arial" w:hAnsi="Arial" w:eastAsia="Arial" w:cs="Arial" w:asciiTheme="minorAscii" w:hAnsiTheme="minorAscii" w:eastAsiaTheme="minorAscii" w:cstheme="minorAscii"/>
          <w:noProof w:val="0"/>
          <w:sz w:val="22"/>
          <w:szCs w:val="22"/>
          <w:lang w:val="en-GB"/>
        </w:rPr>
        <w:t xml:space="preserve"> of the system towards a common goal. Senge (2006) emphasises that effective systems require coherence between structure, processes, and behaviours. In this case, the lack of alignment between national policy and local practice created conditions in which errors could occur and remain undetected until harm had already been caused.</w:t>
      </w:r>
      <w:r w:rsidRPr="1FB80F97" w:rsidR="2D175323">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The implications for crisis management and accountability are particularly significant. In centralised systems, accountability is typically more clearly defined, as decision-making authority is concentrated. However, in decentralised systems, accountability can become diffuse, making it more difficult to </w:t>
      </w:r>
      <w:r w:rsidRPr="1FB80F97" w:rsidR="4D20B002">
        <w:rPr>
          <w:rFonts w:ascii="Arial" w:hAnsi="Arial" w:eastAsia="Arial" w:cs="Arial" w:asciiTheme="minorAscii" w:hAnsiTheme="minorAscii" w:eastAsiaTheme="minorAscii" w:cstheme="minorAscii"/>
          <w:noProof w:val="0"/>
          <w:sz w:val="22"/>
          <w:szCs w:val="22"/>
          <w:lang w:val="en-GB"/>
        </w:rPr>
        <w:t>identify</w:t>
      </w:r>
      <w:r w:rsidRPr="1FB80F97" w:rsidR="4D20B002">
        <w:rPr>
          <w:rFonts w:ascii="Arial" w:hAnsi="Arial" w:eastAsia="Arial" w:cs="Arial" w:asciiTheme="minorAscii" w:hAnsiTheme="minorAscii" w:eastAsiaTheme="minorAscii" w:cstheme="minorAscii"/>
          <w:noProof w:val="0"/>
          <w:sz w:val="22"/>
          <w:szCs w:val="22"/>
          <w:lang w:val="en-GB"/>
        </w:rPr>
        <w:t xml:space="preserve"> responsibility for failures. In this case, it is unclear whether the primary responsibility lies with national policymakers, local organisational leaders, or individual practitioners. This ambiguity can hinder learning and improvement, as it complicates efforts to </w:t>
      </w:r>
      <w:r w:rsidRPr="1FB80F97" w:rsidR="4D20B002">
        <w:rPr>
          <w:rFonts w:ascii="Arial" w:hAnsi="Arial" w:eastAsia="Arial" w:cs="Arial" w:asciiTheme="minorAscii" w:hAnsiTheme="minorAscii" w:eastAsiaTheme="minorAscii" w:cstheme="minorAscii"/>
          <w:noProof w:val="0"/>
          <w:sz w:val="22"/>
          <w:szCs w:val="22"/>
          <w:lang w:val="en-GB"/>
        </w:rPr>
        <w:t>identify</w:t>
      </w:r>
      <w:r w:rsidRPr="1FB80F97" w:rsidR="4D20B002">
        <w:rPr>
          <w:rFonts w:ascii="Arial" w:hAnsi="Arial" w:eastAsia="Arial" w:cs="Arial" w:asciiTheme="minorAscii" w:hAnsiTheme="minorAscii" w:eastAsiaTheme="minorAscii" w:cstheme="minorAscii"/>
          <w:noProof w:val="0"/>
          <w:sz w:val="22"/>
          <w:szCs w:val="22"/>
          <w:lang w:val="en-GB"/>
        </w:rPr>
        <w:t xml:space="preserve"> root causes and implement corrective actions.</w:t>
      </w:r>
    </w:p>
    <w:p w:rsidR="4D20B002" w:rsidP="213E3D7D" w:rsidRDefault="4D20B002" w14:paraId="1FD645DE" w14:textId="1503B73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213E3D7D" w:rsidR="4D20B002">
        <w:rPr>
          <w:rFonts w:ascii="Arial" w:hAnsi="Arial" w:eastAsia="Arial" w:cs="Arial" w:asciiTheme="minorAscii" w:hAnsiTheme="minorAscii" w:eastAsiaTheme="minorAscii" w:cstheme="minorAscii"/>
          <w:noProof w:val="0"/>
          <w:sz w:val="22"/>
          <w:szCs w:val="22"/>
          <w:lang w:val="en-GB"/>
        </w:rPr>
        <w:t xml:space="preserve">Quantitative indicators further illustrate the challenges associated with this hybrid structure. Compliance with safety protocols, such as independent double-checking of high-risk medications, is known to vary widely across healthcare settings. </w:t>
      </w:r>
      <w:r w:rsidRPr="213E3D7D" w:rsidR="4D20B002">
        <w:rPr>
          <w:rFonts w:ascii="Arial" w:hAnsi="Arial" w:eastAsia="Arial" w:cs="Arial" w:asciiTheme="minorAscii" w:hAnsiTheme="minorAscii" w:eastAsiaTheme="minorAscii" w:cstheme="minorAscii"/>
          <w:noProof w:val="0"/>
          <w:sz w:val="22"/>
          <w:szCs w:val="22"/>
          <w:lang w:val="en-GB"/>
        </w:rPr>
        <w:t>Alsulami</w:t>
      </w:r>
      <w:r w:rsidRPr="213E3D7D" w:rsidR="4D20B002">
        <w:rPr>
          <w:rFonts w:ascii="Arial" w:hAnsi="Arial" w:eastAsia="Arial" w:cs="Arial" w:asciiTheme="minorAscii" w:hAnsiTheme="minorAscii" w:eastAsiaTheme="minorAscii" w:cstheme="minorAscii"/>
          <w:noProof w:val="0"/>
          <w:sz w:val="22"/>
          <w:szCs w:val="22"/>
          <w:lang w:val="en-GB"/>
        </w:rPr>
        <w:t xml:space="preserve"> et al. (2012) reported that adherence to double-checking procedures can be inconsistent, particularly in high-pressure environments. Additionally, Elliott et al. (2018) highlight the scale of medication errors within the NHS, suggesting that systemic issues, rather than isolated incidents, underpin these </w:t>
      </w:r>
      <w:r w:rsidRPr="213E3D7D" w:rsidR="7893BEC5">
        <w:rPr>
          <w:rFonts w:ascii="Arial" w:hAnsi="Arial" w:eastAsia="Arial" w:cs="Arial" w:asciiTheme="minorAscii" w:hAnsiTheme="minorAscii" w:eastAsiaTheme="minorAscii" w:cstheme="minorAscii"/>
          <w:noProof w:val="0"/>
          <w:sz w:val="22"/>
          <w:szCs w:val="22"/>
          <w:lang w:val="en-GB"/>
        </w:rPr>
        <w:t xml:space="preserve">failures. </w:t>
      </w:r>
      <w:r w:rsidRPr="213E3D7D" w:rsidR="7893BEC5">
        <w:rPr>
          <w:rFonts w:ascii="Arial" w:hAnsi="Arial" w:eastAsia="Arial" w:cs="Arial" w:asciiTheme="minorAscii" w:hAnsiTheme="minorAscii" w:eastAsiaTheme="minorAscii" w:cstheme="minorAscii"/>
          <w:noProof w:val="0"/>
          <w:sz w:val="22"/>
          <w:szCs w:val="22"/>
          <w:lang w:val="en-GB"/>
        </w:rPr>
        <w:t>In</w:t>
      </w:r>
      <w:bookmarkStart w:name="_Int_DhDOsJEL" w:id="1618628667"/>
      <w:r w:rsidRPr="213E3D7D" w:rsidR="4D20B002">
        <w:rPr>
          <w:rFonts w:ascii="Arial" w:hAnsi="Arial" w:eastAsia="Arial" w:cs="Arial" w:asciiTheme="minorAscii" w:hAnsiTheme="minorAscii" w:eastAsiaTheme="minorAscii" w:cstheme="minorAscii"/>
          <w:noProof w:val="0"/>
          <w:sz w:val="22"/>
          <w:szCs w:val="22"/>
          <w:lang w:val="en-GB"/>
        </w:rPr>
        <w:t xml:space="preserve"> evaluating the effectiveness of the system structure </w:t>
      </w:r>
      <w:r w:rsidRPr="213E3D7D" w:rsidR="3F62C407">
        <w:rPr>
          <w:rFonts w:ascii="Arial" w:hAnsi="Arial" w:eastAsia="Arial" w:cs="Arial" w:asciiTheme="minorAscii" w:hAnsiTheme="minorAscii" w:eastAsiaTheme="minorAscii" w:cstheme="minorAscii"/>
          <w:noProof w:val="0"/>
          <w:sz w:val="22"/>
          <w:szCs w:val="22"/>
          <w:lang w:val="en-GB"/>
        </w:rPr>
        <w:t>in this</w:t>
      </w:r>
      <w:r w:rsidRPr="213E3D7D" w:rsidR="4D20B002">
        <w:rPr>
          <w:rFonts w:ascii="Arial" w:hAnsi="Arial" w:eastAsia="Arial" w:cs="Arial" w:asciiTheme="minorAscii" w:hAnsiTheme="minorAscii" w:eastAsiaTheme="minorAscii" w:cstheme="minorAscii"/>
          <w:noProof w:val="0"/>
          <w:sz w:val="22"/>
          <w:szCs w:val="22"/>
          <w:lang w:val="en-GB"/>
        </w:rPr>
        <w:t xml:space="preserve"> case, it</w:t>
      </w:r>
      <w:bookmarkEnd w:id="1618628667"/>
      <w:r w:rsidRPr="213E3D7D" w:rsidR="4D20B002">
        <w:rPr>
          <w:rFonts w:ascii="Arial" w:hAnsi="Arial" w:eastAsia="Arial" w:cs="Arial" w:asciiTheme="minorAscii" w:hAnsiTheme="minorAscii" w:eastAsiaTheme="minorAscii" w:cstheme="minorAscii"/>
          <w:noProof w:val="0"/>
          <w:sz w:val="22"/>
          <w:szCs w:val="22"/>
          <w:lang w:val="en-GB"/>
        </w:rPr>
        <w:t xml:space="preserve"> is </w:t>
      </w:r>
      <w:r w:rsidRPr="213E3D7D" w:rsidR="4D20B002">
        <w:rPr>
          <w:rFonts w:ascii="Arial" w:hAnsi="Arial" w:eastAsia="Arial" w:cs="Arial" w:asciiTheme="minorAscii" w:hAnsiTheme="minorAscii" w:eastAsiaTheme="minorAscii" w:cstheme="minorAscii"/>
          <w:noProof w:val="0"/>
          <w:sz w:val="22"/>
          <w:szCs w:val="22"/>
          <w:lang w:val="en-GB"/>
        </w:rPr>
        <w:t>evident</w:t>
      </w:r>
      <w:r w:rsidRPr="213E3D7D" w:rsidR="4D20B002">
        <w:rPr>
          <w:rFonts w:ascii="Arial" w:hAnsi="Arial" w:eastAsia="Arial" w:cs="Arial" w:asciiTheme="minorAscii" w:hAnsiTheme="minorAscii" w:eastAsiaTheme="minorAscii" w:cstheme="minorAscii"/>
          <w:noProof w:val="0"/>
          <w:sz w:val="22"/>
          <w:szCs w:val="22"/>
          <w:lang w:val="en-GB"/>
        </w:rPr>
        <w:t xml:space="preserve"> that the combination of centralised policy and decentralised execution did not function as intended. While centralisation provided a framework for safe practice, its impact was undermined by insufficient local implementation and oversight. Conversely, decentralisation enabled flexibility but introduced variability and reduced control. The absence of effective integration between these elements resulted in a system that was neither sufficiently controlled nor adequately adaptive.</w:t>
      </w:r>
      <w:r w:rsidRPr="213E3D7D" w:rsidR="3B5F6988">
        <w:rPr>
          <w:rFonts w:ascii="Arial" w:hAnsi="Arial" w:eastAsia="Arial" w:cs="Arial" w:asciiTheme="minorAscii" w:hAnsiTheme="minorAscii" w:eastAsiaTheme="minorAscii" w:cstheme="minorAscii"/>
          <w:noProof w:val="0"/>
          <w:sz w:val="22"/>
          <w:szCs w:val="22"/>
          <w:lang w:val="en-GB"/>
        </w:rPr>
        <w:t xml:space="preserve"> </w:t>
      </w:r>
      <w:r w:rsidRPr="213E3D7D" w:rsidR="4D20B002">
        <w:rPr>
          <w:rFonts w:ascii="Arial" w:hAnsi="Arial" w:eastAsia="Arial" w:cs="Arial" w:asciiTheme="minorAscii" w:hAnsiTheme="minorAscii" w:eastAsiaTheme="minorAscii" w:cstheme="minorAscii"/>
          <w:noProof w:val="0"/>
          <w:sz w:val="22"/>
          <w:szCs w:val="22"/>
          <w:lang w:val="en-GB"/>
        </w:rPr>
        <w:t xml:space="preserve">In conclusion, the morphine overdose incident </w:t>
      </w:r>
      <w:r w:rsidRPr="213E3D7D" w:rsidR="4D20B002">
        <w:rPr>
          <w:rFonts w:ascii="Arial" w:hAnsi="Arial" w:eastAsia="Arial" w:cs="Arial" w:asciiTheme="minorAscii" w:hAnsiTheme="minorAscii" w:eastAsiaTheme="minorAscii" w:cstheme="minorAscii"/>
          <w:noProof w:val="0"/>
          <w:sz w:val="22"/>
          <w:szCs w:val="22"/>
          <w:lang w:val="en-GB"/>
        </w:rPr>
        <w:t>demonstrates</w:t>
      </w:r>
      <w:r w:rsidRPr="213E3D7D" w:rsidR="4D20B002">
        <w:rPr>
          <w:rFonts w:ascii="Arial" w:hAnsi="Arial" w:eastAsia="Arial" w:cs="Arial" w:asciiTheme="minorAscii" w:hAnsiTheme="minorAscii" w:eastAsiaTheme="minorAscii" w:cstheme="minorAscii"/>
          <w:noProof w:val="0"/>
          <w:sz w:val="22"/>
          <w:szCs w:val="22"/>
          <w:lang w:val="en-GB"/>
        </w:rPr>
        <w:t xml:space="preserve"> that both centralisation and decentralisation have inherent strengths and limitations. Centralisation can promote consistency and </w:t>
      </w:r>
      <w:r w:rsidRPr="213E3D7D" w:rsidR="14350F38">
        <w:rPr>
          <w:rFonts w:ascii="Arial" w:hAnsi="Arial" w:eastAsia="Arial" w:cs="Arial" w:asciiTheme="minorAscii" w:hAnsiTheme="minorAscii" w:eastAsiaTheme="minorAscii" w:cstheme="minorAscii"/>
          <w:noProof w:val="0"/>
          <w:sz w:val="22"/>
          <w:szCs w:val="22"/>
          <w:lang w:val="en-GB"/>
        </w:rPr>
        <w:t>standardisation but</w:t>
      </w:r>
      <w:r w:rsidRPr="213E3D7D" w:rsidR="4D20B002">
        <w:rPr>
          <w:rFonts w:ascii="Arial" w:hAnsi="Arial" w:eastAsia="Arial" w:cs="Arial" w:asciiTheme="minorAscii" w:hAnsiTheme="minorAscii" w:eastAsiaTheme="minorAscii" w:cstheme="minorAscii"/>
          <w:noProof w:val="0"/>
          <w:sz w:val="22"/>
          <w:szCs w:val="22"/>
          <w:lang w:val="en-GB"/>
        </w:rPr>
        <w:t xml:space="preserve"> may lack responsiveness and engagement. Decentralisation can enhance flexibility and local </w:t>
      </w:r>
      <w:r w:rsidRPr="213E3D7D" w:rsidR="5F83B9B2">
        <w:rPr>
          <w:rFonts w:ascii="Arial" w:hAnsi="Arial" w:eastAsia="Arial" w:cs="Arial" w:asciiTheme="minorAscii" w:hAnsiTheme="minorAscii" w:eastAsiaTheme="minorAscii" w:cstheme="minorAscii"/>
          <w:noProof w:val="0"/>
          <w:sz w:val="22"/>
          <w:szCs w:val="22"/>
          <w:lang w:val="en-GB"/>
        </w:rPr>
        <w:t>ownership but</w:t>
      </w:r>
      <w:r w:rsidRPr="213E3D7D" w:rsidR="4D20B002">
        <w:rPr>
          <w:rFonts w:ascii="Arial" w:hAnsi="Arial" w:eastAsia="Arial" w:cs="Arial" w:asciiTheme="minorAscii" w:hAnsiTheme="minorAscii" w:eastAsiaTheme="minorAscii" w:cstheme="minorAscii"/>
          <w:noProof w:val="0"/>
          <w:sz w:val="22"/>
          <w:szCs w:val="22"/>
          <w:lang w:val="en-GB"/>
        </w:rPr>
        <w:t xml:space="preserve"> may lead to variability and reduced oversight. The key challenge lies in achieving </w:t>
      </w:r>
      <w:r w:rsidRPr="213E3D7D" w:rsidR="4D20B002">
        <w:rPr>
          <w:rFonts w:ascii="Arial" w:hAnsi="Arial" w:eastAsia="Arial" w:cs="Arial" w:asciiTheme="minorAscii" w:hAnsiTheme="minorAscii" w:eastAsiaTheme="minorAscii" w:cstheme="minorAscii"/>
          <w:noProof w:val="0"/>
          <w:sz w:val="22"/>
          <w:szCs w:val="22"/>
          <w:lang w:val="en-GB"/>
        </w:rPr>
        <w:t>an appropriate balance</w:t>
      </w:r>
      <w:r w:rsidRPr="213E3D7D" w:rsidR="4D20B002">
        <w:rPr>
          <w:rFonts w:ascii="Arial" w:hAnsi="Arial" w:eastAsia="Arial" w:cs="Arial" w:asciiTheme="minorAscii" w:hAnsiTheme="minorAscii" w:eastAsiaTheme="minorAscii" w:cstheme="minorAscii"/>
          <w:noProof w:val="0"/>
          <w:sz w:val="22"/>
          <w:szCs w:val="22"/>
          <w:lang w:val="en-GB"/>
        </w:rPr>
        <w:t xml:space="preserve"> between these approaches, supported by strong leadership, effective governance, and robust communication systems. </w:t>
      </w:r>
    </w:p>
    <w:p w:rsidR="1FB80F97" w:rsidP="1FB80F97" w:rsidRDefault="1FB80F97" w14:paraId="0481EF61" w14:textId="4BEF8EBB">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29D46B5E" w14:textId="0D31C77E">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Main Body</w:t>
      </w:r>
    </w:p>
    <w:p w:rsidR="05228AE2" w:rsidP="1FB80F97" w:rsidRDefault="05228AE2" w14:paraId="2B06FBEE" w14:textId="2168D18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c. Leadership Theories and Application to the Case Study</w:t>
      </w:r>
    </w:p>
    <w:p w:rsidR="05228AE2" w:rsidP="1FB80F97" w:rsidRDefault="05228AE2" w14:paraId="15E60C6D" w14:textId="6E13101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Leadership plays a pivotal role in shaping the safety, effectiveness, and overall performance of healthcare systems. In high-risk environments such as medication management, leadership influences not only decision-making processes but also organisational culture, staff behaviour, and the reliability of systems. The morphine overdose case highlights significant shortcomings in leadership at multiple levels, particularly in relation to safety culture, governance, and system oversight. A critical application of leadership theories provides insight into how these failures occurred and what alternative approaches may have mitigated the risk.</w:t>
      </w:r>
    </w:p>
    <w:p w:rsidR="05228AE2" w:rsidP="1FB80F97" w:rsidRDefault="05228AE2" w14:paraId="1739A98A" w14:textId="26D218D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Transformational leadership is widely regarded as one of the most effective approaches in healthcare, particularly in promoting patient safety and organisational change. Transformational leaders inspire and motivate staff through a shared vision, encourage innovation, and foster a culture of openness and learning (Bass and Riggio, 2006). In the context of the case study, the absence of a strong transformational leadership approach is </w:t>
      </w:r>
      <w:r w:rsidRPr="1FB80F97" w:rsidR="05228AE2">
        <w:rPr>
          <w:rFonts w:ascii="Arial" w:hAnsi="Arial" w:eastAsia="Arial" w:cs="Arial" w:asciiTheme="minorAscii" w:hAnsiTheme="minorAscii" w:eastAsiaTheme="minorAscii" w:cstheme="minorAscii"/>
          <w:noProof w:val="0"/>
          <w:sz w:val="22"/>
          <w:szCs w:val="22"/>
          <w:lang w:val="en-GB"/>
        </w:rPr>
        <w:t>evident</w:t>
      </w:r>
      <w:r w:rsidRPr="1FB80F97" w:rsidR="05228AE2">
        <w:rPr>
          <w:rFonts w:ascii="Arial" w:hAnsi="Arial" w:eastAsia="Arial" w:cs="Arial" w:asciiTheme="minorAscii" w:hAnsiTheme="minorAscii" w:eastAsiaTheme="minorAscii" w:cstheme="minorAscii"/>
          <w:noProof w:val="0"/>
          <w:sz w:val="22"/>
          <w:szCs w:val="22"/>
          <w:lang w:val="en-GB"/>
        </w:rPr>
        <w:t xml:space="preserve"> in the lack of a proactive safety culture. The recurrence of similar incidents suggests that lessons from </w:t>
      </w:r>
      <w:r w:rsidRPr="1FB80F97" w:rsidR="05228AE2">
        <w:rPr>
          <w:rFonts w:ascii="Arial" w:hAnsi="Arial" w:eastAsia="Arial" w:cs="Arial" w:asciiTheme="minorAscii" w:hAnsiTheme="minorAscii" w:eastAsiaTheme="minorAscii" w:cstheme="minorAscii"/>
          <w:noProof w:val="0"/>
          <w:sz w:val="22"/>
          <w:szCs w:val="22"/>
          <w:lang w:val="en-GB"/>
        </w:rPr>
        <w:t>previous</w:t>
      </w:r>
      <w:r w:rsidRPr="1FB80F97" w:rsidR="05228AE2">
        <w:rPr>
          <w:rFonts w:ascii="Arial" w:hAnsi="Arial" w:eastAsia="Arial" w:cs="Arial" w:asciiTheme="minorAscii" w:hAnsiTheme="minorAscii" w:eastAsiaTheme="minorAscii" w:cstheme="minorAscii"/>
          <w:noProof w:val="0"/>
          <w:sz w:val="22"/>
          <w:szCs w:val="22"/>
          <w:lang w:val="en-GB"/>
        </w:rPr>
        <w:t xml:space="preserve"> errors were not effectively embedded into practice, </w:t>
      </w:r>
      <w:r w:rsidRPr="1FB80F97" w:rsidR="05228AE2">
        <w:rPr>
          <w:rFonts w:ascii="Arial" w:hAnsi="Arial" w:eastAsia="Arial" w:cs="Arial" w:asciiTheme="minorAscii" w:hAnsiTheme="minorAscii" w:eastAsiaTheme="minorAscii" w:cstheme="minorAscii"/>
          <w:noProof w:val="0"/>
          <w:sz w:val="22"/>
          <w:szCs w:val="22"/>
          <w:lang w:val="en-GB"/>
        </w:rPr>
        <w:t>indicating</w:t>
      </w:r>
      <w:r w:rsidRPr="1FB80F97" w:rsidR="05228AE2">
        <w:rPr>
          <w:rFonts w:ascii="Arial" w:hAnsi="Arial" w:eastAsia="Arial" w:cs="Arial" w:asciiTheme="minorAscii" w:hAnsiTheme="minorAscii" w:eastAsiaTheme="minorAscii" w:cstheme="minorAscii"/>
          <w:noProof w:val="0"/>
          <w:sz w:val="22"/>
          <w:szCs w:val="22"/>
          <w:lang w:val="en-GB"/>
        </w:rPr>
        <w:t xml:space="preserve"> limited organisational learning.</w:t>
      </w:r>
    </w:p>
    <w:p w:rsidR="05228AE2" w:rsidP="1FB80F97" w:rsidRDefault="05228AE2" w14:paraId="4D19E2A1" w14:textId="475106E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Empirical evidence supports the positive impact of transformational leadership on healthcare outcomes. Boamah et al. (2018) found that transformational leadership is associated with improved patient safety outcomes, higher staff satisfaction, and reduced adverse events. In contrast, the failure to prevent repeated morphine dosing errors suggests that leadership within the organisation may have been more reactive than proactive, focusing on responding to incidents rather than </w:t>
      </w:r>
      <w:r w:rsidRPr="1FB80F97" w:rsidR="05228AE2">
        <w:rPr>
          <w:rFonts w:ascii="Arial" w:hAnsi="Arial" w:eastAsia="Arial" w:cs="Arial" w:asciiTheme="minorAscii" w:hAnsiTheme="minorAscii" w:eastAsiaTheme="minorAscii" w:cstheme="minorAscii"/>
          <w:noProof w:val="0"/>
          <w:sz w:val="22"/>
          <w:szCs w:val="22"/>
          <w:lang w:val="en-GB"/>
        </w:rPr>
        <w:t>anticipating</w:t>
      </w:r>
      <w:r w:rsidRPr="1FB80F97" w:rsidR="05228AE2">
        <w:rPr>
          <w:rFonts w:ascii="Arial" w:hAnsi="Arial" w:eastAsia="Arial" w:cs="Arial" w:asciiTheme="minorAscii" w:hAnsiTheme="minorAscii" w:eastAsiaTheme="minorAscii" w:cstheme="minorAscii"/>
          <w:noProof w:val="0"/>
          <w:sz w:val="22"/>
          <w:szCs w:val="22"/>
          <w:lang w:val="en-GB"/>
        </w:rPr>
        <w:t xml:space="preserve"> and preventing them. This reactive approach limits the organisation’s ability to develop resilience and adapt to emerging risks.</w:t>
      </w:r>
      <w:r w:rsidRPr="1FB80F97" w:rsidR="6AB27C37">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Transactional leadership, which focuses on structure, compliance, and performance monitoring, is also relevant to this case. This leadership style emphasises adherence to </w:t>
      </w:r>
      <w:r w:rsidRPr="1FB80F97" w:rsidR="05228AE2">
        <w:rPr>
          <w:rFonts w:ascii="Arial" w:hAnsi="Arial" w:eastAsia="Arial" w:cs="Arial" w:asciiTheme="minorAscii" w:hAnsiTheme="minorAscii" w:eastAsiaTheme="minorAscii" w:cstheme="minorAscii"/>
          <w:noProof w:val="0"/>
          <w:sz w:val="22"/>
          <w:szCs w:val="22"/>
          <w:lang w:val="en-GB"/>
        </w:rPr>
        <w:t>established</w:t>
      </w:r>
      <w:r w:rsidRPr="1FB80F97" w:rsidR="05228AE2">
        <w:rPr>
          <w:rFonts w:ascii="Arial" w:hAnsi="Arial" w:eastAsia="Arial" w:cs="Arial" w:asciiTheme="minorAscii" w:hAnsiTheme="minorAscii" w:eastAsiaTheme="minorAscii" w:cstheme="minorAscii"/>
          <w:noProof w:val="0"/>
          <w:sz w:val="22"/>
          <w:szCs w:val="22"/>
          <w:lang w:val="en-GB"/>
        </w:rPr>
        <w:t xml:space="preserve"> rules and procedures, using rewards and sanctions to ensure compliance (Northouse, 2021). In theory, transactional leadership should support medication safety by ensuring that protocols, such as those governing RED drugs, are followed consistently. However, the occurrence of the error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a failure in the enforcement of these procedures.</w:t>
      </w:r>
    </w:p>
    <w:p w:rsidR="05228AE2" w:rsidP="1FB80F97" w:rsidRDefault="05228AE2" w14:paraId="44763992" w14:textId="24AFE3A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The limitations of transactional leadership become </w:t>
      </w:r>
      <w:r w:rsidRPr="1FB80F97" w:rsidR="05228AE2">
        <w:rPr>
          <w:rFonts w:ascii="Arial" w:hAnsi="Arial" w:eastAsia="Arial" w:cs="Arial" w:asciiTheme="minorAscii" w:hAnsiTheme="minorAscii" w:eastAsiaTheme="minorAscii" w:cstheme="minorAscii"/>
          <w:noProof w:val="0"/>
          <w:sz w:val="22"/>
          <w:szCs w:val="22"/>
          <w:lang w:val="en-GB"/>
        </w:rPr>
        <w:t>apparent</w:t>
      </w:r>
      <w:r w:rsidRPr="1FB80F97" w:rsidR="05228AE2">
        <w:rPr>
          <w:rFonts w:ascii="Arial" w:hAnsi="Arial" w:eastAsia="Arial" w:cs="Arial" w:asciiTheme="minorAscii" w:hAnsiTheme="minorAscii" w:eastAsiaTheme="minorAscii" w:cstheme="minorAscii"/>
          <w:noProof w:val="0"/>
          <w:sz w:val="22"/>
          <w:szCs w:val="22"/>
          <w:lang w:val="en-GB"/>
        </w:rPr>
        <w:t xml:space="preserve"> when compliance is prioritised over understanding. Staff may follow procedures mechanically without fully appreciating their underlying rationale, reducing their ability to </w:t>
      </w:r>
      <w:r w:rsidRPr="1FB80F97" w:rsidR="05228AE2">
        <w:rPr>
          <w:rFonts w:ascii="Arial" w:hAnsi="Arial" w:eastAsia="Arial" w:cs="Arial" w:asciiTheme="minorAscii" w:hAnsiTheme="minorAscii" w:eastAsiaTheme="minorAscii" w:cstheme="minorAscii"/>
          <w:noProof w:val="0"/>
          <w:sz w:val="22"/>
          <w:szCs w:val="22"/>
          <w:lang w:val="en-GB"/>
        </w:rPr>
        <w:t>identify</w:t>
      </w:r>
      <w:r w:rsidRPr="1FB80F97" w:rsidR="05228AE2">
        <w:rPr>
          <w:rFonts w:ascii="Arial" w:hAnsi="Arial" w:eastAsia="Arial" w:cs="Arial" w:asciiTheme="minorAscii" w:hAnsiTheme="minorAscii" w:eastAsiaTheme="minorAscii" w:cstheme="minorAscii"/>
          <w:noProof w:val="0"/>
          <w:sz w:val="22"/>
          <w:szCs w:val="22"/>
          <w:lang w:val="en-GB"/>
        </w:rPr>
        <w:t xml:space="preserve"> and respond to anomalies. In this case, it is possible that existing protocols were either not fully understood or not rigorously enforced, reflecting a gap between formal rules and actual practice. Moreover, excessive reliance on transactional leadership can discourage open communication, as staff may fear blame or punishment for reporting errors (Reason, 2000).</w:t>
      </w:r>
    </w:p>
    <w:p w:rsidR="05228AE2" w:rsidP="1FB80F97" w:rsidRDefault="05228AE2" w14:paraId="456CF659" w14:textId="2E685FF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Situational leadership provides a more flexible framework, emphasising the need for leaders to adapt their approach based on the context and the needs of their team (Hersey et al., 2013). In high-risk situations involving vulnerable patients and complex medications, leaders should adopt a more directive and supportive style, ensuring that staff are adequately guided and that risks are actively managed. The failure to implement </w:t>
      </w:r>
      <w:r w:rsidRPr="1FB80F97" w:rsidR="05228AE2">
        <w:rPr>
          <w:rFonts w:ascii="Arial" w:hAnsi="Arial" w:eastAsia="Arial" w:cs="Arial" w:asciiTheme="minorAscii" w:hAnsiTheme="minorAscii" w:eastAsiaTheme="minorAscii" w:cstheme="minorAscii"/>
          <w:noProof w:val="0"/>
          <w:sz w:val="22"/>
          <w:szCs w:val="22"/>
          <w:lang w:val="en-GB"/>
        </w:rPr>
        <w:t>additional</w:t>
      </w:r>
      <w:r w:rsidRPr="1FB80F97" w:rsidR="05228AE2">
        <w:rPr>
          <w:rFonts w:ascii="Arial" w:hAnsi="Arial" w:eastAsia="Arial" w:cs="Arial" w:asciiTheme="minorAscii" w:hAnsiTheme="minorAscii" w:eastAsiaTheme="minorAscii" w:cstheme="minorAscii"/>
          <w:noProof w:val="0"/>
          <w:sz w:val="22"/>
          <w:szCs w:val="22"/>
          <w:lang w:val="en-GB"/>
        </w:rPr>
        <w:t xml:space="preserve"> safeguards for a high-risk medication such as morphine suggests that leadership did not adequately adapt to the demands of the situation.</w:t>
      </w:r>
    </w:p>
    <w:p w:rsidR="05228AE2" w:rsidP="1FB80F97" w:rsidRDefault="05228AE2" w14:paraId="02D07388" w14:textId="606550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From a contingency perspective, effective leadership requires alignment between leadership style, organisational context, and the nature of the task (Fiedler, 1967). In the case study, the complexity and risk associated with paediatric medication management would </w:t>
      </w:r>
      <w:r w:rsidRPr="1FB80F97" w:rsidR="05228AE2">
        <w:rPr>
          <w:rFonts w:ascii="Arial" w:hAnsi="Arial" w:eastAsia="Arial" w:cs="Arial" w:asciiTheme="minorAscii" w:hAnsiTheme="minorAscii" w:eastAsiaTheme="minorAscii" w:cstheme="minorAscii"/>
          <w:noProof w:val="0"/>
          <w:sz w:val="22"/>
          <w:szCs w:val="22"/>
          <w:lang w:val="en-GB"/>
        </w:rPr>
        <w:t>necessitate</w:t>
      </w:r>
      <w:r w:rsidRPr="1FB80F97" w:rsidR="05228AE2">
        <w:rPr>
          <w:rFonts w:ascii="Arial" w:hAnsi="Arial" w:eastAsia="Arial" w:cs="Arial" w:asciiTheme="minorAscii" w:hAnsiTheme="minorAscii" w:eastAsiaTheme="minorAscii" w:cstheme="minorAscii"/>
          <w:noProof w:val="0"/>
          <w:sz w:val="22"/>
          <w:szCs w:val="22"/>
          <w:lang w:val="en-GB"/>
        </w:rPr>
        <w:t xml:space="preserve"> a highly structured and closely supervised approach. However, the absence of robust checking mechanisms and oversight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a mismatch between leadership approach and situational requirements. This misalignment contributed to a system that was insufficiently controlled to prevent error.</w:t>
      </w:r>
    </w:p>
    <w:p w:rsidR="05228AE2" w:rsidP="1FB80F97" w:rsidRDefault="05228AE2" w14:paraId="2C4BB1FB" w14:textId="13717DD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Another relevant perspective is distributed leadership, which emphasises shared responsibility and collective engagement in decision-making processes. In healthcare, distributed leadership has been associated with improved team performance, enhanced communication, and greater staff engagement (West et al., 2015). The case study suggests that leadership was not effectively distributed, as multiple points of failure occurred without interception. A more distributed approach, where responsibility for safety is shared across the team, may have increased the likelihood of error detection.</w:t>
      </w:r>
    </w:p>
    <w:p w:rsidR="05228AE2" w:rsidP="1FB80F97" w:rsidRDefault="05228AE2" w14:paraId="0FC96728" w14:textId="7C3EFFD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Data from NHS staff surveys consistently highlight the importance of leadership in shaping organisational culture and safety outcomes. For example, teams reporting supportive and inclusive leadership </w:t>
      </w:r>
      <w:r w:rsidRPr="1FB80F97" w:rsidR="05228AE2">
        <w:rPr>
          <w:rFonts w:ascii="Arial" w:hAnsi="Arial" w:eastAsia="Arial" w:cs="Arial" w:asciiTheme="minorAscii" w:hAnsiTheme="minorAscii" w:eastAsiaTheme="minorAscii" w:cstheme="minorAscii"/>
          <w:noProof w:val="0"/>
          <w:sz w:val="22"/>
          <w:szCs w:val="22"/>
          <w:lang w:val="en-GB"/>
        </w:rPr>
        <w:t>demonstrate</w:t>
      </w:r>
      <w:r w:rsidRPr="1FB80F97" w:rsidR="05228AE2">
        <w:rPr>
          <w:rFonts w:ascii="Arial" w:hAnsi="Arial" w:eastAsia="Arial" w:cs="Arial" w:asciiTheme="minorAscii" w:hAnsiTheme="minorAscii" w:eastAsiaTheme="minorAscii" w:cstheme="minorAscii"/>
          <w:noProof w:val="0"/>
          <w:sz w:val="22"/>
          <w:szCs w:val="22"/>
          <w:lang w:val="en-GB"/>
        </w:rPr>
        <w:t xml:space="preserve"> higher levels of psychological safety, which is associated with increased incident reporting and learning (NHS Staff Survey, 2022). In the present case, the recurrence of similar incidents raises questions about whether staff felt empowered to raise concerns or challenge decisions, particularly in relation to high-risk medications.</w:t>
      </w:r>
    </w:p>
    <w:p w:rsidR="05228AE2" w:rsidP="1FB80F97" w:rsidRDefault="05228AE2" w14:paraId="3A212C55" w14:textId="0075ECD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 critical issue in this case is whether leadership was primarily reactive or proactive. Reactive leadership focuses on responding to incidents after they occur, often through investigation and corrective action. While this is necessary, it is insufficient to ensure long-term safety. Proactive leadership, by contrast, involves </w:t>
      </w:r>
      <w:r w:rsidRPr="1FB80F97" w:rsidR="05228AE2">
        <w:rPr>
          <w:rFonts w:ascii="Arial" w:hAnsi="Arial" w:eastAsia="Arial" w:cs="Arial" w:asciiTheme="minorAscii" w:hAnsiTheme="minorAscii" w:eastAsiaTheme="minorAscii" w:cstheme="minorAscii"/>
          <w:noProof w:val="0"/>
          <w:sz w:val="22"/>
          <w:szCs w:val="22"/>
          <w:lang w:val="en-GB"/>
        </w:rPr>
        <w:t>anticipating</w:t>
      </w:r>
      <w:r w:rsidRPr="1FB80F97" w:rsidR="05228AE2">
        <w:rPr>
          <w:rFonts w:ascii="Arial" w:hAnsi="Arial" w:eastAsia="Arial" w:cs="Arial" w:asciiTheme="minorAscii" w:hAnsiTheme="minorAscii" w:eastAsiaTheme="minorAscii" w:cstheme="minorAscii"/>
          <w:noProof w:val="0"/>
          <w:sz w:val="22"/>
          <w:szCs w:val="22"/>
          <w:lang w:val="en-GB"/>
        </w:rPr>
        <w:t xml:space="preserve"> risks, implementing preventive measures, and continuously </w:t>
      </w:r>
      <w:r w:rsidRPr="1FB80F97" w:rsidR="05228AE2">
        <w:rPr>
          <w:rFonts w:ascii="Arial" w:hAnsi="Arial" w:eastAsia="Arial" w:cs="Arial" w:asciiTheme="minorAscii" w:hAnsiTheme="minorAscii" w:eastAsiaTheme="minorAscii" w:cstheme="minorAscii"/>
          <w:noProof w:val="0"/>
          <w:sz w:val="22"/>
          <w:szCs w:val="22"/>
          <w:lang w:val="en-GB"/>
        </w:rPr>
        <w:t>monitoring</w:t>
      </w:r>
      <w:r w:rsidRPr="1FB80F97" w:rsidR="05228AE2">
        <w:rPr>
          <w:rFonts w:ascii="Arial" w:hAnsi="Arial" w:eastAsia="Arial" w:cs="Arial" w:asciiTheme="minorAscii" w:hAnsiTheme="minorAscii" w:eastAsiaTheme="minorAscii" w:cstheme="minorAscii"/>
          <w:noProof w:val="0"/>
          <w:sz w:val="22"/>
          <w:szCs w:val="22"/>
          <w:lang w:val="en-GB"/>
        </w:rPr>
        <w:t xml:space="preserve"> system performance (Reason, 2000). The repeated occurrence of morphine-related incidents suggests that leadership within the system was </w:t>
      </w:r>
      <w:r w:rsidRPr="1FB80F97" w:rsidR="75FC90C4">
        <w:rPr>
          <w:rFonts w:ascii="Arial" w:hAnsi="Arial" w:eastAsia="Arial" w:cs="Arial" w:asciiTheme="minorAscii" w:hAnsiTheme="minorAscii" w:eastAsiaTheme="minorAscii" w:cstheme="minorAscii"/>
          <w:noProof w:val="0"/>
          <w:sz w:val="22"/>
          <w:szCs w:val="22"/>
          <w:lang w:val="en-GB"/>
        </w:rPr>
        <w:t>reactive</w:t>
      </w:r>
      <w:r w:rsidRPr="1FB80F97" w:rsidR="05228AE2">
        <w:rPr>
          <w:rFonts w:ascii="Arial" w:hAnsi="Arial" w:eastAsia="Arial" w:cs="Arial" w:asciiTheme="minorAscii" w:hAnsiTheme="minorAscii" w:eastAsiaTheme="minorAscii" w:cstheme="minorAscii"/>
          <w:noProof w:val="0"/>
          <w:sz w:val="22"/>
          <w:szCs w:val="22"/>
          <w:lang w:val="en-GB"/>
        </w:rPr>
        <w:t>, with limited emphasis on prevention and system redesign.</w:t>
      </w:r>
    </w:p>
    <w:p w:rsidR="05228AE2" w:rsidP="1FB80F97" w:rsidRDefault="05228AE2" w14:paraId="2E85B524" w14:textId="0CF2231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Emotional intelligence is another important dimension of effective leadership in healthcare. Leaders with high emotional intelligence are better able to understand and respond to the needs of their staff, foster trust, and create a supportive environment (Goleman, 1998). In high-pressure environments, such as those involving medication management, emotionally intelligent leadership can enhance communication and reduce the likelihood of error. The </w:t>
      </w:r>
      <w:r w:rsidRPr="1FB80F97" w:rsidR="05228AE2">
        <w:rPr>
          <w:rFonts w:ascii="Arial" w:hAnsi="Arial" w:eastAsia="Arial" w:cs="Arial" w:asciiTheme="minorAscii" w:hAnsiTheme="minorAscii" w:eastAsiaTheme="minorAscii" w:cstheme="minorAscii"/>
          <w:noProof w:val="0"/>
          <w:sz w:val="22"/>
          <w:szCs w:val="22"/>
          <w:lang w:val="en-GB"/>
        </w:rPr>
        <w:t>apparent</w:t>
      </w:r>
      <w:r w:rsidRPr="1FB80F97" w:rsidR="05228AE2">
        <w:rPr>
          <w:rFonts w:ascii="Arial" w:hAnsi="Arial" w:eastAsia="Arial" w:cs="Arial" w:asciiTheme="minorAscii" w:hAnsiTheme="minorAscii" w:eastAsiaTheme="minorAscii" w:cstheme="minorAscii"/>
          <w:noProof w:val="0"/>
          <w:sz w:val="22"/>
          <w:szCs w:val="22"/>
          <w:lang w:val="en-GB"/>
        </w:rPr>
        <w:t xml:space="preserve"> lack of effective communication and escalation in this case may reflect limitations in this aspect of leadership.</w:t>
      </w:r>
    </w:p>
    <w:p w:rsidR="05228AE2" w:rsidP="1FB80F97" w:rsidRDefault="05228AE2" w14:paraId="534A06D8" w14:textId="235D462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Critically, the case </w:t>
      </w:r>
      <w:r w:rsidRPr="1FB80F97" w:rsidR="05228AE2">
        <w:rPr>
          <w:rFonts w:ascii="Arial" w:hAnsi="Arial" w:eastAsia="Arial" w:cs="Arial" w:asciiTheme="minorAscii" w:hAnsiTheme="minorAscii" w:eastAsiaTheme="minorAscii" w:cstheme="minorAscii"/>
          <w:noProof w:val="0"/>
          <w:sz w:val="22"/>
          <w:szCs w:val="22"/>
          <w:lang w:val="en-GB"/>
        </w:rPr>
        <w:t>demonstrates</w:t>
      </w:r>
      <w:r w:rsidRPr="1FB80F97" w:rsidR="05228AE2">
        <w:rPr>
          <w:rFonts w:ascii="Arial" w:hAnsi="Arial" w:eastAsia="Arial" w:cs="Arial" w:asciiTheme="minorAscii" w:hAnsiTheme="minorAscii" w:eastAsiaTheme="minorAscii" w:cstheme="minorAscii"/>
          <w:noProof w:val="0"/>
          <w:sz w:val="22"/>
          <w:szCs w:val="22"/>
          <w:lang w:val="en-GB"/>
        </w:rPr>
        <w:t xml:space="preserve"> that leadership failures were not confined to a single individual but were distributed across multiple levels of the system. At the organisational level, there was a failure to ensure that policies were effectively implemented and </w:t>
      </w:r>
      <w:r w:rsidRPr="1FB80F97" w:rsidR="05228AE2">
        <w:rPr>
          <w:rFonts w:ascii="Arial" w:hAnsi="Arial" w:eastAsia="Arial" w:cs="Arial" w:asciiTheme="minorAscii" w:hAnsiTheme="minorAscii" w:eastAsiaTheme="minorAscii" w:cstheme="minorAscii"/>
          <w:noProof w:val="0"/>
          <w:sz w:val="22"/>
          <w:szCs w:val="22"/>
          <w:lang w:val="en-GB"/>
        </w:rPr>
        <w:t>monitored</w:t>
      </w:r>
      <w:r w:rsidRPr="1FB80F97" w:rsidR="05228AE2">
        <w:rPr>
          <w:rFonts w:ascii="Arial" w:hAnsi="Arial" w:eastAsia="Arial" w:cs="Arial" w:asciiTheme="minorAscii" w:hAnsiTheme="minorAscii" w:eastAsiaTheme="minorAscii" w:cstheme="minorAscii"/>
          <w:noProof w:val="0"/>
          <w:sz w:val="22"/>
          <w:szCs w:val="22"/>
          <w:lang w:val="en-GB"/>
        </w:rPr>
        <w:t>. At the team level, there was a lack of effective communication and verification processes. At the individual level, there may have been gaps in knowledge or vigilance. This multi-level failure underscores the importance of viewing leadership as a system property rather than an individual attribute.</w:t>
      </w:r>
      <w:r w:rsidRPr="1FB80F97" w:rsidR="47AAC618">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In evaluating what could have been done differently, a combination of leadership approaches would </w:t>
      </w:r>
      <w:r w:rsidRPr="1FB80F97" w:rsidR="29393424">
        <w:rPr>
          <w:rFonts w:ascii="Arial" w:hAnsi="Arial" w:eastAsia="Arial" w:cs="Arial" w:asciiTheme="minorAscii" w:hAnsiTheme="minorAscii" w:eastAsiaTheme="minorAscii" w:cstheme="minorAscii"/>
          <w:noProof w:val="0"/>
          <w:sz w:val="22"/>
          <w:szCs w:val="22"/>
          <w:lang w:val="en-GB"/>
        </w:rPr>
        <w:t>have</w:t>
      </w:r>
      <w:r w:rsidRPr="1FB80F97" w:rsidR="05228AE2">
        <w:rPr>
          <w:rFonts w:ascii="Arial" w:hAnsi="Arial" w:eastAsia="Arial" w:cs="Arial" w:asciiTheme="minorAscii" w:hAnsiTheme="minorAscii" w:eastAsiaTheme="minorAscii" w:cstheme="minorAscii"/>
          <w:noProof w:val="0"/>
          <w:sz w:val="22"/>
          <w:szCs w:val="22"/>
          <w:lang w:val="en-GB"/>
        </w:rPr>
        <w:t xml:space="preserve"> been more effective. Transformational leadership could have been used to </w:t>
      </w:r>
      <w:r w:rsidRPr="1FB80F97" w:rsidR="05228AE2">
        <w:rPr>
          <w:rFonts w:ascii="Arial" w:hAnsi="Arial" w:eastAsia="Arial" w:cs="Arial" w:asciiTheme="minorAscii" w:hAnsiTheme="minorAscii" w:eastAsiaTheme="minorAscii" w:cstheme="minorAscii"/>
          <w:noProof w:val="0"/>
          <w:sz w:val="22"/>
          <w:szCs w:val="22"/>
          <w:lang w:val="en-GB"/>
        </w:rPr>
        <w:t>establish</w:t>
      </w:r>
      <w:r w:rsidRPr="1FB80F97" w:rsidR="05228AE2">
        <w:rPr>
          <w:rFonts w:ascii="Arial" w:hAnsi="Arial" w:eastAsia="Arial" w:cs="Arial" w:asciiTheme="minorAscii" w:hAnsiTheme="minorAscii" w:eastAsiaTheme="minorAscii" w:cstheme="minorAscii"/>
          <w:noProof w:val="0"/>
          <w:sz w:val="22"/>
          <w:szCs w:val="22"/>
          <w:lang w:val="en-GB"/>
        </w:rPr>
        <w:t xml:space="preserve"> a strong safety culture and promote organisational learning. Transactional leadership could have ensured consistent adherence to protocols, particularly for high-risk medications. Situational leadership could have enabled adaptation to the specific risks associated with paediatric care. Additionally, a more distributed leadership model could have enhanced team engagement and accountability.</w:t>
      </w:r>
    </w:p>
    <w:p w:rsidR="05228AE2" w:rsidP="1FB80F97" w:rsidRDefault="05228AE2" w14:paraId="00205CD7" w14:textId="33811D5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In conclusion, the morphine overdose case highlights the critical role of leadership in shaping healthcare outcomes. The absence of proactive, adaptive, and inclusive leadership contributed to a system that was vulnerable to error. By integrating multiple leadership approaches and aligning them with organisational context and system demands, healthcare organisations can enhance safety, improve performance, and reduce the likelihood of similar incidents in the future.</w:t>
      </w:r>
    </w:p>
    <w:p w:rsidR="1FB80F97" w:rsidP="1FB80F97" w:rsidRDefault="1FB80F97" w14:paraId="2F37976B" w14:textId="37C41A1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542F9E5D" w14:textId="7C19DDF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Main Body</w:t>
      </w:r>
    </w:p>
    <w:p w:rsidR="05228AE2" w:rsidP="1FB80F97" w:rsidRDefault="05228AE2" w14:paraId="37A8669A" w14:textId="340D24B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d. Improvement, and Lessons Learned</w:t>
      </w:r>
    </w:p>
    <w:p w:rsidR="05228AE2" w:rsidP="1FB80F97" w:rsidRDefault="05228AE2" w14:paraId="391A7709" w14:textId="67E94AF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The morphine overdose incident illustrates how failures in leadership, governance, and system design can converge to produce significant patient harm. A critical evaluation of the case reveals multiple missed opportunities for intervention, as well as clear areas where evidence-based improvements could enhance safety and organisational performance. Importantly, these improvements must be understood not as isolated interventions but as components of an integrated system approach.</w:t>
      </w:r>
    </w:p>
    <w:p w:rsidR="05228AE2" w:rsidP="1FB80F97" w:rsidRDefault="05228AE2" w14:paraId="7CD85006" w14:textId="2F5FB4D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One of the most significant issues </w:t>
      </w:r>
      <w:r w:rsidRPr="1FB80F97" w:rsidR="05228AE2">
        <w:rPr>
          <w:rFonts w:ascii="Arial" w:hAnsi="Arial" w:eastAsia="Arial" w:cs="Arial" w:asciiTheme="minorAscii" w:hAnsiTheme="minorAscii" w:eastAsiaTheme="minorAscii" w:cstheme="minorAscii"/>
          <w:noProof w:val="0"/>
          <w:sz w:val="22"/>
          <w:szCs w:val="22"/>
          <w:lang w:val="en-GB"/>
        </w:rPr>
        <w:t>identified</w:t>
      </w:r>
      <w:r w:rsidRPr="1FB80F97" w:rsidR="05228AE2">
        <w:rPr>
          <w:rFonts w:ascii="Arial" w:hAnsi="Arial" w:eastAsia="Arial" w:cs="Arial" w:asciiTheme="minorAscii" w:hAnsiTheme="minorAscii" w:eastAsiaTheme="minorAscii" w:cstheme="minorAscii"/>
          <w:noProof w:val="0"/>
          <w:sz w:val="22"/>
          <w:szCs w:val="22"/>
          <w:lang w:val="en-GB"/>
        </w:rPr>
        <w:t xml:space="preserve"> in this case is the failure of medication safety processes, particularly in relation to high-risk drugs. Evidence suggests that medication errors </w:t>
      </w:r>
      <w:r w:rsidRPr="1FB80F97" w:rsidR="05228AE2">
        <w:rPr>
          <w:rFonts w:ascii="Arial" w:hAnsi="Arial" w:eastAsia="Arial" w:cs="Arial" w:asciiTheme="minorAscii" w:hAnsiTheme="minorAscii" w:eastAsiaTheme="minorAscii" w:cstheme="minorAscii"/>
          <w:noProof w:val="0"/>
          <w:sz w:val="22"/>
          <w:szCs w:val="22"/>
          <w:lang w:val="en-GB"/>
        </w:rPr>
        <w:t>remain</w:t>
      </w:r>
      <w:r w:rsidRPr="1FB80F97" w:rsidR="05228AE2">
        <w:rPr>
          <w:rFonts w:ascii="Arial" w:hAnsi="Arial" w:eastAsia="Arial" w:cs="Arial" w:asciiTheme="minorAscii" w:hAnsiTheme="minorAscii" w:eastAsiaTheme="minorAscii" w:cstheme="minorAscii"/>
          <w:noProof w:val="0"/>
          <w:sz w:val="22"/>
          <w:szCs w:val="22"/>
          <w:lang w:val="en-GB"/>
        </w:rPr>
        <w:t xml:space="preserve"> a persistent challenge within healthcare systems, with Elliott et al. (2018) estimating 237 million medication errors annually in England. In this context, the dispensing of an incorrect morphine formulation reflects a breakdown in standard safety mechanisms, including verification and double-checking processes. High-reliability organisations typically employ multiple layers of defence to prevent such errors; however, in this case, these safeguards were either absent or ineffective.</w:t>
      </w:r>
    </w:p>
    <w:p w:rsidR="05228AE2" w:rsidP="1FB80F97" w:rsidRDefault="05228AE2" w14:paraId="12A68EE2" w14:textId="7BF0E9A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An important improvement strategy involves the implementation of technological solutions, such as electronic prescribing and barcode medication administration systems. These systems have been shown to significantly reduce medication errors by improving accuracy and enabling real-time verification (Keers et al., 2013). For example, barcode systems ensure that the correct medication, dose, and patient are matched before administration, reducing reliance on manual processes. However, the effectiveness of such technologies depends on </w:t>
      </w:r>
      <w:r w:rsidRPr="1FB80F97" w:rsidR="05228AE2">
        <w:rPr>
          <w:rFonts w:ascii="Arial" w:hAnsi="Arial" w:eastAsia="Arial" w:cs="Arial" w:asciiTheme="minorAscii" w:hAnsiTheme="minorAscii" w:eastAsiaTheme="minorAscii" w:cstheme="minorAscii"/>
          <w:noProof w:val="0"/>
          <w:sz w:val="22"/>
          <w:szCs w:val="22"/>
          <w:lang w:val="en-GB"/>
        </w:rPr>
        <w:t>appropriate implementation</w:t>
      </w:r>
      <w:r w:rsidRPr="1FB80F97" w:rsidR="05228AE2">
        <w:rPr>
          <w:rFonts w:ascii="Arial" w:hAnsi="Arial" w:eastAsia="Arial" w:cs="Arial" w:asciiTheme="minorAscii" w:hAnsiTheme="minorAscii" w:eastAsiaTheme="minorAscii" w:cstheme="minorAscii"/>
          <w:noProof w:val="0"/>
          <w:sz w:val="22"/>
          <w:szCs w:val="22"/>
          <w:lang w:val="en-GB"/>
        </w:rPr>
        <w:t>, staff training, and integration into existing workflows.</w:t>
      </w:r>
    </w:p>
    <w:p w:rsidR="05228AE2" w:rsidP="1FB80F97" w:rsidRDefault="05228AE2" w14:paraId="1A649CF1" w14:textId="0B26922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 second critical issue relates to communication failures across </w:t>
      </w:r>
      <w:r w:rsidRPr="1FB80F97" w:rsidR="5DA6C708">
        <w:rPr>
          <w:rFonts w:ascii="Arial" w:hAnsi="Arial" w:eastAsia="Arial" w:cs="Arial" w:asciiTheme="minorAscii" w:hAnsiTheme="minorAscii" w:eastAsiaTheme="minorAscii" w:cstheme="minorAscii"/>
          <w:noProof w:val="0"/>
          <w:sz w:val="22"/>
          <w:szCs w:val="22"/>
          <w:lang w:val="en-GB"/>
        </w:rPr>
        <w:t>distinct stages</w:t>
      </w:r>
      <w:r w:rsidRPr="1FB80F97" w:rsidR="05228AE2">
        <w:rPr>
          <w:rFonts w:ascii="Arial" w:hAnsi="Arial" w:eastAsia="Arial" w:cs="Arial" w:asciiTheme="minorAscii" w:hAnsiTheme="minorAscii" w:eastAsiaTheme="minorAscii" w:cstheme="minorAscii"/>
          <w:noProof w:val="0"/>
          <w:sz w:val="22"/>
          <w:szCs w:val="22"/>
          <w:lang w:val="en-GB"/>
        </w:rPr>
        <w:t xml:space="preserve"> of the medication pathway. The transition from prescribing to dispensing and administration involves multiple professionals, each of whom plays a role in ensuring accuracy. In the case study, the breakdown in communication suggests that information was either incomplete, unclear, or not adequately verified. Research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that communication failures are a leading cause of adverse events in healthcare, contributing to </w:t>
      </w:r>
      <w:r w:rsidRPr="1FB80F97" w:rsidR="06935AC7">
        <w:rPr>
          <w:rFonts w:ascii="Arial" w:hAnsi="Arial" w:eastAsia="Arial" w:cs="Arial" w:asciiTheme="minorAscii" w:hAnsiTheme="minorAscii" w:eastAsiaTheme="minorAscii" w:cstheme="minorAscii"/>
          <w:noProof w:val="0"/>
          <w:sz w:val="22"/>
          <w:szCs w:val="22"/>
          <w:lang w:val="en-GB"/>
        </w:rPr>
        <w:t>a considerable proportion</w:t>
      </w:r>
      <w:r w:rsidRPr="1FB80F97" w:rsidR="05228AE2">
        <w:rPr>
          <w:rFonts w:ascii="Arial" w:hAnsi="Arial" w:eastAsia="Arial" w:cs="Arial" w:asciiTheme="minorAscii" w:hAnsiTheme="minorAscii" w:eastAsiaTheme="minorAscii" w:cstheme="minorAscii"/>
          <w:noProof w:val="0"/>
          <w:sz w:val="22"/>
          <w:szCs w:val="22"/>
          <w:lang w:val="en-GB"/>
        </w:rPr>
        <w:t xml:space="preserve"> of medication errors (Leonard et al., 2004).</w:t>
      </w:r>
    </w:p>
    <w:p w:rsidR="05228AE2" w:rsidP="1FB80F97" w:rsidRDefault="05228AE2" w14:paraId="4CC4D646" w14:textId="4E7D599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To address this issue, structured communication tools such as SBAR (Situation, Background, Assessment, Recommendation) can be implemented to standardise information exchange and reduce ambiguity. Additionally, the introduction of regular safety huddles can provide opportunities for teams to discuss risks, share concerns, and reinforce safety practices. These interventions not only improve communication but also contribute to the development of a more open and collaborative safety culture.</w:t>
      </w:r>
    </w:p>
    <w:p w:rsidR="05228AE2" w:rsidP="1FB80F97" w:rsidRDefault="05228AE2" w14:paraId="66A560C0" w14:textId="7F4968A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Governance failures also played </w:t>
      </w:r>
      <w:r w:rsidRPr="1FB80F97" w:rsidR="4B808730">
        <w:rPr>
          <w:rFonts w:ascii="Arial" w:hAnsi="Arial" w:eastAsia="Arial" w:cs="Arial" w:asciiTheme="minorAscii" w:hAnsiTheme="minorAscii" w:eastAsiaTheme="minorAscii" w:cstheme="minorAscii"/>
          <w:noProof w:val="0"/>
          <w:sz w:val="22"/>
          <w:szCs w:val="22"/>
          <w:lang w:val="en-GB"/>
        </w:rPr>
        <w:t>a significant role</w:t>
      </w:r>
      <w:r w:rsidRPr="1FB80F97" w:rsidR="05228AE2">
        <w:rPr>
          <w:rFonts w:ascii="Arial" w:hAnsi="Arial" w:eastAsia="Arial" w:cs="Arial" w:asciiTheme="minorAscii" w:hAnsiTheme="minorAscii" w:eastAsiaTheme="minorAscii" w:cstheme="minorAscii"/>
          <w:noProof w:val="0"/>
          <w:sz w:val="22"/>
          <w:szCs w:val="22"/>
          <w:lang w:val="en-GB"/>
        </w:rPr>
        <w:t xml:space="preserve"> in this case, particularly in relation to the management of RED drugs. The existence of national policies restricting the use of such medications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that </w:t>
      </w:r>
      <w:r w:rsidRPr="1FB80F97" w:rsidR="05228AE2">
        <w:rPr>
          <w:rFonts w:ascii="Arial" w:hAnsi="Arial" w:eastAsia="Arial" w:cs="Arial" w:asciiTheme="minorAscii" w:hAnsiTheme="minorAscii" w:eastAsiaTheme="minorAscii" w:cstheme="minorAscii"/>
          <w:noProof w:val="0"/>
          <w:sz w:val="22"/>
          <w:szCs w:val="22"/>
          <w:lang w:val="en-GB"/>
        </w:rPr>
        <w:t>appropriate safeguards</w:t>
      </w:r>
      <w:r w:rsidRPr="1FB80F97" w:rsidR="05228AE2">
        <w:rPr>
          <w:rFonts w:ascii="Arial" w:hAnsi="Arial" w:eastAsia="Arial" w:cs="Arial" w:asciiTheme="minorAscii" w:hAnsiTheme="minorAscii" w:eastAsiaTheme="minorAscii" w:cstheme="minorAscii"/>
          <w:noProof w:val="0"/>
          <w:sz w:val="22"/>
          <w:szCs w:val="22"/>
          <w:lang w:val="en-GB"/>
        </w:rPr>
        <w:t xml:space="preserve"> were in place at a strategic level. However, the failure to enforce these policies at the local level highlights weaknesses in accountability and oversight. The recurrence of similar incidents suggests that monitoring and audit processes were insufficient to detect and address deviations from expected practice.</w:t>
      </w:r>
    </w:p>
    <w:p w:rsidR="05228AE2" w:rsidP="1FB80F97" w:rsidRDefault="05228AE2" w14:paraId="25F0B4C2" w14:textId="0CABC83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Strengthening governance requires the establishment of clear accountability structures, supported by regular audits and feedback mechanisms. For example, organisations can implement routine reviews of prescribing and dispensing practices for high-risk medications, ensuring that any deviations are </w:t>
      </w:r>
      <w:r w:rsidRPr="1FB80F97" w:rsidR="05228AE2">
        <w:rPr>
          <w:rFonts w:ascii="Arial" w:hAnsi="Arial" w:eastAsia="Arial" w:cs="Arial" w:asciiTheme="minorAscii" w:hAnsiTheme="minorAscii" w:eastAsiaTheme="minorAscii" w:cstheme="minorAscii"/>
          <w:noProof w:val="0"/>
          <w:sz w:val="22"/>
          <w:szCs w:val="22"/>
          <w:lang w:val="en-GB"/>
        </w:rPr>
        <w:t>identified</w:t>
      </w:r>
      <w:r w:rsidRPr="1FB80F97" w:rsidR="05228AE2">
        <w:rPr>
          <w:rFonts w:ascii="Arial" w:hAnsi="Arial" w:eastAsia="Arial" w:cs="Arial" w:asciiTheme="minorAscii" w:hAnsiTheme="minorAscii" w:eastAsiaTheme="minorAscii" w:cstheme="minorAscii"/>
          <w:noProof w:val="0"/>
          <w:sz w:val="22"/>
          <w:szCs w:val="22"/>
          <w:lang w:val="en-GB"/>
        </w:rPr>
        <w:t xml:space="preserve"> and addressed promptly. Additionally, incident reporting systems must be </w:t>
      </w:r>
      <w:r w:rsidRPr="1FB80F97" w:rsidR="05228AE2">
        <w:rPr>
          <w:rFonts w:ascii="Arial" w:hAnsi="Arial" w:eastAsia="Arial" w:cs="Arial" w:asciiTheme="minorAscii" w:hAnsiTheme="minorAscii" w:eastAsiaTheme="minorAscii" w:cstheme="minorAscii"/>
          <w:noProof w:val="0"/>
          <w:sz w:val="22"/>
          <w:szCs w:val="22"/>
          <w:lang w:val="en-GB"/>
        </w:rPr>
        <w:t>timely</w:t>
      </w:r>
      <w:r w:rsidRPr="1FB80F97" w:rsidR="05228AE2">
        <w:rPr>
          <w:rFonts w:ascii="Arial" w:hAnsi="Arial" w:eastAsia="Arial" w:cs="Arial" w:asciiTheme="minorAscii" w:hAnsiTheme="minorAscii" w:eastAsiaTheme="minorAscii" w:cstheme="minorAscii"/>
          <w:noProof w:val="0"/>
          <w:sz w:val="22"/>
          <w:szCs w:val="22"/>
          <w:lang w:val="en-GB"/>
        </w:rPr>
        <w:t>, transparent, and linked to learning processes. Evidence suggests that delays in reporting and a lack of feedback can undermine organisational learning and allow errors to recur (Waring, 2005).</w:t>
      </w:r>
      <w:r w:rsidRPr="1FB80F97" w:rsidR="181997DE">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Leadership is a critical enabler of these improvements, as it shapes organisational culture and influences how systems are implemented and sustained. The case study highlights a lack of proactive leadership in </w:t>
      </w:r>
      <w:r w:rsidRPr="1FB80F97" w:rsidR="05228AE2">
        <w:rPr>
          <w:rFonts w:ascii="Arial" w:hAnsi="Arial" w:eastAsia="Arial" w:cs="Arial" w:asciiTheme="minorAscii" w:hAnsiTheme="minorAscii" w:eastAsiaTheme="minorAscii" w:cstheme="minorAscii"/>
          <w:noProof w:val="0"/>
          <w:sz w:val="22"/>
          <w:szCs w:val="22"/>
          <w:lang w:val="en-GB"/>
        </w:rPr>
        <w:t>anticipating</w:t>
      </w:r>
      <w:r w:rsidRPr="1FB80F97" w:rsidR="05228AE2">
        <w:rPr>
          <w:rFonts w:ascii="Arial" w:hAnsi="Arial" w:eastAsia="Arial" w:cs="Arial" w:asciiTheme="minorAscii" w:hAnsiTheme="minorAscii" w:eastAsiaTheme="minorAscii" w:cstheme="minorAscii"/>
          <w:noProof w:val="0"/>
          <w:sz w:val="22"/>
          <w:szCs w:val="22"/>
          <w:lang w:val="en-GB"/>
        </w:rPr>
        <w:t xml:space="preserve"> and mitigating risks. Transformational leadership, with its emphasis on vision, engagement, and cultural change, could play a key role in fostering a safety-oriented environment. Leaders must actively promote psychological safety, enabling staff to speak up about concerns without fear of blame or retribution.</w:t>
      </w:r>
      <w:r w:rsidRPr="1FB80F97" w:rsidR="6751EDB1">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At the same time, transactional leadership </w:t>
      </w:r>
      <w:r w:rsidRPr="1FB80F97" w:rsidR="05228AE2">
        <w:rPr>
          <w:rFonts w:ascii="Arial" w:hAnsi="Arial" w:eastAsia="Arial" w:cs="Arial" w:asciiTheme="minorAscii" w:hAnsiTheme="minorAscii" w:eastAsiaTheme="minorAscii" w:cstheme="minorAscii"/>
          <w:noProof w:val="0"/>
          <w:sz w:val="22"/>
          <w:szCs w:val="22"/>
          <w:lang w:val="en-GB"/>
        </w:rPr>
        <w:t>remains</w:t>
      </w:r>
      <w:r w:rsidRPr="1FB80F97" w:rsidR="05228AE2">
        <w:rPr>
          <w:rFonts w:ascii="Arial" w:hAnsi="Arial" w:eastAsia="Arial" w:cs="Arial" w:asciiTheme="minorAscii" w:hAnsiTheme="minorAscii" w:eastAsiaTheme="minorAscii" w:cstheme="minorAscii"/>
          <w:noProof w:val="0"/>
          <w:sz w:val="22"/>
          <w:szCs w:val="22"/>
          <w:lang w:val="en-GB"/>
        </w:rPr>
        <w:t xml:space="preserve"> important in ensuring compliance with established protocols. For high-risk processes such as medication management, clear expectations and consistent enforcement of rules are essential. However, these approaches must be balanced, as excessive reliance on compliance alone can discourage critical thinking and reduce staff engagement. A more integrated leadership approach, combining transformational, transactional, and situational elements, is therefore </w:t>
      </w:r>
      <w:r w:rsidRPr="1FB80F97" w:rsidR="05228AE2">
        <w:rPr>
          <w:rFonts w:ascii="Arial" w:hAnsi="Arial" w:eastAsia="Arial" w:cs="Arial" w:asciiTheme="minorAscii" w:hAnsiTheme="minorAscii" w:eastAsiaTheme="minorAscii" w:cstheme="minorAscii"/>
          <w:noProof w:val="0"/>
          <w:sz w:val="22"/>
          <w:szCs w:val="22"/>
          <w:lang w:val="en-GB"/>
        </w:rPr>
        <w:t>required</w:t>
      </w:r>
      <w:r w:rsidRPr="1FB80F97" w:rsidR="05228AE2">
        <w:rPr>
          <w:rFonts w:ascii="Arial" w:hAnsi="Arial" w:eastAsia="Arial" w:cs="Arial" w:asciiTheme="minorAscii" w:hAnsiTheme="minorAscii" w:eastAsiaTheme="minorAscii" w:cstheme="minorAscii"/>
          <w:noProof w:val="0"/>
          <w:sz w:val="22"/>
          <w:szCs w:val="22"/>
          <w:lang w:val="en-GB"/>
        </w:rPr>
        <w:t>.</w:t>
      </w:r>
    </w:p>
    <w:p w:rsidR="05228AE2" w:rsidP="1FB80F97" w:rsidRDefault="05228AE2" w14:paraId="28FED55D" w14:textId="3A78856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From a systems thinking perspective, the interaction between leadership, governance, and system design is central to understanding both the problem and potential solutions. The case </w:t>
      </w:r>
      <w:r w:rsidRPr="1FB80F97" w:rsidR="05228AE2">
        <w:rPr>
          <w:rFonts w:ascii="Arial" w:hAnsi="Arial" w:eastAsia="Arial" w:cs="Arial" w:asciiTheme="minorAscii" w:hAnsiTheme="minorAscii" w:eastAsiaTheme="minorAscii" w:cstheme="minorAscii"/>
          <w:noProof w:val="0"/>
          <w:sz w:val="22"/>
          <w:szCs w:val="22"/>
          <w:lang w:val="en-GB"/>
        </w:rPr>
        <w:t>demonstrates</w:t>
      </w:r>
      <w:r w:rsidRPr="1FB80F97" w:rsidR="05228AE2">
        <w:rPr>
          <w:rFonts w:ascii="Arial" w:hAnsi="Arial" w:eastAsia="Arial" w:cs="Arial" w:asciiTheme="minorAscii" w:hAnsiTheme="minorAscii" w:eastAsiaTheme="minorAscii" w:cstheme="minorAscii"/>
          <w:noProof w:val="0"/>
          <w:sz w:val="22"/>
          <w:szCs w:val="22"/>
          <w:lang w:val="en-GB"/>
        </w:rPr>
        <w:t xml:space="preserve"> how weaknesses in each of these areas can reinforce one another, creating conditions in which errors are more likely to occur. For example, inadequate leadership may result in poor communication and weak safety culture, which in turn undermines the effectiveness of governance mechanisms. Similarly, ineffective governance may </w:t>
      </w:r>
      <w:r w:rsidRPr="1FB80F97" w:rsidR="05228AE2">
        <w:rPr>
          <w:rFonts w:ascii="Arial" w:hAnsi="Arial" w:eastAsia="Arial" w:cs="Arial" w:asciiTheme="minorAscii" w:hAnsiTheme="minorAscii" w:eastAsiaTheme="minorAscii" w:cstheme="minorAscii"/>
          <w:noProof w:val="0"/>
          <w:sz w:val="22"/>
          <w:szCs w:val="22"/>
          <w:lang w:val="en-GB"/>
        </w:rPr>
        <w:t>fail to</w:t>
      </w:r>
      <w:r w:rsidRPr="1FB80F97" w:rsidR="05228AE2">
        <w:rPr>
          <w:rFonts w:ascii="Arial" w:hAnsi="Arial" w:eastAsia="Arial" w:cs="Arial" w:asciiTheme="minorAscii" w:hAnsiTheme="minorAscii" w:eastAsiaTheme="minorAscii" w:cstheme="minorAscii"/>
          <w:noProof w:val="0"/>
          <w:sz w:val="22"/>
          <w:szCs w:val="22"/>
          <w:lang w:val="en-GB"/>
        </w:rPr>
        <w:t xml:space="preserve"> support leaders in implementing and sustaining improvements.</w:t>
      </w:r>
    </w:p>
    <w:p w:rsidR="05228AE2" w:rsidP="1FB80F97" w:rsidRDefault="05228AE2" w14:paraId="3D5FE2EE" w14:textId="3BD6F97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An important lesson from this case is the need to move beyond a focus on individual error and instead address the underlying system conditions that contribute to failure. Reason (2000) emphasises that human error is inevitable, but its consequences can be mitigated through the design of resilient systems. In this case, the absence of robust safeguards allowed a single error to progress through multiple stages of the system without interception.</w:t>
      </w:r>
    </w:p>
    <w:p w:rsidR="05228AE2" w:rsidP="1FB80F97" w:rsidRDefault="05228AE2" w14:paraId="35BE7601" w14:textId="762E094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Another key lesson is the importance of organisational learning. The recurrence of similar incidents suggests that </w:t>
      </w:r>
      <w:r w:rsidRPr="1FB80F97" w:rsidR="05228AE2">
        <w:rPr>
          <w:rFonts w:ascii="Arial" w:hAnsi="Arial" w:eastAsia="Arial" w:cs="Arial" w:asciiTheme="minorAscii" w:hAnsiTheme="minorAscii" w:eastAsiaTheme="minorAscii" w:cstheme="minorAscii"/>
          <w:noProof w:val="0"/>
          <w:sz w:val="22"/>
          <w:szCs w:val="22"/>
          <w:lang w:val="en-GB"/>
        </w:rPr>
        <w:t>previous</w:t>
      </w:r>
      <w:r w:rsidRPr="1FB80F97" w:rsidR="05228AE2">
        <w:rPr>
          <w:rFonts w:ascii="Arial" w:hAnsi="Arial" w:eastAsia="Arial" w:cs="Arial" w:asciiTheme="minorAscii" w:hAnsiTheme="minorAscii" w:eastAsiaTheme="minorAscii" w:cstheme="minorAscii"/>
          <w:noProof w:val="0"/>
          <w:sz w:val="22"/>
          <w:szCs w:val="22"/>
          <w:lang w:val="en-GB"/>
        </w:rPr>
        <w:t xml:space="preserve"> errors were not effectively analysed or translated into system improvements. Learning organisations actively seek to understand the causes of failure, share insights across the system, and implement changes to prevent recurrence (Senge, 2006). This requires not only effective data collection and analysis but also leadership commitment to continuous improvement.</w:t>
      </w:r>
      <w:r w:rsidRPr="1FB80F97" w:rsidR="676A13BB">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The integration of centralised and decentralised approaches is also critical. Centralised policies must be supported by effective local implementation, while decentralised autonomy must be accompanied by strong accountability and oversight. In the absence of such integration, systems become fragmented, increasing the risk of error. This case highlights the need for better alignment between national directives and local practice, supported by clear communication and shared responsibility.</w:t>
      </w:r>
      <w:r w:rsidRPr="1FB80F97" w:rsidR="7C1237E6">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Finally, the use of data is essential in driving improvement and ensuring accountability. Healthcare organisations must utilise performance data, incident reports, and audit findings to </w:t>
      </w:r>
      <w:r w:rsidRPr="1FB80F97" w:rsidR="05228AE2">
        <w:rPr>
          <w:rFonts w:ascii="Arial" w:hAnsi="Arial" w:eastAsia="Arial" w:cs="Arial" w:asciiTheme="minorAscii" w:hAnsiTheme="minorAscii" w:eastAsiaTheme="minorAscii" w:cstheme="minorAscii"/>
          <w:noProof w:val="0"/>
          <w:sz w:val="22"/>
          <w:szCs w:val="22"/>
          <w:lang w:val="en-GB"/>
        </w:rPr>
        <w:t>identify</w:t>
      </w:r>
      <w:r w:rsidRPr="1FB80F97" w:rsidR="05228AE2">
        <w:rPr>
          <w:rFonts w:ascii="Arial" w:hAnsi="Arial" w:eastAsia="Arial" w:cs="Arial" w:asciiTheme="minorAscii" w:hAnsiTheme="minorAscii" w:eastAsiaTheme="minorAscii" w:cstheme="minorAscii"/>
          <w:noProof w:val="0"/>
          <w:sz w:val="22"/>
          <w:szCs w:val="22"/>
          <w:lang w:val="en-GB"/>
        </w:rPr>
        <w:t xml:space="preserve"> trends, </w:t>
      </w:r>
      <w:r w:rsidRPr="1FB80F97" w:rsidR="05228AE2">
        <w:rPr>
          <w:rFonts w:ascii="Arial" w:hAnsi="Arial" w:eastAsia="Arial" w:cs="Arial" w:asciiTheme="minorAscii" w:hAnsiTheme="minorAscii" w:eastAsiaTheme="minorAscii" w:cstheme="minorAscii"/>
          <w:noProof w:val="0"/>
          <w:sz w:val="22"/>
          <w:szCs w:val="22"/>
          <w:lang w:val="en-GB"/>
        </w:rPr>
        <w:t>monitor</w:t>
      </w:r>
      <w:r w:rsidRPr="1FB80F97" w:rsidR="05228AE2">
        <w:rPr>
          <w:rFonts w:ascii="Arial" w:hAnsi="Arial" w:eastAsia="Arial" w:cs="Arial" w:asciiTheme="minorAscii" w:hAnsiTheme="minorAscii" w:eastAsiaTheme="minorAscii" w:cstheme="minorAscii"/>
          <w:noProof w:val="0"/>
          <w:sz w:val="22"/>
          <w:szCs w:val="22"/>
          <w:lang w:val="en-GB"/>
        </w:rPr>
        <w:t xml:space="preserve"> progress, and inform decision-making. For example, tracking medication error rates and compliance with safety protocols can </w:t>
      </w:r>
      <w:r w:rsidRPr="1FB80F97" w:rsidR="05228AE2">
        <w:rPr>
          <w:rFonts w:ascii="Arial" w:hAnsi="Arial" w:eastAsia="Arial" w:cs="Arial" w:asciiTheme="minorAscii" w:hAnsiTheme="minorAscii" w:eastAsiaTheme="minorAscii" w:cstheme="minorAscii"/>
          <w:noProof w:val="0"/>
          <w:sz w:val="22"/>
          <w:szCs w:val="22"/>
          <w:lang w:val="en-GB"/>
        </w:rPr>
        <w:t>provide</w:t>
      </w:r>
      <w:r w:rsidRPr="1FB80F97" w:rsidR="05228AE2">
        <w:rPr>
          <w:rFonts w:ascii="Arial" w:hAnsi="Arial" w:eastAsia="Arial" w:cs="Arial" w:asciiTheme="minorAscii" w:hAnsiTheme="minorAscii" w:eastAsiaTheme="minorAscii" w:cstheme="minorAscii"/>
          <w:noProof w:val="0"/>
          <w:sz w:val="22"/>
          <w:szCs w:val="22"/>
          <w:lang w:val="en-GB"/>
        </w:rPr>
        <w:t xml:space="preserve"> valuable insights into system performance. However, data must be used proactively rather than retrospectively, enabling organisations to </w:t>
      </w:r>
      <w:r w:rsidRPr="1FB80F97" w:rsidR="05228AE2">
        <w:rPr>
          <w:rFonts w:ascii="Arial" w:hAnsi="Arial" w:eastAsia="Arial" w:cs="Arial" w:asciiTheme="minorAscii" w:hAnsiTheme="minorAscii" w:eastAsiaTheme="minorAscii" w:cstheme="minorAscii"/>
          <w:noProof w:val="0"/>
          <w:sz w:val="22"/>
          <w:szCs w:val="22"/>
          <w:lang w:val="en-GB"/>
        </w:rPr>
        <w:t>identify</w:t>
      </w:r>
      <w:r w:rsidRPr="1FB80F97" w:rsidR="05228AE2">
        <w:rPr>
          <w:rFonts w:ascii="Arial" w:hAnsi="Arial" w:eastAsia="Arial" w:cs="Arial" w:asciiTheme="minorAscii" w:hAnsiTheme="minorAscii" w:eastAsiaTheme="minorAscii" w:cstheme="minorAscii"/>
          <w:noProof w:val="0"/>
          <w:sz w:val="22"/>
          <w:szCs w:val="22"/>
          <w:lang w:val="en-GB"/>
        </w:rPr>
        <w:t xml:space="preserve"> risks before they result in harm.</w:t>
      </w:r>
      <w:r w:rsidRPr="1FB80F97" w:rsidR="64913490">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In conclusion, the morphine overdose case underscores the importance of adopting a comprehensive, system-wide approach to improvement. By addressing weaknesses in medication safety processes, communication, governance, and leadership, healthcare organisations can enhance their capacity to deliver safe and effective care. The lessons learned from this case are not limited to a single organisation but are applicable across healthcare systems, highlighting the need for coordinated, evidence-based strategies to reduce harm and improve outcomes.</w:t>
      </w:r>
    </w:p>
    <w:p w:rsidR="05228AE2" w:rsidP="1FB80F97" w:rsidRDefault="05228AE2" w14:paraId="0D7A9E4F" w14:textId="236180D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Recommendations</w:t>
      </w:r>
    </w:p>
    <w:p w:rsidR="05228AE2" w:rsidP="1FB80F97" w:rsidRDefault="05228AE2" w14:paraId="4AE45EF7" w14:textId="714D64E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The analysis of the morphine overdose case highlights the need for a comprehensive and system-wide approach to improvement, integrating leadership, governance, and technological interventions. The following recommendations are proposed to enhance patient safety, strengthen system performance, and prevent recurrence of similar incidents.</w:t>
      </w:r>
    </w:p>
    <w:p w:rsidR="05228AE2" w:rsidP="1FB80F97" w:rsidRDefault="05228AE2" w14:paraId="38AE0427" w14:textId="63F7C95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Firstly, it is essential to adopt a </w:t>
      </w:r>
      <w:r w:rsidRPr="1FB80F97" w:rsidR="547F9ECE">
        <w:rPr>
          <w:rFonts w:ascii="Arial" w:hAnsi="Arial" w:eastAsia="Arial" w:cs="Arial" w:asciiTheme="minorAscii" w:hAnsiTheme="minorAscii" w:eastAsiaTheme="minorAscii" w:cstheme="minorAscii"/>
          <w:noProof w:val="0"/>
          <w:sz w:val="22"/>
          <w:szCs w:val="22"/>
          <w:lang w:val="en-GB"/>
        </w:rPr>
        <w:t>transformational</w:t>
      </w:r>
      <w:r w:rsidRPr="1FB80F97" w:rsidR="05228AE2">
        <w:rPr>
          <w:rFonts w:ascii="Arial" w:hAnsi="Arial" w:eastAsia="Arial" w:cs="Arial" w:asciiTheme="minorAscii" w:hAnsiTheme="minorAscii" w:eastAsiaTheme="minorAscii" w:cstheme="minorAscii"/>
          <w:noProof w:val="0"/>
          <w:sz w:val="22"/>
          <w:szCs w:val="22"/>
          <w:lang w:val="en-GB"/>
        </w:rPr>
        <w:t xml:space="preserve"> leadership approach across healthcare organisations. Transformational leadership has been shown to improve patient safety outcomes, staff engagement, and organisational learning (Boamah et al., 2018). Leaders should actively promote a culture of safety, openness, and continuous improvement, encouraging staff to report concerns and </w:t>
      </w:r>
      <w:r w:rsidRPr="1FB80F97" w:rsidR="05228AE2">
        <w:rPr>
          <w:rFonts w:ascii="Arial" w:hAnsi="Arial" w:eastAsia="Arial" w:cs="Arial" w:asciiTheme="minorAscii" w:hAnsiTheme="minorAscii" w:eastAsiaTheme="minorAscii" w:cstheme="minorAscii"/>
          <w:noProof w:val="0"/>
          <w:sz w:val="22"/>
          <w:szCs w:val="22"/>
          <w:lang w:val="en-GB"/>
        </w:rPr>
        <w:t>participate</w:t>
      </w:r>
      <w:r w:rsidRPr="1FB80F97" w:rsidR="05228AE2">
        <w:rPr>
          <w:rFonts w:ascii="Arial" w:hAnsi="Arial" w:eastAsia="Arial" w:cs="Arial" w:asciiTheme="minorAscii" w:hAnsiTheme="minorAscii" w:eastAsiaTheme="minorAscii" w:cstheme="minorAscii"/>
          <w:noProof w:val="0"/>
          <w:sz w:val="22"/>
          <w:szCs w:val="22"/>
          <w:lang w:val="en-GB"/>
        </w:rPr>
        <w:t xml:space="preserve"> in decision-making processes. This should be supported by the development of psychological safety, where individuals feel confident to challenge decisions and highlight potential risks without fear of blame.</w:t>
      </w:r>
    </w:p>
    <w:p w:rsidR="05228AE2" w:rsidP="1FB80F97" w:rsidRDefault="05228AE2" w14:paraId="75E4DA07" w14:textId="67DB96D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Secondly, governance structures must be strengthened to ensure clearer accountability and consistent implementation of national policies. This includes reinforcing the management of high-risk medications such as RED drugs through regular audits, compliance monitoring, and clear lines of responsibility. Organisations should implement routine checks on prescribing and dispensing practices, ensuring adherence to </w:t>
      </w:r>
      <w:r w:rsidRPr="1FB80F97" w:rsidR="05228AE2">
        <w:rPr>
          <w:rFonts w:ascii="Arial" w:hAnsi="Arial" w:eastAsia="Arial" w:cs="Arial" w:asciiTheme="minorAscii" w:hAnsiTheme="minorAscii" w:eastAsiaTheme="minorAscii" w:cstheme="minorAscii"/>
          <w:noProof w:val="0"/>
          <w:sz w:val="22"/>
          <w:szCs w:val="22"/>
          <w:lang w:val="en-GB"/>
        </w:rPr>
        <w:t>established</w:t>
      </w:r>
      <w:r w:rsidRPr="1FB80F97" w:rsidR="05228AE2">
        <w:rPr>
          <w:rFonts w:ascii="Arial" w:hAnsi="Arial" w:eastAsia="Arial" w:cs="Arial" w:asciiTheme="minorAscii" w:hAnsiTheme="minorAscii" w:eastAsiaTheme="minorAscii" w:cstheme="minorAscii"/>
          <w:noProof w:val="0"/>
          <w:sz w:val="22"/>
          <w:szCs w:val="22"/>
          <w:lang w:val="en-GB"/>
        </w:rPr>
        <w:t xml:space="preserve"> guidelines. In addition, incident reporting systems should be improved to ensure </w:t>
      </w:r>
      <w:r w:rsidRPr="1FB80F97" w:rsidR="05228AE2">
        <w:rPr>
          <w:rFonts w:ascii="Arial" w:hAnsi="Arial" w:eastAsia="Arial" w:cs="Arial" w:asciiTheme="minorAscii" w:hAnsiTheme="minorAscii" w:eastAsiaTheme="minorAscii" w:cstheme="minorAscii"/>
          <w:noProof w:val="0"/>
          <w:sz w:val="22"/>
          <w:szCs w:val="22"/>
          <w:lang w:val="en-GB"/>
        </w:rPr>
        <w:t>timely</w:t>
      </w:r>
      <w:r w:rsidRPr="1FB80F97" w:rsidR="05228AE2">
        <w:rPr>
          <w:rFonts w:ascii="Arial" w:hAnsi="Arial" w:eastAsia="Arial" w:cs="Arial" w:asciiTheme="minorAscii" w:hAnsiTheme="minorAscii" w:eastAsiaTheme="minorAscii" w:cstheme="minorAscii"/>
          <w:noProof w:val="0"/>
          <w:sz w:val="22"/>
          <w:szCs w:val="22"/>
          <w:lang w:val="en-GB"/>
        </w:rPr>
        <w:t xml:space="preserve"> reporting, transparency, and effective feedback loops, enabling organisations to learn from errors and implement corrective actions promptly.</w:t>
      </w:r>
    </w:p>
    <w:p w:rsidR="05228AE2" w:rsidP="1FB80F97" w:rsidRDefault="05228AE2" w14:paraId="6BFC56A8" w14:textId="494E3B3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Thirdly, the integration of digital technologies is critical in reducing medication errors and improving system reliability. Electronic prescribing systems and barcode medication administration should be implemented across healthcare settings to minimise human error and enhance accuracy. Evidence suggests that such technologies can significantly reduce medication-related harm when effectively integrated into clinical workflows (Keers et al., 2013). However, successful implementation requires adequate staff training, ongoing support, and alignment with organisational processes.</w:t>
      </w:r>
    </w:p>
    <w:p w:rsidR="05228AE2" w:rsidP="1FB80F97" w:rsidRDefault="05228AE2" w14:paraId="58792EF2" w14:textId="49ABF48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Improving communication and teamwork is another key priority. Structured communication tools, such as SBAR, should be embedded into routine practice to standardise information exchange and reduce ambiguity. Additionally, regular multidisciplinary safety huddles should be introduced to </w:t>
      </w:r>
      <w:r w:rsidRPr="1FB80F97" w:rsidR="05228AE2">
        <w:rPr>
          <w:rFonts w:ascii="Arial" w:hAnsi="Arial" w:eastAsia="Arial" w:cs="Arial" w:asciiTheme="minorAscii" w:hAnsiTheme="minorAscii" w:eastAsiaTheme="minorAscii" w:cstheme="minorAscii"/>
          <w:noProof w:val="0"/>
          <w:sz w:val="22"/>
          <w:szCs w:val="22"/>
          <w:lang w:val="en-GB"/>
        </w:rPr>
        <w:t>facilitate</w:t>
      </w:r>
      <w:r w:rsidRPr="1FB80F97" w:rsidR="05228AE2">
        <w:rPr>
          <w:rFonts w:ascii="Arial" w:hAnsi="Arial" w:eastAsia="Arial" w:cs="Arial" w:asciiTheme="minorAscii" w:hAnsiTheme="minorAscii" w:eastAsiaTheme="minorAscii" w:cstheme="minorAscii"/>
          <w:noProof w:val="0"/>
          <w:sz w:val="22"/>
          <w:szCs w:val="22"/>
          <w:lang w:val="en-GB"/>
        </w:rPr>
        <w:t xml:space="preserve"> proactive identification of risks, enhance team collaboration, and reinforce shared accountability for patient safety. These interventions contribute to a more cohesive and responsive system.</w:t>
      </w:r>
    </w:p>
    <w:p w:rsidR="05228AE2" w:rsidP="1FB80F97" w:rsidRDefault="05228AE2" w14:paraId="778148E2" w14:textId="5EA0B28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From an efficiency perspective, both technical and allocative efficiency should be addressed. Reducing medication errors can lead to significant cost savings by preventing avoidable harm, reducing hospital admissions, and minimising resource wastage. Resources should be </w:t>
      </w:r>
      <w:r w:rsidRPr="1FB80F97" w:rsidR="05228AE2">
        <w:rPr>
          <w:rFonts w:ascii="Arial" w:hAnsi="Arial" w:eastAsia="Arial" w:cs="Arial" w:asciiTheme="minorAscii" w:hAnsiTheme="minorAscii" w:eastAsiaTheme="minorAscii" w:cstheme="minorAscii"/>
          <w:noProof w:val="0"/>
          <w:sz w:val="22"/>
          <w:szCs w:val="22"/>
          <w:lang w:val="en-GB"/>
        </w:rPr>
        <w:t>allocated</w:t>
      </w:r>
      <w:r w:rsidRPr="1FB80F97" w:rsidR="05228AE2">
        <w:rPr>
          <w:rFonts w:ascii="Arial" w:hAnsi="Arial" w:eastAsia="Arial" w:cs="Arial" w:asciiTheme="minorAscii" w:hAnsiTheme="minorAscii" w:eastAsiaTheme="minorAscii" w:cstheme="minorAscii"/>
          <w:noProof w:val="0"/>
          <w:sz w:val="22"/>
          <w:szCs w:val="22"/>
          <w:lang w:val="en-GB"/>
        </w:rPr>
        <w:t xml:space="preserve"> towards high-impact interventions, such as staff training, digital systems, and workforce support, to maximise value and improve outcomes. Workforce planning is particularly important, as adequate staffing levels and skill mix are essential for </w:t>
      </w:r>
      <w:r w:rsidRPr="1FB80F97" w:rsidR="05228AE2">
        <w:rPr>
          <w:rFonts w:ascii="Arial" w:hAnsi="Arial" w:eastAsia="Arial" w:cs="Arial" w:asciiTheme="minorAscii" w:hAnsiTheme="minorAscii" w:eastAsiaTheme="minorAscii" w:cstheme="minorAscii"/>
          <w:noProof w:val="0"/>
          <w:sz w:val="22"/>
          <w:szCs w:val="22"/>
          <w:lang w:val="en-GB"/>
        </w:rPr>
        <w:t>maintaining</w:t>
      </w:r>
      <w:r w:rsidRPr="1FB80F97" w:rsidR="05228AE2">
        <w:rPr>
          <w:rFonts w:ascii="Arial" w:hAnsi="Arial" w:eastAsia="Arial" w:cs="Arial" w:asciiTheme="minorAscii" w:hAnsiTheme="minorAscii" w:eastAsiaTheme="minorAscii" w:cstheme="minorAscii"/>
          <w:noProof w:val="0"/>
          <w:sz w:val="22"/>
          <w:szCs w:val="22"/>
          <w:lang w:val="en-GB"/>
        </w:rPr>
        <w:t xml:space="preserve"> safe and effective care delivery.</w:t>
      </w:r>
    </w:p>
    <w:p w:rsidR="05228AE2" w:rsidP="1FB80F97" w:rsidRDefault="05228AE2" w14:paraId="63023DF8" w14:textId="1C461A5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Continuous learning and stakeholder engagement must also be prioritised. Healthcare organisations should adopt a learning systems approach, using data from incident reports, audits, and performance metrics to inform decision-making and drive improvement. Patients and families should be actively involved in safety initiatives, as their perspectives can </w:t>
      </w:r>
      <w:r w:rsidRPr="1FB80F97" w:rsidR="05228AE2">
        <w:rPr>
          <w:rFonts w:ascii="Arial" w:hAnsi="Arial" w:eastAsia="Arial" w:cs="Arial" w:asciiTheme="minorAscii" w:hAnsiTheme="minorAscii" w:eastAsiaTheme="minorAscii" w:cstheme="minorAscii"/>
          <w:noProof w:val="0"/>
          <w:sz w:val="22"/>
          <w:szCs w:val="22"/>
          <w:lang w:val="en-GB"/>
        </w:rPr>
        <w:t>provide</w:t>
      </w:r>
      <w:r w:rsidRPr="1FB80F97" w:rsidR="05228AE2">
        <w:rPr>
          <w:rFonts w:ascii="Arial" w:hAnsi="Arial" w:eastAsia="Arial" w:cs="Arial" w:asciiTheme="minorAscii" w:hAnsiTheme="minorAscii" w:eastAsiaTheme="minorAscii" w:cstheme="minorAscii"/>
          <w:noProof w:val="0"/>
          <w:sz w:val="22"/>
          <w:szCs w:val="22"/>
          <w:lang w:val="en-GB"/>
        </w:rPr>
        <w:t xml:space="preserve"> valuable insights into system weaknesses and opportunities for improvement. Co-production of services, where patients collaborate with healthcare professionals in designing and evaluating care processes, can enhance both quality and safety.</w:t>
      </w:r>
    </w:p>
    <w:p w:rsidR="05228AE2" w:rsidP="1FB80F97" w:rsidRDefault="05228AE2" w14:paraId="265C2865" w14:textId="1343BF1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Finally, greater alignment between centralised policies and decentralised practice is </w:t>
      </w:r>
      <w:r w:rsidRPr="1FB80F97" w:rsidR="05228AE2">
        <w:rPr>
          <w:rFonts w:ascii="Arial" w:hAnsi="Arial" w:eastAsia="Arial" w:cs="Arial" w:asciiTheme="minorAscii" w:hAnsiTheme="minorAscii" w:eastAsiaTheme="minorAscii" w:cstheme="minorAscii"/>
          <w:noProof w:val="0"/>
          <w:sz w:val="22"/>
          <w:szCs w:val="22"/>
          <w:lang w:val="en-GB"/>
        </w:rPr>
        <w:t>required</w:t>
      </w:r>
      <w:r w:rsidRPr="1FB80F97" w:rsidR="05228AE2">
        <w:rPr>
          <w:rFonts w:ascii="Arial" w:hAnsi="Arial" w:eastAsia="Arial" w:cs="Arial" w:asciiTheme="minorAscii" w:hAnsiTheme="minorAscii" w:eastAsiaTheme="minorAscii" w:cstheme="minorAscii"/>
          <w:noProof w:val="0"/>
          <w:sz w:val="22"/>
          <w:szCs w:val="22"/>
          <w:lang w:val="en-GB"/>
        </w:rPr>
        <w:t xml:space="preserve">. National guidelines must be supported by effective local implementation, with clear communication, training, and monitoring mechanisms. At the same time, local organisations should be empowered to adapt these policies to their specific contexts while </w:t>
      </w:r>
      <w:r w:rsidRPr="1FB80F97" w:rsidR="05228AE2">
        <w:rPr>
          <w:rFonts w:ascii="Arial" w:hAnsi="Arial" w:eastAsia="Arial" w:cs="Arial" w:asciiTheme="minorAscii" w:hAnsiTheme="minorAscii" w:eastAsiaTheme="minorAscii" w:cstheme="minorAscii"/>
          <w:noProof w:val="0"/>
          <w:sz w:val="22"/>
          <w:szCs w:val="22"/>
          <w:lang w:val="en-GB"/>
        </w:rPr>
        <w:t>maintaining</w:t>
      </w:r>
      <w:r w:rsidRPr="1FB80F97" w:rsidR="05228AE2">
        <w:rPr>
          <w:rFonts w:ascii="Arial" w:hAnsi="Arial" w:eastAsia="Arial" w:cs="Arial" w:asciiTheme="minorAscii" w:hAnsiTheme="minorAscii" w:eastAsiaTheme="minorAscii" w:cstheme="minorAscii"/>
          <w:noProof w:val="0"/>
          <w:sz w:val="22"/>
          <w:szCs w:val="22"/>
          <w:lang w:val="en-GB"/>
        </w:rPr>
        <w:t xml:space="preserve"> accountability for outcomes. This integrated approach will ensure that the strengths of both centralisation and decentralisation are utilised effectively.</w:t>
      </w:r>
    </w:p>
    <w:p w:rsidR="05228AE2" w:rsidP="1FB80F97" w:rsidRDefault="05228AE2" w14:paraId="4DD8A547" w14:textId="0C772AC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In summary, improving patient safety in this context requires a multifaceted strategy that combines leadership development, strengthened governance, technological innovation, and enhanced communication. By adopting these recommendations, healthcare organisations can build more resilient systems, improve performance, and reduce the likelihood of similar incidents in the future.</w:t>
      </w:r>
    </w:p>
    <w:p w:rsidR="1FB80F97" w:rsidP="1FB80F97" w:rsidRDefault="1FB80F97" w14:paraId="03407F5E" w14:textId="7A906DC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137A0257" w14:textId="01979A6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1CC9449C" w14:textId="73C5C38A">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3DA88BA4" w14:textId="1661163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6DB77696" w14:textId="19CE0E0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27DFF2E3" w14:textId="0D4B974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1FE4833E" w14:textId="07F4959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Conclusion</w:t>
      </w:r>
    </w:p>
    <w:p w:rsidR="05228AE2" w:rsidP="1FB80F97" w:rsidRDefault="05228AE2" w14:paraId="424531B0" w14:textId="5D5878F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This report has critically analysed the morphine overdose incident involving a four-week-old infant, </w:t>
      </w:r>
      <w:r w:rsidRPr="1FB80F97" w:rsidR="05228AE2">
        <w:rPr>
          <w:rFonts w:ascii="Arial" w:hAnsi="Arial" w:eastAsia="Arial" w:cs="Arial" w:asciiTheme="minorAscii" w:hAnsiTheme="minorAscii" w:eastAsiaTheme="minorAscii" w:cstheme="minorAscii"/>
          <w:noProof w:val="0"/>
          <w:sz w:val="22"/>
          <w:szCs w:val="22"/>
          <w:lang w:val="en-GB"/>
        </w:rPr>
        <w:t>demonstrating</w:t>
      </w:r>
      <w:r w:rsidRPr="1FB80F97" w:rsidR="05228AE2">
        <w:rPr>
          <w:rFonts w:ascii="Arial" w:hAnsi="Arial" w:eastAsia="Arial" w:cs="Arial" w:asciiTheme="minorAscii" w:hAnsiTheme="minorAscii" w:eastAsiaTheme="minorAscii" w:cstheme="minorAscii"/>
          <w:noProof w:val="0"/>
          <w:sz w:val="22"/>
          <w:szCs w:val="22"/>
          <w:lang w:val="en-GB"/>
        </w:rPr>
        <w:t xml:space="preserve"> how failures in leadership, governance, and system design can lead to significant patient harm. By applying systems thinking, the analysis has shown that the incident was not the result of a single error but rather a series of interconnected failures across prescribing, dispensing, and organisational processes.</w:t>
      </w:r>
    </w:p>
    <w:p w:rsidR="05228AE2" w:rsidP="1FB80F97" w:rsidRDefault="05228AE2" w14:paraId="6C0453E4" w14:textId="2B69188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The findings highlight the importance of effective leadership in shaping organisational culture, promoting patient safety, and ensuring the successful implementation of policies. The absence of proactive, adaptive, and inclusive leadership contributed to a system that was unable to </w:t>
      </w:r>
      <w:r w:rsidRPr="1FB80F97" w:rsidR="05228AE2">
        <w:rPr>
          <w:rFonts w:ascii="Arial" w:hAnsi="Arial" w:eastAsia="Arial" w:cs="Arial" w:asciiTheme="minorAscii" w:hAnsiTheme="minorAscii" w:eastAsiaTheme="minorAscii" w:cstheme="minorAscii"/>
          <w:noProof w:val="0"/>
          <w:sz w:val="22"/>
          <w:szCs w:val="22"/>
          <w:lang w:val="en-GB"/>
        </w:rPr>
        <w:t>anticipate</w:t>
      </w:r>
      <w:r w:rsidRPr="1FB80F97" w:rsidR="05228AE2">
        <w:rPr>
          <w:rFonts w:ascii="Arial" w:hAnsi="Arial" w:eastAsia="Arial" w:cs="Arial" w:asciiTheme="minorAscii" w:hAnsiTheme="minorAscii" w:eastAsiaTheme="minorAscii" w:cstheme="minorAscii"/>
          <w:noProof w:val="0"/>
          <w:sz w:val="22"/>
          <w:szCs w:val="22"/>
          <w:lang w:val="en-GB"/>
        </w:rPr>
        <w:t xml:space="preserve"> and prevent risk. Similarly, the analysis of centralisation and decentralisation revealed that while national policies provided a framework for safe practice, their effectiveness was undermined by inconsistent local implementation and weak governance structures.</w:t>
      </w:r>
    </w:p>
    <w:p w:rsidR="05228AE2" w:rsidP="1FB80F97" w:rsidRDefault="05228AE2" w14:paraId="681E897D" w14:textId="08B683B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The application of leadership theories further </w:t>
      </w:r>
      <w:r w:rsidRPr="1FB80F97" w:rsidR="05228AE2">
        <w:rPr>
          <w:rFonts w:ascii="Arial" w:hAnsi="Arial" w:eastAsia="Arial" w:cs="Arial" w:asciiTheme="minorAscii" w:hAnsiTheme="minorAscii" w:eastAsiaTheme="minorAscii" w:cstheme="minorAscii"/>
          <w:noProof w:val="0"/>
          <w:sz w:val="22"/>
          <w:szCs w:val="22"/>
          <w:lang w:val="en-GB"/>
        </w:rPr>
        <w:t>demonstrated</w:t>
      </w:r>
      <w:r w:rsidRPr="1FB80F97" w:rsidR="05228AE2">
        <w:rPr>
          <w:rFonts w:ascii="Arial" w:hAnsi="Arial" w:eastAsia="Arial" w:cs="Arial" w:asciiTheme="minorAscii" w:hAnsiTheme="minorAscii" w:eastAsiaTheme="minorAscii" w:cstheme="minorAscii"/>
          <w:noProof w:val="0"/>
          <w:sz w:val="22"/>
          <w:szCs w:val="22"/>
          <w:lang w:val="en-GB"/>
        </w:rPr>
        <w:t xml:space="preserve"> that a combination of transformational, transactional, and situational leadership approaches is necessary to address the complexities of healthcare systems. Leadership must not only ensure compliance with established protocols but also foster a culture of learning, communication, and continuous improvement. Without such integration, systems </w:t>
      </w:r>
      <w:r w:rsidRPr="1FB80F97" w:rsidR="05228AE2">
        <w:rPr>
          <w:rFonts w:ascii="Arial" w:hAnsi="Arial" w:eastAsia="Arial" w:cs="Arial" w:asciiTheme="minorAscii" w:hAnsiTheme="minorAscii" w:eastAsiaTheme="minorAscii" w:cstheme="minorAscii"/>
          <w:noProof w:val="0"/>
          <w:sz w:val="22"/>
          <w:szCs w:val="22"/>
          <w:lang w:val="en-GB"/>
        </w:rPr>
        <w:t>remain</w:t>
      </w:r>
      <w:r w:rsidRPr="1FB80F97" w:rsidR="05228AE2">
        <w:rPr>
          <w:rFonts w:ascii="Arial" w:hAnsi="Arial" w:eastAsia="Arial" w:cs="Arial" w:asciiTheme="minorAscii" w:hAnsiTheme="minorAscii" w:eastAsiaTheme="minorAscii" w:cstheme="minorAscii"/>
          <w:noProof w:val="0"/>
          <w:sz w:val="22"/>
          <w:szCs w:val="22"/>
          <w:lang w:val="en-GB"/>
        </w:rPr>
        <w:t xml:space="preserve"> vulnerable to recurring failures.</w:t>
      </w:r>
    </w:p>
    <w:p w:rsidR="05228AE2" w:rsidP="1FB80F97" w:rsidRDefault="05228AE2" w14:paraId="451FC200" w14:textId="38F3864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Importantly, this report has emphasised the value of systems thinking in understanding and addressing healthcare challenges. By focusing on the interactions between people, processes, and structures, systems thinking enables a more comprehensive approach to improvement, moving beyond individual blame towards sustainable system redesign.</w:t>
      </w:r>
    </w:p>
    <w:p w:rsidR="05228AE2" w:rsidP="1FB80F97" w:rsidRDefault="05228AE2" w14:paraId="489C81A2" w14:textId="53775FF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In conclusion, improving patient safety and organisational performance requires coordinated action across leadership, governance, and system design. The lessons drawn from this case are applicable across healthcare systems, underscoring the need for evidence-based strategies, strong leadership, and continuous learning to drive meaningful and lasting change.</w:t>
      </w:r>
    </w:p>
    <w:p w:rsidR="1FB80F97" w:rsidP="1FB80F97" w:rsidRDefault="1FB80F97" w14:paraId="256F5937" w14:textId="6CC5DBB9">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36653322" w14:textId="4AFE671A">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729A56E7" w14:textId="77EEED0E">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1E2AA02D" w14:textId="1294A4D0">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References</w:t>
      </w:r>
    </w:p>
    <w:p w:rsidR="1604F1DD" w:rsidP="1FB80F97" w:rsidRDefault="1604F1DD" w14:paraId="715D49C1" w14:textId="7D38B3F2">
      <w:pPr>
        <w:spacing w:before="240" w:beforeAutospacing="off" w:after="240" w:afterAutospacing="off"/>
      </w:pPr>
      <w:r w:rsidRPr="1FB80F97" w:rsidR="1604F1DD">
        <w:rPr>
          <w:rFonts w:ascii="Arial" w:hAnsi="Arial" w:eastAsia="Arial" w:cs="Arial"/>
          <w:noProof w:val="0"/>
          <w:sz w:val="22"/>
          <w:szCs w:val="22"/>
          <w:lang w:val="en-GB"/>
        </w:rPr>
        <w:t xml:space="preserve">Alsulami, Z., Conroy, S. and Choonara, I. (2012) ‘Double checking the administration of medicines: what is the evidence?’, </w:t>
      </w:r>
      <w:r w:rsidRPr="1FB80F97" w:rsidR="1604F1DD">
        <w:rPr>
          <w:rFonts w:ascii="Arial" w:hAnsi="Arial" w:eastAsia="Arial" w:cs="Arial"/>
          <w:i w:val="1"/>
          <w:iCs w:val="1"/>
          <w:noProof w:val="0"/>
          <w:sz w:val="22"/>
          <w:szCs w:val="22"/>
          <w:lang w:val="en-GB"/>
        </w:rPr>
        <w:t>Archives of Disease in Childhood</w:t>
      </w:r>
      <w:r w:rsidRPr="1FB80F97" w:rsidR="1604F1DD">
        <w:rPr>
          <w:rFonts w:ascii="Arial" w:hAnsi="Arial" w:eastAsia="Arial" w:cs="Arial"/>
          <w:noProof w:val="0"/>
          <w:sz w:val="22"/>
          <w:szCs w:val="22"/>
          <w:lang w:val="en-GB"/>
        </w:rPr>
        <w:t>, 97(9), pp. 833–837.</w:t>
      </w:r>
    </w:p>
    <w:p w:rsidR="1604F1DD" w:rsidP="1FB80F97" w:rsidRDefault="1604F1DD" w14:paraId="7C08EF13" w14:textId="32FD4E18">
      <w:pPr>
        <w:spacing w:before="240" w:beforeAutospacing="off" w:after="240" w:afterAutospacing="off"/>
      </w:pPr>
      <w:r w:rsidRPr="1FB80F97" w:rsidR="1604F1DD">
        <w:rPr>
          <w:rFonts w:ascii="Arial" w:hAnsi="Arial" w:eastAsia="Arial" w:cs="Arial"/>
          <w:noProof w:val="0"/>
          <w:sz w:val="22"/>
          <w:szCs w:val="22"/>
          <w:lang w:val="en-GB"/>
        </w:rPr>
        <w:t xml:space="preserve">Ashcroft, D.M. et al. (2015) ‘Prospective study of dispensing errors in community pharmacies’,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24(11), pp. 728–735.</w:t>
      </w:r>
    </w:p>
    <w:p w:rsidR="1604F1DD" w:rsidP="1FB80F97" w:rsidRDefault="1604F1DD" w14:paraId="2F78A572" w14:textId="2DBAFCFB">
      <w:pPr>
        <w:spacing w:before="240" w:beforeAutospacing="off" w:after="240" w:afterAutospacing="off"/>
      </w:pPr>
      <w:r w:rsidRPr="1FB80F97" w:rsidR="1604F1DD">
        <w:rPr>
          <w:rFonts w:ascii="Arial" w:hAnsi="Arial" w:eastAsia="Arial" w:cs="Arial"/>
          <w:noProof w:val="0"/>
          <w:sz w:val="22"/>
          <w:szCs w:val="22"/>
          <w:lang w:val="en-GB"/>
        </w:rPr>
        <w:t xml:space="preserve">Bass, B.M. and Riggio, R.E. (2006) </w:t>
      </w:r>
      <w:r w:rsidRPr="1FB80F97" w:rsidR="1604F1DD">
        <w:rPr>
          <w:rFonts w:ascii="Arial" w:hAnsi="Arial" w:eastAsia="Arial" w:cs="Arial"/>
          <w:i w:val="1"/>
          <w:iCs w:val="1"/>
          <w:noProof w:val="0"/>
          <w:sz w:val="22"/>
          <w:szCs w:val="22"/>
          <w:lang w:val="en-GB"/>
        </w:rPr>
        <w:t>Transformational Leadership</w:t>
      </w:r>
      <w:r w:rsidRPr="1FB80F97" w:rsidR="1604F1DD">
        <w:rPr>
          <w:rFonts w:ascii="Arial" w:hAnsi="Arial" w:eastAsia="Arial" w:cs="Arial"/>
          <w:noProof w:val="0"/>
          <w:sz w:val="22"/>
          <w:szCs w:val="22"/>
          <w:lang w:val="en-GB"/>
        </w:rPr>
        <w:t>. 2nd edn. Mahwah, NJ: Lawrence Erlbaum.</w:t>
      </w:r>
    </w:p>
    <w:p w:rsidR="1604F1DD" w:rsidP="1FB80F97" w:rsidRDefault="1604F1DD" w14:paraId="5BEA9DD1" w14:textId="018DA791">
      <w:pPr>
        <w:spacing w:before="240" w:beforeAutospacing="off" w:after="240" w:afterAutospacing="off"/>
      </w:pPr>
      <w:r w:rsidRPr="1FB80F97" w:rsidR="1604F1DD">
        <w:rPr>
          <w:rFonts w:ascii="Arial" w:hAnsi="Arial" w:eastAsia="Arial" w:cs="Arial"/>
          <w:noProof w:val="0"/>
          <w:sz w:val="22"/>
          <w:szCs w:val="22"/>
          <w:lang w:val="en-GB"/>
        </w:rPr>
        <w:t xml:space="preserve">Boamah, S.A. et al. (2018) ‘Effect of transformational leadership on job satisfaction and patient safety outcomes’, </w:t>
      </w:r>
      <w:r w:rsidRPr="1FB80F97" w:rsidR="1604F1DD">
        <w:rPr>
          <w:rFonts w:ascii="Arial" w:hAnsi="Arial" w:eastAsia="Arial" w:cs="Arial"/>
          <w:i w:val="1"/>
          <w:iCs w:val="1"/>
          <w:noProof w:val="0"/>
          <w:sz w:val="22"/>
          <w:szCs w:val="22"/>
          <w:lang w:val="en-GB"/>
        </w:rPr>
        <w:t>Nursing Outlook</w:t>
      </w:r>
      <w:r w:rsidRPr="1FB80F97" w:rsidR="1604F1DD">
        <w:rPr>
          <w:rFonts w:ascii="Arial" w:hAnsi="Arial" w:eastAsia="Arial" w:cs="Arial"/>
          <w:noProof w:val="0"/>
          <w:sz w:val="22"/>
          <w:szCs w:val="22"/>
          <w:lang w:val="en-GB"/>
        </w:rPr>
        <w:t>, 66(2), pp. 180–189.</w:t>
      </w:r>
    </w:p>
    <w:p w:rsidR="1604F1DD" w:rsidP="1FB80F97" w:rsidRDefault="1604F1DD" w14:paraId="211B1204" w14:textId="2929A070">
      <w:pPr>
        <w:spacing w:before="240" w:beforeAutospacing="off" w:after="240" w:afterAutospacing="off"/>
      </w:pPr>
      <w:r w:rsidRPr="1FB80F97" w:rsidR="1604F1DD">
        <w:rPr>
          <w:rFonts w:ascii="Arial" w:hAnsi="Arial" w:eastAsia="Arial" w:cs="Arial"/>
          <w:noProof w:val="0"/>
          <w:sz w:val="22"/>
          <w:szCs w:val="22"/>
          <w:lang w:val="en-GB"/>
        </w:rPr>
        <w:t xml:space="preserve">Care Quality Commission (CQC) (2023) </w:t>
      </w:r>
      <w:r w:rsidRPr="1FB80F97" w:rsidR="1604F1DD">
        <w:rPr>
          <w:rFonts w:ascii="Arial" w:hAnsi="Arial" w:eastAsia="Arial" w:cs="Arial"/>
          <w:i w:val="1"/>
          <w:iCs w:val="1"/>
          <w:noProof w:val="0"/>
          <w:sz w:val="22"/>
          <w:szCs w:val="22"/>
          <w:lang w:val="en-GB"/>
        </w:rPr>
        <w:t>State of Care Report</w:t>
      </w:r>
      <w:r w:rsidRPr="1FB80F97" w:rsidR="1604F1DD">
        <w:rPr>
          <w:rFonts w:ascii="Arial" w:hAnsi="Arial" w:eastAsia="Arial" w:cs="Arial"/>
          <w:noProof w:val="0"/>
          <w:sz w:val="22"/>
          <w:szCs w:val="22"/>
          <w:lang w:val="en-GB"/>
        </w:rPr>
        <w:t>. London: CQC.</w:t>
      </w:r>
    </w:p>
    <w:p w:rsidR="1604F1DD" w:rsidP="1FB80F97" w:rsidRDefault="1604F1DD" w14:paraId="50B8ECDB" w14:textId="499D8976">
      <w:pPr>
        <w:spacing w:before="240" w:beforeAutospacing="off" w:after="240" w:afterAutospacing="off"/>
      </w:pPr>
      <w:r w:rsidRPr="1FB80F97" w:rsidR="1604F1DD">
        <w:rPr>
          <w:rFonts w:ascii="Arial" w:hAnsi="Arial" w:eastAsia="Arial" w:cs="Arial"/>
          <w:noProof w:val="0"/>
          <w:sz w:val="22"/>
          <w:szCs w:val="22"/>
          <w:lang w:val="en-GB"/>
        </w:rPr>
        <w:t xml:space="preserve">Department of Health and Social Care (2019) </w:t>
      </w:r>
      <w:r w:rsidRPr="1FB80F97" w:rsidR="1604F1DD">
        <w:rPr>
          <w:rFonts w:ascii="Arial" w:hAnsi="Arial" w:eastAsia="Arial" w:cs="Arial"/>
          <w:i w:val="1"/>
          <w:iCs w:val="1"/>
          <w:noProof w:val="0"/>
          <w:sz w:val="22"/>
          <w:szCs w:val="22"/>
          <w:lang w:val="en-GB"/>
        </w:rPr>
        <w:t>The NHS Patient Safety Strategy</w:t>
      </w:r>
      <w:r w:rsidRPr="1FB80F97" w:rsidR="1604F1DD">
        <w:rPr>
          <w:rFonts w:ascii="Arial" w:hAnsi="Arial" w:eastAsia="Arial" w:cs="Arial"/>
          <w:noProof w:val="0"/>
          <w:sz w:val="22"/>
          <w:szCs w:val="22"/>
          <w:lang w:val="en-GB"/>
        </w:rPr>
        <w:t>. London: DHSC.</w:t>
      </w:r>
    </w:p>
    <w:p w:rsidR="1604F1DD" w:rsidP="1FB80F97" w:rsidRDefault="1604F1DD" w14:paraId="2124F2E8" w14:textId="5E1E1B87">
      <w:pPr>
        <w:spacing w:before="240" w:beforeAutospacing="off" w:after="240" w:afterAutospacing="off"/>
      </w:pPr>
      <w:r w:rsidRPr="1FB80F97" w:rsidR="1604F1DD">
        <w:rPr>
          <w:rFonts w:ascii="Arial" w:hAnsi="Arial" w:eastAsia="Arial" w:cs="Arial"/>
          <w:noProof w:val="0"/>
          <w:sz w:val="22"/>
          <w:szCs w:val="22"/>
          <w:lang w:val="en-GB"/>
        </w:rPr>
        <w:t xml:space="preserve">Dixon-Woods, M. et al. (2014) ‘Culture and behaviour in the NHS’,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23(2), pp. 106–115.</w:t>
      </w:r>
    </w:p>
    <w:p w:rsidR="1604F1DD" w:rsidP="1FB80F97" w:rsidRDefault="1604F1DD" w14:paraId="4B0AAD70" w14:textId="04551AEB">
      <w:pPr>
        <w:spacing w:before="240" w:beforeAutospacing="off" w:after="240" w:afterAutospacing="off"/>
      </w:pPr>
      <w:r w:rsidRPr="1FB80F97" w:rsidR="1604F1DD">
        <w:rPr>
          <w:rFonts w:ascii="Arial" w:hAnsi="Arial" w:eastAsia="Arial" w:cs="Arial"/>
          <w:noProof w:val="0"/>
          <w:sz w:val="22"/>
          <w:szCs w:val="22"/>
          <w:lang w:val="en-GB"/>
        </w:rPr>
        <w:t xml:space="preserve">Edmondson, A.C. (2018) </w:t>
      </w:r>
      <w:r w:rsidRPr="1FB80F97" w:rsidR="1604F1DD">
        <w:rPr>
          <w:rFonts w:ascii="Arial" w:hAnsi="Arial" w:eastAsia="Arial" w:cs="Arial"/>
          <w:i w:val="1"/>
          <w:iCs w:val="1"/>
          <w:noProof w:val="0"/>
          <w:sz w:val="22"/>
          <w:szCs w:val="22"/>
          <w:lang w:val="en-GB"/>
        </w:rPr>
        <w:t>The Fearless Organization: Creating Psychological Safety in the Workplace</w:t>
      </w:r>
      <w:r w:rsidRPr="1FB80F97" w:rsidR="1604F1DD">
        <w:rPr>
          <w:rFonts w:ascii="Arial" w:hAnsi="Arial" w:eastAsia="Arial" w:cs="Arial"/>
          <w:noProof w:val="0"/>
          <w:sz w:val="22"/>
          <w:szCs w:val="22"/>
          <w:lang w:val="en-GB"/>
        </w:rPr>
        <w:t>. Hoboken: Wiley.</w:t>
      </w:r>
    </w:p>
    <w:p w:rsidR="1604F1DD" w:rsidP="1FB80F97" w:rsidRDefault="1604F1DD" w14:paraId="6C5F87E4" w14:textId="52ADE0C0">
      <w:pPr>
        <w:spacing w:before="240" w:beforeAutospacing="off" w:after="240" w:afterAutospacing="off"/>
      </w:pPr>
      <w:r w:rsidRPr="1FB80F97" w:rsidR="1604F1DD">
        <w:rPr>
          <w:rFonts w:ascii="Arial" w:hAnsi="Arial" w:eastAsia="Arial" w:cs="Arial"/>
          <w:noProof w:val="0"/>
          <w:sz w:val="22"/>
          <w:szCs w:val="22"/>
          <w:lang w:val="en-GB"/>
        </w:rPr>
        <w:t xml:space="preserve">Elliott, R.A. et al. (2018) ‘Prevalence and economic burden of medication errors’,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27(9), pp. 734–740.</w:t>
      </w:r>
    </w:p>
    <w:p w:rsidR="1604F1DD" w:rsidP="1FB80F97" w:rsidRDefault="1604F1DD" w14:paraId="2DE5AC5C" w14:textId="74931564">
      <w:pPr>
        <w:spacing w:before="240" w:beforeAutospacing="off" w:after="240" w:afterAutospacing="off"/>
      </w:pPr>
      <w:r w:rsidRPr="1FB80F97" w:rsidR="1604F1DD">
        <w:rPr>
          <w:rFonts w:ascii="Arial" w:hAnsi="Arial" w:eastAsia="Arial" w:cs="Arial"/>
          <w:noProof w:val="0"/>
          <w:sz w:val="22"/>
          <w:szCs w:val="22"/>
          <w:lang w:val="en-GB"/>
        </w:rPr>
        <w:t xml:space="preserve">Fiedler, F.E. (1967) </w:t>
      </w:r>
      <w:r w:rsidRPr="1FB80F97" w:rsidR="1604F1DD">
        <w:rPr>
          <w:rFonts w:ascii="Arial" w:hAnsi="Arial" w:eastAsia="Arial" w:cs="Arial"/>
          <w:i w:val="1"/>
          <w:iCs w:val="1"/>
          <w:noProof w:val="0"/>
          <w:sz w:val="22"/>
          <w:szCs w:val="22"/>
          <w:lang w:val="en-GB"/>
        </w:rPr>
        <w:t>A Theory of Leadership Effectiveness</w:t>
      </w:r>
      <w:r w:rsidRPr="1FB80F97" w:rsidR="1604F1DD">
        <w:rPr>
          <w:rFonts w:ascii="Arial" w:hAnsi="Arial" w:eastAsia="Arial" w:cs="Arial"/>
          <w:noProof w:val="0"/>
          <w:sz w:val="22"/>
          <w:szCs w:val="22"/>
          <w:lang w:val="en-GB"/>
        </w:rPr>
        <w:t>. New York: McGraw-Hill.</w:t>
      </w:r>
    </w:p>
    <w:p w:rsidR="1604F1DD" w:rsidP="1FB80F97" w:rsidRDefault="1604F1DD" w14:paraId="5406AA2D" w14:textId="50B840CE">
      <w:pPr>
        <w:spacing w:before="240" w:beforeAutospacing="off" w:after="240" w:afterAutospacing="off"/>
      </w:pPr>
      <w:r w:rsidRPr="1FB80F97" w:rsidR="1604F1DD">
        <w:rPr>
          <w:rFonts w:ascii="Arial" w:hAnsi="Arial" w:eastAsia="Arial" w:cs="Arial"/>
          <w:noProof w:val="0"/>
          <w:sz w:val="22"/>
          <w:szCs w:val="22"/>
          <w:lang w:val="en-GB"/>
        </w:rPr>
        <w:t xml:space="preserve">Francis, R. (2013) </w:t>
      </w:r>
      <w:r w:rsidRPr="1FB80F97" w:rsidR="1604F1DD">
        <w:rPr>
          <w:rFonts w:ascii="Arial" w:hAnsi="Arial" w:eastAsia="Arial" w:cs="Arial"/>
          <w:i w:val="1"/>
          <w:iCs w:val="1"/>
          <w:noProof w:val="0"/>
          <w:sz w:val="22"/>
          <w:szCs w:val="22"/>
          <w:lang w:val="en-GB"/>
        </w:rPr>
        <w:t>Report of the Mid Staffordshire NHS Foundation Trust Public Inquiry</w:t>
      </w:r>
      <w:r w:rsidRPr="1FB80F97" w:rsidR="1604F1DD">
        <w:rPr>
          <w:rFonts w:ascii="Arial" w:hAnsi="Arial" w:eastAsia="Arial" w:cs="Arial"/>
          <w:noProof w:val="0"/>
          <w:sz w:val="22"/>
          <w:szCs w:val="22"/>
          <w:lang w:val="en-GB"/>
        </w:rPr>
        <w:t>. London: The Stationery Office.</w:t>
      </w:r>
    </w:p>
    <w:p w:rsidR="1604F1DD" w:rsidP="1FB80F97" w:rsidRDefault="1604F1DD" w14:paraId="3B70F14E" w14:textId="2ACC09D4">
      <w:pPr>
        <w:spacing w:before="240" w:beforeAutospacing="off" w:after="240" w:afterAutospacing="off"/>
      </w:pPr>
      <w:r w:rsidRPr="1FB80F97" w:rsidR="1604F1DD">
        <w:rPr>
          <w:rFonts w:ascii="Arial" w:hAnsi="Arial" w:eastAsia="Arial" w:cs="Arial"/>
          <w:noProof w:val="0"/>
          <w:sz w:val="22"/>
          <w:szCs w:val="22"/>
          <w:lang w:val="en-GB"/>
        </w:rPr>
        <w:t xml:space="preserve">Fulop, N.J. et al. (2019) ‘Leadership for healthcare improvement’, </w:t>
      </w:r>
      <w:r w:rsidRPr="1FB80F97" w:rsidR="1604F1DD">
        <w:rPr>
          <w:rFonts w:ascii="Arial" w:hAnsi="Arial" w:eastAsia="Arial" w:cs="Arial"/>
          <w:i w:val="1"/>
          <w:iCs w:val="1"/>
          <w:noProof w:val="0"/>
          <w:sz w:val="22"/>
          <w:szCs w:val="22"/>
          <w:lang w:val="en-GB"/>
        </w:rPr>
        <w:t>BMJ Leader</w:t>
      </w:r>
      <w:r w:rsidRPr="1FB80F97" w:rsidR="1604F1DD">
        <w:rPr>
          <w:rFonts w:ascii="Arial" w:hAnsi="Arial" w:eastAsia="Arial" w:cs="Arial"/>
          <w:noProof w:val="0"/>
          <w:sz w:val="22"/>
          <w:szCs w:val="22"/>
          <w:lang w:val="en-GB"/>
        </w:rPr>
        <w:t>, 3(1), pp. 1–4.</w:t>
      </w:r>
    </w:p>
    <w:p w:rsidR="1604F1DD" w:rsidP="1FB80F97" w:rsidRDefault="1604F1DD" w14:paraId="5BF24038" w14:textId="4101FBD2">
      <w:pPr>
        <w:spacing w:before="240" w:beforeAutospacing="off" w:after="240" w:afterAutospacing="off"/>
      </w:pPr>
      <w:r w:rsidRPr="1FB80F97" w:rsidR="1604F1DD">
        <w:rPr>
          <w:rFonts w:ascii="Arial" w:hAnsi="Arial" w:eastAsia="Arial" w:cs="Arial"/>
          <w:noProof w:val="0"/>
          <w:sz w:val="22"/>
          <w:szCs w:val="22"/>
          <w:lang w:val="en-GB"/>
        </w:rPr>
        <w:t xml:space="preserve">Goleman, D. (1998) </w:t>
      </w:r>
      <w:r w:rsidRPr="1FB80F97" w:rsidR="1604F1DD">
        <w:rPr>
          <w:rFonts w:ascii="Arial" w:hAnsi="Arial" w:eastAsia="Arial" w:cs="Arial"/>
          <w:i w:val="1"/>
          <w:iCs w:val="1"/>
          <w:noProof w:val="0"/>
          <w:sz w:val="22"/>
          <w:szCs w:val="22"/>
          <w:lang w:val="en-GB"/>
        </w:rPr>
        <w:t>Working with Emotional Intelligence</w:t>
      </w:r>
      <w:r w:rsidRPr="1FB80F97" w:rsidR="1604F1DD">
        <w:rPr>
          <w:rFonts w:ascii="Arial" w:hAnsi="Arial" w:eastAsia="Arial" w:cs="Arial"/>
          <w:noProof w:val="0"/>
          <w:sz w:val="22"/>
          <w:szCs w:val="22"/>
          <w:lang w:val="en-GB"/>
        </w:rPr>
        <w:t>. London: Bloomsbury.</w:t>
      </w:r>
    </w:p>
    <w:p w:rsidR="1604F1DD" w:rsidP="1FB80F97" w:rsidRDefault="1604F1DD" w14:paraId="75EE4DA2" w14:textId="7B57B0AB">
      <w:pPr>
        <w:spacing w:before="240" w:beforeAutospacing="off" w:after="240" w:afterAutospacing="off"/>
      </w:pPr>
      <w:r w:rsidRPr="1FB80F97" w:rsidR="1604F1DD">
        <w:rPr>
          <w:rFonts w:ascii="Arial" w:hAnsi="Arial" w:eastAsia="Arial" w:cs="Arial"/>
          <w:noProof w:val="0"/>
          <w:sz w:val="22"/>
          <w:szCs w:val="22"/>
          <w:lang w:val="en-GB"/>
        </w:rPr>
        <w:t xml:space="preserve">Griffiths, P. et al. (2018) ‘Nurse staffing levels and patient outcomes’, </w:t>
      </w:r>
      <w:r w:rsidRPr="1FB80F97" w:rsidR="1604F1DD">
        <w:rPr>
          <w:rFonts w:ascii="Arial" w:hAnsi="Arial" w:eastAsia="Arial" w:cs="Arial"/>
          <w:i w:val="1"/>
          <w:iCs w:val="1"/>
          <w:noProof w:val="0"/>
          <w:sz w:val="22"/>
          <w:szCs w:val="22"/>
          <w:lang w:val="en-GB"/>
        </w:rPr>
        <w:t>BMJ Open</w:t>
      </w:r>
      <w:r w:rsidRPr="1FB80F97" w:rsidR="1604F1DD">
        <w:rPr>
          <w:rFonts w:ascii="Arial" w:hAnsi="Arial" w:eastAsia="Arial" w:cs="Arial"/>
          <w:noProof w:val="0"/>
          <w:sz w:val="22"/>
          <w:szCs w:val="22"/>
          <w:lang w:val="en-GB"/>
        </w:rPr>
        <w:t>, 8(9).</w:t>
      </w:r>
    </w:p>
    <w:p w:rsidR="1604F1DD" w:rsidP="1FB80F97" w:rsidRDefault="1604F1DD" w14:paraId="6CD105FB" w14:textId="7747BE93">
      <w:pPr>
        <w:spacing w:before="240" w:beforeAutospacing="off" w:after="240" w:afterAutospacing="off"/>
      </w:pPr>
      <w:r w:rsidRPr="1FB80F97" w:rsidR="1604F1DD">
        <w:rPr>
          <w:rFonts w:ascii="Arial" w:hAnsi="Arial" w:eastAsia="Arial" w:cs="Arial"/>
          <w:noProof w:val="0"/>
          <w:sz w:val="22"/>
          <w:szCs w:val="22"/>
          <w:lang w:val="en-GB"/>
        </w:rPr>
        <w:t xml:space="preserve">Hersey, P., Blanchard, K.H. and Johnson, D.E. (2013) </w:t>
      </w:r>
      <w:r w:rsidRPr="1FB80F97" w:rsidR="1604F1DD">
        <w:rPr>
          <w:rFonts w:ascii="Arial" w:hAnsi="Arial" w:eastAsia="Arial" w:cs="Arial"/>
          <w:i w:val="1"/>
          <w:iCs w:val="1"/>
          <w:noProof w:val="0"/>
          <w:sz w:val="22"/>
          <w:szCs w:val="22"/>
          <w:lang w:val="en-GB"/>
        </w:rPr>
        <w:t>Management of Organizational Behavior</w:t>
      </w:r>
      <w:r w:rsidRPr="1FB80F97" w:rsidR="1604F1DD">
        <w:rPr>
          <w:rFonts w:ascii="Arial" w:hAnsi="Arial" w:eastAsia="Arial" w:cs="Arial"/>
          <w:noProof w:val="0"/>
          <w:sz w:val="22"/>
          <w:szCs w:val="22"/>
          <w:lang w:val="en-GB"/>
        </w:rPr>
        <w:t>. 10th edn. Harlow: Pearson.</w:t>
      </w:r>
    </w:p>
    <w:p w:rsidR="1604F1DD" w:rsidP="1FB80F97" w:rsidRDefault="1604F1DD" w14:paraId="3E6ABB40" w14:textId="5DBED183">
      <w:pPr>
        <w:spacing w:before="240" w:beforeAutospacing="off" w:after="240" w:afterAutospacing="off"/>
      </w:pPr>
      <w:r w:rsidRPr="1FB80F97" w:rsidR="1604F1DD">
        <w:rPr>
          <w:rFonts w:ascii="Arial" w:hAnsi="Arial" w:eastAsia="Arial" w:cs="Arial"/>
          <w:noProof w:val="0"/>
          <w:sz w:val="22"/>
          <w:szCs w:val="22"/>
          <w:lang w:val="en-GB"/>
        </w:rPr>
        <w:t xml:space="preserve">Institute for Healthcare Improvement (IHI) (2020) </w:t>
      </w:r>
      <w:r w:rsidRPr="1FB80F97" w:rsidR="1604F1DD">
        <w:rPr>
          <w:rFonts w:ascii="Arial" w:hAnsi="Arial" w:eastAsia="Arial" w:cs="Arial"/>
          <w:i w:val="1"/>
          <w:iCs w:val="1"/>
          <w:noProof w:val="0"/>
          <w:sz w:val="22"/>
          <w:szCs w:val="22"/>
          <w:lang w:val="en-GB"/>
        </w:rPr>
        <w:t>Patient Safety Essentials Toolkit</w:t>
      </w:r>
      <w:r w:rsidRPr="1FB80F97" w:rsidR="1604F1DD">
        <w:rPr>
          <w:rFonts w:ascii="Arial" w:hAnsi="Arial" w:eastAsia="Arial" w:cs="Arial"/>
          <w:noProof w:val="0"/>
          <w:sz w:val="22"/>
          <w:szCs w:val="22"/>
          <w:lang w:val="en-GB"/>
        </w:rPr>
        <w:t>.</w:t>
      </w:r>
    </w:p>
    <w:p w:rsidR="1604F1DD" w:rsidP="1FB80F97" w:rsidRDefault="1604F1DD" w14:paraId="467A6A48" w14:textId="0F259653">
      <w:pPr>
        <w:spacing w:before="240" w:beforeAutospacing="off" w:after="240" w:afterAutospacing="off"/>
      </w:pPr>
      <w:r w:rsidRPr="1FB80F97" w:rsidR="1604F1DD">
        <w:rPr>
          <w:rFonts w:ascii="Arial" w:hAnsi="Arial" w:eastAsia="Arial" w:cs="Arial"/>
          <w:noProof w:val="0"/>
          <w:sz w:val="22"/>
          <w:szCs w:val="22"/>
          <w:lang w:val="en-GB"/>
        </w:rPr>
        <w:t xml:space="preserve">Keers, R.N. et al. (2013) ‘Causes of medication administration errors’, </w:t>
      </w:r>
      <w:r w:rsidRPr="1FB80F97" w:rsidR="1604F1DD">
        <w:rPr>
          <w:rFonts w:ascii="Arial" w:hAnsi="Arial" w:eastAsia="Arial" w:cs="Arial"/>
          <w:i w:val="1"/>
          <w:iCs w:val="1"/>
          <w:noProof w:val="0"/>
          <w:sz w:val="22"/>
          <w:szCs w:val="22"/>
          <w:lang w:val="en-GB"/>
        </w:rPr>
        <w:t>Drug Safety</w:t>
      </w:r>
      <w:r w:rsidRPr="1FB80F97" w:rsidR="1604F1DD">
        <w:rPr>
          <w:rFonts w:ascii="Arial" w:hAnsi="Arial" w:eastAsia="Arial" w:cs="Arial"/>
          <w:noProof w:val="0"/>
          <w:sz w:val="22"/>
          <w:szCs w:val="22"/>
          <w:lang w:val="en-GB"/>
        </w:rPr>
        <w:t>, 36(11), pp. 1045–1067.</w:t>
      </w:r>
    </w:p>
    <w:p w:rsidR="1604F1DD" w:rsidP="1FB80F97" w:rsidRDefault="1604F1DD" w14:paraId="5F72A7AC" w14:textId="2C354893">
      <w:pPr>
        <w:spacing w:before="240" w:beforeAutospacing="off" w:after="240" w:afterAutospacing="off"/>
      </w:pPr>
      <w:r w:rsidRPr="1FB80F97" w:rsidR="1604F1DD">
        <w:rPr>
          <w:rFonts w:ascii="Arial" w:hAnsi="Arial" w:eastAsia="Arial" w:cs="Arial"/>
          <w:noProof w:val="0"/>
          <w:sz w:val="22"/>
          <w:szCs w:val="22"/>
          <w:lang w:val="en-GB"/>
        </w:rPr>
        <w:t xml:space="preserve">Kotter, J.P. (2012) </w:t>
      </w:r>
      <w:r w:rsidRPr="1FB80F97" w:rsidR="1604F1DD">
        <w:rPr>
          <w:rFonts w:ascii="Arial" w:hAnsi="Arial" w:eastAsia="Arial" w:cs="Arial"/>
          <w:i w:val="1"/>
          <w:iCs w:val="1"/>
          <w:noProof w:val="0"/>
          <w:sz w:val="22"/>
          <w:szCs w:val="22"/>
          <w:lang w:val="en-GB"/>
        </w:rPr>
        <w:t>Leading Change</w:t>
      </w:r>
      <w:r w:rsidRPr="1FB80F97" w:rsidR="1604F1DD">
        <w:rPr>
          <w:rFonts w:ascii="Arial" w:hAnsi="Arial" w:eastAsia="Arial" w:cs="Arial"/>
          <w:noProof w:val="0"/>
          <w:sz w:val="22"/>
          <w:szCs w:val="22"/>
          <w:lang w:val="en-GB"/>
        </w:rPr>
        <w:t>. Boston: Harvard Business Review Press.</w:t>
      </w:r>
    </w:p>
    <w:p w:rsidR="1604F1DD" w:rsidP="1FB80F97" w:rsidRDefault="1604F1DD" w14:paraId="049F1DDD" w14:textId="10D08415">
      <w:pPr>
        <w:spacing w:before="240" w:beforeAutospacing="off" w:after="240" w:afterAutospacing="off"/>
      </w:pPr>
      <w:r w:rsidRPr="1FB80F97" w:rsidR="1604F1DD">
        <w:rPr>
          <w:rFonts w:ascii="Arial" w:hAnsi="Arial" w:eastAsia="Arial" w:cs="Arial"/>
          <w:noProof w:val="0"/>
          <w:sz w:val="22"/>
          <w:szCs w:val="22"/>
          <w:lang w:val="en-GB"/>
        </w:rPr>
        <w:t xml:space="preserve">Leonard, M., Graham, S. and Bonacum, D. (2004) ‘The human factor’, </w:t>
      </w:r>
      <w:r w:rsidRPr="1FB80F97" w:rsidR="1604F1DD">
        <w:rPr>
          <w:rFonts w:ascii="Arial" w:hAnsi="Arial" w:eastAsia="Arial" w:cs="Arial"/>
          <w:i w:val="1"/>
          <w:iCs w:val="1"/>
          <w:noProof w:val="0"/>
          <w:sz w:val="22"/>
          <w:szCs w:val="22"/>
          <w:lang w:val="en-GB"/>
        </w:rPr>
        <w:t>Quality and Safety in Health Care</w:t>
      </w:r>
      <w:r w:rsidRPr="1FB80F97" w:rsidR="1604F1DD">
        <w:rPr>
          <w:rFonts w:ascii="Arial" w:hAnsi="Arial" w:eastAsia="Arial" w:cs="Arial"/>
          <w:noProof w:val="0"/>
          <w:sz w:val="22"/>
          <w:szCs w:val="22"/>
          <w:lang w:val="en-GB"/>
        </w:rPr>
        <w:t>, 13(suppl 1), pp. i85–i90.</w:t>
      </w:r>
    </w:p>
    <w:p w:rsidR="1604F1DD" w:rsidP="1FB80F97" w:rsidRDefault="1604F1DD" w14:paraId="6FF481AF" w14:textId="0996AA82">
      <w:pPr>
        <w:spacing w:before="240" w:beforeAutospacing="off" w:after="240" w:afterAutospacing="off"/>
      </w:pPr>
      <w:r w:rsidRPr="1FB80F97" w:rsidR="1604F1DD">
        <w:rPr>
          <w:rFonts w:ascii="Arial" w:hAnsi="Arial" w:eastAsia="Arial" w:cs="Arial"/>
          <w:noProof w:val="0"/>
          <w:sz w:val="22"/>
          <w:szCs w:val="22"/>
          <w:lang w:val="en-GB"/>
        </w:rPr>
        <w:t xml:space="preserve">Manojlovich, M. (2007) ‘Power and empowerment in nursing’, </w:t>
      </w:r>
      <w:r w:rsidRPr="1FB80F97" w:rsidR="1604F1DD">
        <w:rPr>
          <w:rFonts w:ascii="Arial" w:hAnsi="Arial" w:eastAsia="Arial" w:cs="Arial"/>
          <w:i w:val="1"/>
          <w:iCs w:val="1"/>
          <w:noProof w:val="0"/>
          <w:sz w:val="22"/>
          <w:szCs w:val="22"/>
          <w:lang w:val="en-GB"/>
        </w:rPr>
        <w:t>Journal of Nursing Administration</w:t>
      </w:r>
      <w:r w:rsidRPr="1FB80F97" w:rsidR="1604F1DD">
        <w:rPr>
          <w:rFonts w:ascii="Arial" w:hAnsi="Arial" w:eastAsia="Arial" w:cs="Arial"/>
          <w:noProof w:val="0"/>
          <w:sz w:val="22"/>
          <w:szCs w:val="22"/>
          <w:lang w:val="en-GB"/>
        </w:rPr>
        <w:t>, 37(1), pp. 41–47.</w:t>
      </w:r>
    </w:p>
    <w:p w:rsidR="1604F1DD" w:rsidP="1FB80F97" w:rsidRDefault="1604F1DD" w14:paraId="1388DA97" w14:textId="42EBC530">
      <w:pPr>
        <w:spacing w:before="240" w:beforeAutospacing="off" w:after="240" w:afterAutospacing="off"/>
      </w:pPr>
      <w:r w:rsidRPr="1FB80F97" w:rsidR="1604F1DD">
        <w:rPr>
          <w:rFonts w:ascii="Arial" w:hAnsi="Arial" w:eastAsia="Arial" w:cs="Arial"/>
          <w:noProof w:val="0"/>
          <w:sz w:val="22"/>
          <w:szCs w:val="22"/>
          <w:lang w:val="en-GB"/>
        </w:rPr>
        <w:t xml:space="preserve">NHS England (2022) </w:t>
      </w:r>
      <w:r w:rsidRPr="1FB80F97" w:rsidR="1604F1DD">
        <w:rPr>
          <w:rFonts w:ascii="Arial" w:hAnsi="Arial" w:eastAsia="Arial" w:cs="Arial"/>
          <w:i w:val="1"/>
          <w:iCs w:val="1"/>
          <w:noProof w:val="0"/>
          <w:sz w:val="22"/>
          <w:szCs w:val="22"/>
          <w:lang w:val="en-GB"/>
        </w:rPr>
        <w:t>NHS Workforce Statistics</w:t>
      </w:r>
      <w:r w:rsidRPr="1FB80F97" w:rsidR="1604F1DD">
        <w:rPr>
          <w:rFonts w:ascii="Arial" w:hAnsi="Arial" w:eastAsia="Arial" w:cs="Arial"/>
          <w:noProof w:val="0"/>
          <w:sz w:val="22"/>
          <w:szCs w:val="22"/>
          <w:lang w:val="en-GB"/>
        </w:rPr>
        <w:t>.</w:t>
      </w:r>
    </w:p>
    <w:p w:rsidR="1604F1DD" w:rsidP="1FB80F97" w:rsidRDefault="1604F1DD" w14:paraId="18DD142F" w14:textId="7A37B644">
      <w:pPr>
        <w:spacing w:before="240" w:beforeAutospacing="off" w:after="240" w:afterAutospacing="off"/>
      </w:pPr>
      <w:r w:rsidRPr="1FB80F97" w:rsidR="1604F1DD">
        <w:rPr>
          <w:rFonts w:ascii="Arial" w:hAnsi="Arial" w:eastAsia="Arial" w:cs="Arial"/>
          <w:noProof w:val="0"/>
          <w:sz w:val="22"/>
          <w:szCs w:val="22"/>
          <w:lang w:val="en-GB"/>
        </w:rPr>
        <w:t xml:space="preserve">NHS England (2019) </w:t>
      </w:r>
      <w:r w:rsidRPr="1FB80F97" w:rsidR="1604F1DD">
        <w:rPr>
          <w:rFonts w:ascii="Arial" w:hAnsi="Arial" w:eastAsia="Arial" w:cs="Arial"/>
          <w:i w:val="1"/>
          <w:iCs w:val="1"/>
          <w:noProof w:val="0"/>
          <w:sz w:val="22"/>
          <w:szCs w:val="22"/>
          <w:lang w:val="en-GB"/>
        </w:rPr>
        <w:t>The NHS Patient Safety Strategy</w:t>
      </w:r>
      <w:r w:rsidRPr="1FB80F97" w:rsidR="1604F1DD">
        <w:rPr>
          <w:rFonts w:ascii="Arial" w:hAnsi="Arial" w:eastAsia="Arial" w:cs="Arial"/>
          <w:noProof w:val="0"/>
          <w:sz w:val="22"/>
          <w:szCs w:val="22"/>
          <w:lang w:val="en-GB"/>
        </w:rPr>
        <w:t>.</w:t>
      </w:r>
    </w:p>
    <w:p w:rsidR="1604F1DD" w:rsidP="1FB80F97" w:rsidRDefault="1604F1DD" w14:paraId="7D99BB5E" w14:textId="0AB3F42D">
      <w:pPr>
        <w:spacing w:before="240" w:beforeAutospacing="off" w:after="240" w:afterAutospacing="off"/>
      </w:pPr>
      <w:r w:rsidRPr="1FB80F97" w:rsidR="1604F1DD">
        <w:rPr>
          <w:rFonts w:ascii="Arial" w:hAnsi="Arial" w:eastAsia="Arial" w:cs="Arial"/>
          <w:noProof w:val="0"/>
          <w:sz w:val="22"/>
          <w:szCs w:val="22"/>
          <w:lang w:val="en-GB"/>
        </w:rPr>
        <w:t xml:space="preserve">NHS Staff Survey (2022) </w:t>
      </w:r>
      <w:r w:rsidRPr="1FB80F97" w:rsidR="1604F1DD">
        <w:rPr>
          <w:rFonts w:ascii="Arial" w:hAnsi="Arial" w:eastAsia="Arial" w:cs="Arial"/>
          <w:i w:val="1"/>
          <w:iCs w:val="1"/>
          <w:noProof w:val="0"/>
          <w:sz w:val="22"/>
          <w:szCs w:val="22"/>
          <w:lang w:val="en-GB"/>
        </w:rPr>
        <w:t>National Results Briefing</w:t>
      </w:r>
      <w:r w:rsidRPr="1FB80F97" w:rsidR="1604F1DD">
        <w:rPr>
          <w:rFonts w:ascii="Arial" w:hAnsi="Arial" w:eastAsia="Arial" w:cs="Arial"/>
          <w:noProof w:val="0"/>
          <w:sz w:val="22"/>
          <w:szCs w:val="22"/>
          <w:lang w:val="en-GB"/>
        </w:rPr>
        <w:t>.</w:t>
      </w:r>
    </w:p>
    <w:p w:rsidR="1604F1DD" w:rsidP="1FB80F97" w:rsidRDefault="1604F1DD" w14:paraId="2CCBFE58" w14:textId="71F63F30">
      <w:pPr>
        <w:spacing w:before="240" w:beforeAutospacing="off" w:after="240" w:afterAutospacing="off"/>
      </w:pPr>
      <w:r w:rsidRPr="1FB80F97" w:rsidR="1604F1DD">
        <w:rPr>
          <w:rFonts w:ascii="Arial" w:hAnsi="Arial" w:eastAsia="Arial" w:cs="Arial"/>
          <w:noProof w:val="0"/>
          <w:sz w:val="22"/>
          <w:szCs w:val="22"/>
          <w:lang w:val="en-GB"/>
        </w:rPr>
        <w:t xml:space="preserve">Northouse, P.G. (2021) </w:t>
      </w:r>
      <w:r w:rsidRPr="1FB80F97" w:rsidR="1604F1DD">
        <w:rPr>
          <w:rFonts w:ascii="Arial" w:hAnsi="Arial" w:eastAsia="Arial" w:cs="Arial"/>
          <w:i w:val="1"/>
          <w:iCs w:val="1"/>
          <w:noProof w:val="0"/>
          <w:sz w:val="22"/>
          <w:szCs w:val="22"/>
          <w:lang w:val="en-GB"/>
        </w:rPr>
        <w:t>Leadership: Theory and Practice</w:t>
      </w:r>
      <w:r w:rsidRPr="1FB80F97" w:rsidR="1604F1DD">
        <w:rPr>
          <w:rFonts w:ascii="Arial" w:hAnsi="Arial" w:eastAsia="Arial" w:cs="Arial"/>
          <w:noProof w:val="0"/>
          <w:sz w:val="22"/>
          <w:szCs w:val="22"/>
          <w:lang w:val="en-GB"/>
        </w:rPr>
        <w:t>. 9th edn. London: Sage.</w:t>
      </w:r>
    </w:p>
    <w:p w:rsidR="1604F1DD" w:rsidP="1FB80F97" w:rsidRDefault="1604F1DD" w14:paraId="2C36F54F" w14:textId="43CD6236">
      <w:pPr>
        <w:spacing w:before="240" w:beforeAutospacing="off" w:after="240" w:afterAutospacing="off"/>
      </w:pPr>
      <w:r w:rsidRPr="1FB80F97" w:rsidR="1604F1DD">
        <w:rPr>
          <w:rFonts w:ascii="Arial" w:hAnsi="Arial" w:eastAsia="Arial" w:cs="Arial"/>
          <w:noProof w:val="0"/>
          <w:sz w:val="22"/>
          <w:szCs w:val="22"/>
          <w:lang w:val="en-GB"/>
        </w:rPr>
        <w:t xml:space="preserve">Reason, J. (2000) ‘Human error: models and management’, </w:t>
      </w:r>
      <w:r w:rsidRPr="1FB80F97" w:rsidR="1604F1DD">
        <w:rPr>
          <w:rFonts w:ascii="Arial" w:hAnsi="Arial" w:eastAsia="Arial" w:cs="Arial"/>
          <w:i w:val="1"/>
          <w:iCs w:val="1"/>
          <w:noProof w:val="0"/>
          <w:sz w:val="22"/>
          <w:szCs w:val="22"/>
          <w:lang w:val="en-GB"/>
        </w:rPr>
        <w:t>BMJ</w:t>
      </w:r>
      <w:r w:rsidRPr="1FB80F97" w:rsidR="1604F1DD">
        <w:rPr>
          <w:rFonts w:ascii="Arial" w:hAnsi="Arial" w:eastAsia="Arial" w:cs="Arial"/>
          <w:noProof w:val="0"/>
          <w:sz w:val="22"/>
          <w:szCs w:val="22"/>
          <w:lang w:val="en-GB"/>
        </w:rPr>
        <w:t>, 320(7237), pp. 768–770.</w:t>
      </w:r>
    </w:p>
    <w:p w:rsidR="1604F1DD" w:rsidP="1FB80F97" w:rsidRDefault="1604F1DD" w14:paraId="57B396F7" w14:textId="071FCF19">
      <w:pPr>
        <w:spacing w:before="240" w:beforeAutospacing="off" w:after="240" w:afterAutospacing="off"/>
      </w:pPr>
      <w:r w:rsidRPr="1FB80F97" w:rsidR="1604F1DD">
        <w:rPr>
          <w:rFonts w:ascii="Arial" w:hAnsi="Arial" w:eastAsia="Arial" w:cs="Arial"/>
          <w:noProof w:val="0"/>
          <w:sz w:val="22"/>
          <w:szCs w:val="22"/>
          <w:lang w:val="en-GB"/>
        </w:rPr>
        <w:t xml:space="preserve">Salas, E. et al. (2005) ‘Teamwork in healthcare’,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14(6), pp. 396–401.</w:t>
      </w:r>
    </w:p>
    <w:p w:rsidR="1604F1DD" w:rsidP="1FB80F97" w:rsidRDefault="1604F1DD" w14:paraId="3A9611FE" w14:textId="08D5BCD4">
      <w:pPr>
        <w:spacing w:before="240" w:beforeAutospacing="off" w:after="240" w:afterAutospacing="off"/>
      </w:pPr>
      <w:r w:rsidRPr="1FB80F97" w:rsidR="1604F1DD">
        <w:rPr>
          <w:rFonts w:ascii="Arial" w:hAnsi="Arial" w:eastAsia="Arial" w:cs="Arial"/>
          <w:noProof w:val="0"/>
          <w:sz w:val="22"/>
          <w:szCs w:val="22"/>
          <w:lang w:val="en-GB"/>
        </w:rPr>
        <w:t xml:space="preserve">Saltman, R.B., Bankauskaite, V. and Vrangbæk, K. (2011) </w:t>
      </w:r>
      <w:r w:rsidRPr="1FB80F97" w:rsidR="1604F1DD">
        <w:rPr>
          <w:rFonts w:ascii="Arial" w:hAnsi="Arial" w:eastAsia="Arial" w:cs="Arial"/>
          <w:i w:val="1"/>
          <w:iCs w:val="1"/>
          <w:noProof w:val="0"/>
          <w:sz w:val="22"/>
          <w:szCs w:val="22"/>
          <w:lang w:val="en-GB"/>
        </w:rPr>
        <w:t>Decentralization in Health Care</w:t>
      </w:r>
      <w:r w:rsidRPr="1FB80F97" w:rsidR="1604F1DD">
        <w:rPr>
          <w:rFonts w:ascii="Arial" w:hAnsi="Arial" w:eastAsia="Arial" w:cs="Arial"/>
          <w:noProof w:val="0"/>
          <w:sz w:val="22"/>
          <w:szCs w:val="22"/>
          <w:lang w:val="en-GB"/>
        </w:rPr>
        <w:t>. Maidenhead: Open University Press.</w:t>
      </w:r>
    </w:p>
    <w:p w:rsidR="1604F1DD" w:rsidP="1FB80F97" w:rsidRDefault="1604F1DD" w14:paraId="2C3B5551" w14:textId="40AB214A">
      <w:pPr>
        <w:spacing w:before="240" w:beforeAutospacing="off" w:after="240" w:afterAutospacing="off"/>
      </w:pPr>
      <w:r w:rsidRPr="1FB80F97" w:rsidR="1604F1DD">
        <w:rPr>
          <w:rFonts w:ascii="Arial" w:hAnsi="Arial" w:eastAsia="Arial" w:cs="Arial"/>
          <w:noProof w:val="0"/>
          <w:sz w:val="22"/>
          <w:szCs w:val="22"/>
          <w:lang w:val="en-GB"/>
        </w:rPr>
        <w:t xml:space="preserve">Schein, E.H. (2010) </w:t>
      </w:r>
      <w:r w:rsidRPr="1FB80F97" w:rsidR="1604F1DD">
        <w:rPr>
          <w:rFonts w:ascii="Arial" w:hAnsi="Arial" w:eastAsia="Arial" w:cs="Arial"/>
          <w:i w:val="1"/>
          <w:iCs w:val="1"/>
          <w:noProof w:val="0"/>
          <w:sz w:val="22"/>
          <w:szCs w:val="22"/>
          <w:lang w:val="en-GB"/>
        </w:rPr>
        <w:t>Organizational Culture and Leadership</w:t>
      </w:r>
      <w:r w:rsidRPr="1FB80F97" w:rsidR="1604F1DD">
        <w:rPr>
          <w:rFonts w:ascii="Arial" w:hAnsi="Arial" w:eastAsia="Arial" w:cs="Arial"/>
          <w:noProof w:val="0"/>
          <w:sz w:val="22"/>
          <w:szCs w:val="22"/>
          <w:lang w:val="en-GB"/>
        </w:rPr>
        <w:t>. 4th edn. San Francisco: Jossey-Bass.</w:t>
      </w:r>
    </w:p>
    <w:p w:rsidR="1604F1DD" w:rsidP="1FB80F97" w:rsidRDefault="1604F1DD" w14:paraId="20A5F691" w14:textId="690B17C3">
      <w:pPr>
        <w:spacing w:before="240" w:beforeAutospacing="off" w:after="240" w:afterAutospacing="off"/>
      </w:pPr>
      <w:r w:rsidRPr="1FB80F97" w:rsidR="1604F1DD">
        <w:rPr>
          <w:rFonts w:ascii="Arial" w:hAnsi="Arial" w:eastAsia="Arial" w:cs="Arial"/>
          <w:noProof w:val="0"/>
          <w:sz w:val="22"/>
          <w:szCs w:val="22"/>
          <w:lang w:val="en-GB"/>
        </w:rPr>
        <w:t xml:space="preserve">Senge, P.M. (2006) </w:t>
      </w:r>
      <w:r w:rsidRPr="1FB80F97" w:rsidR="1604F1DD">
        <w:rPr>
          <w:rFonts w:ascii="Arial" w:hAnsi="Arial" w:eastAsia="Arial" w:cs="Arial"/>
          <w:i w:val="1"/>
          <w:iCs w:val="1"/>
          <w:noProof w:val="0"/>
          <w:sz w:val="22"/>
          <w:szCs w:val="22"/>
          <w:lang w:val="en-GB"/>
        </w:rPr>
        <w:t>The Fifth Discipline</w:t>
      </w:r>
      <w:r w:rsidRPr="1FB80F97" w:rsidR="1604F1DD">
        <w:rPr>
          <w:rFonts w:ascii="Arial" w:hAnsi="Arial" w:eastAsia="Arial" w:cs="Arial"/>
          <w:noProof w:val="0"/>
          <w:sz w:val="22"/>
          <w:szCs w:val="22"/>
          <w:lang w:val="en-GB"/>
        </w:rPr>
        <w:t>. London: Random House.</w:t>
      </w:r>
    </w:p>
    <w:p w:rsidR="1604F1DD" w:rsidP="1FB80F97" w:rsidRDefault="1604F1DD" w14:paraId="544E1101" w14:textId="6595F42D">
      <w:pPr>
        <w:spacing w:before="240" w:beforeAutospacing="off" w:after="240" w:afterAutospacing="off"/>
      </w:pPr>
      <w:r w:rsidRPr="1FB80F97" w:rsidR="1604F1DD">
        <w:rPr>
          <w:rFonts w:ascii="Arial" w:hAnsi="Arial" w:eastAsia="Arial" w:cs="Arial"/>
          <w:noProof w:val="0"/>
          <w:sz w:val="22"/>
          <w:szCs w:val="22"/>
          <w:lang w:val="en-GB"/>
        </w:rPr>
        <w:t xml:space="preserve">West, M. et al. (2015) </w:t>
      </w:r>
      <w:r w:rsidRPr="1FB80F97" w:rsidR="1604F1DD">
        <w:rPr>
          <w:rFonts w:ascii="Arial" w:hAnsi="Arial" w:eastAsia="Arial" w:cs="Arial"/>
          <w:i w:val="1"/>
          <w:iCs w:val="1"/>
          <w:noProof w:val="0"/>
          <w:sz w:val="22"/>
          <w:szCs w:val="22"/>
          <w:lang w:val="en-GB"/>
        </w:rPr>
        <w:t>Leadership and Leadership Development in Health Care</w:t>
      </w:r>
      <w:r w:rsidRPr="1FB80F97" w:rsidR="1604F1DD">
        <w:rPr>
          <w:rFonts w:ascii="Arial" w:hAnsi="Arial" w:eastAsia="Arial" w:cs="Arial"/>
          <w:noProof w:val="0"/>
          <w:sz w:val="22"/>
          <w:szCs w:val="22"/>
          <w:lang w:val="en-GB"/>
        </w:rPr>
        <w:t>. London: The King’s Fund.</w:t>
      </w:r>
    </w:p>
    <w:p w:rsidR="1604F1DD" w:rsidP="1FB80F97" w:rsidRDefault="1604F1DD" w14:paraId="7C70CDD3" w14:textId="5EE5726E">
      <w:pPr>
        <w:spacing w:before="240" w:beforeAutospacing="off" w:after="240" w:afterAutospacing="off"/>
      </w:pPr>
      <w:r w:rsidRPr="1FB80F97" w:rsidR="1604F1DD">
        <w:rPr>
          <w:rFonts w:ascii="Arial" w:hAnsi="Arial" w:eastAsia="Arial" w:cs="Arial"/>
          <w:noProof w:val="0"/>
          <w:sz w:val="22"/>
          <w:szCs w:val="22"/>
          <w:lang w:val="en-GB"/>
        </w:rPr>
        <w:t xml:space="preserve">World Health Organization (WHO) (2017) </w:t>
      </w:r>
      <w:r w:rsidRPr="1FB80F97" w:rsidR="1604F1DD">
        <w:rPr>
          <w:rFonts w:ascii="Arial" w:hAnsi="Arial" w:eastAsia="Arial" w:cs="Arial"/>
          <w:i w:val="1"/>
          <w:iCs w:val="1"/>
          <w:noProof w:val="0"/>
          <w:sz w:val="22"/>
          <w:szCs w:val="22"/>
          <w:lang w:val="en-GB"/>
        </w:rPr>
        <w:t>Medication Without Harm</w:t>
      </w:r>
      <w:r w:rsidRPr="1FB80F97" w:rsidR="1604F1DD">
        <w:rPr>
          <w:rFonts w:ascii="Arial" w:hAnsi="Arial" w:eastAsia="Arial" w:cs="Arial"/>
          <w:noProof w:val="0"/>
          <w:sz w:val="22"/>
          <w:szCs w:val="22"/>
          <w:lang w:val="en-GB"/>
        </w:rPr>
        <w:t>.</w:t>
      </w:r>
    </w:p>
    <w:p w:rsidR="1604F1DD" w:rsidP="1FB80F97" w:rsidRDefault="1604F1DD" w14:paraId="17F4E909" w14:textId="46A2F9AB">
      <w:pPr>
        <w:spacing w:before="240" w:beforeAutospacing="off" w:after="240" w:afterAutospacing="off"/>
      </w:pPr>
      <w:r w:rsidRPr="1FB80F97" w:rsidR="1604F1DD">
        <w:rPr>
          <w:rFonts w:ascii="Arial" w:hAnsi="Arial" w:eastAsia="Arial" w:cs="Arial"/>
          <w:noProof w:val="0"/>
          <w:sz w:val="22"/>
          <w:szCs w:val="22"/>
          <w:lang w:val="en-GB"/>
        </w:rPr>
        <w:t xml:space="preserve">World Health Organization (WHO) (2019) </w:t>
      </w:r>
      <w:r w:rsidRPr="1FB80F97" w:rsidR="1604F1DD">
        <w:rPr>
          <w:rFonts w:ascii="Arial" w:hAnsi="Arial" w:eastAsia="Arial" w:cs="Arial"/>
          <w:i w:val="1"/>
          <w:iCs w:val="1"/>
          <w:noProof w:val="0"/>
          <w:sz w:val="22"/>
          <w:szCs w:val="22"/>
          <w:lang w:val="en-GB"/>
        </w:rPr>
        <w:t>Patient Safety: Global Action Plan</w:t>
      </w:r>
      <w:r w:rsidRPr="1FB80F97" w:rsidR="1604F1DD">
        <w:rPr>
          <w:rFonts w:ascii="Arial" w:hAnsi="Arial" w:eastAsia="Arial" w:cs="Arial"/>
          <w:noProof w:val="0"/>
          <w:sz w:val="22"/>
          <w:szCs w:val="22"/>
          <w:lang w:val="en-GB"/>
        </w:rPr>
        <w:t>.</w:t>
      </w:r>
    </w:p>
    <w:p w:rsidR="1FB80F97" w:rsidP="1FB80F97" w:rsidRDefault="1FB80F97" w14:paraId="1BDF44C6" w14:textId="1E801FD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43F5CB87" w14:textId="76063DF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FB80F97" w:rsidP="1FB80F97" w:rsidRDefault="1FB80F97" w14:paraId="210A9D1D" w14:textId="458747A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QDqqhcPh6K3em" int2:id="YmMOAF8R">
      <int2:state int2:type="spell" int2:value="Rejected"/>
    </int2:textHash>
    <int2:textHash int2:hashCode="JXKJycsgEokOye" int2:id="tdBEucds">
      <int2:state int2:type="spell" int2:value="Rejected"/>
    </int2:textHash>
    <int2:textHash int2:hashCode="iPagtYVtBkOzTw" int2:id="qNN2LlVK">
      <int2:state int2:type="spell" int2:value="Rejected"/>
    </int2:textHash>
    <int2:textHash int2:hashCode="ewnzblLx/mgkkY" int2:id="0hIedK4o">
      <int2:state int2:type="spell" int2:value="Rejected"/>
    </int2:textHash>
    <int2:textHash int2:hashCode="Y7rxyEYEGk+h8X" int2:id="dzA9ZK88">
      <int2:state int2:type="spell" int2:value="Rejected"/>
    </int2:textHash>
    <int2:textHash int2:hashCode="nsyB/0kUDRnP7U" int2:id="OdlOZ7yp">
      <int2:state int2:type="spell" int2:value="Rejected"/>
    </int2:textHash>
    <int2:textHash int2:hashCode="8LH0devowYl4kJ" int2:id="pYEP5bNc">
      <int2:state int2:type="spell" int2:value="Rejected"/>
    </int2:textHash>
    <int2:textHash int2:hashCode="c+mjPB1EkSXysj" int2:id="jCTe57Pa">
      <int2:state int2:type="spell" int2:value="Rejected"/>
    </int2:textHash>
    <int2:bookmark int2:bookmarkName="_Int_joat1DTB" int2:invalidationBookmarkName="" int2:hashCode="NkPdJ9i9g1wpGP" int2:id="rrTwxmLh">
      <int2:state int2:type="style" int2:value="Rejected"/>
    </int2:bookmark>
    <int2:bookmark int2:bookmarkName="_Int_DhDOsJEL" int2:invalidationBookmarkName="" int2:hashCode="fN3s9b/4ol5ZCu" int2:id="DodeyrhR">
      <int2:state int2:type="style" int2:value="Rejected"/>
    </int2:bookmark>
    <int2:bookmark int2:bookmarkName="_Int_QU6NgLRx" int2:invalidationBookmarkName="" int2:hashCode="c78Q3rg7ctIrDw" int2:id="ediduNL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a2414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4f63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9446E1"/>
    <w:rsid w:val="00526C32"/>
    <w:rsid w:val="0065ACCF"/>
    <w:rsid w:val="0379471D"/>
    <w:rsid w:val="04C33673"/>
    <w:rsid w:val="05228AE2"/>
    <w:rsid w:val="0558DBA0"/>
    <w:rsid w:val="06935AC7"/>
    <w:rsid w:val="06E7DD99"/>
    <w:rsid w:val="0734A0E8"/>
    <w:rsid w:val="08D85D3F"/>
    <w:rsid w:val="08E58AD8"/>
    <w:rsid w:val="08FA1DD0"/>
    <w:rsid w:val="095FE454"/>
    <w:rsid w:val="0A2FDC65"/>
    <w:rsid w:val="135B5077"/>
    <w:rsid w:val="14350F38"/>
    <w:rsid w:val="143C2784"/>
    <w:rsid w:val="15A29A9A"/>
    <w:rsid w:val="15FD4A18"/>
    <w:rsid w:val="1604F1DD"/>
    <w:rsid w:val="1658ECC2"/>
    <w:rsid w:val="178DB347"/>
    <w:rsid w:val="181997DE"/>
    <w:rsid w:val="18E90B71"/>
    <w:rsid w:val="1935DE8B"/>
    <w:rsid w:val="1BC1688F"/>
    <w:rsid w:val="1C54DA99"/>
    <w:rsid w:val="1DD5DDDD"/>
    <w:rsid w:val="1DDCD404"/>
    <w:rsid w:val="1F6E1446"/>
    <w:rsid w:val="1F814AC9"/>
    <w:rsid w:val="1FB80F97"/>
    <w:rsid w:val="213E3D7D"/>
    <w:rsid w:val="21CED8DF"/>
    <w:rsid w:val="22C1040B"/>
    <w:rsid w:val="2702625A"/>
    <w:rsid w:val="27870798"/>
    <w:rsid w:val="291AFEFF"/>
    <w:rsid w:val="29393424"/>
    <w:rsid w:val="298CC09E"/>
    <w:rsid w:val="2D175323"/>
    <w:rsid w:val="2D90AE5E"/>
    <w:rsid w:val="2E8CBBD5"/>
    <w:rsid w:val="2F1773F5"/>
    <w:rsid w:val="309808F0"/>
    <w:rsid w:val="344AFD8D"/>
    <w:rsid w:val="3726ED44"/>
    <w:rsid w:val="3B5F6988"/>
    <w:rsid w:val="3BF0F694"/>
    <w:rsid w:val="3F62C407"/>
    <w:rsid w:val="4074A58D"/>
    <w:rsid w:val="43021766"/>
    <w:rsid w:val="4336BB2F"/>
    <w:rsid w:val="44D5BAED"/>
    <w:rsid w:val="453F1210"/>
    <w:rsid w:val="471E0139"/>
    <w:rsid w:val="47AAC618"/>
    <w:rsid w:val="482323E9"/>
    <w:rsid w:val="4A225B19"/>
    <w:rsid w:val="4A7F5605"/>
    <w:rsid w:val="4B808730"/>
    <w:rsid w:val="4D20B002"/>
    <w:rsid w:val="4D648416"/>
    <w:rsid w:val="5067FD11"/>
    <w:rsid w:val="522A9F1B"/>
    <w:rsid w:val="526E82EA"/>
    <w:rsid w:val="53F64938"/>
    <w:rsid w:val="547F9ECE"/>
    <w:rsid w:val="57D71621"/>
    <w:rsid w:val="58706788"/>
    <w:rsid w:val="58BBE4E0"/>
    <w:rsid w:val="5B5A5913"/>
    <w:rsid w:val="5C9BEB65"/>
    <w:rsid w:val="5DA6C708"/>
    <w:rsid w:val="5F83B9B2"/>
    <w:rsid w:val="5FAAABBD"/>
    <w:rsid w:val="614A0778"/>
    <w:rsid w:val="6192D830"/>
    <w:rsid w:val="61D44FE2"/>
    <w:rsid w:val="64913490"/>
    <w:rsid w:val="6556684A"/>
    <w:rsid w:val="6579BD9B"/>
    <w:rsid w:val="663AFD09"/>
    <w:rsid w:val="666E0670"/>
    <w:rsid w:val="66E6335F"/>
    <w:rsid w:val="6751EDB1"/>
    <w:rsid w:val="676A13BB"/>
    <w:rsid w:val="68959889"/>
    <w:rsid w:val="69FE520A"/>
    <w:rsid w:val="6AB27C37"/>
    <w:rsid w:val="6CA9FA25"/>
    <w:rsid w:val="6D3B05C4"/>
    <w:rsid w:val="6E9446E1"/>
    <w:rsid w:val="714CC4AA"/>
    <w:rsid w:val="75FC90C4"/>
    <w:rsid w:val="7893BEC5"/>
    <w:rsid w:val="7A3B857B"/>
    <w:rsid w:val="7AE5A68B"/>
    <w:rsid w:val="7C1237E6"/>
    <w:rsid w:val="7C2FE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446E1"/>
  <w15:chartTrackingRefBased/>
  <w15:docId w15:val="{D08ADFA7-5DA9-48D7-ADC9-B020B4FC1E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58EC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658ECC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FB80F9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30b00444e24117" /><Relationship Type="http://schemas.openxmlformats.org/officeDocument/2006/relationships/image" Target="/media/image.jpg" Id="rId1216532022" /><Relationship Type="http://schemas.openxmlformats.org/officeDocument/2006/relationships/numbering" Target="/word/numbering.xml" Id="R5547abef445047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4</revision>
  <dcterms:created xsi:type="dcterms:W3CDTF">2026-03-18T12:55:34.2541967Z</dcterms:created>
  <dcterms:modified xsi:type="dcterms:W3CDTF">2026-03-25T17:54:20.0083763Z</dcterms:modified>
</coreProperties>
</file>