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9D2" w:rsidRPr="000D18B6" w:rsidRDefault="007D49D2" w:rsidP="007D49D2">
      <w:pPr>
        <w:jc w:val="center"/>
        <w:rPr>
          <w:sz w:val="36"/>
          <w:szCs w:val="36"/>
          <w:u w:val="single"/>
        </w:rPr>
      </w:pPr>
      <w:bookmarkStart w:id="0" w:name="_GoBack"/>
      <w:bookmarkEnd w:id="0"/>
      <w:r>
        <w:rPr>
          <w:sz w:val="36"/>
          <w:szCs w:val="36"/>
          <w:u w:val="single"/>
        </w:rPr>
        <w:t xml:space="preserve">Managing Absence </w:t>
      </w:r>
      <w:r w:rsidR="007240CC">
        <w:rPr>
          <w:sz w:val="36"/>
          <w:szCs w:val="36"/>
          <w:u w:val="single"/>
        </w:rPr>
        <w:t>during</w:t>
      </w:r>
      <w:r>
        <w:rPr>
          <w:sz w:val="36"/>
          <w:szCs w:val="36"/>
          <w:u w:val="single"/>
        </w:rPr>
        <w:t xml:space="preserve"> the First Six Month in </w:t>
      </w:r>
      <w:r w:rsidR="007240CC">
        <w:rPr>
          <w:sz w:val="36"/>
          <w:szCs w:val="36"/>
          <w:u w:val="single"/>
        </w:rPr>
        <w:t>the</w:t>
      </w:r>
      <w:r>
        <w:rPr>
          <w:sz w:val="36"/>
          <w:szCs w:val="36"/>
          <w:u w:val="single"/>
        </w:rPr>
        <w:t xml:space="preserve"> Workplace</w:t>
      </w:r>
    </w:p>
    <w:p w:rsidR="007D49D2" w:rsidRDefault="007D49D2" w:rsidP="007D49D2"/>
    <w:p w:rsidR="007D49D2" w:rsidRDefault="007D49D2" w:rsidP="007D49D2"/>
    <w:p w:rsidR="007D49D2" w:rsidRDefault="007D49D2" w:rsidP="007D49D2">
      <w:pPr>
        <w:rPr>
          <w:sz w:val="36"/>
          <w:szCs w:val="36"/>
        </w:rPr>
      </w:pPr>
      <w:r w:rsidRPr="000D18B6">
        <w:rPr>
          <w:sz w:val="36"/>
          <w:szCs w:val="36"/>
        </w:rPr>
        <w:t>Name</w:t>
      </w:r>
      <w:r>
        <w:rPr>
          <w:sz w:val="36"/>
          <w:szCs w:val="36"/>
        </w:rPr>
        <w:t xml:space="preserve"> Sharon Bowen </w:t>
      </w:r>
    </w:p>
    <w:p w:rsidR="007D49D2" w:rsidRPr="000D18B6" w:rsidRDefault="007D49D2" w:rsidP="007D49D2">
      <w:pPr>
        <w:rPr>
          <w:sz w:val="36"/>
          <w:szCs w:val="36"/>
        </w:rPr>
      </w:pPr>
    </w:p>
    <w:p w:rsidR="007D49D2" w:rsidRDefault="007D49D2" w:rsidP="007D49D2">
      <w:pPr>
        <w:rPr>
          <w:sz w:val="36"/>
          <w:szCs w:val="36"/>
        </w:rPr>
      </w:pPr>
      <w:r w:rsidRPr="000D18B6">
        <w:rPr>
          <w:sz w:val="36"/>
          <w:szCs w:val="36"/>
        </w:rPr>
        <w:t>CIPD Membership Number</w:t>
      </w:r>
    </w:p>
    <w:p w:rsidR="007D49D2" w:rsidRPr="000D18B6" w:rsidRDefault="007D49D2" w:rsidP="007D49D2">
      <w:pPr>
        <w:rPr>
          <w:sz w:val="36"/>
          <w:szCs w:val="36"/>
        </w:rPr>
      </w:pPr>
    </w:p>
    <w:p w:rsidR="007D49D2" w:rsidRPr="000D18B6" w:rsidRDefault="007D49D2" w:rsidP="007D49D2">
      <w:pPr>
        <w:rPr>
          <w:sz w:val="36"/>
          <w:szCs w:val="36"/>
        </w:rPr>
      </w:pPr>
      <w:r w:rsidRPr="000D18B6">
        <w:rPr>
          <w:sz w:val="36"/>
          <w:szCs w:val="36"/>
        </w:rPr>
        <w:t>Date</w:t>
      </w:r>
      <w:r>
        <w:rPr>
          <w:sz w:val="36"/>
          <w:szCs w:val="36"/>
        </w:rPr>
        <w:t xml:space="preserve"> 31.10.18</w:t>
      </w:r>
    </w:p>
    <w:p w:rsidR="007D49D2" w:rsidRDefault="007D49D2" w:rsidP="007D49D2"/>
    <w:p w:rsidR="007D49D2" w:rsidRDefault="007D49D2" w:rsidP="007D49D2"/>
    <w:p w:rsidR="007D49D2" w:rsidRDefault="007D49D2" w:rsidP="007D49D2"/>
    <w:p w:rsidR="007D49D2" w:rsidRDefault="007D49D2" w:rsidP="007D49D2"/>
    <w:p w:rsidR="007D49D2" w:rsidRDefault="007D49D2" w:rsidP="007D49D2"/>
    <w:p w:rsidR="007D49D2" w:rsidRDefault="007D49D2" w:rsidP="007D49D2"/>
    <w:p w:rsidR="007D49D2" w:rsidRPr="000D18B6" w:rsidRDefault="007D49D2" w:rsidP="007D49D2">
      <w:pPr>
        <w:rPr>
          <w:sz w:val="28"/>
          <w:szCs w:val="28"/>
        </w:rPr>
      </w:pPr>
      <w:r w:rsidRPr="000D18B6">
        <w:rPr>
          <w:sz w:val="28"/>
          <w:szCs w:val="28"/>
        </w:rPr>
        <w:t>I declare that this assignment is my own work and that any information obtained from books and other sources have been appropriately referenced.</w:t>
      </w:r>
    </w:p>
    <w:p w:rsidR="007D49D2" w:rsidRPr="000D18B6" w:rsidRDefault="007D49D2" w:rsidP="007D49D2">
      <w:pPr>
        <w:rPr>
          <w:sz w:val="28"/>
          <w:szCs w:val="28"/>
        </w:rPr>
      </w:pPr>
    </w:p>
    <w:p w:rsidR="007D49D2" w:rsidRPr="000D18B6" w:rsidRDefault="007D49D2" w:rsidP="007D49D2">
      <w:pPr>
        <w:rPr>
          <w:sz w:val="28"/>
          <w:szCs w:val="28"/>
        </w:rPr>
      </w:pPr>
      <w:r>
        <w:rPr>
          <w:sz w:val="28"/>
          <w:szCs w:val="28"/>
        </w:rPr>
        <w:t>Signed SA Bowen</w:t>
      </w:r>
      <w:r>
        <w:rPr>
          <w:sz w:val="28"/>
          <w:szCs w:val="28"/>
        </w:rPr>
        <w:tab/>
      </w:r>
      <w:r>
        <w:rPr>
          <w:sz w:val="28"/>
          <w:szCs w:val="28"/>
        </w:rPr>
        <w:tab/>
      </w:r>
      <w:r>
        <w:rPr>
          <w:sz w:val="28"/>
          <w:szCs w:val="28"/>
        </w:rPr>
        <w:tab/>
      </w:r>
      <w:r w:rsidRPr="000D18B6">
        <w:rPr>
          <w:sz w:val="28"/>
          <w:szCs w:val="28"/>
        </w:rPr>
        <w:tab/>
      </w:r>
      <w:r>
        <w:rPr>
          <w:sz w:val="28"/>
          <w:szCs w:val="28"/>
        </w:rPr>
        <w:t>Date 31/10/18</w:t>
      </w:r>
    </w:p>
    <w:p w:rsidR="007D49D2" w:rsidRDefault="007D49D2">
      <w:pPr>
        <w:rPr>
          <w:rFonts w:eastAsiaTheme="minorEastAsia"/>
          <w:lang w:val="en-US"/>
        </w:rPr>
      </w:pPr>
    </w:p>
    <w:p w:rsidR="007D49D2" w:rsidRDefault="007D49D2">
      <w:pPr>
        <w:rPr>
          <w:rFonts w:eastAsiaTheme="minorEastAsia"/>
          <w:lang w:val="en-US"/>
        </w:rPr>
      </w:pPr>
      <w:r>
        <w:rPr>
          <w:rFonts w:eastAsiaTheme="minorEastAsia"/>
          <w:lang w:val="en-US"/>
        </w:rPr>
        <w:br w:type="page"/>
      </w:r>
    </w:p>
    <w:sdt>
      <w:sdtPr>
        <w:rPr>
          <w:rFonts w:eastAsiaTheme="minorEastAsia"/>
          <w:lang w:val="en-US"/>
        </w:rPr>
        <w:id w:val="748466410"/>
        <w:docPartObj>
          <w:docPartGallery w:val="Cover Pages"/>
          <w:docPartUnique/>
        </w:docPartObj>
      </w:sdtPr>
      <w:sdtEndPr/>
      <w:sdtContent>
        <w:p w:rsidR="00AE47D4" w:rsidRDefault="00AE47D4">
          <w:pPr>
            <w:rPr>
              <w:rFonts w:eastAsiaTheme="minorEastAsia"/>
              <w:lang w:val="en-US"/>
            </w:rPr>
          </w:pPr>
          <w:r w:rsidRPr="00AE47D4">
            <w:rPr>
              <w:rFonts w:eastAsiaTheme="minorEastAsia"/>
              <w:noProof/>
              <w:lang w:eastAsia="en-GB"/>
            </w:rPr>
            <mc:AlternateContent>
              <mc:Choice Requires="wps">
                <w:drawing>
                  <wp:anchor distT="0" distB="0" distL="114300" distR="114300" simplePos="0" relativeHeight="251659264" behindDoc="0" locked="0" layoutInCell="1" allowOverlap="1" wp14:anchorId="7E3DAD9C" wp14:editId="1F3A39BA">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126"/>
                                  <w:gridCol w:w="5801"/>
                                </w:tblGrid>
                                <w:tr w:rsidR="00AE47D4">
                                  <w:trPr>
                                    <w:jc w:val="center"/>
                                  </w:trPr>
                                  <w:tc>
                                    <w:tcPr>
                                      <w:tcW w:w="2568" w:type="pct"/>
                                      <w:vAlign w:val="center"/>
                                    </w:tcPr>
                                    <w:p w:rsidR="00AE47D4" w:rsidRDefault="00AE47D4">
                                      <w:pPr>
                                        <w:jc w:val="right"/>
                                      </w:pPr>
                                    </w:p>
                                    <w:sdt>
                                      <w:sdtPr>
                                        <w:rPr>
                                          <w:caps/>
                                          <w:color w:val="191919" w:themeColor="text1" w:themeTint="E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AE47D4" w:rsidRDefault="00CF5C83">
                                          <w:pPr>
                                            <w:pStyle w:val="NoSpacing"/>
                                            <w:spacing w:line="312" w:lineRule="auto"/>
                                            <w:jc w:val="right"/>
                                            <w:rPr>
                                              <w:caps/>
                                              <w:color w:val="191919" w:themeColor="text1" w:themeTint="E6"/>
                                              <w:sz w:val="72"/>
                                              <w:szCs w:val="72"/>
                                            </w:rPr>
                                          </w:pPr>
                                          <w:r w:rsidRPr="00D60073">
                                            <w:rPr>
                                              <w:caps/>
                                              <w:color w:val="191919" w:themeColor="text1" w:themeTint="E6"/>
                                              <w:sz w:val="48"/>
                                              <w:szCs w:val="48"/>
                                            </w:rPr>
                                            <w:t xml:space="preserve">Managing absence during the first </w:t>
                                          </w:r>
                                          <w:r w:rsidR="00915044">
                                            <w:rPr>
                                              <w:caps/>
                                              <w:color w:val="191919" w:themeColor="text1" w:themeTint="E6"/>
                                              <w:sz w:val="48"/>
                                              <w:szCs w:val="48"/>
                                            </w:rPr>
                                            <w:t xml:space="preserve">six </w:t>
                                          </w:r>
                                          <w:r w:rsidRPr="00D60073">
                                            <w:rPr>
                                              <w:caps/>
                                              <w:color w:val="191919" w:themeColor="text1" w:themeTint="E6"/>
                                              <w:sz w:val="48"/>
                                              <w:szCs w:val="48"/>
                                            </w:rPr>
                                            <w:t>months of employment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AE47D4" w:rsidRDefault="00CF5C83" w:rsidP="00BB5F9D">
                                          <w:pPr>
                                            <w:jc w:val="center"/>
                                            <w:rPr>
                                              <w:sz w:val="24"/>
                                              <w:szCs w:val="24"/>
                                            </w:rPr>
                                          </w:pPr>
                                          <w:r>
                                            <w:rPr>
                                              <w:color w:val="000000" w:themeColor="text1"/>
                                              <w:sz w:val="24"/>
                                              <w:szCs w:val="24"/>
                                            </w:rPr>
                                            <w:t>Improving attendance among new recruits.</w:t>
                                          </w:r>
                                        </w:p>
                                      </w:sdtContent>
                                    </w:sdt>
                                  </w:tc>
                                  <w:tc>
                                    <w:tcPr>
                                      <w:tcW w:w="2432" w:type="pct"/>
                                      <w:vAlign w:val="center"/>
                                    </w:tcPr>
                                    <w:sdt>
                                      <w:sdtPr>
                                        <w:rPr>
                                          <w:color w:val="C0504D"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rsidR="00AE47D4" w:rsidRDefault="00AE47D4">
                                          <w:pPr>
                                            <w:pStyle w:val="NoSpacing"/>
                                            <w:rPr>
                                              <w:color w:val="C0504D" w:themeColor="accent2"/>
                                              <w:sz w:val="26"/>
                                              <w:szCs w:val="26"/>
                                            </w:rPr>
                                          </w:pPr>
                                          <w:r>
                                            <w:rPr>
                                              <w:color w:val="C0504D" w:themeColor="accent2"/>
                                              <w:sz w:val="26"/>
                                              <w:szCs w:val="26"/>
                                            </w:rPr>
                                            <w:t>BOWEN, Sharon</w:t>
                                          </w:r>
                                        </w:p>
                                      </w:sdtContent>
                                    </w:sdt>
                                    <w:p w:rsidR="00AE47D4" w:rsidRDefault="00991F8F">
                                      <w:pPr>
                                        <w:pStyle w:val="NoSpacing"/>
                                      </w:pPr>
                                      <w:sdt>
                                        <w:sdtPr>
                                          <w:rPr>
                                            <w:color w:val="1F497D"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2D04E0">
                                            <w:rPr>
                                              <w:color w:val="1F497D" w:themeColor="text2"/>
                                            </w:rPr>
                                            <w:t xml:space="preserve">Certificate </w:t>
                                          </w:r>
                                          <w:r w:rsidR="00F62490">
                                            <w:rPr>
                                              <w:color w:val="1F497D" w:themeColor="text2"/>
                                            </w:rPr>
                                            <w:t>i</w:t>
                                          </w:r>
                                          <w:r w:rsidR="002D04E0">
                                            <w:rPr>
                                              <w:color w:val="1F497D" w:themeColor="text2"/>
                                            </w:rPr>
                                            <w:t>n Human Resource Management</w:t>
                                          </w:r>
                                        </w:sdtContent>
                                      </w:sdt>
                                    </w:p>
                                  </w:tc>
                                </w:tr>
                              </w:tbl>
                              <w:p w:rsidR="00AE47D4" w:rsidRDefault="00AE47D4"/>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126"/>
                            <w:gridCol w:w="5801"/>
                          </w:tblGrid>
                          <w:tr w:rsidR="00AE47D4">
                            <w:trPr>
                              <w:jc w:val="center"/>
                            </w:trPr>
                            <w:tc>
                              <w:tcPr>
                                <w:tcW w:w="2568" w:type="pct"/>
                                <w:vAlign w:val="center"/>
                              </w:tcPr>
                              <w:p w:rsidR="00AE47D4" w:rsidRDefault="00AE47D4">
                                <w:pPr>
                                  <w:jc w:val="right"/>
                                </w:pPr>
                              </w:p>
                              <w:sdt>
                                <w:sdtPr>
                                  <w:rPr>
                                    <w:caps/>
                                    <w:color w:val="191919" w:themeColor="text1" w:themeTint="E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AE47D4" w:rsidRDefault="00CF5C83">
                                    <w:pPr>
                                      <w:pStyle w:val="NoSpacing"/>
                                      <w:spacing w:line="312" w:lineRule="auto"/>
                                      <w:jc w:val="right"/>
                                      <w:rPr>
                                        <w:caps/>
                                        <w:color w:val="191919" w:themeColor="text1" w:themeTint="E6"/>
                                        <w:sz w:val="72"/>
                                        <w:szCs w:val="72"/>
                                      </w:rPr>
                                    </w:pPr>
                                    <w:r w:rsidRPr="00D60073">
                                      <w:rPr>
                                        <w:caps/>
                                        <w:color w:val="191919" w:themeColor="text1" w:themeTint="E6"/>
                                        <w:sz w:val="48"/>
                                        <w:szCs w:val="48"/>
                                      </w:rPr>
                                      <w:t xml:space="preserve">Managing absence during the first </w:t>
                                    </w:r>
                                    <w:r w:rsidR="00915044">
                                      <w:rPr>
                                        <w:caps/>
                                        <w:color w:val="191919" w:themeColor="text1" w:themeTint="E6"/>
                                        <w:sz w:val="48"/>
                                        <w:szCs w:val="48"/>
                                      </w:rPr>
                                      <w:t xml:space="preserve">six </w:t>
                                    </w:r>
                                    <w:r w:rsidRPr="00D60073">
                                      <w:rPr>
                                        <w:caps/>
                                        <w:color w:val="191919" w:themeColor="text1" w:themeTint="E6"/>
                                        <w:sz w:val="48"/>
                                        <w:szCs w:val="48"/>
                                      </w:rPr>
                                      <w:t>months of employment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AE47D4" w:rsidRDefault="00CF5C83" w:rsidP="00BB5F9D">
                                    <w:pPr>
                                      <w:jc w:val="center"/>
                                      <w:rPr>
                                        <w:sz w:val="24"/>
                                        <w:szCs w:val="24"/>
                                      </w:rPr>
                                    </w:pPr>
                                    <w:r>
                                      <w:rPr>
                                        <w:color w:val="000000" w:themeColor="text1"/>
                                        <w:sz w:val="24"/>
                                        <w:szCs w:val="24"/>
                                      </w:rPr>
                                      <w:t>Improving attendance among new recruits.</w:t>
                                    </w:r>
                                  </w:p>
                                </w:sdtContent>
                              </w:sdt>
                            </w:tc>
                            <w:tc>
                              <w:tcPr>
                                <w:tcW w:w="2432" w:type="pct"/>
                                <w:vAlign w:val="center"/>
                              </w:tcPr>
                              <w:sdt>
                                <w:sdtPr>
                                  <w:rPr>
                                    <w:color w:val="C0504D"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rsidR="00AE47D4" w:rsidRDefault="00AE47D4">
                                    <w:pPr>
                                      <w:pStyle w:val="NoSpacing"/>
                                      <w:rPr>
                                        <w:color w:val="C0504D" w:themeColor="accent2"/>
                                        <w:sz w:val="26"/>
                                        <w:szCs w:val="26"/>
                                      </w:rPr>
                                    </w:pPr>
                                    <w:r>
                                      <w:rPr>
                                        <w:color w:val="C0504D" w:themeColor="accent2"/>
                                        <w:sz w:val="26"/>
                                        <w:szCs w:val="26"/>
                                      </w:rPr>
                                      <w:t>BOWEN, Sharon</w:t>
                                    </w:r>
                                  </w:p>
                                </w:sdtContent>
                              </w:sdt>
                              <w:p w:rsidR="00AE47D4" w:rsidRDefault="00991F8F">
                                <w:pPr>
                                  <w:pStyle w:val="NoSpacing"/>
                                </w:pPr>
                                <w:sdt>
                                  <w:sdtPr>
                                    <w:rPr>
                                      <w:color w:val="1F497D"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2D04E0">
                                      <w:rPr>
                                        <w:color w:val="1F497D" w:themeColor="text2"/>
                                      </w:rPr>
                                      <w:t xml:space="preserve">Certificate </w:t>
                                    </w:r>
                                    <w:r w:rsidR="00F62490">
                                      <w:rPr>
                                        <w:color w:val="1F497D" w:themeColor="text2"/>
                                      </w:rPr>
                                      <w:t>i</w:t>
                                    </w:r>
                                    <w:r w:rsidR="002D04E0">
                                      <w:rPr>
                                        <w:color w:val="1F497D" w:themeColor="text2"/>
                                      </w:rPr>
                                      <w:t>n Human Resource Management</w:t>
                                    </w:r>
                                  </w:sdtContent>
                                </w:sdt>
                              </w:p>
                            </w:tc>
                          </w:tr>
                        </w:tbl>
                        <w:p w:rsidR="00AE47D4" w:rsidRDefault="00AE47D4"/>
                      </w:txbxContent>
                    </v:textbox>
                    <w10:wrap anchorx="page" anchory="page"/>
                  </v:shape>
                </w:pict>
              </mc:Fallback>
            </mc:AlternateContent>
          </w:r>
          <w:r>
            <w:rPr>
              <w:rFonts w:eastAsiaTheme="minorEastAsia"/>
              <w:lang w:val="en-US"/>
            </w:rPr>
            <w:br w:type="page"/>
          </w:r>
        </w:p>
      </w:sdtContent>
    </w:sdt>
    <w:p w:rsidR="00381A53" w:rsidRDefault="00381A53">
      <w:pPr>
        <w:rPr>
          <w:b/>
          <w:color w:val="C00000"/>
          <w:u w:val="single"/>
        </w:rPr>
      </w:pPr>
    </w:p>
    <w:p w:rsidR="00976E1C" w:rsidRDefault="00976E1C">
      <w:pPr>
        <w:rPr>
          <w:b/>
          <w:color w:val="C00000"/>
          <w:u w:val="single"/>
        </w:rPr>
      </w:pPr>
    </w:p>
    <w:p w:rsidR="00976E1C" w:rsidRDefault="00976E1C">
      <w:pPr>
        <w:rPr>
          <w:b/>
          <w:color w:val="C00000"/>
          <w:u w:val="single"/>
        </w:rPr>
      </w:pPr>
    </w:p>
    <w:p w:rsidR="00976E1C" w:rsidRDefault="00976E1C">
      <w:pPr>
        <w:rPr>
          <w:b/>
          <w:color w:val="C00000"/>
          <w:u w:val="single"/>
        </w:rPr>
      </w:pPr>
    </w:p>
    <w:p w:rsidR="00BC15D0" w:rsidRDefault="00BC15D0">
      <w:pPr>
        <w:rPr>
          <w:b/>
          <w:color w:val="C00000"/>
          <w:u w:val="single"/>
        </w:rPr>
      </w:pPr>
    </w:p>
    <w:p w:rsidR="00BC15D0" w:rsidRDefault="00BC15D0">
      <w:pPr>
        <w:rPr>
          <w:b/>
          <w:color w:val="C00000"/>
          <w:u w:val="single"/>
        </w:rPr>
      </w:pPr>
    </w:p>
    <w:p w:rsidR="00381A53" w:rsidRPr="001D166B" w:rsidRDefault="00381A53">
      <w:pPr>
        <w:rPr>
          <w:b/>
          <w:color w:val="C00000"/>
          <w:u w:val="single"/>
        </w:rPr>
      </w:pPr>
      <w:r w:rsidRPr="001D166B">
        <w:rPr>
          <w:b/>
          <w:color w:val="C00000"/>
          <w:u w:val="single"/>
        </w:rPr>
        <w:t>Abstract</w:t>
      </w:r>
    </w:p>
    <w:p w:rsidR="000C3C05" w:rsidRDefault="000C3C05">
      <w:pPr>
        <w:rPr>
          <w:color w:val="000000" w:themeColor="text1"/>
        </w:rPr>
      </w:pPr>
      <w:r w:rsidRPr="000C3C05">
        <w:rPr>
          <w:color w:val="000000" w:themeColor="text1"/>
        </w:rPr>
        <w:t>This report</w:t>
      </w:r>
      <w:r w:rsidR="00C100BD">
        <w:rPr>
          <w:color w:val="000000" w:themeColor="text1"/>
        </w:rPr>
        <w:t xml:space="preserve"> critically reviews recommended ways to manage absence in the workplace with a view </w:t>
      </w:r>
      <w:r w:rsidR="007240CC">
        <w:rPr>
          <w:color w:val="000000" w:themeColor="text1"/>
        </w:rPr>
        <w:t>to facilitating immediate</w:t>
      </w:r>
      <w:r w:rsidR="00384DA7">
        <w:rPr>
          <w:color w:val="000000" w:themeColor="text1"/>
        </w:rPr>
        <w:t xml:space="preserve"> improvements in the attendance rate of new staff within their first six months of joining the Outbound Sales Department. </w:t>
      </w:r>
    </w:p>
    <w:p w:rsidR="00384DA7" w:rsidRDefault="00384DA7">
      <w:pPr>
        <w:rPr>
          <w:color w:val="000000" w:themeColor="text1"/>
        </w:rPr>
      </w:pPr>
      <w:r>
        <w:rPr>
          <w:color w:val="000000" w:themeColor="text1"/>
        </w:rPr>
        <w:t xml:space="preserve">We have seen an increase on 43% in those new staff taking unplanned absences in 2018 vs 2017, resulting in more staff having their probation extended and/or ended. </w:t>
      </w:r>
    </w:p>
    <w:p w:rsidR="00384DA7" w:rsidRDefault="00384DA7">
      <w:pPr>
        <w:rPr>
          <w:color w:val="000000" w:themeColor="text1"/>
        </w:rPr>
      </w:pPr>
      <w:r>
        <w:rPr>
          <w:color w:val="000000" w:themeColor="text1"/>
        </w:rPr>
        <w:t xml:space="preserve">After researching best practice laid out by organisations such as ACAS and the CIPD, the conclusions drawn identify gaps in process and procedure within the department meaning action has not been taken to address issues as soon as they arise. </w:t>
      </w:r>
    </w:p>
    <w:p w:rsidR="00976E1C" w:rsidRDefault="00384DA7">
      <w:pPr>
        <w:rPr>
          <w:color w:val="000000" w:themeColor="text1"/>
        </w:rPr>
      </w:pPr>
      <w:r>
        <w:rPr>
          <w:color w:val="000000" w:themeColor="text1"/>
        </w:rPr>
        <w:t xml:space="preserve">By addressing three key areas </w:t>
      </w:r>
      <w:r w:rsidR="00976E1C">
        <w:rPr>
          <w:color w:val="000000" w:themeColor="text1"/>
        </w:rPr>
        <w:t xml:space="preserve">the process will be improved making the expectations of both employer and employee far clearer. </w:t>
      </w:r>
    </w:p>
    <w:p w:rsidR="00384DA7" w:rsidRDefault="00976E1C" w:rsidP="00976E1C">
      <w:pPr>
        <w:pStyle w:val="ListParagraph"/>
        <w:numPr>
          <w:ilvl w:val="0"/>
          <w:numId w:val="10"/>
        </w:numPr>
        <w:rPr>
          <w:color w:val="000000" w:themeColor="text1"/>
        </w:rPr>
      </w:pPr>
      <w:r>
        <w:rPr>
          <w:color w:val="000000" w:themeColor="text1"/>
        </w:rPr>
        <w:t xml:space="preserve">Clear communication of the triggers for probation warning and review points (including a specific back to work interview) </w:t>
      </w:r>
    </w:p>
    <w:p w:rsidR="00976E1C" w:rsidRDefault="00976E1C" w:rsidP="00976E1C">
      <w:pPr>
        <w:pStyle w:val="ListParagraph"/>
        <w:numPr>
          <w:ilvl w:val="0"/>
          <w:numId w:val="10"/>
        </w:numPr>
        <w:rPr>
          <w:color w:val="000000" w:themeColor="text1"/>
        </w:rPr>
      </w:pPr>
      <w:r>
        <w:rPr>
          <w:color w:val="000000" w:themeColor="text1"/>
        </w:rPr>
        <w:t>Three month formal review of a</w:t>
      </w:r>
      <w:r w:rsidR="007C07DD">
        <w:rPr>
          <w:color w:val="000000" w:themeColor="text1"/>
        </w:rPr>
        <w:t>ll new staff with the HR</w:t>
      </w:r>
      <w:r>
        <w:rPr>
          <w:color w:val="000000" w:themeColor="text1"/>
        </w:rPr>
        <w:t xml:space="preserve"> Manager to assess progress in relation to Conduct, Performance &amp; Attendance. </w:t>
      </w:r>
    </w:p>
    <w:p w:rsidR="00976E1C" w:rsidRPr="00976E1C" w:rsidRDefault="00976E1C" w:rsidP="00976E1C">
      <w:pPr>
        <w:pStyle w:val="ListParagraph"/>
        <w:numPr>
          <w:ilvl w:val="0"/>
          <w:numId w:val="10"/>
        </w:numPr>
        <w:rPr>
          <w:color w:val="000000" w:themeColor="text1"/>
        </w:rPr>
      </w:pPr>
      <w:r>
        <w:rPr>
          <w:color w:val="000000" w:themeColor="text1"/>
        </w:rPr>
        <w:t xml:space="preserve">One person appointed to oversee the probation process to ensure guidelines are followed consistently by all team managers. </w:t>
      </w:r>
    </w:p>
    <w:p w:rsidR="00384DA7" w:rsidRPr="000C3C05" w:rsidRDefault="00384DA7">
      <w:pPr>
        <w:rPr>
          <w:color w:val="000000" w:themeColor="text1"/>
        </w:rPr>
      </w:pPr>
    </w:p>
    <w:p w:rsidR="00381A53" w:rsidRDefault="00381A53">
      <w:pPr>
        <w:rPr>
          <w:b/>
          <w:color w:val="C00000"/>
          <w:u w:val="single"/>
        </w:rPr>
      </w:pPr>
    </w:p>
    <w:p w:rsidR="002A3A71" w:rsidRDefault="002A3A71">
      <w:pPr>
        <w:rPr>
          <w:b/>
          <w:color w:val="C00000"/>
        </w:rPr>
      </w:pPr>
    </w:p>
    <w:p w:rsidR="002A3A71" w:rsidRDefault="002A3A71">
      <w:pPr>
        <w:rPr>
          <w:b/>
          <w:color w:val="C00000"/>
        </w:rPr>
      </w:pPr>
    </w:p>
    <w:p w:rsidR="002A3A71" w:rsidRDefault="002A3A71">
      <w:pPr>
        <w:rPr>
          <w:b/>
          <w:color w:val="C00000"/>
        </w:rPr>
      </w:pPr>
    </w:p>
    <w:p w:rsidR="002A3A71" w:rsidRDefault="002A3A71">
      <w:pPr>
        <w:rPr>
          <w:b/>
          <w:color w:val="C00000"/>
          <w:u w:val="single"/>
        </w:rPr>
      </w:pPr>
    </w:p>
    <w:p w:rsidR="002A3A71" w:rsidRDefault="002A3A71">
      <w:pPr>
        <w:rPr>
          <w:b/>
          <w:color w:val="C00000"/>
          <w:u w:val="single"/>
        </w:rPr>
      </w:pPr>
    </w:p>
    <w:p w:rsidR="002A3A71" w:rsidRDefault="002A3A71">
      <w:pPr>
        <w:rPr>
          <w:b/>
          <w:color w:val="C00000"/>
          <w:u w:val="single"/>
        </w:rPr>
      </w:pPr>
    </w:p>
    <w:p w:rsidR="002A3A71" w:rsidRDefault="002A3A71">
      <w:pPr>
        <w:rPr>
          <w:b/>
          <w:color w:val="C00000"/>
          <w:u w:val="single"/>
        </w:rPr>
      </w:pPr>
    </w:p>
    <w:p w:rsidR="00AD1795" w:rsidRDefault="00AD1795">
      <w:pPr>
        <w:rPr>
          <w:b/>
          <w:color w:val="C00000"/>
          <w:u w:val="single"/>
        </w:rPr>
      </w:pPr>
    </w:p>
    <w:p w:rsidR="00AD1795" w:rsidRDefault="00AD1795">
      <w:pPr>
        <w:rPr>
          <w:b/>
          <w:color w:val="C00000"/>
          <w:u w:val="single"/>
        </w:rPr>
      </w:pPr>
    </w:p>
    <w:p w:rsidR="00AD1795" w:rsidRDefault="00AD1795">
      <w:pPr>
        <w:rPr>
          <w:b/>
          <w:color w:val="C00000"/>
          <w:u w:val="single"/>
        </w:rPr>
      </w:pPr>
    </w:p>
    <w:p w:rsidR="00AD1795" w:rsidRDefault="00AD1795">
      <w:pPr>
        <w:rPr>
          <w:b/>
          <w:color w:val="C00000"/>
          <w:u w:val="single"/>
        </w:rPr>
      </w:pPr>
    </w:p>
    <w:p w:rsidR="00AD1795" w:rsidRDefault="00AD1795">
      <w:pPr>
        <w:rPr>
          <w:b/>
          <w:color w:val="C00000"/>
          <w:u w:val="single"/>
        </w:rPr>
      </w:pPr>
    </w:p>
    <w:p w:rsidR="00AD1795" w:rsidRDefault="00AD1795">
      <w:pPr>
        <w:rPr>
          <w:b/>
          <w:color w:val="C00000"/>
          <w:u w:val="single"/>
        </w:rPr>
      </w:pPr>
    </w:p>
    <w:p w:rsidR="00381A53" w:rsidRPr="002A3A71" w:rsidRDefault="00BC15D0">
      <w:pPr>
        <w:rPr>
          <w:b/>
          <w:color w:val="C00000"/>
          <w:u w:val="single"/>
        </w:rPr>
      </w:pPr>
      <w:r>
        <w:rPr>
          <w:b/>
          <w:color w:val="C00000"/>
          <w:u w:val="single"/>
        </w:rPr>
        <w:t>T</w:t>
      </w:r>
      <w:r w:rsidR="00381A53" w:rsidRPr="002A3A71">
        <w:rPr>
          <w:b/>
          <w:color w:val="C00000"/>
          <w:u w:val="single"/>
        </w:rPr>
        <w:t xml:space="preserve">itle Page </w:t>
      </w:r>
    </w:p>
    <w:p w:rsidR="002A3A71" w:rsidRDefault="002A3A71">
      <w:pPr>
        <w:rPr>
          <w:b/>
          <w:color w:val="C00000"/>
        </w:rPr>
      </w:pPr>
    </w:p>
    <w:p w:rsidR="00381A53" w:rsidRPr="002A3A71" w:rsidRDefault="00381A53">
      <w:pPr>
        <w:rPr>
          <w:b/>
          <w:color w:val="C00000"/>
        </w:rPr>
      </w:pPr>
      <w:r w:rsidRPr="002A3A71">
        <w:rPr>
          <w:b/>
          <w:color w:val="C00000"/>
        </w:rPr>
        <w:t xml:space="preserve">Aims </w:t>
      </w:r>
      <w:r w:rsidR="001D166B" w:rsidRPr="002A3A71">
        <w:rPr>
          <w:b/>
          <w:color w:val="C00000"/>
        </w:rPr>
        <w:t>and Rationale</w:t>
      </w:r>
    </w:p>
    <w:p w:rsidR="001D166B" w:rsidRPr="001D166B" w:rsidRDefault="001D166B">
      <w:pPr>
        <w:rPr>
          <w:b/>
          <w:color w:val="C00000"/>
        </w:rPr>
      </w:pPr>
      <w:r w:rsidRPr="001D166B">
        <w:rPr>
          <w:b/>
          <w:color w:val="C00000"/>
        </w:rPr>
        <w:t xml:space="preserve">Literature Review </w:t>
      </w:r>
    </w:p>
    <w:p w:rsidR="001D166B" w:rsidRPr="000C3C05" w:rsidRDefault="001D166B" w:rsidP="001D166B">
      <w:pPr>
        <w:pStyle w:val="ListParagraph"/>
        <w:numPr>
          <w:ilvl w:val="0"/>
          <w:numId w:val="8"/>
        </w:numPr>
        <w:rPr>
          <w:color w:val="1F497D" w:themeColor="text2"/>
        </w:rPr>
      </w:pPr>
      <w:r w:rsidRPr="000C3C05">
        <w:rPr>
          <w:color w:val="1F497D" w:themeColor="text2"/>
        </w:rPr>
        <w:t>Absence Measurement</w:t>
      </w:r>
    </w:p>
    <w:p w:rsidR="001D166B" w:rsidRPr="000C3C05" w:rsidRDefault="001D166B" w:rsidP="001D166B">
      <w:pPr>
        <w:pStyle w:val="ListParagraph"/>
        <w:numPr>
          <w:ilvl w:val="0"/>
          <w:numId w:val="8"/>
        </w:numPr>
        <w:rPr>
          <w:color w:val="1F497D" w:themeColor="text2"/>
        </w:rPr>
      </w:pPr>
      <w:r w:rsidRPr="000C3C05">
        <w:rPr>
          <w:color w:val="1F497D" w:themeColor="text2"/>
        </w:rPr>
        <w:t xml:space="preserve">Culture, Leadership &amp; Engagement </w:t>
      </w:r>
    </w:p>
    <w:p w:rsidR="001D166B" w:rsidRPr="000C3C05" w:rsidRDefault="001D166B" w:rsidP="001D166B">
      <w:pPr>
        <w:pStyle w:val="ListParagraph"/>
        <w:numPr>
          <w:ilvl w:val="0"/>
          <w:numId w:val="8"/>
        </w:numPr>
        <w:rPr>
          <w:color w:val="1F497D" w:themeColor="text2"/>
        </w:rPr>
      </w:pPr>
      <w:r w:rsidRPr="000C3C05">
        <w:rPr>
          <w:color w:val="1F497D" w:themeColor="text2"/>
        </w:rPr>
        <w:t xml:space="preserve">Wellbeing &amp; Flexibility </w:t>
      </w:r>
    </w:p>
    <w:p w:rsidR="001D166B" w:rsidRPr="001D166B" w:rsidRDefault="001D166B" w:rsidP="001D166B">
      <w:pPr>
        <w:rPr>
          <w:b/>
          <w:color w:val="C00000"/>
        </w:rPr>
      </w:pPr>
      <w:r w:rsidRPr="001D166B">
        <w:rPr>
          <w:b/>
          <w:color w:val="C00000"/>
        </w:rPr>
        <w:t xml:space="preserve">Methodology </w:t>
      </w:r>
    </w:p>
    <w:p w:rsidR="001D166B" w:rsidRPr="000C3C05" w:rsidRDefault="001D166B" w:rsidP="001D166B">
      <w:pPr>
        <w:pStyle w:val="ListParagraph"/>
        <w:numPr>
          <w:ilvl w:val="0"/>
          <w:numId w:val="9"/>
        </w:numPr>
        <w:rPr>
          <w:color w:val="1F497D" w:themeColor="text2"/>
        </w:rPr>
      </w:pPr>
      <w:r w:rsidRPr="000C3C05">
        <w:rPr>
          <w:color w:val="1F497D" w:themeColor="text2"/>
        </w:rPr>
        <w:t xml:space="preserve">Qualitative </w:t>
      </w:r>
    </w:p>
    <w:p w:rsidR="001D166B" w:rsidRPr="000C3C05" w:rsidRDefault="001D166B" w:rsidP="001D166B">
      <w:pPr>
        <w:pStyle w:val="ListParagraph"/>
        <w:numPr>
          <w:ilvl w:val="0"/>
          <w:numId w:val="9"/>
        </w:numPr>
        <w:rPr>
          <w:color w:val="1F497D" w:themeColor="text2"/>
        </w:rPr>
      </w:pPr>
      <w:r w:rsidRPr="000C3C05">
        <w:rPr>
          <w:color w:val="1F497D" w:themeColor="text2"/>
        </w:rPr>
        <w:t xml:space="preserve">Quantitative </w:t>
      </w:r>
    </w:p>
    <w:p w:rsidR="001D166B" w:rsidRPr="001D166B" w:rsidRDefault="001D166B">
      <w:pPr>
        <w:rPr>
          <w:b/>
          <w:color w:val="C00000"/>
        </w:rPr>
      </w:pPr>
      <w:r w:rsidRPr="001D166B">
        <w:rPr>
          <w:b/>
          <w:color w:val="C00000"/>
        </w:rPr>
        <w:t xml:space="preserve">Conclusions </w:t>
      </w:r>
    </w:p>
    <w:p w:rsidR="001D166B" w:rsidRPr="001D166B" w:rsidRDefault="001D166B">
      <w:pPr>
        <w:rPr>
          <w:b/>
          <w:color w:val="C00000"/>
        </w:rPr>
      </w:pPr>
      <w:r w:rsidRPr="001D166B">
        <w:rPr>
          <w:b/>
          <w:color w:val="C00000"/>
        </w:rPr>
        <w:t xml:space="preserve">Recommendations </w:t>
      </w:r>
    </w:p>
    <w:p w:rsidR="00381A53" w:rsidRPr="001D166B" w:rsidRDefault="001D166B">
      <w:pPr>
        <w:rPr>
          <w:b/>
          <w:color w:val="C00000"/>
        </w:rPr>
      </w:pPr>
      <w:r w:rsidRPr="001D166B">
        <w:rPr>
          <w:b/>
          <w:color w:val="C00000"/>
        </w:rPr>
        <w:t>References</w:t>
      </w:r>
    </w:p>
    <w:p w:rsidR="00381A53" w:rsidRPr="00BC15D0" w:rsidRDefault="00BC15D0">
      <w:pPr>
        <w:rPr>
          <w:b/>
          <w:color w:val="C00000"/>
        </w:rPr>
      </w:pPr>
      <w:r w:rsidRPr="00BC15D0">
        <w:rPr>
          <w:b/>
          <w:color w:val="C00000"/>
        </w:rPr>
        <w:t>Bibliography</w:t>
      </w:r>
    </w:p>
    <w:p w:rsidR="00381A53" w:rsidRDefault="00381A53">
      <w:pPr>
        <w:rPr>
          <w:b/>
          <w:color w:val="C00000"/>
          <w:u w:val="single"/>
        </w:rPr>
      </w:pPr>
    </w:p>
    <w:p w:rsidR="00381A53" w:rsidRDefault="00381A53">
      <w:pPr>
        <w:rPr>
          <w:b/>
          <w:color w:val="C00000"/>
          <w:u w:val="single"/>
        </w:rPr>
      </w:pPr>
    </w:p>
    <w:p w:rsidR="00381A53" w:rsidRDefault="00381A53">
      <w:pPr>
        <w:rPr>
          <w:b/>
          <w:color w:val="C00000"/>
          <w:u w:val="single"/>
        </w:rPr>
      </w:pPr>
    </w:p>
    <w:p w:rsidR="00381A53" w:rsidRDefault="00381A53">
      <w:pPr>
        <w:rPr>
          <w:b/>
          <w:color w:val="C00000"/>
          <w:u w:val="single"/>
        </w:rPr>
      </w:pPr>
    </w:p>
    <w:p w:rsidR="00381A53" w:rsidRDefault="00381A53">
      <w:pPr>
        <w:rPr>
          <w:b/>
          <w:color w:val="C00000"/>
          <w:u w:val="single"/>
        </w:rPr>
      </w:pPr>
    </w:p>
    <w:p w:rsidR="00381A53" w:rsidRDefault="00381A53">
      <w:pPr>
        <w:rPr>
          <w:b/>
          <w:color w:val="C00000"/>
          <w:u w:val="single"/>
        </w:rPr>
      </w:pPr>
    </w:p>
    <w:p w:rsidR="00381A53" w:rsidRDefault="00381A53">
      <w:pPr>
        <w:rPr>
          <w:b/>
          <w:color w:val="C00000"/>
          <w:u w:val="single"/>
        </w:rPr>
      </w:pPr>
    </w:p>
    <w:p w:rsidR="00381A53" w:rsidRDefault="00381A53">
      <w:pPr>
        <w:rPr>
          <w:b/>
          <w:color w:val="C00000"/>
          <w:u w:val="single"/>
        </w:rPr>
      </w:pPr>
    </w:p>
    <w:p w:rsidR="00C21845" w:rsidRPr="009C4C16" w:rsidRDefault="00C21845">
      <w:pPr>
        <w:rPr>
          <w:b/>
          <w:color w:val="C00000"/>
          <w:u w:val="single"/>
        </w:rPr>
      </w:pPr>
      <w:r w:rsidRPr="009C4C16">
        <w:rPr>
          <w:b/>
          <w:color w:val="C00000"/>
          <w:u w:val="single"/>
        </w:rPr>
        <w:lastRenderedPageBreak/>
        <w:t>Aims and Rationale</w:t>
      </w:r>
    </w:p>
    <w:p w:rsidR="00E463F5" w:rsidRDefault="00754F02">
      <w:r>
        <w:t xml:space="preserve">This report will evaluate current methods </w:t>
      </w:r>
      <w:r w:rsidR="004932F0">
        <w:t xml:space="preserve">recommended to </w:t>
      </w:r>
      <w:r w:rsidR="0052322E">
        <w:t>improve the</w:t>
      </w:r>
      <w:r w:rsidR="004932F0">
        <w:t xml:space="preserve"> management of absenteeism in the workplace. The focus will be primarily on </w:t>
      </w:r>
      <w:r w:rsidR="00E463F5">
        <w:t xml:space="preserve">new </w:t>
      </w:r>
      <w:r w:rsidR="0052322E">
        <w:t>staff</w:t>
      </w:r>
      <w:r w:rsidR="00A375C0">
        <w:t xml:space="preserve"> to ensure </w:t>
      </w:r>
      <w:r w:rsidR="006C0526">
        <w:t xml:space="preserve">better retention of new recruits, </w:t>
      </w:r>
      <w:r w:rsidR="004932F0">
        <w:t xml:space="preserve">reducing </w:t>
      </w:r>
      <w:r w:rsidR="006C0526">
        <w:t xml:space="preserve">recruitment </w:t>
      </w:r>
      <w:r w:rsidR="004932F0">
        <w:t xml:space="preserve">costs and improving overall productivity. </w:t>
      </w:r>
    </w:p>
    <w:p w:rsidR="004932F0" w:rsidRDefault="0052322E" w:rsidP="0052322E">
      <w:r>
        <w:t xml:space="preserve">Admiral </w:t>
      </w:r>
      <w:r w:rsidR="005974C4">
        <w:t>I</w:t>
      </w:r>
      <w:r w:rsidR="009D73A6">
        <w:t xml:space="preserve">nsurance </w:t>
      </w:r>
      <w:r>
        <w:t>is</w:t>
      </w:r>
      <w:r w:rsidR="00856B97">
        <w:t xml:space="preserve"> FTSE 100 Company and rated as one of the best and</w:t>
      </w:r>
      <w:r w:rsidR="009D73A6">
        <w:t xml:space="preserve"> largest empl</w:t>
      </w:r>
      <w:r w:rsidR="005974C4">
        <w:t>oyers in South Wales with over 4</w:t>
      </w:r>
      <w:r w:rsidR="009D73A6">
        <w:t xml:space="preserve">000 employees split between Cardiff, Swansea &amp; Newport. </w:t>
      </w:r>
      <w:r w:rsidR="00543815">
        <w:t>This report focuses on the</w:t>
      </w:r>
      <w:r>
        <w:t xml:space="preserve"> Outbound Sales department </w:t>
      </w:r>
      <w:r w:rsidR="00863412">
        <w:t xml:space="preserve">which </w:t>
      </w:r>
      <w:r w:rsidR="00C21845">
        <w:t xml:space="preserve">has a headcount of 200 frontline </w:t>
      </w:r>
      <w:r w:rsidR="004932F0">
        <w:t>(</w:t>
      </w:r>
      <w:r w:rsidR="00C21845">
        <w:t xml:space="preserve">telephone </w:t>
      </w:r>
      <w:r>
        <w:t>based</w:t>
      </w:r>
      <w:r w:rsidR="004932F0">
        <w:t>)</w:t>
      </w:r>
      <w:r>
        <w:t xml:space="preserve"> staff.</w:t>
      </w:r>
      <w:r w:rsidR="00C21845">
        <w:t xml:space="preserve"> Outbound Agents make calls to existing customers in order to sell additional policies and benefits as well as take inbound calls when our </w:t>
      </w:r>
      <w:r w:rsidR="005974C4">
        <w:t>new Business Department is busy</w:t>
      </w:r>
      <w:r w:rsidR="00DD32D8">
        <w:t>,</w:t>
      </w:r>
      <w:r w:rsidR="005974C4">
        <w:t xml:space="preserve"> ensuring the best levels of customer service possible at all times.</w:t>
      </w:r>
    </w:p>
    <w:p w:rsidR="0052322E" w:rsidRDefault="005974C4" w:rsidP="0052322E">
      <w:r>
        <w:t xml:space="preserve"> </w:t>
      </w:r>
      <w:r w:rsidR="004932F0">
        <w:t xml:space="preserve">As the majority of our calls are </w:t>
      </w:r>
      <w:r w:rsidR="00DD32D8">
        <w:t>outbound</w:t>
      </w:r>
      <w:r w:rsidR="004932F0">
        <w:t xml:space="preserve"> to customers, the department is broadly viewed as a profit rather than cost centre, our profitability is measured on the incremental value we add after operating costs are removed. Our main operating cost is “cost per agent hour” this includes the cost of recruiting, training and remunerating staff across the department. </w:t>
      </w:r>
      <w:r w:rsidR="00576871">
        <w:t xml:space="preserve">This cost currently stands at £36.00 per agent per hour. </w:t>
      </w:r>
    </w:p>
    <w:p w:rsidR="006614C8" w:rsidRDefault="00863412" w:rsidP="005974C4">
      <w:r>
        <w:t xml:space="preserve">Increasing absenteeism </w:t>
      </w:r>
      <w:r w:rsidR="005974C4">
        <w:t xml:space="preserve">amongst new starters </w:t>
      </w:r>
      <w:r>
        <w:t>h</w:t>
      </w:r>
      <w:r w:rsidR="00543815">
        <w:t xml:space="preserve">as a </w:t>
      </w:r>
      <w:r>
        <w:t>significant</w:t>
      </w:r>
      <w:r w:rsidR="00576871">
        <w:t xml:space="preserve"> impact on the profitability</w:t>
      </w:r>
      <w:r w:rsidR="00543815">
        <w:t xml:space="preserve"> of the departme</w:t>
      </w:r>
      <w:r w:rsidR="00BC771B">
        <w:t xml:space="preserve">nt. </w:t>
      </w:r>
      <w:r w:rsidR="00C21845">
        <w:t xml:space="preserve"> </w:t>
      </w:r>
      <w:r w:rsidR="00647E57">
        <w:t xml:space="preserve">As the graphs below show, the percentage of probationers taking unplanned absence has </w:t>
      </w:r>
      <w:r w:rsidR="00BC771B">
        <w:t xml:space="preserve">increased </w:t>
      </w:r>
      <w:r w:rsidR="00B47374">
        <w:t>by 43%</w:t>
      </w:r>
      <w:r w:rsidR="00BC771B">
        <w:t xml:space="preserve"> year on year</w:t>
      </w:r>
      <w:r w:rsidR="00A233E3">
        <w:t xml:space="preserve"> (EUI ltd, 2018).</w:t>
      </w:r>
    </w:p>
    <w:p w:rsidR="009B6404" w:rsidRDefault="004D1985" w:rsidP="00BC771B">
      <w:pPr>
        <w:rPr>
          <w:b/>
          <w:u w:val="single"/>
        </w:rPr>
      </w:pPr>
      <w:r>
        <w:rPr>
          <w:noProof/>
          <w:lang w:eastAsia="en-GB"/>
        </w:rPr>
        <w:drawing>
          <wp:inline distT="0" distB="0" distL="0" distR="0" wp14:anchorId="17C55862" wp14:editId="08DC69D8">
            <wp:extent cx="2524125" cy="2114550"/>
            <wp:effectExtent l="0" t="0" r="9525" b="0"/>
            <wp:docPr id="1" name="Chart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16="http://schemas.microsoft.com/office/drawing/2014/main" id="{5A423610-1C6D-49A1-B1DC-7B2E9B5B9F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647E57" w:rsidRPr="00647E57">
        <w:rPr>
          <w:noProof/>
        </w:rPr>
        <w:t xml:space="preserve"> </w:t>
      </w:r>
      <w:r w:rsidR="00647E57">
        <w:rPr>
          <w:noProof/>
          <w:lang w:eastAsia="en-GB"/>
        </w:rPr>
        <w:drawing>
          <wp:inline distT="0" distB="0" distL="0" distR="0" wp14:anchorId="0AD52677" wp14:editId="2E31500A">
            <wp:extent cx="2581275" cy="2105025"/>
            <wp:effectExtent l="0" t="0" r="9525" b="9525"/>
            <wp:docPr id="4" name="Chart 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16="http://schemas.microsoft.com/office/drawing/2014/main" id="{5A423610-1C6D-49A1-B1DC-7B2E9B5B9F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148F5" w:rsidRPr="009B6404" w:rsidRDefault="00E148F5" w:rsidP="00BC771B">
      <w:pPr>
        <w:rPr>
          <w:b/>
          <w:u w:val="single"/>
        </w:rPr>
      </w:pPr>
      <w:r w:rsidRPr="00E148F5">
        <w:rPr>
          <w:sz w:val="16"/>
          <w:szCs w:val="16"/>
        </w:rPr>
        <w:t>Fig 1: Outbound Attendance Chart October 2018</w:t>
      </w:r>
    </w:p>
    <w:p w:rsidR="00BC771B" w:rsidRDefault="00BC771B" w:rsidP="00BC771B">
      <w:r>
        <w:t xml:space="preserve">If this trend continues we will see an increase in staff failing probation leading to additional recruitment and training costs as well as lost productivity and a diminished service to customers. The aim of this report is to critically review suggested methods and implement a flexible but effective process to manage this section of </w:t>
      </w:r>
      <w:r w:rsidR="003608EC">
        <w:t>employees</w:t>
      </w:r>
      <w:r w:rsidR="00915044">
        <w:t xml:space="preserve">. </w:t>
      </w:r>
    </w:p>
    <w:p w:rsidR="00915044" w:rsidRDefault="00915044" w:rsidP="00BC771B">
      <w:r>
        <w:t xml:space="preserve">Th goal is to reverse the trend and reduce the instances of absence in new starters </w:t>
      </w:r>
      <w:r w:rsidR="003608EC">
        <w:t>to</w:t>
      </w:r>
      <w:r>
        <w:t xml:space="preserve"> increase the number who pass probation at six months and go on to be productive and reliable staff members. </w:t>
      </w:r>
    </w:p>
    <w:p w:rsidR="00CA3339" w:rsidRDefault="00CA3339" w:rsidP="005974C4">
      <w:pPr>
        <w:rPr>
          <w:b/>
          <w:u w:val="single"/>
        </w:rPr>
      </w:pPr>
    </w:p>
    <w:p w:rsidR="00915044" w:rsidRDefault="00915044" w:rsidP="005974C4">
      <w:pPr>
        <w:rPr>
          <w:b/>
          <w:color w:val="C00000"/>
          <w:u w:val="single"/>
        </w:rPr>
      </w:pPr>
    </w:p>
    <w:p w:rsidR="00B22272" w:rsidRPr="009C4C16" w:rsidRDefault="00B22272" w:rsidP="005974C4">
      <w:pPr>
        <w:rPr>
          <w:b/>
          <w:color w:val="C00000"/>
          <w:u w:val="single"/>
        </w:rPr>
      </w:pPr>
      <w:r w:rsidRPr="009C4C16">
        <w:rPr>
          <w:b/>
          <w:color w:val="C00000"/>
          <w:u w:val="single"/>
        </w:rPr>
        <w:lastRenderedPageBreak/>
        <w:t xml:space="preserve">Literature Review </w:t>
      </w:r>
    </w:p>
    <w:p w:rsidR="000D13BF" w:rsidRPr="000D13BF" w:rsidRDefault="007677ED" w:rsidP="000D13BF">
      <w:pPr>
        <w:rPr>
          <w:b/>
          <w:u w:val="single"/>
        </w:rPr>
      </w:pPr>
      <w:r>
        <w:rPr>
          <w:b/>
          <w:u w:val="single"/>
        </w:rPr>
        <w:t>Absence Measurement</w:t>
      </w:r>
    </w:p>
    <w:p w:rsidR="000D13BF" w:rsidRDefault="000D13BF" w:rsidP="000D13BF">
      <w:r>
        <w:t>Before improvements can be</w:t>
      </w:r>
      <w:r w:rsidR="00FF405A">
        <w:t xml:space="preserve"> accurately</w:t>
      </w:r>
      <w:r>
        <w:t xml:space="preserve"> tracked, we need to ensure we are confident in our current methods of measurement. Evans &amp; Walters (2002, p.4.), among others, </w:t>
      </w:r>
      <w:r w:rsidR="00675651">
        <w:t>recommend, time lost, frequency and a tool such as The Bradford Calculator which</w:t>
      </w:r>
      <w:r>
        <w:t xml:space="preserve"> successfully used in other organisations: Using one or more of these measures will enable triggers to be identified forming the basic framework of an absence management process. </w:t>
      </w:r>
    </w:p>
    <w:p w:rsidR="00620E90" w:rsidRDefault="00620E90" w:rsidP="000D13BF">
      <w:r>
        <w:t xml:space="preserve">For reporting up to senior managers, including figures around time lost and the cost seems appropriate, and frequency seems a logical measure. The Bradford Calculator seems though to be more relevant after the timeframe this report focuses on as most sources agree it works best over a minimum of twelve months. </w:t>
      </w:r>
    </w:p>
    <w:p w:rsidR="006674DE" w:rsidRDefault="00FB473B" w:rsidP="000D13BF">
      <w:pPr>
        <w:rPr>
          <w:b/>
          <w:u w:val="single"/>
        </w:rPr>
      </w:pPr>
      <w:r w:rsidRPr="00FB473B">
        <w:rPr>
          <w:b/>
          <w:u w:val="single"/>
        </w:rPr>
        <w:t>Culture</w:t>
      </w:r>
      <w:r w:rsidR="006674DE">
        <w:rPr>
          <w:b/>
          <w:u w:val="single"/>
        </w:rPr>
        <w:t>, Engagement</w:t>
      </w:r>
      <w:r w:rsidR="004C287E">
        <w:rPr>
          <w:b/>
          <w:u w:val="single"/>
        </w:rPr>
        <w:t xml:space="preserve"> &amp; </w:t>
      </w:r>
      <w:r w:rsidR="006674DE">
        <w:rPr>
          <w:b/>
          <w:u w:val="single"/>
        </w:rPr>
        <w:t xml:space="preserve">Leadership </w:t>
      </w:r>
      <w:r w:rsidRPr="00FB473B">
        <w:rPr>
          <w:b/>
          <w:u w:val="single"/>
        </w:rPr>
        <w:t xml:space="preserve"> </w:t>
      </w:r>
    </w:p>
    <w:p w:rsidR="00795374" w:rsidRDefault="00FD1DFE" w:rsidP="000D13BF">
      <w:r>
        <w:t xml:space="preserve">According to Furnham and Gunter </w:t>
      </w:r>
      <w:sdt>
        <w:sdtPr>
          <w:id w:val="527528283"/>
          <w:citation/>
        </w:sdtPr>
        <w:sdtEndPr/>
        <w:sdtContent>
          <w:r>
            <w:fldChar w:fldCharType="begin"/>
          </w:r>
          <w:r>
            <w:instrText xml:space="preserve">CITATION Gun \n  \l 2057 </w:instrText>
          </w:r>
          <w:r>
            <w:fldChar w:fldCharType="separate"/>
          </w:r>
          <w:r w:rsidR="004D6C12" w:rsidRPr="004D6C12">
            <w:rPr>
              <w:noProof/>
            </w:rPr>
            <w:t>(1993)</w:t>
          </w:r>
          <w:r>
            <w:fldChar w:fldCharType="end"/>
          </w:r>
        </w:sdtContent>
      </w:sdt>
      <w:r>
        <w:t xml:space="preserve">, culture is the social glue that generates the “we-feeling”. This helps promote the idea of being part of the bigger picture and working towards a common goal. </w:t>
      </w:r>
      <w:r w:rsidR="00795374">
        <w:t xml:space="preserve">This is why call-centre environments tend to be structured in teams to re-inforce this message and encourage everyone to see themselves as part of the bigger picture. In this organisation the message is driven home when new staff meet the CEO as he gives everyone a small piece of a jigsaw puzzle. </w:t>
      </w:r>
    </w:p>
    <w:p w:rsidR="00993AD2" w:rsidRDefault="00795374" w:rsidP="00993AD2">
      <w:r>
        <w:t xml:space="preserve">Driving this team mentality and behaviour </w:t>
      </w:r>
      <w:r w:rsidR="009C7AC4">
        <w:t xml:space="preserve">in this way </w:t>
      </w:r>
      <w:r w:rsidR="00993AD2">
        <w:t xml:space="preserve">can be achieved in two ways according to Schein </w:t>
      </w:r>
      <w:sdt>
        <w:sdtPr>
          <w:id w:val="-321978944"/>
          <w:citation/>
        </w:sdtPr>
        <w:sdtEndPr/>
        <w:sdtContent>
          <w:r w:rsidR="00993AD2">
            <w:fldChar w:fldCharType="begin"/>
          </w:r>
          <w:r w:rsidR="00993AD2">
            <w:instrText xml:space="preserve">CITATION Sch84 \n  \l 2057 </w:instrText>
          </w:r>
          <w:r w:rsidR="00993AD2">
            <w:fldChar w:fldCharType="separate"/>
          </w:r>
          <w:r w:rsidR="004D6C12" w:rsidRPr="004D6C12">
            <w:rPr>
              <w:noProof/>
            </w:rPr>
            <w:t>(1984)</w:t>
          </w:r>
          <w:r w:rsidR="00993AD2">
            <w:fldChar w:fldCharType="end"/>
          </w:r>
        </w:sdtContent>
      </w:sdt>
      <w:r w:rsidR="00993AD2">
        <w:t>, the trauma model based on a common threat or the positive reinforcement model where things deemed to be successful are embedded in the culture. There is merit in both the carrot and stick approach, without the threat element, positive reinforcement could become less valuable with nothing to add perspective.</w:t>
      </w:r>
      <w:r w:rsidR="00E177BD">
        <w:t xml:space="preserve"> There needs to be reward for good attendance, and action needs to be taken immediately to address new staff who are not achieving the required standard. </w:t>
      </w:r>
    </w:p>
    <w:p w:rsidR="000D13BF" w:rsidRDefault="00DC3014" w:rsidP="000D13BF">
      <w:r>
        <w:t>Building on this idea and helping staff feel invested in the success of the department and wider business</w:t>
      </w:r>
      <w:r w:rsidR="00FF405A">
        <w:t xml:space="preserve">. </w:t>
      </w:r>
      <w:r w:rsidR="006674DE">
        <w:t>Patti McCord builds on this idea in her book</w:t>
      </w:r>
      <w:r w:rsidR="00614F79">
        <w:t xml:space="preserve"> </w:t>
      </w:r>
      <w:sdt>
        <w:sdtPr>
          <w:id w:val="2080164831"/>
          <w:citation/>
        </w:sdtPr>
        <w:sdtEndPr/>
        <w:sdtContent>
          <w:r w:rsidR="00614F79">
            <w:fldChar w:fldCharType="begin"/>
          </w:r>
          <w:r w:rsidR="00614F79">
            <w:instrText xml:space="preserve">CITATION Mcc18 \n  \l 2057 </w:instrText>
          </w:r>
          <w:r w:rsidR="00614F79">
            <w:fldChar w:fldCharType="separate"/>
          </w:r>
          <w:r w:rsidR="004D6C12" w:rsidRPr="004D6C12">
            <w:rPr>
              <w:noProof/>
            </w:rPr>
            <w:t>(2018)</w:t>
          </w:r>
          <w:r w:rsidR="00614F79">
            <w:fldChar w:fldCharType="end"/>
          </w:r>
        </w:sdtContent>
      </w:sdt>
      <w:r w:rsidR="00614F79">
        <w:t xml:space="preserve">, </w:t>
      </w:r>
      <w:r w:rsidR="006674DE">
        <w:t>she talks about the importance of communicating in an open and transparent way to build trust and encourage staff to feel involve</w:t>
      </w:r>
      <w:r w:rsidR="00614F79">
        <w:t>d</w:t>
      </w:r>
      <w:r w:rsidR="006674DE">
        <w:t xml:space="preserve"> in all levels of the business. </w:t>
      </w:r>
    </w:p>
    <w:p w:rsidR="00614F79" w:rsidRDefault="00614F79" w:rsidP="000D13BF">
      <w:r>
        <w:t>However, given the nature of the industry</w:t>
      </w:r>
      <w:r w:rsidR="00515C72">
        <w:t>,</w:t>
      </w:r>
      <w:r>
        <w:t xml:space="preserve"> </w:t>
      </w:r>
      <w:r w:rsidR="005361B4">
        <w:t xml:space="preserve">due consideration must be given around the type of information shared, some business sensitive information cannot be disclosed, also too much detail may unnecessarily alarm staff if not presented in the best way. </w:t>
      </w:r>
    </w:p>
    <w:p w:rsidR="009C7AC4" w:rsidRDefault="009C7AC4" w:rsidP="000D13BF">
      <w:r>
        <w:t xml:space="preserve">If culture works effectively in the ways mentioned, the though process is that staff will fee a sense of responsibility towards this common goal and consider taking unnecessary time off to be letting down the team. </w:t>
      </w:r>
    </w:p>
    <w:p w:rsidR="00993AD2" w:rsidRDefault="00A52152" w:rsidP="00993AD2">
      <w:r>
        <w:t>Strong and effective lea</w:t>
      </w:r>
      <w:r w:rsidR="009C7AC4">
        <w:t>dership is vital to reinforce culture</w:t>
      </w:r>
      <w:r>
        <w:t xml:space="preserve">. The way in which information is communicated can be as important as the message, and a good leader is aware of what motivates and impacts the feelings and behaviour of their staff. </w:t>
      </w:r>
    </w:p>
    <w:p w:rsidR="005C4A8F" w:rsidRDefault="004C287E" w:rsidP="000D13BF">
      <w:r>
        <w:lastRenderedPageBreak/>
        <w:t xml:space="preserve">The sooner new staff build a relationship with their line manager the </w:t>
      </w:r>
      <w:r w:rsidR="007240CC">
        <w:t>better;</w:t>
      </w:r>
      <w:r>
        <w:t xml:space="preserve"> face to face interaction and clear communication about expectations are more effective than a power point presentation or documentation </w:t>
      </w:r>
      <w:sdt>
        <w:sdtPr>
          <w:id w:val="1834721734"/>
          <w:citation/>
        </w:sdtPr>
        <w:sdtEndPr/>
        <w:sdtContent>
          <w:r>
            <w:fldChar w:fldCharType="begin"/>
          </w:r>
          <w:r>
            <w:instrText xml:space="preserve">CITATION Arm03 \p 476 \l 2057 </w:instrText>
          </w:r>
          <w:r>
            <w:fldChar w:fldCharType="separate"/>
          </w:r>
          <w:r w:rsidR="004D6C12" w:rsidRPr="004D6C12">
            <w:rPr>
              <w:noProof/>
            </w:rPr>
            <w:t>(Armstrong , 2006, p. 476)</w:t>
          </w:r>
          <w:r>
            <w:fldChar w:fldCharType="end"/>
          </w:r>
        </w:sdtContent>
      </w:sdt>
    </w:p>
    <w:p w:rsidR="000044CF" w:rsidRDefault="00337005" w:rsidP="000044CF">
      <w:r>
        <w:t>It’s also important to consider the employment history of the new starter, their behaviour will be heavily influenced by their previous experience.</w:t>
      </w:r>
      <w:r w:rsidR="00C17E32">
        <w:t xml:space="preserve"> </w:t>
      </w:r>
      <w:r>
        <w:t xml:space="preserve"> </w:t>
      </w:r>
      <w:r w:rsidR="00C17E32">
        <w:t>A common example would be</w:t>
      </w:r>
      <w:r>
        <w:t xml:space="preserve">, taking time off on a Monday due to over indulging at the weekend, may have not seemed an issue at college or university, but in a workplace, this isn’t acceptable.  </w:t>
      </w:r>
    </w:p>
    <w:p w:rsidR="000044CF" w:rsidRDefault="000044CF" w:rsidP="000044CF">
      <w:r>
        <w:t xml:space="preserve">New starters could be placed with one of eleven team managers presently, looking at current staff files, attendance is managed very differently be each manager and triggers are only enforced by some. </w:t>
      </w:r>
      <w:r w:rsidR="00337005">
        <w:t xml:space="preserve">As well as the manager, other staff members can be in a position to influence behaviour if the culture is strong enough. </w:t>
      </w:r>
    </w:p>
    <w:p w:rsidR="00675651" w:rsidRDefault="00A52152" w:rsidP="00A52152">
      <w:r>
        <w:t>Engagement is very closely linked to both culture and leadership,</w:t>
      </w:r>
      <w:r w:rsidR="00FC7C38">
        <w:t xml:space="preserve"> although engagement is more personal, </w:t>
      </w:r>
      <w:r w:rsidR="00675651">
        <w:t xml:space="preserve">the most effective way to measure this is through employee satisfaction surveys </w:t>
      </w:r>
      <w:sdt>
        <w:sdtPr>
          <w:id w:val="-337769066"/>
          <w:citation/>
        </w:sdtPr>
        <w:sdtEndPr/>
        <w:sdtContent>
          <w:r w:rsidR="00675651">
            <w:fldChar w:fldCharType="begin"/>
          </w:r>
          <w:r w:rsidR="00675651">
            <w:instrText xml:space="preserve"> CITATION CIP18 \l 2057 </w:instrText>
          </w:r>
          <w:r w:rsidR="00675651">
            <w:fldChar w:fldCharType="separate"/>
          </w:r>
          <w:r w:rsidR="004D6C12" w:rsidRPr="004D6C12">
            <w:rPr>
              <w:noProof/>
            </w:rPr>
            <w:t>(CIPD, 2018)</w:t>
          </w:r>
          <w:r w:rsidR="00675651">
            <w:fldChar w:fldCharType="end"/>
          </w:r>
        </w:sdtContent>
      </w:sdt>
      <w:r w:rsidR="00675651">
        <w:t xml:space="preserve">. This can give valuable insights into areas of the business that could be impacting attendance, areas such as work/life balance, pressure of the role etc.  </w:t>
      </w:r>
    </w:p>
    <w:p w:rsidR="00FB473B" w:rsidRDefault="00FB473B" w:rsidP="00FB473B">
      <w:pPr>
        <w:rPr>
          <w:b/>
          <w:u w:val="single"/>
        </w:rPr>
      </w:pPr>
      <w:r w:rsidRPr="000D13BF">
        <w:rPr>
          <w:b/>
          <w:u w:val="single"/>
        </w:rPr>
        <w:t xml:space="preserve">Wellbeing &amp; </w:t>
      </w:r>
      <w:r w:rsidR="004C287E">
        <w:rPr>
          <w:b/>
          <w:u w:val="single"/>
        </w:rPr>
        <w:t xml:space="preserve">Flexibility </w:t>
      </w:r>
      <w:r w:rsidRPr="000D13BF">
        <w:rPr>
          <w:b/>
          <w:u w:val="single"/>
        </w:rPr>
        <w:t xml:space="preserve"> </w:t>
      </w:r>
    </w:p>
    <w:p w:rsidR="00B52181" w:rsidRDefault="00620E90" w:rsidP="000D13BF">
      <w:r w:rsidRPr="00620E90">
        <w:t>Well</w:t>
      </w:r>
      <w:r>
        <w:t xml:space="preserve">being is very closely linked with the previous topics, current thinking ties in wellbeing at work strategies with managing absenteeism and presenteeism. Feedback from engagement surveys </w:t>
      </w:r>
      <w:sdt>
        <w:sdtPr>
          <w:id w:val="-46526109"/>
          <w:citation/>
        </w:sdtPr>
        <w:sdtEndPr/>
        <w:sdtContent>
          <w:r w:rsidR="00B52181">
            <w:fldChar w:fldCharType="begin"/>
          </w:r>
          <w:r w:rsidR="00B52181">
            <w:instrText xml:space="preserve"> CITATION ACA14 \l 2057 </w:instrText>
          </w:r>
          <w:r w:rsidR="00B52181">
            <w:fldChar w:fldCharType="separate"/>
          </w:r>
          <w:r w:rsidR="004D6C12" w:rsidRPr="004D6C12">
            <w:rPr>
              <w:noProof/>
            </w:rPr>
            <w:t>(ACAS, 2014)</w:t>
          </w:r>
          <w:r w:rsidR="00B52181">
            <w:fldChar w:fldCharType="end"/>
          </w:r>
        </w:sdtContent>
      </w:sdt>
      <w:r w:rsidR="00B52181">
        <w:t xml:space="preserve"> indicate that many of the factors impacting absenteeism could be improved by a more flexible approach to working hours, as well as strategies in the workplace to encourage staff to adopt a more health conscious lifestyle. </w:t>
      </w:r>
    </w:p>
    <w:p w:rsidR="00B52181" w:rsidRDefault="00B52181" w:rsidP="000D13BF">
      <w:r>
        <w:t xml:space="preserve">Current data supplied by independent organisations such as CIPD indicate that the causes of absence are changing with mental health related issues becoming more common. This insight </w:t>
      </w:r>
      <w:r w:rsidR="00E30621">
        <w:t xml:space="preserve">can help employers to prepare by accessing resources such us employee assistance schemes and Occupational Health professionals to help keep employees in work with the right adjustments. </w:t>
      </w:r>
    </w:p>
    <w:p w:rsidR="00E30621" w:rsidRDefault="00E30621" w:rsidP="000D13BF">
      <w:r>
        <w:t xml:space="preserve">It is important to recognise here that whilst some steps can be taken to accommodate flexibility, there are restrictions on the </w:t>
      </w:r>
      <w:r w:rsidR="003608EC">
        <w:t>adjustment’s</w:t>
      </w:r>
      <w:r>
        <w:t xml:space="preserve"> businesses can make. As a contact centre, the most productive dialling times are evenings and weekends, these are generally the least popular hours for staff to work. </w:t>
      </w:r>
    </w:p>
    <w:p w:rsidR="007B3781" w:rsidRDefault="007B3781" w:rsidP="007B3781">
      <w:r>
        <w:t xml:space="preserve">The information gathered when staff come back after absence can also provide valuable information, structuring this carefully and asking the right questions could help gather data and take action to prevent further absence if possible. </w:t>
      </w:r>
    </w:p>
    <w:p w:rsidR="007B3781" w:rsidRDefault="007B3781" w:rsidP="00A326B8">
      <w:pPr>
        <w:rPr>
          <w:b/>
          <w:color w:val="C00000"/>
          <w:u w:val="single"/>
        </w:rPr>
      </w:pPr>
    </w:p>
    <w:p w:rsidR="007B3781" w:rsidRDefault="007B3781" w:rsidP="00A326B8">
      <w:pPr>
        <w:rPr>
          <w:b/>
          <w:color w:val="C00000"/>
          <w:u w:val="single"/>
        </w:rPr>
      </w:pPr>
    </w:p>
    <w:p w:rsidR="007B3781" w:rsidRDefault="007B3781" w:rsidP="00A326B8">
      <w:pPr>
        <w:rPr>
          <w:b/>
          <w:color w:val="C00000"/>
          <w:u w:val="single"/>
        </w:rPr>
      </w:pPr>
    </w:p>
    <w:p w:rsidR="007B3781" w:rsidRDefault="007B3781" w:rsidP="00A326B8">
      <w:pPr>
        <w:rPr>
          <w:b/>
          <w:color w:val="C00000"/>
          <w:u w:val="single"/>
        </w:rPr>
      </w:pPr>
    </w:p>
    <w:p w:rsidR="007B3781" w:rsidRDefault="007B3781" w:rsidP="00A326B8">
      <w:pPr>
        <w:rPr>
          <w:b/>
          <w:color w:val="C00000"/>
          <w:u w:val="single"/>
        </w:rPr>
      </w:pPr>
    </w:p>
    <w:p w:rsidR="007B3781" w:rsidRDefault="007B3781" w:rsidP="00A326B8">
      <w:pPr>
        <w:rPr>
          <w:b/>
          <w:color w:val="C00000"/>
          <w:u w:val="single"/>
        </w:rPr>
      </w:pPr>
    </w:p>
    <w:p w:rsidR="00A326B8" w:rsidRPr="00876025" w:rsidRDefault="00A326B8" w:rsidP="00A326B8">
      <w:pPr>
        <w:rPr>
          <w:b/>
          <w:color w:val="C00000"/>
          <w:u w:val="single"/>
        </w:rPr>
      </w:pPr>
      <w:r w:rsidRPr="00876025">
        <w:rPr>
          <w:b/>
          <w:color w:val="C00000"/>
          <w:u w:val="single"/>
        </w:rPr>
        <w:t>Methodology</w:t>
      </w:r>
    </w:p>
    <w:p w:rsidR="003608EC" w:rsidRPr="003608EC" w:rsidRDefault="003608EC" w:rsidP="00DD32D8">
      <w:pPr>
        <w:rPr>
          <w:b/>
          <w:u w:val="single"/>
        </w:rPr>
      </w:pPr>
      <w:r w:rsidRPr="003608EC">
        <w:rPr>
          <w:b/>
          <w:u w:val="single"/>
        </w:rPr>
        <w:t xml:space="preserve">Qualitative Data </w:t>
      </w:r>
    </w:p>
    <w:p w:rsidR="00F679B3" w:rsidRDefault="003608EC" w:rsidP="00DD32D8">
      <w:r w:rsidRPr="003608EC">
        <w:t>Finding sources for</w:t>
      </w:r>
      <w:r>
        <w:rPr>
          <w:b/>
          <w:u w:val="single"/>
        </w:rPr>
        <w:t xml:space="preserve"> </w:t>
      </w:r>
      <w:r>
        <w:t xml:space="preserve">research into this topic was far more difficult than anticipated, Information available is very relevant for absence management of staff after the initial induction or probationary period, but little available focusing on that formative phase. </w:t>
      </w:r>
    </w:p>
    <w:p w:rsidR="009557D6" w:rsidRDefault="009557D6" w:rsidP="00DD32D8">
      <w:r>
        <w:t xml:space="preserve">The ACAS website had a wealth of information </w:t>
      </w:r>
      <w:r w:rsidR="0082651A">
        <w:t xml:space="preserve">around best practice and current </w:t>
      </w:r>
      <w:r w:rsidR="009C7AC4">
        <w:t>thinking;</w:t>
      </w:r>
      <w:r>
        <w:t xml:space="preserve"> this has helped form the </w:t>
      </w:r>
      <w:r w:rsidR="000920A7">
        <w:t xml:space="preserve">basis for the recommendations. </w:t>
      </w:r>
      <w:r w:rsidR="00E177BD">
        <w:t xml:space="preserve">Clear communication and a consistent approach are vital. </w:t>
      </w:r>
      <w:r w:rsidR="000920A7">
        <w:t>Although the guidance available shows bias towards the employee and doesn’t allow for the restrictions realistically faced by employers or th</w:t>
      </w:r>
      <w:r w:rsidR="0082651A">
        <w:t>e impact that high levels of non-</w:t>
      </w:r>
      <w:r w:rsidR="000920A7">
        <w:t xml:space="preserve">attendance can have. </w:t>
      </w:r>
    </w:p>
    <w:p w:rsidR="000920A7" w:rsidRDefault="000920A7" w:rsidP="00DD32D8">
      <w:r>
        <w:t xml:space="preserve">There was no information easily available </w:t>
      </w:r>
      <w:r w:rsidR="0082651A">
        <w:t>around</w:t>
      </w:r>
      <w:r>
        <w:t xml:space="preserve"> the difficult situation of erroneous </w:t>
      </w:r>
      <w:r w:rsidR="0082651A">
        <w:t>or exaggerated</w:t>
      </w:r>
      <w:r>
        <w:t xml:space="preserve"> </w:t>
      </w:r>
      <w:r w:rsidR="009C7AC4">
        <w:t>sickness;</w:t>
      </w:r>
      <w:r>
        <w:t xml:space="preserve"> a great deal of trust is placed on </w:t>
      </w:r>
      <w:r w:rsidR="0082651A">
        <w:t xml:space="preserve">the provision of Fit Notes, when anecdotal evidence from this organisation would suggest they are too easily obtainable at the </w:t>
      </w:r>
      <w:r w:rsidR="009C7AC4">
        <w:t>employee’s</w:t>
      </w:r>
      <w:r w:rsidR="0082651A">
        <w:t xml:space="preserve"> request. </w:t>
      </w:r>
    </w:p>
    <w:p w:rsidR="009C7AC4" w:rsidRDefault="009C7AC4" w:rsidP="00DD32D8">
      <w:r>
        <w:t>The information available also fails to make any real distinction between new and establishe</w:t>
      </w:r>
      <w:r w:rsidR="007B3781">
        <w:t>d</w:t>
      </w:r>
      <w:r>
        <w:t xml:space="preserve"> staff, guidelines apply to all staff, on one hand this seems a fair approach, but new staff have yet to prove they are trustworthy or committed so should we be as flexible and accommodating? </w:t>
      </w:r>
    </w:p>
    <w:p w:rsidR="007B3781" w:rsidRDefault="007B3781" w:rsidP="00DD32D8">
      <w:r>
        <w:t>There is some very interesting guidance provided again by ACAS on the importance of using the back to work interview effectively</w:t>
      </w:r>
      <w:r w:rsidR="005D2887">
        <w:t xml:space="preserve">, this is an area to look at in the department for all staff not only new starters, </w:t>
      </w:r>
    </w:p>
    <w:p w:rsidR="00F679B3" w:rsidRDefault="003608EC" w:rsidP="00DD32D8">
      <w:pPr>
        <w:rPr>
          <w:b/>
          <w:u w:val="single"/>
        </w:rPr>
      </w:pPr>
      <w:r>
        <w:rPr>
          <w:b/>
          <w:u w:val="single"/>
        </w:rPr>
        <w:t>Quant</w:t>
      </w:r>
      <w:r w:rsidR="009557D6">
        <w:rPr>
          <w:b/>
          <w:u w:val="single"/>
        </w:rPr>
        <w:t>i</w:t>
      </w:r>
      <w:r>
        <w:rPr>
          <w:b/>
          <w:u w:val="single"/>
        </w:rPr>
        <w:t>t</w:t>
      </w:r>
      <w:r w:rsidR="009557D6">
        <w:rPr>
          <w:b/>
          <w:u w:val="single"/>
        </w:rPr>
        <w:t>at</w:t>
      </w:r>
      <w:r>
        <w:rPr>
          <w:b/>
          <w:u w:val="single"/>
        </w:rPr>
        <w:t xml:space="preserve">ive Data </w:t>
      </w:r>
    </w:p>
    <w:p w:rsidR="009557D6" w:rsidRPr="003608EC" w:rsidRDefault="009557D6" w:rsidP="009557D6">
      <w:r>
        <w:t xml:space="preserve">The most abundant sources of information were from the internet, particularly the CIPD surveys and website. </w:t>
      </w:r>
      <w:r w:rsidR="000920A7">
        <w:t>The most up to date Health &amp; Wellbeing at Work survey</w:t>
      </w:r>
      <w:sdt>
        <w:sdtPr>
          <w:id w:val="-758289966"/>
          <w:citation/>
        </w:sdtPr>
        <w:sdtEndPr/>
        <w:sdtContent>
          <w:r w:rsidR="000920A7">
            <w:fldChar w:fldCharType="begin"/>
          </w:r>
          <w:r w:rsidR="000920A7">
            <w:instrText xml:space="preserve">CITATION CIPHW18 \l 2057 </w:instrText>
          </w:r>
          <w:r w:rsidR="000920A7">
            <w:fldChar w:fldCharType="separate"/>
          </w:r>
          <w:r w:rsidR="004D6C12">
            <w:rPr>
              <w:noProof/>
            </w:rPr>
            <w:t xml:space="preserve"> </w:t>
          </w:r>
          <w:r w:rsidR="004D6C12" w:rsidRPr="004D6C12">
            <w:rPr>
              <w:noProof/>
            </w:rPr>
            <w:t>(CIPD, 2018)</w:t>
          </w:r>
          <w:r w:rsidR="000920A7">
            <w:fldChar w:fldCharType="end"/>
          </w:r>
        </w:sdtContent>
      </w:sdt>
      <w:r w:rsidR="000920A7">
        <w:t xml:space="preserve"> states that the average number of days absence stands at 6.3 days, this is way below the figure among new starters in the department this year which stands at 9.3 to date. </w:t>
      </w:r>
    </w:p>
    <w:p w:rsidR="00F679B3" w:rsidRPr="006679C0" w:rsidRDefault="006679C0" w:rsidP="00DD32D8">
      <w:r>
        <w:t xml:space="preserve">Company specific data was also useful, </w:t>
      </w:r>
      <w:r w:rsidR="00CB3F6A">
        <w:t xml:space="preserve">it has helped set a benchmark so improvements can be measured and tracked so effective changes can be quickly identified and likewise ineffective ones can be reviewed. For example if we see instances of non- attendance increase, but the number of days or hours lost increase then we need to revisit the changes again. </w:t>
      </w:r>
    </w:p>
    <w:p w:rsidR="00F679B3" w:rsidRDefault="00F679B3" w:rsidP="00DD32D8">
      <w:pPr>
        <w:rPr>
          <w:b/>
          <w:u w:val="single"/>
        </w:rPr>
      </w:pPr>
    </w:p>
    <w:p w:rsidR="00CF5C83" w:rsidRDefault="00CF5C83" w:rsidP="00DD32D8">
      <w:pPr>
        <w:rPr>
          <w:b/>
          <w:u w:val="single"/>
        </w:rPr>
      </w:pPr>
    </w:p>
    <w:p w:rsidR="00CF5C83" w:rsidRPr="00CF5C83" w:rsidRDefault="00CF5C83" w:rsidP="00DD32D8"/>
    <w:p w:rsidR="00034680" w:rsidRDefault="00034680"/>
    <w:p w:rsidR="00034680" w:rsidRDefault="00034680"/>
    <w:p w:rsidR="00034680" w:rsidRDefault="00034680"/>
    <w:p w:rsidR="00034680" w:rsidRDefault="00034680"/>
    <w:p w:rsidR="00034680" w:rsidRDefault="00034680"/>
    <w:p w:rsidR="00C21845" w:rsidRDefault="004E0928">
      <w:r w:rsidRPr="00502F6B">
        <w:rPr>
          <w:b/>
          <w:color w:val="C00000"/>
          <w:u w:val="single"/>
        </w:rPr>
        <w:t>Conclusions</w:t>
      </w:r>
    </w:p>
    <w:p w:rsidR="00502F6B" w:rsidRDefault="00502F6B">
      <w:r>
        <w:t xml:space="preserve">It was very difficult to find information from an </w:t>
      </w:r>
      <w:r w:rsidR="003608EC">
        <w:t>employer’s</w:t>
      </w:r>
      <w:r>
        <w:t xml:space="preserve"> viewpoint on how to manage attendance of new staff, the information available around culture, engagement and wellbeing was </w:t>
      </w:r>
      <w:r w:rsidR="003608EC">
        <w:t>insightful</w:t>
      </w:r>
      <w:r>
        <w:t xml:space="preserve"> for general absence management, but these ideals take time to establish so can be </w:t>
      </w:r>
      <w:r w:rsidR="00526B11">
        <w:t xml:space="preserve">more difficult to use as effectively when recruits haven’t had time to understand and embrace the culture. </w:t>
      </w:r>
    </w:p>
    <w:p w:rsidR="00526B11" w:rsidRPr="00502F6B" w:rsidRDefault="00526B11">
      <w:r>
        <w:t>They are impressed with the friendliness, the informal environment and the free fruit! This is all great news</w:t>
      </w:r>
      <w:r w:rsidR="007B3781">
        <w:t xml:space="preserve">, </w:t>
      </w:r>
      <w:r w:rsidR="00DC3432">
        <w:t xml:space="preserve">we are one of the best employers in the UK based on our staff surveys, </w:t>
      </w:r>
      <w:r>
        <w:t xml:space="preserve">but if absence is to improve we need to take steps to communicate expectations very clearly from day one, and ensure the message is continuously repeated and processes are followed until there is confidence that the staff member is committed and understands the expectations and the standards required to pass probation. </w:t>
      </w:r>
    </w:p>
    <w:p w:rsidR="001A32E4" w:rsidRDefault="00DC3432" w:rsidP="00DC3432">
      <w:r>
        <w:t xml:space="preserve">It’s also important to recognise that there are still 27% of new starters who achieve excellent levels of </w:t>
      </w:r>
      <w:r w:rsidR="001A32E4">
        <w:t>attendance;</w:t>
      </w:r>
      <w:r>
        <w:t xml:space="preserve"> it would be interesting in another report to try and establish if there is a commonality between those who attend vs those who don’t. </w:t>
      </w:r>
    </w:p>
    <w:p w:rsidR="001A32E4" w:rsidRDefault="001A32E4" w:rsidP="00DC3432">
      <w:r>
        <w:t xml:space="preserve">Initially it seems clear there is a need to improve communication around attendance and the triggers that will impact probation. And a consistent approach needs to be applied to probationers across different teams. </w:t>
      </w:r>
      <w:r w:rsidR="00123549">
        <w:t xml:space="preserve">A review needs to take place before the end of probation so new staff and their managers are aware of the improvements needed in order to pass probation at the earliest possible point. </w:t>
      </w:r>
    </w:p>
    <w:p w:rsidR="006F44C4" w:rsidRDefault="006F44C4" w:rsidP="001A32E4">
      <w:pPr>
        <w:pStyle w:val="ListParagraph"/>
      </w:pPr>
    </w:p>
    <w:p w:rsidR="007C07DD" w:rsidRDefault="007C07DD" w:rsidP="006F44C4">
      <w:pPr>
        <w:rPr>
          <w:b/>
          <w:color w:val="C0504D" w:themeColor="accent2"/>
          <w:u w:val="single"/>
        </w:rPr>
      </w:pPr>
    </w:p>
    <w:p w:rsidR="007C07DD" w:rsidRDefault="007C07DD" w:rsidP="006F44C4">
      <w:pPr>
        <w:rPr>
          <w:b/>
          <w:color w:val="C0504D" w:themeColor="accent2"/>
          <w:u w:val="single"/>
        </w:rPr>
      </w:pPr>
    </w:p>
    <w:p w:rsidR="007C07DD" w:rsidRDefault="007C07DD" w:rsidP="006F44C4">
      <w:pPr>
        <w:rPr>
          <w:b/>
          <w:color w:val="C0504D" w:themeColor="accent2"/>
          <w:u w:val="single"/>
        </w:rPr>
      </w:pPr>
    </w:p>
    <w:p w:rsidR="007C07DD" w:rsidRDefault="007C07DD" w:rsidP="006F44C4">
      <w:pPr>
        <w:rPr>
          <w:b/>
          <w:color w:val="C0504D" w:themeColor="accent2"/>
          <w:u w:val="single"/>
        </w:rPr>
      </w:pPr>
    </w:p>
    <w:p w:rsidR="007C07DD" w:rsidRDefault="007C07DD" w:rsidP="006F44C4">
      <w:pPr>
        <w:rPr>
          <w:b/>
          <w:color w:val="C0504D" w:themeColor="accent2"/>
          <w:u w:val="single"/>
        </w:rPr>
      </w:pPr>
    </w:p>
    <w:p w:rsidR="007C07DD" w:rsidRDefault="007C07DD" w:rsidP="006F44C4">
      <w:pPr>
        <w:rPr>
          <w:b/>
          <w:color w:val="C0504D" w:themeColor="accent2"/>
          <w:u w:val="single"/>
        </w:rPr>
      </w:pPr>
    </w:p>
    <w:p w:rsidR="007C07DD" w:rsidRDefault="007C07DD" w:rsidP="006F44C4">
      <w:pPr>
        <w:rPr>
          <w:b/>
          <w:color w:val="C0504D" w:themeColor="accent2"/>
          <w:u w:val="single"/>
        </w:rPr>
      </w:pPr>
    </w:p>
    <w:p w:rsidR="00340251" w:rsidRDefault="00340251" w:rsidP="006F44C4">
      <w:pPr>
        <w:rPr>
          <w:b/>
          <w:color w:val="C0504D" w:themeColor="accent2"/>
          <w:u w:val="single"/>
        </w:rPr>
      </w:pPr>
    </w:p>
    <w:p w:rsidR="00340251" w:rsidRDefault="00340251" w:rsidP="006F44C4">
      <w:pPr>
        <w:rPr>
          <w:b/>
          <w:color w:val="C0504D" w:themeColor="accent2"/>
          <w:u w:val="single"/>
        </w:rPr>
      </w:pPr>
    </w:p>
    <w:p w:rsidR="006F44C4" w:rsidRPr="00123549" w:rsidRDefault="006F44C4" w:rsidP="006F44C4">
      <w:pPr>
        <w:rPr>
          <w:b/>
          <w:color w:val="C0504D" w:themeColor="accent2"/>
          <w:u w:val="single"/>
        </w:rPr>
      </w:pPr>
      <w:r w:rsidRPr="00123549">
        <w:rPr>
          <w:b/>
          <w:color w:val="C0504D" w:themeColor="accent2"/>
          <w:u w:val="single"/>
        </w:rPr>
        <w:lastRenderedPageBreak/>
        <w:t>Recommendations</w:t>
      </w:r>
    </w:p>
    <w:p w:rsidR="003608EC" w:rsidRPr="002D093F" w:rsidRDefault="003608EC" w:rsidP="002D093F">
      <w:pPr>
        <w:pStyle w:val="ListParagraph"/>
        <w:numPr>
          <w:ilvl w:val="0"/>
          <w:numId w:val="13"/>
        </w:numPr>
        <w:rPr>
          <w:b/>
          <w:u w:val="single"/>
        </w:rPr>
      </w:pPr>
      <w:r w:rsidRPr="002D093F">
        <w:rPr>
          <w:b/>
          <w:u w:val="single"/>
        </w:rPr>
        <w:t xml:space="preserve">Measuring absence &amp; establishing triggers </w:t>
      </w:r>
    </w:p>
    <w:p w:rsidR="003608EC" w:rsidRDefault="003608EC" w:rsidP="003608EC">
      <w:r>
        <w:t>Looking at the recommended methods, the simplest approach would be to report on absence</w:t>
      </w:r>
      <w:r w:rsidR="00C41CFD">
        <w:t xml:space="preserve"> with immediate effect </w:t>
      </w:r>
      <w:r>
        <w:t xml:space="preserve">in the following ways: </w:t>
      </w:r>
    </w:p>
    <w:p w:rsidR="003608EC" w:rsidRDefault="003608EC" w:rsidP="003608EC">
      <w:pPr>
        <w:pStyle w:val="ListParagraph"/>
        <w:numPr>
          <w:ilvl w:val="0"/>
          <w:numId w:val="7"/>
        </w:numPr>
      </w:pPr>
      <w:r>
        <w:t xml:space="preserve">To our Operations Group </w:t>
      </w:r>
    </w:p>
    <w:p w:rsidR="003608EC" w:rsidRDefault="003608EC" w:rsidP="003608EC">
      <w:r>
        <w:t>Hours lost x £36 (cost per agent hour) =</w:t>
      </w:r>
    </w:p>
    <w:p w:rsidR="003608EC" w:rsidRDefault="003608EC" w:rsidP="003608EC">
      <w:pPr>
        <w:pStyle w:val="ListParagraph"/>
        <w:numPr>
          <w:ilvl w:val="0"/>
          <w:numId w:val="7"/>
        </w:numPr>
      </w:pPr>
      <w:r>
        <w:t xml:space="preserve">For trigger points and transparency delivering expectations to new staff, frequency combined with days lost is simpler and would be consistent with the rest of the company. The table below sets the current company- wide guidelines: </w:t>
      </w:r>
    </w:p>
    <w:tbl>
      <w:tblPr>
        <w:tblW w:w="8268" w:type="dxa"/>
        <w:tblLook w:val="04A0" w:firstRow="1" w:lastRow="0" w:firstColumn="1" w:lastColumn="0" w:noHBand="0" w:noVBand="1"/>
      </w:tblPr>
      <w:tblGrid>
        <w:gridCol w:w="1282"/>
        <w:gridCol w:w="901"/>
        <w:gridCol w:w="2872"/>
        <w:gridCol w:w="3213"/>
      </w:tblGrid>
      <w:tr w:rsidR="003608EC" w:rsidRPr="00EB62A2" w:rsidTr="00151718">
        <w:trPr>
          <w:trHeight w:val="300"/>
        </w:trPr>
        <w:tc>
          <w:tcPr>
            <w:tcW w:w="8268" w:type="dxa"/>
            <w:gridSpan w:val="4"/>
            <w:tcBorders>
              <w:top w:val="single" w:sz="4" w:space="0" w:color="auto"/>
              <w:left w:val="single" w:sz="4" w:space="0" w:color="auto"/>
              <w:bottom w:val="single" w:sz="4" w:space="0" w:color="auto"/>
              <w:right w:val="nil"/>
            </w:tcBorders>
            <w:shd w:val="clear" w:color="000000" w:fill="000000"/>
            <w:noWrap/>
            <w:vAlign w:val="bottom"/>
            <w:hideMark/>
          </w:tcPr>
          <w:p w:rsidR="003608EC" w:rsidRPr="00EB62A2" w:rsidRDefault="003608EC" w:rsidP="00151718">
            <w:pPr>
              <w:spacing w:after="0" w:line="240" w:lineRule="auto"/>
              <w:jc w:val="center"/>
              <w:rPr>
                <w:rFonts w:ascii="Arial" w:eastAsia="Times New Roman" w:hAnsi="Arial" w:cs="Arial"/>
                <w:b/>
                <w:bCs/>
                <w:color w:val="FFFFFF"/>
                <w:sz w:val="16"/>
                <w:szCs w:val="16"/>
                <w:lang w:eastAsia="en-GB"/>
              </w:rPr>
            </w:pPr>
            <w:r w:rsidRPr="00EB62A2">
              <w:rPr>
                <w:rFonts w:ascii="Arial" w:eastAsia="Times New Roman" w:hAnsi="Arial" w:cs="Arial"/>
                <w:b/>
                <w:bCs/>
                <w:color w:val="FFFFFF"/>
                <w:sz w:val="16"/>
                <w:szCs w:val="16"/>
                <w:lang w:eastAsia="en-GB"/>
              </w:rPr>
              <w:t xml:space="preserve">GUIDELINES: SICKNESS DURING PROBATIONARY PERIOD </w:t>
            </w:r>
          </w:p>
        </w:tc>
      </w:tr>
      <w:tr w:rsidR="003608EC" w:rsidRPr="00EB62A2" w:rsidTr="00151718">
        <w:trPr>
          <w:trHeight w:val="300"/>
        </w:trPr>
        <w:tc>
          <w:tcPr>
            <w:tcW w:w="1282" w:type="dxa"/>
            <w:tcBorders>
              <w:top w:val="nil"/>
              <w:left w:val="single" w:sz="4" w:space="0" w:color="auto"/>
              <w:bottom w:val="single" w:sz="4" w:space="0" w:color="auto"/>
              <w:right w:val="single" w:sz="4" w:space="0" w:color="auto"/>
            </w:tcBorders>
            <w:shd w:val="clear" w:color="000000" w:fill="C0C0C0"/>
            <w:noWrap/>
            <w:vAlign w:val="center"/>
            <w:hideMark/>
          </w:tcPr>
          <w:p w:rsidR="003608EC" w:rsidRPr="00EB62A2" w:rsidRDefault="003608EC" w:rsidP="00151718">
            <w:pPr>
              <w:spacing w:after="0" w:line="240" w:lineRule="auto"/>
              <w:jc w:val="center"/>
              <w:rPr>
                <w:rFonts w:ascii="Arial" w:eastAsia="Times New Roman" w:hAnsi="Arial" w:cs="Arial"/>
                <w:b/>
                <w:bCs/>
                <w:sz w:val="16"/>
                <w:szCs w:val="16"/>
                <w:lang w:eastAsia="en-GB"/>
              </w:rPr>
            </w:pPr>
            <w:r w:rsidRPr="00EB62A2">
              <w:rPr>
                <w:rFonts w:ascii="Arial" w:eastAsia="Times New Roman" w:hAnsi="Arial" w:cs="Arial"/>
                <w:b/>
                <w:bCs/>
                <w:sz w:val="16"/>
                <w:szCs w:val="16"/>
                <w:lang w:eastAsia="en-GB"/>
              </w:rPr>
              <w:t>Incidence</w:t>
            </w:r>
          </w:p>
        </w:tc>
        <w:tc>
          <w:tcPr>
            <w:tcW w:w="901" w:type="dxa"/>
            <w:tcBorders>
              <w:top w:val="nil"/>
              <w:left w:val="nil"/>
              <w:bottom w:val="single" w:sz="4" w:space="0" w:color="auto"/>
              <w:right w:val="single" w:sz="4" w:space="0" w:color="auto"/>
            </w:tcBorders>
            <w:shd w:val="clear" w:color="000000" w:fill="C0C0C0"/>
            <w:noWrap/>
            <w:vAlign w:val="center"/>
            <w:hideMark/>
          </w:tcPr>
          <w:p w:rsidR="003608EC" w:rsidRPr="00EB62A2" w:rsidRDefault="003608EC" w:rsidP="00151718">
            <w:pPr>
              <w:spacing w:after="0" w:line="240" w:lineRule="auto"/>
              <w:jc w:val="center"/>
              <w:rPr>
                <w:rFonts w:ascii="Arial" w:eastAsia="Times New Roman" w:hAnsi="Arial" w:cs="Arial"/>
                <w:b/>
                <w:bCs/>
                <w:sz w:val="16"/>
                <w:szCs w:val="16"/>
                <w:lang w:eastAsia="en-GB"/>
              </w:rPr>
            </w:pPr>
            <w:r w:rsidRPr="00EB62A2">
              <w:rPr>
                <w:rFonts w:ascii="Arial" w:eastAsia="Times New Roman" w:hAnsi="Arial" w:cs="Arial"/>
                <w:b/>
                <w:bCs/>
                <w:sz w:val="16"/>
                <w:szCs w:val="16"/>
                <w:lang w:eastAsia="en-GB"/>
              </w:rPr>
              <w:t>Days</w:t>
            </w:r>
          </w:p>
        </w:tc>
        <w:tc>
          <w:tcPr>
            <w:tcW w:w="2872" w:type="dxa"/>
            <w:tcBorders>
              <w:top w:val="nil"/>
              <w:left w:val="nil"/>
              <w:bottom w:val="single" w:sz="4" w:space="0" w:color="auto"/>
              <w:right w:val="single" w:sz="4" w:space="0" w:color="auto"/>
            </w:tcBorders>
            <w:shd w:val="clear" w:color="000000" w:fill="C0C0C0"/>
            <w:vAlign w:val="center"/>
            <w:hideMark/>
          </w:tcPr>
          <w:p w:rsidR="003608EC" w:rsidRPr="00EB62A2" w:rsidRDefault="003608EC" w:rsidP="00151718">
            <w:pPr>
              <w:spacing w:after="0" w:line="240" w:lineRule="auto"/>
              <w:jc w:val="center"/>
              <w:rPr>
                <w:rFonts w:ascii="Arial" w:eastAsia="Times New Roman" w:hAnsi="Arial" w:cs="Arial"/>
                <w:b/>
                <w:bCs/>
                <w:sz w:val="16"/>
                <w:szCs w:val="16"/>
                <w:lang w:eastAsia="en-GB"/>
              </w:rPr>
            </w:pPr>
            <w:r w:rsidRPr="00EB62A2">
              <w:rPr>
                <w:rFonts w:ascii="Arial" w:eastAsia="Times New Roman" w:hAnsi="Arial" w:cs="Arial"/>
                <w:b/>
                <w:bCs/>
                <w:sz w:val="16"/>
                <w:szCs w:val="16"/>
                <w:lang w:eastAsia="en-GB"/>
              </w:rPr>
              <w:t>Action</w:t>
            </w:r>
          </w:p>
        </w:tc>
        <w:tc>
          <w:tcPr>
            <w:tcW w:w="3213" w:type="dxa"/>
            <w:tcBorders>
              <w:top w:val="nil"/>
              <w:left w:val="nil"/>
              <w:bottom w:val="single" w:sz="4" w:space="0" w:color="auto"/>
              <w:right w:val="single" w:sz="4" w:space="0" w:color="auto"/>
            </w:tcBorders>
            <w:shd w:val="clear" w:color="000000" w:fill="C0C0C0"/>
            <w:vAlign w:val="center"/>
            <w:hideMark/>
          </w:tcPr>
          <w:p w:rsidR="003608EC" w:rsidRPr="00EB62A2" w:rsidRDefault="003608EC" w:rsidP="00151718">
            <w:pPr>
              <w:spacing w:after="0" w:line="240" w:lineRule="auto"/>
              <w:jc w:val="center"/>
              <w:rPr>
                <w:rFonts w:ascii="Arial" w:eastAsia="Times New Roman" w:hAnsi="Arial" w:cs="Arial"/>
                <w:b/>
                <w:bCs/>
                <w:sz w:val="16"/>
                <w:szCs w:val="16"/>
                <w:lang w:eastAsia="en-GB"/>
              </w:rPr>
            </w:pPr>
            <w:r w:rsidRPr="00EB62A2">
              <w:rPr>
                <w:rFonts w:ascii="Arial" w:eastAsia="Times New Roman" w:hAnsi="Arial" w:cs="Arial"/>
                <w:b/>
                <w:bCs/>
                <w:sz w:val="16"/>
                <w:szCs w:val="16"/>
                <w:lang w:eastAsia="en-GB"/>
              </w:rPr>
              <w:t>Terminate Probation</w:t>
            </w:r>
          </w:p>
        </w:tc>
      </w:tr>
      <w:tr w:rsidR="003608EC" w:rsidRPr="00EB62A2" w:rsidTr="00151718">
        <w:trPr>
          <w:trHeight w:val="495"/>
        </w:trPr>
        <w:tc>
          <w:tcPr>
            <w:tcW w:w="1282" w:type="dxa"/>
            <w:tcBorders>
              <w:top w:val="nil"/>
              <w:left w:val="single" w:sz="4" w:space="0" w:color="auto"/>
              <w:bottom w:val="single" w:sz="4" w:space="0" w:color="auto"/>
              <w:right w:val="single" w:sz="4" w:space="0" w:color="auto"/>
            </w:tcBorders>
            <w:shd w:val="clear" w:color="auto" w:fill="auto"/>
            <w:noWrap/>
            <w:vAlign w:val="center"/>
            <w:hideMark/>
          </w:tcPr>
          <w:p w:rsidR="003608EC" w:rsidRPr="00EB62A2" w:rsidRDefault="003608EC" w:rsidP="00151718">
            <w:pPr>
              <w:spacing w:after="0" w:line="240" w:lineRule="auto"/>
              <w:jc w:val="center"/>
              <w:rPr>
                <w:rFonts w:ascii="Arial" w:eastAsia="Times New Roman" w:hAnsi="Arial" w:cs="Arial"/>
                <w:sz w:val="16"/>
                <w:szCs w:val="16"/>
                <w:lang w:eastAsia="en-GB"/>
              </w:rPr>
            </w:pPr>
            <w:r w:rsidRPr="00EB62A2">
              <w:rPr>
                <w:rFonts w:ascii="Arial" w:eastAsia="Times New Roman" w:hAnsi="Arial" w:cs="Arial"/>
                <w:sz w:val="16"/>
                <w:szCs w:val="16"/>
                <w:lang w:eastAsia="en-GB"/>
              </w:rPr>
              <w:t>1</w:t>
            </w:r>
          </w:p>
        </w:tc>
        <w:tc>
          <w:tcPr>
            <w:tcW w:w="901" w:type="dxa"/>
            <w:tcBorders>
              <w:top w:val="nil"/>
              <w:left w:val="nil"/>
              <w:bottom w:val="single" w:sz="4" w:space="0" w:color="auto"/>
              <w:right w:val="single" w:sz="4" w:space="0" w:color="auto"/>
            </w:tcBorders>
            <w:shd w:val="clear" w:color="auto" w:fill="auto"/>
            <w:noWrap/>
            <w:vAlign w:val="center"/>
            <w:hideMark/>
          </w:tcPr>
          <w:p w:rsidR="003608EC" w:rsidRPr="00EB62A2" w:rsidRDefault="003608EC" w:rsidP="00151718">
            <w:pPr>
              <w:spacing w:after="0" w:line="240" w:lineRule="auto"/>
              <w:jc w:val="center"/>
              <w:rPr>
                <w:rFonts w:ascii="Arial" w:eastAsia="Times New Roman" w:hAnsi="Arial" w:cs="Arial"/>
                <w:sz w:val="16"/>
                <w:szCs w:val="16"/>
                <w:lang w:eastAsia="en-GB"/>
              </w:rPr>
            </w:pPr>
            <w:r w:rsidRPr="00EB62A2">
              <w:rPr>
                <w:rFonts w:ascii="Arial" w:eastAsia="Times New Roman" w:hAnsi="Arial" w:cs="Arial"/>
                <w:sz w:val="16"/>
                <w:szCs w:val="16"/>
                <w:lang w:eastAsia="en-GB"/>
              </w:rPr>
              <w:t>Up to 8</w:t>
            </w:r>
          </w:p>
        </w:tc>
        <w:tc>
          <w:tcPr>
            <w:tcW w:w="2872" w:type="dxa"/>
            <w:tcBorders>
              <w:top w:val="nil"/>
              <w:left w:val="nil"/>
              <w:bottom w:val="single" w:sz="4" w:space="0" w:color="auto"/>
              <w:right w:val="single" w:sz="4" w:space="0" w:color="auto"/>
            </w:tcBorders>
            <w:shd w:val="clear" w:color="auto" w:fill="auto"/>
            <w:vAlign w:val="center"/>
            <w:hideMark/>
          </w:tcPr>
          <w:p w:rsidR="003608EC" w:rsidRPr="00EB62A2" w:rsidRDefault="003608EC" w:rsidP="00151718">
            <w:pPr>
              <w:spacing w:after="0" w:line="240" w:lineRule="auto"/>
              <w:jc w:val="center"/>
              <w:rPr>
                <w:rFonts w:ascii="Arial" w:eastAsia="Times New Roman" w:hAnsi="Arial" w:cs="Arial"/>
                <w:sz w:val="16"/>
                <w:szCs w:val="16"/>
                <w:lang w:eastAsia="en-GB"/>
              </w:rPr>
            </w:pPr>
            <w:r w:rsidRPr="00EB62A2">
              <w:rPr>
                <w:rFonts w:ascii="Arial" w:eastAsia="Times New Roman" w:hAnsi="Arial" w:cs="Arial"/>
                <w:sz w:val="16"/>
                <w:szCs w:val="16"/>
                <w:lang w:eastAsia="en-GB"/>
              </w:rPr>
              <w:t>File note &amp; BTW form</w:t>
            </w:r>
          </w:p>
        </w:tc>
        <w:tc>
          <w:tcPr>
            <w:tcW w:w="3213" w:type="dxa"/>
            <w:tcBorders>
              <w:top w:val="nil"/>
              <w:left w:val="nil"/>
              <w:bottom w:val="single" w:sz="4" w:space="0" w:color="auto"/>
              <w:right w:val="single" w:sz="4" w:space="0" w:color="auto"/>
            </w:tcBorders>
            <w:shd w:val="clear" w:color="auto" w:fill="auto"/>
            <w:noWrap/>
            <w:vAlign w:val="center"/>
            <w:hideMark/>
          </w:tcPr>
          <w:p w:rsidR="003608EC" w:rsidRPr="00EB62A2" w:rsidRDefault="003608EC" w:rsidP="00151718">
            <w:pPr>
              <w:spacing w:after="0" w:line="240" w:lineRule="auto"/>
              <w:jc w:val="center"/>
              <w:rPr>
                <w:rFonts w:ascii="Arial" w:eastAsia="Times New Roman" w:hAnsi="Arial" w:cs="Arial"/>
                <w:sz w:val="16"/>
                <w:szCs w:val="16"/>
                <w:lang w:eastAsia="en-GB"/>
              </w:rPr>
            </w:pPr>
            <w:r w:rsidRPr="00EB62A2">
              <w:rPr>
                <w:rFonts w:ascii="Arial" w:eastAsia="Times New Roman" w:hAnsi="Arial" w:cs="Arial"/>
                <w:sz w:val="16"/>
                <w:szCs w:val="16"/>
                <w:lang w:eastAsia="en-GB"/>
              </w:rPr>
              <w:t>No</w:t>
            </w:r>
          </w:p>
        </w:tc>
      </w:tr>
      <w:tr w:rsidR="003608EC" w:rsidRPr="00EB62A2" w:rsidTr="00151718">
        <w:trPr>
          <w:trHeight w:val="615"/>
        </w:trPr>
        <w:tc>
          <w:tcPr>
            <w:tcW w:w="1282" w:type="dxa"/>
            <w:tcBorders>
              <w:top w:val="nil"/>
              <w:left w:val="single" w:sz="4" w:space="0" w:color="auto"/>
              <w:bottom w:val="single" w:sz="4" w:space="0" w:color="auto"/>
              <w:right w:val="single" w:sz="4" w:space="0" w:color="auto"/>
            </w:tcBorders>
            <w:shd w:val="clear" w:color="auto" w:fill="auto"/>
            <w:noWrap/>
            <w:vAlign w:val="center"/>
            <w:hideMark/>
          </w:tcPr>
          <w:p w:rsidR="003608EC" w:rsidRPr="00EB62A2" w:rsidRDefault="003608EC" w:rsidP="00151718">
            <w:pPr>
              <w:spacing w:after="0" w:line="240" w:lineRule="auto"/>
              <w:jc w:val="center"/>
              <w:rPr>
                <w:rFonts w:ascii="Arial" w:eastAsia="Times New Roman" w:hAnsi="Arial" w:cs="Arial"/>
                <w:sz w:val="16"/>
                <w:szCs w:val="16"/>
                <w:lang w:eastAsia="en-GB"/>
              </w:rPr>
            </w:pPr>
            <w:r w:rsidRPr="00EB62A2">
              <w:rPr>
                <w:rFonts w:ascii="Arial" w:eastAsia="Times New Roman" w:hAnsi="Arial" w:cs="Arial"/>
                <w:sz w:val="16"/>
                <w:szCs w:val="16"/>
                <w:lang w:eastAsia="en-GB"/>
              </w:rPr>
              <w:t>2</w:t>
            </w:r>
          </w:p>
        </w:tc>
        <w:tc>
          <w:tcPr>
            <w:tcW w:w="901" w:type="dxa"/>
            <w:tcBorders>
              <w:top w:val="nil"/>
              <w:left w:val="nil"/>
              <w:bottom w:val="single" w:sz="4" w:space="0" w:color="auto"/>
              <w:right w:val="single" w:sz="4" w:space="0" w:color="auto"/>
            </w:tcBorders>
            <w:shd w:val="clear" w:color="auto" w:fill="auto"/>
            <w:noWrap/>
            <w:vAlign w:val="center"/>
            <w:hideMark/>
          </w:tcPr>
          <w:p w:rsidR="003608EC" w:rsidRPr="00EB62A2" w:rsidRDefault="003608EC" w:rsidP="00151718">
            <w:pPr>
              <w:spacing w:after="0" w:line="240" w:lineRule="auto"/>
              <w:jc w:val="center"/>
              <w:rPr>
                <w:rFonts w:ascii="Arial" w:eastAsia="Times New Roman" w:hAnsi="Arial" w:cs="Arial"/>
                <w:sz w:val="16"/>
                <w:szCs w:val="16"/>
                <w:lang w:eastAsia="en-GB"/>
              </w:rPr>
            </w:pPr>
            <w:r w:rsidRPr="00EB62A2">
              <w:rPr>
                <w:rFonts w:ascii="Arial" w:eastAsia="Times New Roman" w:hAnsi="Arial" w:cs="Arial"/>
                <w:sz w:val="16"/>
                <w:szCs w:val="16"/>
                <w:lang w:eastAsia="en-GB"/>
              </w:rPr>
              <w:t>8</w:t>
            </w:r>
          </w:p>
        </w:tc>
        <w:tc>
          <w:tcPr>
            <w:tcW w:w="2872" w:type="dxa"/>
            <w:tcBorders>
              <w:top w:val="nil"/>
              <w:left w:val="nil"/>
              <w:bottom w:val="single" w:sz="4" w:space="0" w:color="auto"/>
              <w:right w:val="single" w:sz="4" w:space="0" w:color="auto"/>
            </w:tcBorders>
            <w:shd w:val="clear" w:color="auto" w:fill="auto"/>
            <w:vAlign w:val="center"/>
            <w:hideMark/>
          </w:tcPr>
          <w:p w:rsidR="003608EC" w:rsidRPr="00EB62A2" w:rsidRDefault="003608EC" w:rsidP="00151718">
            <w:pPr>
              <w:spacing w:after="0" w:line="240" w:lineRule="auto"/>
              <w:jc w:val="center"/>
              <w:rPr>
                <w:rFonts w:ascii="Arial" w:eastAsia="Times New Roman" w:hAnsi="Arial" w:cs="Arial"/>
                <w:sz w:val="16"/>
                <w:szCs w:val="16"/>
                <w:lang w:eastAsia="en-GB"/>
              </w:rPr>
            </w:pPr>
            <w:r w:rsidRPr="00EB62A2">
              <w:rPr>
                <w:rFonts w:ascii="Arial" w:eastAsia="Times New Roman" w:hAnsi="Arial" w:cs="Arial"/>
                <w:sz w:val="16"/>
                <w:szCs w:val="16"/>
                <w:lang w:eastAsia="en-GB"/>
              </w:rPr>
              <w:t>Issue warning letter</w:t>
            </w:r>
          </w:p>
        </w:tc>
        <w:tc>
          <w:tcPr>
            <w:tcW w:w="3213" w:type="dxa"/>
            <w:tcBorders>
              <w:top w:val="nil"/>
              <w:left w:val="nil"/>
              <w:bottom w:val="single" w:sz="4" w:space="0" w:color="auto"/>
              <w:right w:val="single" w:sz="4" w:space="0" w:color="auto"/>
            </w:tcBorders>
            <w:shd w:val="clear" w:color="auto" w:fill="auto"/>
            <w:noWrap/>
            <w:vAlign w:val="center"/>
            <w:hideMark/>
          </w:tcPr>
          <w:p w:rsidR="003608EC" w:rsidRPr="00EB62A2" w:rsidRDefault="003608EC" w:rsidP="00151718">
            <w:pPr>
              <w:spacing w:after="0" w:line="240" w:lineRule="auto"/>
              <w:jc w:val="center"/>
              <w:rPr>
                <w:rFonts w:ascii="Arial" w:eastAsia="Times New Roman" w:hAnsi="Arial" w:cs="Arial"/>
                <w:sz w:val="16"/>
                <w:szCs w:val="16"/>
                <w:lang w:eastAsia="en-GB"/>
              </w:rPr>
            </w:pPr>
            <w:r w:rsidRPr="00EB62A2">
              <w:rPr>
                <w:rFonts w:ascii="Arial" w:eastAsia="Times New Roman" w:hAnsi="Arial" w:cs="Arial"/>
                <w:sz w:val="16"/>
                <w:szCs w:val="16"/>
                <w:lang w:eastAsia="en-GB"/>
              </w:rPr>
              <w:t>No</w:t>
            </w:r>
          </w:p>
        </w:tc>
      </w:tr>
      <w:tr w:rsidR="003608EC" w:rsidRPr="00EB62A2" w:rsidTr="00151718">
        <w:trPr>
          <w:trHeight w:val="975"/>
        </w:trPr>
        <w:tc>
          <w:tcPr>
            <w:tcW w:w="1282" w:type="dxa"/>
            <w:tcBorders>
              <w:top w:val="nil"/>
              <w:left w:val="single" w:sz="4" w:space="0" w:color="auto"/>
              <w:bottom w:val="single" w:sz="4" w:space="0" w:color="auto"/>
              <w:right w:val="single" w:sz="4" w:space="0" w:color="auto"/>
            </w:tcBorders>
            <w:shd w:val="clear" w:color="auto" w:fill="auto"/>
            <w:noWrap/>
            <w:vAlign w:val="center"/>
            <w:hideMark/>
          </w:tcPr>
          <w:p w:rsidR="003608EC" w:rsidRPr="00EB62A2" w:rsidRDefault="003608EC" w:rsidP="00151718">
            <w:pPr>
              <w:spacing w:after="0" w:line="240" w:lineRule="auto"/>
              <w:jc w:val="center"/>
              <w:rPr>
                <w:rFonts w:ascii="Arial" w:eastAsia="Times New Roman" w:hAnsi="Arial" w:cs="Arial"/>
                <w:sz w:val="16"/>
                <w:szCs w:val="16"/>
                <w:lang w:eastAsia="en-GB"/>
              </w:rPr>
            </w:pPr>
            <w:r w:rsidRPr="00EB62A2">
              <w:rPr>
                <w:rFonts w:ascii="Arial" w:eastAsia="Times New Roman" w:hAnsi="Arial" w:cs="Arial"/>
                <w:sz w:val="16"/>
                <w:szCs w:val="16"/>
                <w:lang w:eastAsia="en-GB"/>
              </w:rPr>
              <w:t>3</w:t>
            </w:r>
          </w:p>
        </w:tc>
        <w:tc>
          <w:tcPr>
            <w:tcW w:w="901" w:type="dxa"/>
            <w:tcBorders>
              <w:top w:val="nil"/>
              <w:left w:val="nil"/>
              <w:bottom w:val="single" w:sz="4" w:space="0" w:color="auto"/>
              <w:right w:val="single" w:sz="4" w:space="0" w:color="auto"/>
            </w:tcBorders>
            <w:shd w:val="clear" w:color="auto" w:fill="auto"/>
            <w:noWrap/>
            <w:vAlign w:val="center"/>
            <w:hideMark/>
          </w:tcPr>
          <w:p w:rsidR="003608EC" w:rsidRPr="00EB62A2" w:rsidRDefault="003608EC" w:rsidP="00151718">
            <w:pPr>
              <w:spacing w:after="0" w:line="240" w:lineRule="auto"/>
              <w:jc w:val="center"/>
              <w:rPr>
                <w:rFonts w:ascii="Arial" w:eastAsia="Times New Roman" w:hAnsi="Arial" w:cs="Arial"/>
                <w:sz w:val="16"/>
                <w:szCs w:val="16"/>
                <w:lang w:eastAsia="en-GB"/>
              </w:rPr>
            </w:pPr>
            <w:r w:rsidRPr="00EB62A2">
              <w:rPr>
                <w:rFonts w:ascii="Arial" w:eastAsia="Times New Roman" w:hAnsi="Arial" w:cs="Arial"/>
                <w:sz w:val="16"/>
                <w:szCs w:val="16"/>
                <w:lang w:eastAsia="en-GB"/>
              </w:rPr>
              <w:t>10</w:t>
            </w:r>
          </w:p>
        </w:tc>
        <w:tc>
          <w:tcPr>
            <w:tcW w:w="2872" w:type="dxa"/>
            <w:tcBorders>
              <w:top w:val="nil"/>
              <w:left w:val="nil"/>
              <w:bottom w:val="single" w:sz="4" w:space="0" w:color="auto"/>
              <w:right w:val="single" w:sz="4" w:space="0" w:color="auto"/>
            </w:tcBorders>
            <w:shd w:val="clear" w:color="auto" w:fill="auto"/>
            <w:vAlign w:val="center"/>
            <w:hideMark/>
          </w:tcPr>
          <w:p w:rsidR="003608EC" w:rsidRPr="00EB62A2" w:rsidRDefault="003608EC" w:rsidP="00151718">
            <w:pPr>
              <w:spacing w:after="0" w:line="240" w:lineRule="auto"/>
              <w:jc w:val="center"/>
              <w:rPr>
                <w:rFonts w:ascii="Arial" w:eastAsia="Times New Roman" w:hAnsi="Arial" w:cs="Arial"/>
                <w:sz w:val="16"/>
                <w:szCs w:val="16"/>
                <w:lang w:eastAsia="en-GB"/>
              </w:rPr>
            </w:pPr>
            <w:r w:rsidRPr="00EB62A2">
              <w:rPr>
                <w:rFonts w:ascii="Arial" w:eastAsia="Times New Roman" w:hAnsi="Arial" w:cs="Arial"/>
                <w:sz w:val="16"/>
                <w:szCs w:val="16"/>
                <w:lang w:eastAsia="en-GB"/>
              </w:rPr>
              <w:t>Probation Review Meeting</w:t>
            </w:r>
          </w:p>
        </w:tc>
        <w:tc>
          <w:tcPr>
            <w:tcW w:w="3213" w:type="dxa"/>
            <w:tcBorders>
              <w:top w:val="nil"/>
              <w:left w:val="nil"/>
              <w:bottom w:val="single" w:sz="4" w:space="0" w:color="auto"/>
              <w:right w:val="single" w:sz="4" w:space="0" w:color="auto"/>
            </w:tcBorders>
            <w:shd w:val="clear" w:color="auto" w:fill="auto"/>
            <w:vAlign w:val="center"/>
            <w:hideMark/>
          </w:tcPr>
          <w:p w:rsidR="003608EC" w:rsidRPr="00EB62A2" w:rsidRDefault="003608EC" w:rsidP="00151718">
            <w:pPr>
              <w:spacing w:after="0" w:line="240" w:lineRule="auto"/>
              <w:jc w:val="center"/>
              <w:rPr>
                <w:rFonts w:ascii="Arial" w:eastAsia="Times New Roman" w:hAnsi="Arial" w:cs="Arial"/>
                <w:sz w:val="16"/>
                <w:szCs w:val="16"/>
                <w:lang w:eastAsia="en-GB"/>
              </w:rPr>
            </w:pPr>
            <w:r w:rsidRPr="00EB62A2">
              <w:rPr>
                <w:rFonts w:ascii="Arial" w:eastAsia="Times New Roman" w:hAnsi="Arial" w:cs="Arial"/>
                <w:sz w:val="16"/>
                <w:szCs w:val="16"/>
                <w:lang w:eastAsia="en-GB"/>
              </w:rPr>
              <w:t>Review on case by case basis but probation should only be extended under exceptional circumstances</w:t>
            </w:r>
          </w:p>
        </w:tc>
      </w:tr>
    </w:tbl>
    <w:p w:rsidR="003608EC" w:rsidRPr="00E148F5" w:rsidRDefault="003608EC" w:rsidP="003608EC">
      <w:pPr>
        <w:rPr>
          <w:sz w:val="16"/>
          <w:szCs w:val="16"/>
        </w:rPr>
      </w:pPr>
      <w:r w:rsidRPr="00E148F5">
        <w:rPr>
          <w:sz w:val="16"/>
          <w:szCs w:val="16"/>
        </w:rPr>
        <w:t>Fig 2</w:t>
      </w:r>
      <w:r>
        <w:rPr>
          <w:sz w:val="16"/>
          <w:szCs w:val="16"/>
        </w:rPr>
        <w:t>:</w:t>
      </w:r>
      <w:r w:rsidRPr="00E148F5">
        <w:rPr>
          <w:sz w:val="16"/>
          <w:szCs w:val="16"/>
        </w:rPr>
        <w:t xml:space="preserve"> EUI </w:t>
      </w:r>
      <w:r>
        <w:rPr>
          <w:sz w:val="16"/>
          <w:szCs w:val="16"/>
        </w:rPr>
        <w:t>P</w:t>
      </w:r>
      <w:r w:rsidRPr="00E148F5">
        <w:rPr>
          <w:sz w:val="16"/>
          <w:szCs w:val="16"/>
        </w:rPr>
        <w:t xml:space="preserve">rocess </w:t>
      </w:r>
      <w:r>
        <w:rPr>
          <w:sz w:val="16"/>
          <w:szCs w:val="16"/>
        </w:rPr>
        <w:t xml:space="preserve">Guide </w:t>
      </w:r>
      <w:r w:rsidRPr="00E148F5">
        <w:rPr>
          <w:sz w:val="16"/>
          <w:szCs w:val="16"/>
        </w:rPr>
        <w:t>2018</w:t>
      </w:r>
    </w:p>
    <w:p w:rsidR="001A32E4" w:rsidRDefault="002D093F" w:rsidP="002D093F">
      <w:pPr>
        <w:pStyle w:val="ListParagraph"/>
        <w:numPr>
          <w:ilvl w:val="0"/>
          <w:numId w:val="13"/>
        </w:numPr>
        <w:rPr>
          <w:b/>
          <w:u w:val="single"/>
        </w:rPr>
      </w:pPr>
      <w:r w:rsidRPr="002D093F">
        <w:rPr>
          <w:b/>
          <w:u w:val="single"/>
        </w:rPr>
        <w:t xml:space="preserve"> </w:t>
      </w:r>
      <w:r w:rsidR="007C07DD" w:rsidRPr="002D093F">
        <w:rPr>
          <w:b/>
          <w:u w:val="single"/>
        </w:rPr>
        <w:t>Three m</w:t>
      </w:r>
      <w:r w:rsidR="001A32E4" w:rsidRPr="002D093F">
        <w:rPr>
          <w:b/>
          <w:u w:val="single"/>
        </w:rPr>
        <w:t xml:space="preserve">onth </w:t>
      </w:r>
      <w:r w:rsidR="007C07DD" w:rsidRPr="002D093F">
        <w:rPr>
          <w:b/>
          <w:u w:val="single"/>
        </w:rPr>
        <w:t>formal p</w:t>
      </w:r>
      <w:r w:rsidR="001A32E4" w:rsidRPr="002D093F">
        <w:rPr>
          <w:b/>
          <w:u w:val="single"/>
        </w:rPr>
        <w:t xml:space="preserve">robation </w:t>
      </w:r>
      <w:r w:rsidR="007C07DD" w:rsidRPr="002D093F">
        <w:rPr>
          <w:b/>
          <w:u w:val="single"/>
        </w:rPr>
        <w:t>review with HR Manager</w:t>
      </w:r>
    </w:p>
    <w:p w:rsidR="002D093F" w:rsidRDefault="002D093F" w:rsidP="002D093F">
      <w:r>
        <w:t xml:space="preserve">This will involve a review of the three areas considered for passing probation: </w:t>
      </w:r>
    </w:p>
    <w:p w:rsidR="002D093F" w:rsidRDefault="002D093F" w:rsidP="002D093F">
      <w:pPr>
        <w:spacing w:after="0" w:line="240" w:lineRule="auto"/>
      </w:pPr>
      <w:r>
        <w:t>Attendance</w:t>
      </w:r>
    </w:p>
    <w:p w:rsidR="002D093F" w:rsidRDefault="002D093F" w:rsidP="002D093F">
      <w:pPr>
        <w:spacing w:after="0" w:line="240" w:lineRule="auto"/>
      </w:pPr>
      <w:r>
        <w:t>Conduct</w:t>
      </w:r>
    </w:p>
    <w:p w:rsidR="002D093F" w:rsidRDefault="002D093F" w:rsidP="002D093F">
      <w:pPr>
        <w:spacing w:after="0" w:line="240" w:lineRule="auto"/>
      </w:pPr>
      <w:r>
        <w:t>Performance</w:t>
      </w:r>
    </w:p>
    <w:p w:rsidR="002D093F" w:rsidRDefault="002D093F" w:rsidP="002D093F">
      <w:pPr>
        <w:spacing w:after="0" w:line="240" w:lineRule="auto"/>
      </w:pPr>
    </w:p>
    <w:p w:rsidR="002D093F" w:rsidRDefault="002D093F" w:rsidP="002D093F">
      <w:pPr>
        <w:spacing w:after="0" w:line="240" w:lineRule="auto"/>
      </w:pPr>
      <w:r>
        <w:t xml:space="preserve">The team manager will bring all evidence to back up the current standard in these areas and the employee will be given an action plan to highlight where improvements are needed and an opportunity to ask for help or support as required. Previous probation warning letters and/or review meetings will be discussed. </w:t>
      </w:r>
    </w:p>
    <w:p w:rsidR="002D093F" w:rsidRDefault="002D093F" w:rsidP="002D093F">
      <w:pPr>
        <w:spacing w:after="0" w:line="240" w:lineRule="auto"/>
      </w:pPr>
    </w:p>
    <w:p w:rsidR="002D093F" w:rsidRDefault="002D093F" w:rsidP="002D093F">
      <w:pPr>
        <w:pStyle w:val="ListParagraph"/>
        <w:numPr>
          <w:ilvl w:val="0"/>
          <w:numId w:val="13"/>
        </w:numPr>
        <w:spacing w:after="0" w:line="240" w:lineRule="auto"/>
        <w:rPr>
          <w:b/>
          <w:u w:val="single"/>
        </w:rPr>
      </w:pPr>
      <w:r>
        <w:rPr>
          <w:b/>
          <w:u w:val="single"/>
        </w:rPr>
        <w:t xml:space="preserve">Clear communication of the expectations and monitoring of attendance overseen by HR manager </w:t>
      </w:r>
    </w:p>
    <w:p w:rsidR="005F03DB" w:rsidRDefault="005F03DB" w:rsidP="002D093F">
      <w:pPr>
        <w:spacing w:after="0" w:line="240" w:lineRule="auto"/>
        <w:ind w:left="360"/>
      </w:pPr>
    </w:p>
    <w:p w:rsidR="002D093F" w:rsidRPr="002D093F" w:rsidRDefault="002D093F" w:rsidP="002D093F">
      <w:pPr>
        <w:spacing w:after="0" w:line="240" w:lineRule="auto"/>
        <w:ind w:left="360"/>
      </w:pPr>
      <w:r>
        <w:t xml:space="preserve">Currently team managers deal </w:t>
      </w:r>
      <w:r w:rsidR="005F03DB">
        <w:t xml:space="preserve">with attendance in varying ways, this leads to inconsistency and difficulty in establishing effective triggers. From now on one HR professional will be appointed to oversee the attendance records of all new staff to ensure the appropriate action is taken when each trigger point is reached. </w:t>
      </w:r>
      <w:r w:rsidR="007674CC">
        <w:t xml:space="preserve">They will review documentation and staff files with the manager to ensure accuracy. </w:t>
      </w:r>
    </w:p>
    <w:p w:rsidR="00C41CFD" w:rsidRDefault="00C41CFD" w:rsidP="003608EC"/>
    <w:p w:rsidR="00340251" w:rsidRDefault="00340251" w:rsidP="003608EC"/>
    <w:p w:rsidR="003608EC" w:rsidRDefault="00C41CFD" w:rsidP="003608EC">
      <w:r>
        <w:lastRenderedPageBreak/>
        <w:t xml:space="preserve">Although these areas address the main issues raised by this report, there is also a need to review the way in which we conduct back to work interviews including reiteration of the steps above, but also to remind the staff member that they are valued and form an important part of the team. Further investigation is also needed to consider whether enough is done to reward those with excellent attendance and focus on the positive reinforcement element of culture. </w:t>
      </w:r>
    </w:p>
    <w:sdt>
      <w:sdtPr>
        <w:rPr>
          <w:rFonts w:asciiTheme="minorHAnsi" w:eastAsiaTheme="minorHAnsi" w:hAnsiTheme="minorHAnsi" w:cstheme="minorHAnsi"/>
          <w:color w:val="auto"/>
          <w:sz w:val="20"/>
          <w:szCs w:val="20"/>
          <w:lang w:val="en-GB"/>
        </w:rPr>
        <w:id w:val="-599024638"/>
        <w:docPartObj>
          <w:docPartGallery w:val="Bibliographies"/>
          <w:docPartUnique/>
        </w:docPartObj>
      </w:sdtPr>
      <w:sdtEndPr>
        <w:rPr>
          <w:b/>
          <w:bCs/>
          <w:sz w:val="22"/>
          <w:szCs w:val="22"/>
        </w:rPr>
      </w:sdtEndPr>
      <w:sdtContent>
        <w:p w:rsidR="00153D63" w:rsidRDefault="00153D63">
          <w:pPr>
            <w:pStyle w:val="Heading1"/>
            <w:rPr>
              <w:rFonts w:asciiTheme="minorHAnsi" w:hAnsiTheme="minorHAnsi" w:cstheme="minorHAnsi"/>
              <w:b/>
              <w:color w:val="C0504D" w:themeColor="accent2"/>
              <w:sz w:val="22"/>
              <w:szCs w:val="22"/>
              <w:u w:val="single"/>
            </w:rPr>
          </w:pPr>
        </w:p>
        <w:p w:rsidR="00153D63" w:rsidRDefault="00153D63">
          <w:pPr>
            <w:pStyle w:val="Heading1"/>
            <w:rPr>
              <w:rFonts w:asciiTheme="minorHAnsi" w:hAnsiTheme="minorHAnsi" w:cstheme="minorHAnsi"/>
              <w:b/>
              <w:color w:val="C0504D" w:themeColor="accent2"/>
              <w:sz w:val="22"/>
              <w:szCs w:val="22"/>
              <w:u w:val="single"/>
            </w:rPr>
          </w:pPr>
        </w:p>
        <w:p w:rsidR="00852E1E" w:rsidRDefault="00852E1E">
          <w:pPr>
            <w:pStyle w:val="Heading1"/>
            <w:rPr>
              <w:rFonts w:asciiTheme="minorHAnsi" w:hAnsiTheme="minorHAnsi" w:cstheme="minorHAnsi"/>
              <w:b/>
              <w:color w:val="C0504D" w:themeColor="accent2"/>
              <w:sz w:val="22"/>
              <w:szCs w:val="22"/>
              <w:u w:val="single"/>
            </w:rPr>
          </w:pPr>
          <w:r w:rsidRPr="00852E1E">
            <w:rPr>
              <w:rFonts w:asciiTheme="minorHAnsi" w:hAnsiTheme="minorHAnsi" w:cstheme="minorHAnsi"/>
              <w:b/>
              <w:color w:val="C0504D" w:themeColor="accent2"/>
              <w:sz w:val="22"/>
              <w:szCs w:val="22"/>
              <w:u w:val="single"/>
            </w:rPr>
            <w:t>References</w:t>
          </w:r>
        </w:p>
        <w:p w:rsidR="007A6A38" w:rsidRDefault="007A6A38" w:rsidP="00852E1E">
          <w:pPr>
            <w:pStyle w:val="Bibliography"/>
            <w:rPr>
              <w:rFonts w:cstheme="minorHAnsi"/>
            </w:rPr>
          </w:pPr>
        </w:p>
        <w:p w:rsidR="004D6C12" w:rsidRDefault="00852E1E" w:rsidP="004D6C12">
          <w:pPr>
            <w:pStyle w:val="Bibliography"/>
            <w:rPr>
              <w:noProof/>
              <w:lang w:val="en-US"/>
            </w:rPr>
          </w:pPr>
          <w:r w:rsidRPr="00852E1E">
            <w:rPr>
              <w:rFonts w:cstheme="minorHAnsi"/>
            </w:rPr>
            <w:fldChar w:fldCharType="begin"/>
          </w:r>
          <w:r w:rsidRPr="00852E1E">
            <w:rPr>
              <w:rFonts w:cstheme="minorHAnsi"/>
            </w:rPr>
            <w:instrText xml:space="preserve"> BIBLIOGRAPHY </w:instrText>
          </w:r>
          <w:r w:rsidRPr="00852E1E">
            <w:rPr>
              <w:rFonts w:cstheme="minorHAnsi"/>
            </w:rPr>
            <w:fldChar w:fldCharType="separate"/>
          </w:r>
          <w:r w:rsidR="004D6C12">
            <w:rPr>
              <w:noProof/>
              <w:lang w:val="en-US"/>
            </w:rPr>
            <w:t xml:space="preserve">ACAS, 2014. </w:t>
          </w:r>
          <w:r w:rsidR="004D6C12">
            <w:rPr>
              <w:i/>
              <w:iCs/>
              <w:noProof/>
              <w:lang w:val="en-US"/>
            </w:rPr>
            <w:t xml:space="preserve">Managing attendance and employee turnover. </w:t>
          </w:r>
          <w:r w:rsidR="004D6C12">
            <w:rPr>
              <w:noProof/>
              <w:lang w:val="en-US"/>
            </w:rPr>
            <w:t>s.l.:s.n.</w:t>
          </w:r>
        </w:p>
        <w:p w:rsidR="004D6C12" w:rsidRDefault="004D6C12" w:rsidP="004D6C12">
          <w:pPr>
            <w:pStyle w:val="Bibliography"/>
            <w:rPr>
              <w:noProof/>
              <w:lang w:val="en-US"/>
            </w:rPr>
          </w:pPr>
          <w:r>
            <w:rPr>
              <w:noProof/>
              <w:lang w:val="en-US"/>
            </w:rPr>
            <w:t xml:space="preserve">Armstrong , M., 2006. </w:t>
          </w:r>
          <w:r>
            <w:rPr>
              <w:i/>
              <w:iCs/>
              <w:noProof/>
              <w:lang w:val="en-US"/>
            </w:rPr>
            <w:t xml:space="preserve">A Handbook of Human Resource Management Practice. </w:t>
          </w:r>
          <w:r>
            <w:rPr>
              <w:noProof/>
              <w:lang w:val="en-US"/>
            </w:rPr>
            <w:t>10th ed. London: s.n.</w:t>
          </w:r>
        </w:p>
        <w:p w:rsidR="004D6C12" w:rsidRDefault="004D6C12" w:rsidP="004D6C12">
          <w:pPr>
            <w:pStyle w:val="Bibliography"/>
            <w:rPr>
              <w:noProof/>
              <w:lang w:val="en-US"/>
            </w:rPr>
          </w:pPr>
          <w:r>
            <w:rPr>
              <w:noProof/>
              <w:lang w:val="en-US"/>
            </w:rPr>
            <w:t xml:space="preserve">Bradford Factor, 2013. </w:t>
          </w:r>
          <w:r>
            <w:rPr>
              <w:i/>
              <w:iCs/>
              <w:noProof/>
              <w:lang w:val="en-US"/>
            </w:rPr>
            <w:t xml:space="preserve">The Bradford Factor Calculator. </w:t>
          </w:r>
          <w:r>
            <w:rPr>
              <w:noProof/>
              <w:lang w:val="en-US"/>
            </w:rPr>
            <w:t xml:space="preserve">[Online] </w:t>
          </w:r>
          <w:r>
            <w:rPr>
              <w:noProof/>
              <w:lang w:val="en-US"/>
            </w:rPr>
            <w:br/>
            <w:t xml:space="preserve">Available at: </w:t>
          </w:r>
          <w:r>
            <w:rPr>
              <w:noProof/>
              <w:u w:val="single"/>
              <w:lang w:val="en-US"/>
            </w:rPr>
            <w:t>https://www.bradfordfactorcalculator.com</w:t>
          </w:r>
          <w:r>
            <w:rPr>
              <w:noProof/>
              <w:lang w:val="en-US"/>
            </w:rPr>
            <w:br/>
            <w:t>[Accessed 2018].</w:t>
          </w:r>
        </w:p>
        <w:p w:rsidR="004D6C12" w:rsidRDefault="004D6C12" w:rsidP="004D6C12">
          <w:pPr>
            <w:pStyle w:val="Bibliography"/>
            <w:rPr>
              <w:noProof/>
              <w:lang w:val="en-US"/>
            </w:rPr>
          </w:pPr>
          <w:r>
            <w:rPr>
              <w:noProof/>
              <w:lang w:val="en-US"/>
            </w:rPr>
            <w:t xml:space="preserve">CIPD, 2018. </w:t>
          </w:r>
          <w:r>
            <w:rPr>
              <w:i/>
              <w:iCs/>
              <w:noProof/>
              <w:lang w:val="en-US"/>
            </w:rPr>
            <w:t xml:space="preserve">CIPD. </w:t>
          </w:r>
          <w:r>
            <w:rPr>
              <w:noProof/>
              <w:lang w:val="en-US"/>
            </w:rPr>
            <w:t xml:space="preserve">[Online] </w:t>
          </w:r>
          <w:r>
            <w:rPr>
              <w:noProof/>
              <w:lang w:val="en-US"/>
            </w:rPr>
            <w:br/>
            <w:t xml:space="preserve">Available at: </w:t>
          </w:r>
          <w:r>
            <w:rPr>
              <w:noProof/>
              <w:u w:val="single"/>
              <w:lang w:val="en-US"/>
            </w:rPr>
            <w:t>http://cipd.co.uk</w:t>
          </w:r>
          <w:r>
            <w:rPr>
              <w:noProof/>
              <w:lang w:val="en-US"/>
            </w:rPr>
            <w:br/>
            <w:t>[Accessed October 2018].</w:t>
          </w:r>
        </w:p>
        <w:p w:rsidR="004D6C12" w:rsidRDefault="004D6C12" w:rsidP="004D6C12">
          <w:pPr>
            <w:pStyle w:val="Bibliography"/>
            <w:rPr>
              <w:noProof/>
              <w:lang w:val="en-US"/>
            </w:rPr>
          </w:pPr>
          <w:r>
            <w:rPr>
              <w:noProof/>
              <w:lang w:val="en-US"/>
            </w:rPr>
            <w:t xml:space="preserve">CIPD, 2018. </w:t>
          </w:r>
          <w:r>
            <w:rPr>
              <w:i/>
              <w:iCs/>
              <w:noProof/>
              <w:lang w:val="en-US"/>
            </w:rPr>
            <w:t xml:space="preserve">Health &amp; Wellbeing at Work Survey , </w:t>
          </w:r>
          <w:r>
            <w:rPr>
              <w:noProof/>
              <w:lang w:val="en-US"/>
            </w:rPr>
            <w:t>s.l.: CIPD.</w:t>
          </w:r>
        </w:p>
        <w:p w:rsidR="004D6C12" w:rsidRDefault="004D6C12" w:rsidP="004D6C12">
          <w:pPr>
            <w:pStyle w:val="Bibliography"/>
            <w:rPr>
              <w:noProof/>
              <w:lang w:val="en-US"/>
            </w:rPr>
          </w:pPr>
          <w:r>
            <w:rPr>
              <w:noProof/>
              <w:lang w:val="en-US"/>
            </w:rPr>
            <w:t xml:space="preserve">Employee Benefits, 2018. </w:t>
          </w:r>
          <w:r>
            <w:rPr>
              <w:i/>
              <w:iCs/>
              <w:noProof/>
              <w:lang w:val="en-US"/>
            </w:rPr>
            <w:t xml:space="preserve">Reducing absenteeism in the workplace. </w:t>
          </w:r>
          <w:r>
            <w:rPr>
              <w:noProof/>
              <w:lang w:val="en-US"/>
            </w:rPr>
            <w:t xml:space="preserve">[Online] </w:t>
          </w:r>
          <w:r>
            <w:rPr>
              <w:noProof/>
              <w:lang w:val="en-US"/>
            </w:rPr>
            <w:br/>
            <w:t xml:space="preserve">Available at: </w:t>
          </w:r>
          <w:r>
            <w:rPr>
              <w:noProof/>
              <w:u w:val="single"/>
              <w:lang w:val="en-US"/>
            </w:rPr>
            <w:t>https://www.employeebenefits.co.uk/reducing-absenteeism-workplace/</w:t>
          </w:r>
          <w:r>
            <w:rPr>
              <w:noProof/>
              <w:lang w:val="en-US"/>
            </w:rPr>
            <w:br/>
            <w:t>[Accessed October 2018].</w:t>
          </w:r>
        </w:p>
        <w:p w:rsidR="004D6C12" w:rsidRDefault="004D6C12" w:rsidP="004D6C12">
          <w:pPr>
            <w:pStyle w:val="Bibliography"/>
            <w:rPr>
              <w:noProof/>
              <w:lang w:val="en-US"/>
            </w:rPr>
          </w:pPr>
          <w:r>
            <w:rPr>
              <w:noProof/>
              <w:lang w:val="en-US"/>
            </w:rPr>
            <w:t xml:space="preserve">Evans, A. &amp; Walters, M., 2002. </w:t>
          </w:r>
          <w:r>
            <w:rPr>
              <w:i/>
              <w:iCs/>
              <w:noProof/>
              <w:lang w:val="en-US"/>
            </w:rPr>
            <w:t xml:space="preserve">From Absence to Attendance. </w:t>
          </w:r>
          <w:r>
            <w:rPr>
              <w:noProof/>
              <w:lang w:val="en-US"/>
            </w:rPr>
            <w:t>London: CIPD.</w:t>
          </w:r>
        </w:p>
        <w:p w:rsidR="004D6C12" w:rsidRDefault="004D6C12" w:rsidP="004D6C12">
          <w:pPr>
            <w:pStyle w:val="Bibliography"/>
            <w:rPr>
              <w:noProof/>
              <w:lang w:val="en-US"/>
            </w:rPr>
          </w:pPr>
          <w:r>
            <w:rPr>
              <w:noProof/>
              <w:lang w:val="en-US"/>
            </w:rPr>
            <w:t xml:space="preserve">Gennard , J. &amp; Judge, G., 2010. </w:t>
          </w:r>
          <w:r>
            <w:rPr>
              <w:i/>
              <w:iCs/>
              <w:noProof/>
              <w:lang w:val="en-US"/>
            </w:rPr>
            <w:t xml:space="preserve">Managing Employment Relations. </w:t>
          </w:r>
          <w:r>
            <w:rPr>
              <w:noProof/>
              <w:lang w:val="en-US"/>
            </w:rPr>
            <w:t>London : CIPD.</w:t>
          </w:r>
        </w:p>
        <w:p w:rsidR="004D6C12" w:rsidRDefault="004D6C12" w:rsidP="004D6C12">
          <w:pPr>
            <w:pStyle w:val="Bibliography"/>
            <w:rPr>
              <w:noProof/>
              <w:lang w:val="en-US"/>
            </w:rPr>
          </w:pPr>
          <w:r>
            <w:rPr>
              <w:noProof/>
              <w:lang w:val="en-US"/>
            </w:rPr>
            <w:t xml:space="preserve">Guest, D. E. &amp; Conway, N., 2002. Communicating the psychological contract:an employer perspective. </w:t>
          </w:r>
          <w:r>
            <w:rPr>
              <w:i/>
              <w:iCs/>
              <w:noProof/>
              <w:lang w:val="en-US"/>
            </w:rPr>
            <w:t xml:space="preserve">Human Resource Management Journal, </w:t>
          </w:r>
          <w:r>
            <w:rPr>
              <w:noProof/>
              <w:lang w:val="en-US"/>
            </w:rPr>
            <w:t>Volume 12 No 2, pp. 22-38.</w:t>
          </w:r>
        </w:p>
        <w:p w:rsidR="004D6C12" w:rsidRDefault="004D6C12" w:rsidP="004D6C12">
          <w:pPr>
            <w:pStyle w:val="Bibliography"/>
            <w:rPr>
              <w:noProof/>
              <w:lang w:val="en-US"/>
            </w:rPr>
          </w:pPr>
          <w:r>
            <w:rPr>
              <w:noProof/>
              <w:lang w:val="en-US"/>
            </w:rPr>
            <w:t xml:space="preserve">Gunter, B. &amp; Furnham, A., 1993. </w:t>
          </w:r>
          <w:r>
            <w:rPr>
              <w:i/>
              <w:iCs/>
              <w:noProof/>
              <w:lang w:val="en-US"/>
            </w:rPr>
            <w:t xml:space="preserve">Corporate Assessment. </w:t>
          </w:r>
          <w:r>
            <w:rPr>
              <w:noProof/>
              <w:lang w:val="en-US"/>
            </w:rPr>
            <w:t>London : Routledge.</w:t>
          </w:r>
        </w:p>
        <w:p w:rsidR="004D6C12" w:rsidRDefault="004D6C12" w:rsidP="004D6C12">
          <w:pPr>
            <w:pStyle w:val="Bibliography"/>
            <w:rPr>
              <w:noProof/>
              <w:lang w:val="en-US"/>
            </w:rPr>
          </w:pPr>
          <w:r>
            <w:rPr>
              <w:noProof/>
              <w:lang w:val="en-US"/>
            </w:rPr>
            <w:t xml:space="preserve">HR Magazine, 2001. </w:t>
          </w:r>
          <w:r>
            <w:rPr>
              <w:i/>
              <w:iCs/>
              <w:noProof/>
              <w:lang w:val="en-US"/>
            </w:rPr>
            <w:t xml:space="preserve">HR Magazine. </w:t>
          </w:r>
          <w:r>
            <w:rPr>
              <w:noProof/>
              <w:lang w:val="en-US"/>
            </w:rPr>
            <w:t xml:space="preserve">[Online] </w:t>
          </w:r>
          <w:r>
            <w:rPr>
              <w:noProof/>
              <w:lang w:val="en-US"/>
            </w:rPr>
            <w:br/>
            <w:t xml:space="preserve">Available at: </w:t>
          </w:r>
          <w:r>
            <w:rPr>
              <w:noProof/>
              <w:u w:val="single"/>
              <w:lang w:val="en-US"/>
            </w:rPr>
            <w:t>http://www.hrmagazine.co.uk/article-details/the-top-10-causes-of-absenteeism-and-what-you-can-do-about-it</w:t>
          </w:r>
          <w:r>
            <w:rPr>
              <w:noProof/>
              <w:lang w:val="en-US"/>
            </w:rPr>
            <w:br/>
            <w:t>[Accessed October 2018].</w:t>
          </w:r>
        </w:p>
        <w:p w:rsidR="004D6C12" w:rsidRDefault="004D6C12" w:rsidP="004D6C12">
          <w:pPr>
            <w:pStyle w:val="Bibliography"/>
            <w:rPr>
              <w:noProof/>
              <w:lang w:val="en-US"/>
            </w:rPr>
          </w:pPr>
          <w:r>
            <w:rPr>
              <w:noProof/>
              <w:lang w:val="en-US"/>
            </w:rPr>
            <w:t xml:space="preserve">Lindop, S., 2015. </w:t>
          </w:r>
          <w:r>
            <w:rPr>
              <w:i/>
              <w:iCs/>
              <w:noProof/>
              <w:lang w:val="en-US"/>
            </w:rPr>
            <w:t xml:space="preserve">Sickness Absence Calculator (Bradford Factor). </w:t>
          </w:r>
          <w:r>
            <w:rPr>
              <w:noProof/>
              <w:lang w:val="en-US"/>
            </w:rPr>
            <w:t xml:space="preserve">[Online] </w:t>
          </w:r>
          <w:r>
            <w:rPr>
              <w:noProof/>
              <w:lang w:val="en-US"/>
            </w:rPr>
            <w:br/>
            <w:t xml:space="preserve">Available at: </w:t>
          </w:r>
          <w:r>
            <w:rPr>
              <w:noProof/>
              <w:u w:val="single"/>
              <w:lang w:val="en-US"/>
            </w:rPr>
            <w:t>https://coventry.gov.uk/directory_record/26133/sickness_absence_calculator_bradford_factor?acceptcookies=1</w:t>
          </w:r>
          <w:r>
            <w:rPr>
              <w:noProof/>
              <w:lang w:val="en-US"/>
            </w:rPr>
            <w:br/>
            <w:t>[Accessed 24 10 2018].</w:t>
          </w:r>
        </w:p>
        <w:p w:rsidR="004D6C12" w:rsidRDefault="004D6C12" w:rsidP="004D6C12">
          <w:pPr>
            <w:pStyle w:val="Bibliography"/>
            <w:rPr>
              <w:noProof/>
              <w:lang w:val="en-US"/>
            </w:rPr>
          </w:pPr>
          <w:r>
            <w:rPr>
              <w:noProof/>
              <w:lang w:val="en-US"/>
            </w:rPr>
            <w:lastRenderedPageBreak/>
            <w:t xml:space="preserve">Mccord , P., 2018. </w:t>
          </w:r>
          <w:r>
            <w:rPr>
              <w:i/>
              <w:iCs/>
              <w:noProof/>
              <w:lang w:val="en-US"/>
            </w:rPr>
            <w:t xml:space="preserve">Powerful. </w:t>
          </w:r>
          <w:r>
            <w:rPr>
              <w:noProof/>
              <w:lang w:val="en-US"/>
            </w:rPr>
            <w:t>s.l.:Silicon Guild.</w:t>
          </w:r>
        </w:p>
        <w:p w:rsidR="004D6C12" w:rsidRDefault="004D6C12" w:rsidP="004D6C12">
          <w:pPr>
            <w:pStyle w:val="Bibliography"/>
            <w:rPr>
              <w:noProof/>
              <w:lang w:val="en-US"/>
            </w:rPr>
          </w:pPr>
          <w:r>
            <w:rPr>
              <w:noProof/>
              <w:lang w:val="en-US"/>
            </w:rPr>
            <w:t xml:space="preserve">Schein , E. H., 1984. Coming to a new awareness of culture. </w:t>
          </w:r>
          <w:r>
            <w:rPr>
              <w:i/>
              <w:iCs/>
              <w:noProof/>
              <w:lang w:val="en-US"/>
            </w:rPr>
            <w:t xml:space="preserve">Sloane Management Review , </w:t>
          </w:r>
          <w:r>
            <w:rPr>
              <w:noProof/>
              <w:lang w:val="en-US"/>
            </w:rPr>
            <w:t>Issue Winter , pp. 1-15.</w:t>
          </w:r>
        </w:p>
        <w:p w:rsidR="004D6C12" w:rsidRDefault="004D6C12" w:rsidP="004D6C12">
          <w:pPr>
            <w:pStyle w:val="Bibliography"/>
            <w:rPr>
              <w:noProof/>
              <w:lang w:val="en-US"/>
            </w:rPr>
          </w:pPr>
          <w:r>
            <w:rPr>
              <w:noProof/>
              <w:lang w:val="en-US"/>
            </w:rPr>
            <w:t xml:space="preserve">Simpson, S., 2017. </w:t>
          </w:r>
          <w:r>
            <w:rPr>
              <w:i/>
              <w:iCs/>
              <w:noProof/>
              <w:lang w:val="en-US"/>
            </w:rPr>
            <w:t xml:space="preserve">Personel Today. </w:t>
          </w:r>
          <w:r>
            <w:rPr>
              <w:noProof/>
              <w:lang w:val="en-US"/>
            </w:rPr>
            <w:t xml:space="preserve">[Online] </w:t>
          </w:r>
          <w:r>
            <w:rPr>
              <w:noProof/>
              <w:lang w:val="en-US"/>
            </w:rPr>
            <w:br/>
            <w:t xml:space="preserve">Available at: </w:t>
          </w:r>
          <w:r>
            <w:rPr>
              <w:noProof/>
              <w:u w:val="single"/>
              <w:lang w:val="en-US"/>
            </w:rPr>
            <w:t>https://www.personneltoday.com/hr/short-term-sickness-absence-policy-guide-hr/</w:t>
          </w:r>
          <w:r>
            <w:rPr>
              <w:noProof/>
              <w:lang w:val="en-US"/>
            </w:rPr>
            <w:br/>
            <w:t>[Accessed October 2018].</w:t>
          </w:r>
        </w:p>
        <w:p w:rsidR="004D6C12" w:rsidRDefault="004D6C12" w:rsidP="004D6C12">
          <w:pPr>
            <w:pStyle w:val="Bibliography"/>
            <w:rPr>
              <w:noProof/>
              <w:lang w:val="en-US"/>
            </w:rPr>
          </w:pPr>
          <w:r>
            <w:rPr>
              <w:noProof/>
              <w:lang w:val="en-US"/>
            </w:rPr>
            <w:t xml:space="preserve">Sparrow, P. R., 1999b. </w:t>
          </w:r>
          <w:r>
            <w:rPr>
              <w:i/>
              <w:iCs/>
              <w:noProof/>
              <w:lang w:val="en-US"/>
            </w:rPr>
            <w:t xml:space="preserve">International HRM: Contemporary issues in Europe. </w:t>
          </w:r>
          <w:r>
            <w:rPr>
              <w:noProof/>
              <w:lang w:val="en-US"/>
            </w:rPr>
            <w:t>London : Routledge.</w:t>
          </w:r>
        </w:p>
        <w:p w:rsidR="004D6C12" w:rsidRDefault="004D6C12" w:rsidP="004D6C12">
          <w:pPr>
            <w:pStyle w:val="Bibliography"/>
            <w:rPr>
              <w:noProof/>
              <w:lang w:val="en-US"/>
            </w:rPr>
          </w:pPr>
          <w:r>
            <w:rPr>
              <w:noProof/>
              <w:lang w:val="en-US"/>
            </w:rPr>
            <w:t xml:space="preserve">Taylor, P., Baldry, C., Bain, P. &amp; Ellis, V., 2003. 'A unique working environment': health, sickness and absence management in UK call centres. </w:t>
          </w:r>
          <w:r>
            <w:rPr>
              <w:i/>
              <w:iCs/>
              <w:noProof/>
              <w:lang w:val="en-US"/>
            </w:rPr>
            <w:t xml:space="preserve">Work, Employment &amp; Society, </w:t>
          </w:r>
          <w:r>
            <w:rPr>
              <w:noProof/>
              <w:lang w:val="en-US"/>
            </w:rPr>
            <w:t>, 17(3), pp. 435-458.</w:t>
          </w:r>
        </w:p>
        <w:p w:rsidR="00852E1E" w:rsidRPr="00852E1E" w:rsidRDefault="00852E1E" w:rsidP="004D6C12">
          <w:pPr>
            <w:rPr>
              <w:rFonts w:cstheme="minorHAnsi"/>
            </w:rPr>
          </w:pPr>
          <w:r w:rsidRPr="00852E1E">
            <w:rPr>
              <w:rFonts w:cstheme="minorHAnsi"/>
              <w:b/>
              <w:bCs/>
            </w:rPr>
            <w:fldChar w:fldCharType="end"/>
          </w:r>
        </w:p>
      </w:sdtContent>
    </w:sdt>
    <w:p w:rsidR="00852E1E" w:rsidRPr="00852E1E" w:rsidRDefault="00852E1E" w:rsidP="003608EC">
      <w:pPr>
        <w:rPr>
          <w:rFonts w:cstheme="minorHAnsi"/>
        </w:rPr>
      </w:pPr>
    </w:p>
    <w:p w:rsidR="00852E1E" w:rsidRPr="00852E1E" w:rsidRDefault="00852E1E" w:rsidP="003608EC">
      <w:pPr>
        <w:rPr>
          <w:rFonts w:cstheme="minorHAnsi"/>
        </w:rPr>
      </w:pPr>
    </w:p>
    <w:p w:rsidR="00852E1E" w:rsidRPr="00852E1E" w:rsidRDefault="00852E1E" w:rsidP="003608EC">
      <w:pPr>
        <w:rPr>
          <w:rFonts w:cstheme="minorHAnsi"/>
        </w:rPr>
      </w:pPr>
    </w:p>
    <w:p w:rsidR="00852E1E" w:rsidRPr="00852E1E" w:rsidRDefault="00852E1E" w:rsidP="003608EC">
      <w:pPr>
        <w:rPr>
          <w:rFonts w:cstheme="minorHAnsi"/>
        </w:rPr>
      </w:pPr>
    </w:p>
    <w:p w:rsidR="00852E1E" w:rsidRDefault="00852E1E" w:rsidP="003608EC">
      <w:pPr>
        <w:rPr>
          <w:rFonts w:cstheme="minorHAnsi"/>
        </w:rPr>
      </w:pPr>
    </w:p>
    <w:p w:rsidR="007170C7" w:rsidRDefault="007170C7" w:rsidP="003608EC">
      <w:pPr>
        <w:rPr>
          <w:rFonts w:cstheme="minorHAnsi"/>
        </w:rPr>
      </w:pPr>
    </w:p>
    <w:p w:rsidR="007170C7" w:rsidRDefault="007170C7" w:rsidP="003608EC">
      <w:pPr>
        <w:rPr>
          <w:rFonts w:cstheme="minorHAnsi"/>
        </w:rPr>
      </w:pPr>
    </w:p>
    <w:p w:rsidR="007170C7" w:rsidRDefault="007170C7" w:rsidP="003608EC">
      <w:pPr>
        <w:rPr>
          <w:rFonts w:cstheme="minorHAnsi"/>
        </w:rPr>
      </w:pPr>
    </w:p>
    <w:p w:rsidR="007170C7" w:rsidRDefault="007170C7" w:rsidP="003608EC">
      <w:pPr>
        <w:rPr>
          <w:rFonts w:cstheme="minorHAnsi"/>
        </w:rPr>
      </w:pPr>
    </w:p>
    <w:p w:rsidR="007170C7" w:rsidRDefault="007170C7" w:rsidP="003608EC">
      <w:pPr>
        <w:rPr>
          <w:rFonts w:cstheme="minorHAnsi"/>
        </w:rPr>
      </w:pPr>
    </w:p>
    <w:p w:rsidR="007170C7" w:rsidRDefault="007170C7" w:rsidP="003608EC">
      <w:pPr>
        <w:rPr>
          <w:rFonts w:cstheme="minorHAnsi"/>
        </w:rPr>
      </w:pPr>
    </w:p>
    <w:p w:rsidR="007170C7" w:rsidRDefault="007170C7" w:rsidP="003608EC">
      <w:pPr>
        <w:rPr>
          <w:rFonts w:cstheme="minorHAnsi"/>
        </w:rPr>
      </w:pPr>
    </w:p>
    <w:p w:rsidR="007170C7" w:rsidRDefault="007170C7" w:rsidP="003608EC">
      <w:pPr>
        <w:rPr>
          <w:rFonts w:cstheme="minorHAnsi"/>
        </w:rPr>
      </w:pPr>
    </w:p>
    <w:p w:rsidR="007170C7" w:rsidRDefault="007170C7" w:rsidP="003608EC">
      <w:pPr>
        <w:rPr>
          <w:rFonts w:cstheme="minorHAnsi"/>
        </w:rPr>
      </w:pPr>
    </w:p>
    <w:p w:rsidR="007170C7" w:rsidRDefault="007170C7" w:rsidP="003608EC">
      <w:pPr>
        <w:rPr>
          <w:rFonts w:cstheme="minorHAnsi"/>
        </w:rPr>
      </w:pPr>
    </w:p>
    <w:p w:rsidR="007170C7" w:rsidRDefault="007170C7" w:rsidP="003608EC">
      <w:pPr>
        <w:rPr>
          <w:rFonts w:cstheme="minorHAnsi"/>
        </w:rPr>
      </w:pPr>
    </w:p>
    <w:p w:rsidR="007170C7" w:rsidRDefault="007170C7" w:rsidP="003608EC">
      <w:pPr>
        <w:rPr>
          <w:rFonts w:cstheme="minorHAnsi"/>
        </w:rPr>
      </w:pPr>
    </w:p>
    <w:p w:rsidR="007170C7" w:rsidRDefault="007170C7" w:rsidP="003608EC">
      <w:pPr>
        <w:rPr>
          <w:rFonts w:cstheme="minorHAnsi"/>
        </w:rPr>
      </w:pPr>
    </w:p>
    <w:p w:rsidR="007170C7" w:rsidRPr="00852E1E" w:rsidRDefault="007170C7" w:rsidP="003608EC">
      <w:pPr>
        <w:rPr>
          <w:rFonts w:cstheme="minorHAnsi"/>
        </w:rPr>
      </w:pPr>
    </w:p>
    <w:sdt>
      <w:sdtPr>
        <w:rPr>
          <w:rFonts w:asciiTheme="minorHAnsi" w:eastAsiaTheme="minorHAnsi" w:hAnsiTheme="minorHAnsi" w:cstheme="minorHAnsi"/>
          <w:color w:val="auto"/>
          <w:sz w:val="22"/>
          <w:szCs w:val="22"/>
          <w:lang w:val="en-GB"/>
        </w:rPr>
        <w:id w:val="-858428482"/>
        <w:docPartObj>
          <w:docPartGallery w:val="Bibliographies"/>
          <w:docPartUnique/>
        </w:docPartObj>
      </w:sdtPr>
      <w:sdtEndPr/>
      <w:sdtContent>
        <w:p w:rsidR="00852E1E" w:rsidRPr="00852E1E" w:rsidRDefault="00852E1E">
          <w:pPr>
            <w:pStyle w:val="Heading1"/>
            <w:rPr>
              <w:rFonts w:asciiTheme="minorHAnsi" w:hAnsiTheme="minorHAnsi" w:cstheme="minorHAnsi"/>
              <w:b/>
              <w:color w:val="C0504D" w:themeColor="accent2"/>
              <w:sz w:val="22"/>
              <w:szCs w:val="22"/>
              <w:u w:val="single"/>
            </w:rPr>
          </w:pPr>
          <w:r w:rsidRPr="00852E1E">
            <w:rPr>
              <w:rFonts w:asciiTheme="minorHAnsi" w:hAnsiTheme="minorHAnsi" w:cstheme="minorHAnsi"/>
              <w:b/>
              <w:color w:val="C0504D" w:themeColor="accent2"/>
              <w:sz w:val="22"/>
              <w:szCs w:val="22"/>
              <w:u w:val="single"/>
            </w:rPr>
            <w:t>Bibliography</w:t>
          </w:r>
        </w:p>
        <w:sdt>
          <w:sdtPr>
            <w:rPr>
              <w:rFonts w:cstheme="minorHAnsi"/>
            </w:rPr>
            <w:id w:val="111145805"/>
            <w:bibliography/>
          </w:sdtPr>
          <w:sdtEndPr/>
          <w:sdtContent>
            <w:p w:rsidR="004D6C12" w:rsidRDefault="00852E1E" w:rsidP="004D6C12">
              <w:pPr>
                <w:pStyle w:val="Bibliography"/>
                <w:rPr>
                  <w:noProof/>
                  <w:lang w:val="en-US"/>
                </w:rPr>
              </w:pPr>
              <w:r w:rsidRPr="00852E1E">
                <w:rPr>
                  <w:rFonts w:cstheme="minorHAnsi"/>
                </w:rPr>
                <w:fldChar w:fldCharType="begin"/>
              </w:r>
              <w:r w:rsidRPr="00852E1E">
                <w:rPr>
                  <w:rFonts w:cstheme="minorHAnsi"/>
                </w:rPr>
                <w:instrText xml:space="preserve"> BIBLIOGRAPHY </w:instrText>
              </w:r>
              <w:r w:rsidRPr="00852E1E">
                <w:rPr>
                  <w:rFonts w:cstheme="minorHAnsi"/>
                </w:rPr>
                <w:fldChar w:fldCharType="separate"/>
              </w:r>
              <w:r w:rsidR="004D6C12">
                <w:rPr>
                  <w:noProof/>
                  <w:lang w:val="en-US"/>
                </w:rPr>
                <w:t xml:space="preserve">ACAS, 2014. </w:t>
              </w:r>
              <w:r w:rsidR="004D6C12">
                <w:rPr>
                  <w:i/>
                  <w:iCs/>
                  <w:noProof/>
                  <w:lang w:val="en-US"/>
                </w:rPr>
                <w:t xml:space="preserve">Managing attendance and employee turnover. </w:t>
              </w:r>
              <w:r w:rsidR="004D6C12">
                <w:rPr>
                  <w:noProof/>
                  <w:lang w:val="en-US"/>
                </w:rPr>
                <w:t>s.l.:s.n.</w:t>
              </w:r>
            </w:p>
            <w:p w:rsidR="004D6C12" w:rsidRDefault="004D6C12" w:rsidP="004D6C12">
              <w:pPr>
                <w:pStyle w:val="Bibliography"/>
                <w:rPr>
                  <w:noProof/>
                  <w:lang w:val="en-US"/>
                </w:rPr>
              </w:pPr>
              <w:r>
                <w:rPr>
                  <w:noProof/>
                  <w:lang w:val="en-US"/>
                </w:rPr>
                <w:t xml:space="preserve">Armstrong , M., 2006. </w:t>
              </w:r>
              <w:r>
                <w:rPr>
                  <w:i/>
                  <w:iCs/>
                  <w:noProof/>
                  <w:lang w:val="en-US"/>
                </w:rPr>
                <w:t xml:space="preserve">A Handbook of Human Resource Management Practice. </w:t>
              </w:r>
              <w:r>
                <w:rPr>
                  <w:noProof/>
                  <w:lang w:val="en-US"/>
                </w:rPr>
                <w:t>10th ed. London: s.n.</w:t>
              </w:r>
            </w:p>
            <w:p w:rsidR="004D6C12" w:rsidRDefault="004D6C12" w:rsidP="004D6C12">
              <w:pPr>
                <w:pStyle w:val="Bibliography"/>
                <w:rPr>
                  <w:noProof/>
                  <w:lang w:val="en-US"/>
                </w:rPr>
              </w:pPr>
              <w:r>
                <w:rPr>
                  <w:noProof/>
                  <w:lang w:val="en-US"/>
                </w:rPr>
                <w:t xml:space="preserve">Bradford Factor, 2013. </w:t>
              </w:r>
              <w:r>
                <w:rPr>
                  <w:i/>
                  <w:iCs/>
                  <w:noProof/>
                  <w:lang w:val="en-US"/>
                </w:rPr>
                <w:t xml:space="preserve">The Bradford Factor Calculator. </w:t>
              </w:r>
              <w:r>
                <w:rPr>
                  <w:noProof/>
                  <w:lang w:val="en-US"/>
                </w:rPr>
                <w:t xml:space="preserve">[Online] </w:t>
              </w:r>
              <w:r>
                <w:rPr>
                  <w:noProof/>
                  <w:lang w:val="en-US"/>
                </w:rPr>
                <w:br/>
                <w:t xml:space="preserve">Available at: </w:t>
              </w:r>
              <w:r>
                <w:rPr>
                  <w:noProof/>
                  <w:u w:val="single"/>
                  <w:lang w:val="en-US"/>
                </w:rPr>
                <w:t>https://www.bradfordfactorcalculator.com</w:t>
              </w:r>
              <w:r>
                <w:rPr>
                  <w:noProof/>
                  <w:lang w:val="en-US"/>
                </w:rPr>
                <w:br/>
                <w:t>[Accessed 2018].</w:t>
              </w:r>
            </w:p>
            <w:p w:rsidR="004D6C12" w:rsidRDefault="004D6C12" w:rsidP="004D6C12">
              <w:pPr>
                <w:pStyle w:val="Bibliography"/>
                <w:rPr>
                  <w:noProof/>
                  <w:lang w:val="en-US"/>
                </w:rPr>
              </w:pPr>
              <w:r>
                <w:rPr>
                  <w:noProof/>
                  <w:lang w:val="en-US"/>
                </w:rPr>
                <w:t xml:space="preserve">CIPD, 2018. </w:t>
              </w:r>
              <w:r>
                <w:rPr>
                  <w:i/>
                  <w:iCs/>
                  <w:noProof/>
                  <w:lang w:val="en-US"/>
                </w:rPr>
                <w:t xml:space="preserve">CIPD. </w:t>
              </w:r>
              <w:r>
                <w:rPr>
                  <w:noProof/>
                  <w:lang w:val="en-US"/>
                </w:rPr>
                <w:t xml:space="preserve">[Online] </w:t>
              </w:r>
              <w:r>
                <w:rPr>
                  <w:noProof/>
                  <w:lang w:val="en-US"/>
                </w:rPr>
                <w:br/>
                <w:t xml:space="preserve">Available at: </w:t>
              </w:r>
              <w:r>
                <w:rPr>
                  <w:noProof/>
                  <w:u w:val="single"/>
                  <w:lang w:val="en-US"/>
                </w:rPr>
                <w:t>http://cipd.co.uk</w:t>
              </w:r>
              <w:r>
                <w:rPr>
                  <w:noProof/>
                  <w:lang w:val="en-US"/>
                </w:rPr>
                <w:br/>
                <w:t>[Accessed October 2018].</w:t>
              </w:r>
            </w:p>
            <w:p w:rsidR="004D6C12" w:rsidRDefault="004D6C12" w:rsidP="004D6C12">
              <w:pPr>
                <w:pStyle w:val="Bibliography"/>
                <w:rPr>
                  <w:noProof/>
                  <w:lang w:val="en-US"/>
                </w:rPr>
              </w:pPr>
              <w:r>
                <w:rPr>
                  <w:noProof/>
                  <w:lang w:val="en-US"/>
                </w:rPr>
                <w:t xml:space="preserve">CIPD, 2018. </w:t>
              </w:r>
              <w:r>
                <w:rPr>
                  <w:i/>
                  <w:iCs/>
                  <w:noProof/>
                  <w:lang w:val="en-US"/>
                </w:rPr>
                <w:t xml:space="preserve">Health &amp; Wellbeing at Work Survey , </w:t>
              </w:r>
              <w:r>
                <w:rPr>
                  <w:noProof/>
                  <w:lang w:val="en-US"/>
                </w:rPr>
                <w:t>s.l.: CIPD.</w:t>
              </w:r>
            </w:p>
            <w:p w:rsidR="004D6C12" w:rsidRDefault="004D6C12" w:rsidP="004D6C12">
              <w:pPr>
                <w:pStyle w:val="Bibliography"/>
                <w:rPr>
                  <w:noProof/>
                  <w:lang w:val="en-US"/>
                </w:rPr>
              </w:pPr>
              <w:r>
                <w:rPr>
                  <w:noProof/>
                  <w:lang w:val="en-US"/>
                </w:rPr>
                <w:t xml:space="preserve">Employee Benefits, 2018. </w:t>
              </w:r>
              <w:r>
                <w:rPr>
                  <w:i/>
                  <w:iCs/>
                  <w:noProof/>
                  <w:lang w:val="en-US"/>
                </w:rPr>
                <w:t xml:space="preserve">Reducing absenteeism in the workplace. </w:t>
              </w:r>
              <w:r>
                <w:rPr>
                  <w:noProof/>
                  <w:lang w:val="en-US"/>
                </w:rPr>
                <w:t xml:space="preserve">[Online] </w:t>
              </w:r>
              <w:r>
                <w:rPr>
                  <w:noProof/>
                  <w:lang w:val="en-US"/>
                </w:rPr>
                <w:br/>
                <w:t xml:space="preserve">Available at: </w:t>
              </w:r>
              <w:r>
                <w:rPr>
                  <w:noProof/>
                  <w:u w:val="single"/>
                  <w:lang w:val="en-US"/>
                </w:rPr>
                <w:t>https://www.employeebenefits.co.uk/reducing-absenteeism-workplace/</w:t>
              </w:r>
              <w:r>
                <w:rPr>
                  <w:noProof/>
                  <w:lang w:val="en-US"/>
                </w:rPr>
                <w:br/>
                <w:t>[Accessed October 2018].</w:t>
              </w:r>
            </w:p>
            <w:p w:rsidR="004D6C12" w:rsidRDefault="004D6C12" w:rsidP="004D6C12">
              <w:pPr>
                <w:pStyle w:val="Bibliography"/>
                <w:rPr>
                  <w:noProof/>
                  <w:lang w:val="en-US"/>
                </w:rPr>
              </w:pPr>
              <w:r>
                <w:rPr>
                  <w:noProof/>
                  <w:lang w:val="en-US"/>
                </w:rPr>
                <w:t xml:space="preserve">Evans, A. &amp; Walters, M., 2002. </w:t>
              </w:r>
              <w:r>
                <w:rPr>
                  <w:i/>
                  <w:iCs/>
                  <w:noProof/>
                  <w:lang w:val="en-US"/>
                </w:rPr>
                <w:t xml:space="preserve">From Absence to Attendance. </w:t>
              </w:r>
              <w:r>
                <w:rPr>
                  <w:noProof/>
                  <w:lang w:val="en-US"/>
                </w:rPr>
                <w:t>London: CIPD.</w:t>
              </w:r>
            </w:p>
            <w:p w:rsidR="004D6C12" w:rsidRDefault="004D6C12" w:rsidP="004D6C12">
              <w:pPr>
                <w:pStyle w:val="Bibliography"/>
                <w:rPr>
                  <w:noProof/>
                  <w:lang w:val="en-US"/>
                </w:rPr>
              </w:pPr>
              <w:r>
                <w:rPr>
                  <w:noProof/>
                  <w:lang w:val="en-US"/>
                </w:rPr>
                <w:t xml:space="preserve">Gennard , J. &amp; Judge, G., 2010. </w:t>
              </w:r>
              <w:r>
                <w:rPr>
                  <w:i/>
                  <w:iCs/>
                  <w:noProof/>
                  <w:lang w:val="en-US"/>
                </w:rPr>
                <w:t xml:space="preserve">Managing Employment Relations. </w:t>
              </w:r>
              <w:r>
                <w:rPr>
                  <w:noProof/>
                  <w:lang w:val="en-US"/>
                </w:rPr>
                <w:t>London : CIPD.</w:t>
              </w:r>
            </w:p>
            <w:p w:rsidR="004D6C12" w:rsidRDefault="004D6C12" w:rsidP="004D6C12">
              <w:pPr>
                <w:pStyle w:val="Bibliography"/>
                <w:rPr>
                  <w:noProof/>
                  <w:lang w:val="en-US"/>
                </w:rPr>
              </w:pPr>
              <w:r>
                <w:rPr>
                  <w:noProof/>
                  <w:lang w:val="en-US"/>
                </w:rPr>
                <w:t xml:space="preserve">Guest, D. E. &amp; Conway, N., 2002. Communicating the psychological contract:an employer perspective. </w:t>
              </w:r>
              <w:r>
                <w:rPr>
                  <w:i/>
                  <w:iCs/>
                  <w:noProof/>
                  <w:lang w:val="en-US"/>
                </w:rPr>
                <w:t xml:space="preserve">Human Resource Management Journal, </w:t>
              </w:r>
              <w:r>
                <w:rPr>
                  <w:noProof/>
                  <w:lang w:val="en-US"/>
                </w:rPr>
                <w:t>Volume 12 No 2, pp. 22-38.</w:t>
              </w:r>
            </w:p>
            <w:p w:rsidR="004D6C12" w:rsidRDefault="004D6C12" w:rsidP="004D6C12">
              <w:pPr>
                <w:pStyle w:val="Bibliography"/>
                <w:rPr>
                  <w:noProof/>
                  <w:lang w:val="en-US"/>
                </w:rPr>
              </w:pPr>
              <w:r>
                <w:rPr>
                  <w:noProof/>
                  <w:lang w:val="en-US"/>
                </w:rPr>
                <w:t xml:space="preserve">Gunter, B. &amp; Furnham, A., 1993. </w:t>
              </w:r>
              <w:r>
                <w:rPr>
                  <w:i/>
                  <w:iCs/>
                  <w:noProof/>
                  <w:lang w:val="en-US"/>
                </w:rPr>
                <w:t xml:space="preserve">Corporate Assessment. </w:t>
              </w:r>
              <w:r>
                <w:rPr>
                  <w:noProof/>
                  <w:lang w:val="en-US"/>
                </w:rPr>
                <w:t>London : Routledge.</w:t>
              </w:r>
            </w:p>
            <w:p w:rsidR="004D6C12" w:rsidRDefault="004D6C12" w:rsidP="004D6C12">
              <w:pPr>
                <w:pStyle w:val="Bibliography"/>
                <w:rPr>
                  <w:noProof/>
                  <w:lang w:val="en-US"/>
                </w:rPr>
              </w:pPr>
              <w:r>
                <w:rPr>
                  <w:noProof/>
                  <w:lang w:val="en-US"/>
                </w:rPr>
                <w:t xml:space="preserve">HR Magazine, 2001. </w:t>
              </w:r>
              <w:r>
                <w:rPr>
                  <w:i/>
                  <w:iCs/>
                  <w:noProof/>
                  <w:lang w:val="en-US"/>
                </w:rPr>
                <w:t xml:space="preserve">HR Magazine. </w:t>
              </w:r>
              <w:r>
                <w:rPr>
                  <w:noProof/>
                  <w:lang w:val="en-US"/>
                </w:rPr>
                <w:t xml:space="preserve">[Online] </w:t>
              </w:r>
              <w:r>
                <w:rPr>
                  <w:noProof/>
                  <w:lang w:val="en-US"/>
                </w:rPr>
                <w:br/>
                <w:t xml:space="preserve">Available at: </w:t>
              </w:r>
              <w:r>
                <w:rPr>
                  <w:noProof/>
                  <w:u w:val="single"/>
                  <w:lang w:val="en-US"/>
                </w:rPr>
                <w:t>http://www.hrmagazine.co.uk/article-details/the-top-10-causes-of-absenteeism-and-what-you-can-do-about-it</w:t>
              </w:r>
              <w:r>
                <w:rPr>
                  <w:noProof/>
                  <w:lang w:val="en-US"/>
                </w:rPr>
                <w:br/>
                <w:t>[Accessed October 2018].</w:t>
              </w:r>
            </w:p>
            <w:p w:rsidR="004D6C12" w:rsidRDefault="004D6C12" w:rsidP="004D6C12">
              <w:pPr>
                <w:pStyle w:val="Bibliography"/>
                <w:rPr>
                  <w:noProof/>
                  <w:lang w:val="en-US"/>
                </w:rPr>
              </w:pPr>
              <w:r>
                <w:rPr>
                  <w:noProof/>
                  <w:lang w:val="en-US"/>
                </w:rPr>
                <w:t xml:space="preserve">Lindop, S., 2015. </w:t>
              </w:r>
              <w:r>
                <w:rPr>
                  <w:i/>
                  <w:iCs/>
                  <w:noProof/>
                  <w:lang w:val="en-US"/>
                </w:rPr>
                <w:t xml:space="preserve">Sickness Absence Calculator (Bradford Factor). </w:t>
              </w:r>
              <w:r>
                <w:rPr>
                  <w:noProof/>
                  <w:lang w:val="en-US"/>
                </w:rPr>
                <w:t xml:space="preserve">[Online] </w:t>
              </w:r>
              <w:r>
                <w:rPr>
                  <w:noProof/>
                  <w:lang w:val="en-US"/>
                </w:rPr>
                <w:br/>
                <w:t xml:space="preserve">Available at: </w:t>
              </w:r>
              <w:r>
                <w:rPr>
                  <w:noProof/>
                  <w:u w:val="single"/>
                  <w:lang w:val="en-US"/>
                </w:rPr>
                <w:t>https://coventry.gov.uk/directory_record/26133/sickness_absence_calculator_bradford_factor?acceptcookies=1</w:t>
              </w:r>
              <w:r>
                <w:rPr>
                  <w:noProof/>
                  <w:lang w:val="en-US"/>
                </w:rPr>
                <w:br/>
                <w:t>[Accessed 24 10 2018].</w:t>
              </w:r>
            </w:p>
            <w:p w:rsidR="004D6C12" w:rsidRDefault="004D6C12" w:rsidP="004D6C12">
              <w:pPr>
                <w:pStyle w:val="Bibliography"/>
                <w:rPr>
                  <w:noProof/>
                  <w:lang w:val="en-US"/>
                </w:rPr>
              </w:pPr>
              <w:r>
                <w:rPr>
                  <w:noProof/>
                  <w:lang w:val="en-US"/>
                </w:rPr>
                <w:t xml:space="preserve">Mccord , P., 2018. </w:t>
              </w:r>
              <w:r>
                <w:rPr>
                  <w:i/>
                  <w:iCs/>
                  <w:noProof/>
                  <w:lang w:val="en-US"/>
                </w:rPr>
                <w:t xml:space="preserve">Powerful. </w:t>
              </w:r>
              <w:r>
                <w:rPr>
                  <w:noProof/>
                  <w:lang w:val="en-US"/>
                </w:rPr>
                <w:t>s.l.:Silicon Guild.</w:t>
              </w:r>
            </w:p>
            <w:p w:rsidR="004D6C12" w:rsidRDefault="004D6C12" w:rsidP="004D6C12">
              <w:pPr>
                <w:pStyle w:val="Bibliography"/>
                <w:rPr>
                  <w:noProof/>
                  <w:lang w:val="en-US"/>
                </w:rPr>
              </w:pPr>
              <w:r>
                <w:rPr>
                  <w:noProof/>
                  <w:lang w:val="en-US"/>
                </w:rPr>
                <w:t xml:space="preserve">Schein , E. H., 1984. Coming to a new awareness of culture. </w:t>
              </w:r>
              <w:r>
                <w:rPr>
                  <w:i/>
                  <w:iCs/>
                  <w:noProof/>
                  <w:lang w:val="en-US"/>
                </w:rPr>
                <w:t xml:space="preserve">Sloane Management Review , </w:t>
              </w:r>
              <w:r>
                <w:rPr>
                  <w:noProof/>
                  <w:lang w:val="en-US"/>
                </w:rPr>
                <w:t>Issue Winter , pp. 1-15.</w:t>
              </w:r>
            </w:p>
            <w:p w:rsidR="004D6C12" w:rsidRDefault="004D6C12" w:rsidP="004D6C12">
              <w:pPr>
                <w:pStyle w:val="Bibliography"/>
                <w:rPr>
                  <w:noProof/>
                  <w:lang w:val="en-US"/>
                </w:rPr>
              </w:pPr>
              <w:r>
                <w:rPr>
                  <w:noProof/>
                  <w:lang w:val="en-US"/>
                </w:rPr>
                <w:t xml:space="preserve">Simpson, S., 2017. </w:t>
              </w:r>
              <w:r>
                <w:rPr>
                  <w:i/>
                  <w:iCs/>
                  <w:noProof/>
                  <w:lang w:val="en-US"/>
                </w:rPr>
                <w:t xml:space="preserve">Personel Today. </w:t>
              </w:r>
              <w:r>
                <w:rPr>
                  <w:noProof/>
                  <w:lang w:val="en-US"/>
                </w:rPr>
                <w:t xml:space="preserve">[Online] </w:t>
              </w:r>
              <w:r>
                <w:rPr>
                  <w:noProof/>
                  <w:lang w:val="en-US"/>
                </w:rPr>
                <w:br/>
                <w:t xml:space="preserve">Available at: </w:t>
              </w:r>
              <w:r>
                <w:rPr>
                  <w:noProof/>
                  <w:u w:val="single"/>
                  <w:lang w:val="en-US"/>
                </w:rPr>
                <w:t>https://www.personneltoday.com/hr/short-term-sickness-absence-policy-guide-hr/</w:t>
              </w:r>
              <w:r>
                <w:rPr>
                  <w:noProof/>
                  <w:lang w:val="en-US"/>
                </w:rPr>
                <w:br/>
                <w:t>[Accessed October 2018].</w:t>
              </w:r>
            </w:p>
            <w:p w:rsidR="004D6C12" w:rsidRDefault="004D6C12" w:rsidP="004D6C12">
              <w:pPr>
                <w:pStyle w:val="Bibliography"/>
                <w:rPr>
                  <w:noProof/>
                  <w:lang w:val="en-US"/>
                </w:rPr>
              </w:pPr>
              <w:r>
                <w:rPr>
                  <w:noProof/>
                  <w:lang w:val="en-US"/>
                </w:rPr>
                <w:t xml:space="preserve">Sparrow, P. R., 1999b. </w:t>
              </w:r>
              <w:r>
                <w:rPr>
                  <w:i/>
                  <w:iCs/>
                  <w:noProof/>
                  <w:lang w:val="en-US"/>
                </w:rPr>
                <w:t xml:space="preserve">International HRM: Contemporary issues in Europe. </w:t>
              </w:r>
              <w:r>
                <w:rPr>
                  <w:noProof/>
                  <w:lang w:val="en-US"/>
                </w:rPr>
                <w:t>London : Routledge.</w:t>
              </w:r>
            </w:p>
            <w:p w:rsidR="004D6C12" w:rsidRDefault="004D6C12" w:rsidP="004D6C12">
              <w:pPr>
                <w:pStyle w:val="Bibliography"/>
                <w:rPr>
                  <w:noProof/>
                  <w:lang w:val="en-US"/>
                </w:rPr>
              </w:pPr>
              <w:r>
                <w:rPr>
                  <w:noProof/>
                  <w:lang w:val="en-US"/>
                </w:rPr>
                <w:lastRenderedPageBreak/>
                <w:t xml:space="preserve">Taylor, P., Baldry, C., Bain, P. &amp; Ellis, V., 2003. 'A unique working environment': health, sickness and absence management in UK call centres. </w:t>
              </w:r>
              <w:r>
                <w:rPr>
                  <w:i/>
                  <w:iCs/>
                  <w:noProof/>
                  <w:lang w:val="en-US"/>
                </w:rPr>
                <w:t xml:space="preserve">Work, Employment &amp; Society, </w:t>
              </w:r>
              <w:r>
                <w:rPr>
                  <w:noProof/>
                  <w:lang w:val="en-US"/>
                </w:rPr>
                <w:t>, 17(3), pp. 435-458.</w:t>
              </w:r>
            </w:p>
            <w:p w:rsidR="00852E1E" w:rsidRPr="00852E1E" w:rsidRDefault="00852E1E" w:rsidP="004D6C12">
              <w:pPr>
                <w:rPr>
                  <w:rFonts w:cstheme="minorHAnsi"/>
                </w:rPr>
              </w:pPr>
              <w:r w:rsidRPr="00852E1E">
                <w:rPr>
                  <w:rFonts w:cstheme="minorHAnsi"/>
                  <w:b/>
                  <w:bCs/>
                  <w:noProof/>
                </w:rPr>
                <w:fldChar w:fldCharType="end"/>
              </w:r>
            </w:p>
          </w:sdtContent>
        </w:sdt>
      </w:sdtContent>
    </w:sdt>
    <w:p w:rsidR="00852E1E" w:rsidRPr="00852E1E" w:rsidRDefault="00852E1E" w:rsidP="003608EC">
      <w:pPr>
        <w:rPr>
          <w:rFonts w:cstheme="minorHAnsi"/>
        </w:rPr>
      </w:pPr>
    </w:p>
    <w:sectPr w:rsidR="00852E1E" w:rsidRPr="00852E1E" w:rsidSect="00AE47D4">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F8F" w:rsidRDefault="00991F8F" w:rsidP="001D166B">
      <w:pPr>
        <w:spacing w:after="0" w:line="240" w:lineRule="auto"/>
      </w:pPr>
      <w:r>
        <w:separator/>
      </w:r>
    </w:p>
  </w:endnote>
  <w:endnote w:type="continuationSeparator" w:id="0">
    <w:p w:rsidR="00991F8F" w:rsidRDefault="00991F8F" w:rsidP="001D1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6408588"/>
      <w:docPartObj>
        <w:docPartGallery w:val="Page Numbers (Bottom of Page)"/>
        <w:docPartUnique/>
      </w:docPartObj>
    </w:sdtPr>
    <w:sdtEndPr>
      <w:rPr>
        <w:noProof/>
      </w:rPr>
    </w:sdtEndPr>
    <w:sdtContent>
      <w:p w:rsidR="001D166B" w:rsidRDefault="001D166B">
        <w:pPr>
          <w:pStyle w:val="Footer"/>
          <w:jc w:val="right"/>
        </w:pPr>
        <w:r>
          <w:fldChar w:fldCharType="begin"/>
        </w:r>
        <w:r>
          <w:instrText xml:space="preserve"> PAGE   \* MERGEFORMAT </w:instrText>
        </w:r>
        <w:r>
          <w:fldChar w:fldCharType="separate"/>
        </w:r>
        <w:r w:rsidR="002E5660">
          <w:rPr>
            <w:noProof/>
          </w:rPr>
          <w:t>2</w:t>
        </w:r>
        <w:r>
          <w:rPr>
            <w:noProof/>
          </w:rPr>
          <w:fldChar w:fldCharType="end"/>
        </w:r>
      </w:p>
    </w:sdtContent>
  </w:sdt>
  <w:p w:rsidR="001D166B" w:rsidRDefault="001D16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F8F" w:rsidRDefault="00991F8F" w:rsidP="001D166B">
      <w:pPr>
        <w:spacing w:after="0" w:line="240" w:lineRule="auto"/>
      </w:pPr>
      <w:r>
        <w:separator/>
      </w:r>
    </w:p>
  </w:footnote>
  <w:footnote w:type="continuationSeparator" w:id="0">
    <w:p w:rsidR="00991F8F" w:rsidRDefault="00991F8F" w:rsidP="001D16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17517"/>
    <w:multiLevelType w:val="hybridMultilevel"/>
    <w:tmpl w:val="A93005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8940EE3"/>
    <w:multiLevelType w:val="hybridMultilevel"/>
    <w:tmpl w:val="87A40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D422B2E"/>
    <w:multiLevelType w:val="hybridMultilevel"/>
    <w:tmpl w:val="5F12A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5E465B"/>
    <w:multiLevelType w:val="hybridMultilevel"/>
    <w:tmpl w:val="4EA6A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E17D37"/>
    <w:multiLevelType w:val="hybridMultilevel"/>
    <w:tmpl w:val="A544C1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4DC2B3A"/>
    <w:multiLevelType w:val="hybridMultilevel"/>
    <w:tmpl w:val="E7AE9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C5F5AE1"/>
    <w:multiLevelType w:val="hybridMultilevel"/>
    <w:tmpl w:val="0B8A1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7A70D35"/>
    <w:multiLevelType w:val="hybridMultilevel"/>
    <w:tmpl w:val="AA70F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F163DF3"/>
    <w:multiLevelType w:val="hybridMultilevel"/>
    <w:tmpl w:val="84A08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0706551"/>
    <w:multiLevelType w:val="hybridMultilevel"/>
    <w:tmpl w:val="36802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4F51B02"/>
    <w:multiLevelType w:val="hybridMultilevel"/>
    <w:tmpl w:val="8070EBB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7141E8C"/>
    <w:multiLevelType w:val="hybridMultilevel"/>
    <w:tmpl w:val="264201B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2">
    <w:nsid w:val="7C366AED"/>
    <w:multiLevelType w:val="hybridMultilevel"/>
    <w:tmpl w:val="A426D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1"/>
  </w:num>
  <w:num w:numId="4">
    <w:abstractNumId w:val="8"/>
  </w:num>
  <w:num w:numId="5">
    <w:abstractNumId w:val="6"/>
  </w:num>
  <w:num w:numId="6">
    <w:abstractNumId w:val="2"/>
  </w:num>
  <w:num w:numId="7">
    <w:abstractNumId w:val="5"/>
  </w:num>
  <w:num w:numId="8">
    <w:abstractNumId w:val="12"/>
  </w:num>
  <w:num w:numId="9">
    <w:abstractNumId w:val="7"/>
  </w:num>
  <w:num w:numId="10">
    <w:abstractNumId w:val="11"/>
  </w:num>
  <w:num w:numId="11">
    <w:abstractNumId w:val="10"/>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63F5"/>
    <w:rsid w:val="000044CF"/>
    <w:rsid w:val="00004CE0"/>
    <w:rsid w:val="0002515B"/>
    <w:rsid w:val="00034680"/>
    <w:rsid w:val="000416C1"/>
    <w:rsid w:val="00056327"/>
    <w:rsid w:val="00084CB9"/>
    <w:rsid w:val="00086220"/>
    <w:rsid w:val="00091548"/>
    <w:rsid w:val="000920A7"/>
    <w:rsid w:val="000C3C05"/>
    <w:rsid w:val="000C4E1F"/>
    <w:rsid w:val="000D13BF"/>
    <w:rsid w:val="00123549"/>
    <w:rsid w:val="0013725E"/>
    <w:rsid w:val="00153D63"/>
    <w:rsid w:val="00174D71"/>
    <w:rsid w:val="001A32E4"/>
    <w:rsid w:val="001D166B"/>
    <w:rsid w:val="002170ED"/>
    <w:rsid w:val="00242143"/>
    <w:rsid w:val="0027029D"/>
    <w:rsid w:val="002A3A71"/>
    <w:rsid w:val="002C65F0"/>
    <w:rsid w:val="002D04E0"/>
    <w:rsid w:val="002D093F"/>
    <w:rsid w:val="002E36EE"/>
    <w:rsid w:val="002E4174"/>
    <w:rsid w:val="002E5660"/>
    <w:rsid w:val="002F1BC4"/>
    <w:rsid w:val="00337005"/>
    <w:rsid w:val="00340251"/>
    <w:rsid w:val="0034139C"/>
    <w:rsid w:val="003608EC"/>
    <w:rsid w:val="00373808"/>
    <w:rsid w:val="00381A53"/>
    <w:rsid w:val="00384DA7"/>
    <w:rsid w:val="003C3FE6"/>
    <w:rsid w:val="003D3C2D"/>
    <w:rsid w:val="003E4B83"/>
    <w:rsid w:val="003E6DCF"/>
    <w:rsid w:val="003F0F67"/>
    <w:rsid w:val="00407A5F"/>
    <w:rsid w:val="0041117F"/>
    <w:rsid w:val="004153A1"/>
    <w:rsid w:val="00463810"/>
    <w:rsid w:val="0047269E"/>
    <w:rsid w:val="00485D96"/>
    <w:rsid w:val="004932F0"/>
    <w:rsid w:val="004C287E"/>
    <w:rsid w:val="004D1985"/>
    <w:rsid w:val="004D6C12"/>
    <w:rsid w:val="004E0928"/>
    <w:rsid w:val="00502F6B"/>
    <w:rsid w:val="00515C72"/>
    <w:rsid w:val="0052322E"/>
    <w:rsid w:val="00526B11"/>
    <w:rsid w:val="005361B4"/>
    <w:rsid w:val="00543815"/>
    <w:rsid w:val="00567262"/>
    <w:rsid w:val="00576871"/>
    <w:rsid w:val="0058579E"/>
    <w:rsid w:val="00587B8B"/>
    <w:rsid w:val="005974C4"/>
    <w:rsid w:val="005A699B"/>
    <w:rsid w:val="005C4A8F"/>
    <w:rsid w:val="005D2887"/>
    <w:rsid w:val="005F03DB"/>
    <w:rsid w:val="00601674"/>
    <w:rsid w:val="00614F79"/>
    <w:rsid w:val="00620E90"/>
    <w:rsid w:val="00647E57"/>
    <w:rsid w:val="006614C8"/>
    <w:rsid w:val="006674DE"/>
    <w:rsid w:val="006679C0"/>
    <w:rsid w:val="00675651"/>
    <w:rsid w:val="006B0C42"/>
    <w:rsid w:val="006C0526"/>
    <w:rsid w:val="006D2BBD"/>
    <w:rsid w:val="006E5C26"/>
    <w:rsid w:val="006F44C4"/>
    <w:rsid w:val="006F59E1"/>
    <w:rsid w:val="00710757"/>
    <w:rsid w:val="007170C7"/>
    <w:rsid w:val="007240CC"/>
    <w:rsid w:val="00726037"/>
    <w:rsid w:val="00754F02"/>
    <w:rsid w:val="007674CC"/>
    <w:rsid w:val="007677ED"/>
    <w:rsid w:val="00773A1A"/>
    <w:rsid w:val="00795374"/>
    <w:rsid w:val="007A6A38"/>
    <w:rsid w:val="007B3781"/>
    <w:rsid w:val="007C07DD"/>
    <w:rsid w:val="007C5794"/>
    <w:rsid w:val="007D49D2"/>
    <w:rsid w:val="00825642"/>
    <w:rsid w:val="0082651A"/>
    <w:rsid w:val="00852E1E"/>
    <w:rsid w:val="00856B97"/>
    <w:rsid w:val="00863412"/>
    <w:rsid w:val="00876025"/>
    <w:rsid w:val="00877EDB"/>
    <w:rsid w:val="008B7A62"/>
    <w:rsid w:val="008F6A9E"/>
    <w:rsid w:val="0090081B"/>
    <w:rsid w:val="009042AC"/>
    <w:rsid w:val="00915044"/>
    <w:rsid w:val="00946EE3"/>
    <w:rsid w:val="009557D6"/>
    <w:rsid w:val="009676CC"/>
    <w:rsid w:val="00970B7A"/>
    <w:rsid w:val="00975BA9"/>
    <w:rsid w:val="00976E1C"/>
    <w:rsid w:val="009823CE"/>
    <w:rsid w:val="00991F8F"/>
    <w:rsid w:val="00993AD2"/>
    <w:rsid w:val="009A77C6"/>
    <w:rsid w:val="009B0FD2"/>
    <w:rsid w:val="009B6404"/>
    <w:rsid w:val="009C4C16"/>
    <w:rsid w:val="009C7AC4"/>
    <w:rsid w:val="009D5E8F"/>
    <w:rsid w:val="009D73A6"/>
    <w:rsid w:val="009E1A0E"/>
    <w:rsid w:val="009F6146"/>
    <w:rsid w:val="00A00B84"/>
    <w:rsid w:val="00A103B1"/>
    <w:rsid w:val="00A233E3"/>
    <w:rsid w:val="00A23783"/>
    <w:rsid w:val="00A3198D"/>
    <w:rsid w:val="00A326B8"/>
    <w:rsid w:val="00A375C0"/>
    <w:rsid w:val="00A52152"/>
    <w:rsid w:val="00A56B21"/>
    <w:rsid w:val="00A6762D"/>
    <w:rsid w:val="00AD1795"/>
    <w:rsid w:val="00AE47D4"/>
    <w:rsid w:val="00B22272"/>
    <w:rsid w:val="00B47374"/>
    <w:rsid w:val="00B52181"/>
    <w:rsid w:val="00B66DFE"/>
    <w:rsid w:val="00B76D5C"/>
    <w:rsid w:val="00B811E8"/>
    <w:rsid w:val="00BA6043"/>
    <w:rsid w:val="00BB5F9D"/>
    <w:rsid w:val="00BC15D0"/>
    <w:rsid w:val="00BC771B"/>
    <w:rsid w:val="00BE2376"/>
    <w:rsid w:val="00BF6BA0"/>
    <w:rsid w:val="00C100BD"/>
    <w:rsid w:val="00C12A3E"/>
    <w:rsid w:val="00C17E32"/>
    <w:rsid w:val="00C21845"/>
    <w:rsid w:val="00C30808"/>
    <w:rsid w:val="00C41CFD"/>
    <w:rsid w:val="00C62765"/>
    <w:rsid w:val="00C759B9"/>
    <w:rsid w:val="00CA2C29"/>
    <w:rsid w:val="00CA3339"/>
    <w:rsid w:val="00CB3F6A"/>
    <w:rsid w:val="00CC4820"/>
    <w:rsid w:val="00CE4B34"/>
    <w:rsid w:val="00CF5C83"/>
    <w:rsid w:val="00D3696D"/>
    <w:rsid w:val="00D60073"/>
    <w:rsid w:val="00D77AC8"/>
    <w:rsid w:val="00D82BC3"/>
    <w:rsid w:val="00DC3014"/>
    <w:rsid w:val="00DC3432"/>
    <w:rsid w:val="00DC7609"/>
    <w:rsid w:val="00DD32D8"/>
    <w:rsid w:val="00DE57A6"/>
    <w:rsid w:val="00E148F5"/>
    <w:rsid w:val="00E177BD"/>
    <w:rsid w:val="00E30621"/>
    <w:rsid w:val="00E463F5"/>
    <w:rsid w:val="00E712B5"/>
    <w:rsid w:val="00EB62A2"/>
    <w:rsid w:val="00EC7AB6"/>
    <w:rsid w:val="00EF1EBE"/>
    <w:rsid w:val="00F45BE4"/>
    <w:rsid w:val="00F62490"/>
    <w:rsid w:val="00F679B3"/>
    <w:rsid w:val="00F8633D"/>
    <w:rsid w:val="00FB473B"/>
    <w:rsid w:val="00FC7C38"/>
    <w:rsid w:val="00FD1DFE"/>
    <w:rsid w:val="00FF4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30808"/>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57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5794"/>
    <w:rPr>
      <w:rFonts w:ascii="Tahoma" w:hAnsi="Tahoma" w:cs="Tahoma"/>
      <w:sz w:val="16"/>
      <w:szCs w:val="16"/>
    </w:rPr>
  </w:style>
  <w:style w:type="paragraph" w:styleId="ListParagraph">
    <w:name w:val="List Paragraph"/>
    <w:basedOn w:val="Normal"/>
    <w:uiPriority w:val="34"/>
    <w:qFormat/>
    <w:rsid w:val="0058579E"/>
    <w:pPr>
      <w:ind w:left="720"/>
      <w:contextualSpacing/>
    </w:pPr>
  </w:style>
  <w:style w:type="paragraph" w:styleId="TableofFigures">
    <w:name w:val="table of figures"/>
    <w:basedOn w:val="Normal"/>
    <w:next w:val="Normal"/>
    <w:uiPriority w:val="99"/>
    <w:unhideWhenUsed/>
    <w:rsid w:val="00373808"/>
    <w:pPr>
      <w:spacing w:after="0"/>
      <w:ind w:left="440" w:hanging="440"/>
      <w:jc w:val="center"/>
    </w:pPr>
    <w:rPr>
      <w:b/>
      <w:bCs/>
      <w:i/>
      <w:iCs/>
      <w:sz w:val="20"/>
      <w:szCs w:val="20"/>
    </w:rPr>
  </w:style>
  <w:style w:type="paragraph" w:styleId="NoSpacing">
    <w:name w:val="No Spacing"/>
    <w:link w:val="NoSpacingChar"/>
    <w:uiPriority w:val="1"/>
    <w:qFormat/>
    <w:rsid w:val="00AE47D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E47D4"/>
    <w:rPr>
      <w:rFonts w:eastAsiaTheme="minorEastAsia"/>
      <w:lang w:val="en-US"/>
    </w:rPr>
  </w:style>
  <w:style w:type="character" w:customStyle="1" w:styleId="Heading1Char">
    <w:name w:val="Heading 1 Char"/>
    <w:basedOn w:val="DefaultParagraphFont"/>
    <w:link w:val="Heading1"/>
    <w:uiPriority w:val="9"/>
    <w:rsid w:val="00C30808"/>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C30808"/>
  </w:style>
  <w:style w:type="paragraph" w:styleId="Header">
    <w:name w:val="header"/>
    <w:basedOn w:val="Normal"/>
    <w:link w:val="HeaderChar"/>
    <w:uiPriority w:val="99"/>
    <w:unhideWhenUsed/>
    <w:rsid w:val="001D1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66B"/>
  </w:style>
  <w:style w:type="paragraph" w:styleId="Footer">
    <w:name w:val="footer"/>
    <w:basedOn w:val="Normal"/>
    <w:link w:val="FooterChar"/>
    <w:uiPriority w:val="99"/>
    <w:unhideWhenUsed/>
    <w:rsid w:val="001D1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66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30808"/>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57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5794"/>
    <w:rPr>
      <w:rFonts w:ascii="Tahoma" w:hAnsi="Tahoma" w:cs="Tahoma"/>
      <w:sz w:val="16"/>
      <w:szCs w:val="16"/>
    </w:rPr>
  </w:style>
  <w:style w:type="paragraph" w:styleId="ListParagraph">
    <w:name w:val="List Paragraph"/>
    <w:basedOn w:val="Normal"/>
    <w:uiPriority w:val="34"/>
    <w:qFormat/>
    <w:rsid w:val="0058579E"/>
    <w:pPr>
      <w:ind w:left="720"/>
      <w:contextualSpacing/>
    </w:pPr>
  </w:style>
  <w:style w:type="paragraph" w:styleId="TableofFigures">
    <w:name w:val="table of figures"/>
    <w:basedOn w:val="Normal"/>
    <w:next w:val="Normal"/>
    <w:uiPriority w:val="99"/>
    <w:unhideWhenUsed/>
    <w:rsid w:val="00373808"/>
    <w:pPr>
      <w:spacing w:after="0"/>
      <w:ind w:left="440" w:hanging="440"/>
      <w:jc w:val="center"/>
    </w:pPr>
    <w:rPr>
      <w:b/>
      <w:bCs/>
      <w:i/>
      <w:iCs/>
      <w:sz w:val="20"/>
      <w:szCs w:val="20"/>
    </w:rPr>
  </w:style>
  <w:style w:type="paragraph" w:styleId="NoSpacing">
    <w:name w:val="No Spacing"/>
    <w:link w:val="NoSpacingChar"/>
    <w:uiPriority w:val="1"/>
    <w:qFormat/>
    <w:rsid w:val="00AE47D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E47D4"/>
    <w:rPr>
      <w:rFonts w:eastAsiaTheme="minorEastAsia"/>
      <w:lang w:val="en-US"/>
    </w:rPr>
  </w:style>
  <w:style w:type="character" w:customStyle="1" w:styleId="Heading1Char">
    <w:name w:val="Heading 1 Char"/>
    <w:basedOn w:val="DefaultParagraphFont"/>
    <w:link w:val="Heading1"/>
    <w:uiPriority w:val="9"/>
    <w:rsid w:val="00C30808"/>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C30808"/>
  </w:style>
  <w:style w:type="paragraph" w:styleId="Header">
    <w:name w:val="header"/>
    <w:basedOn w:val="Normal"/>
    <w:link w:val="HeaderChar"/>
    <w:uiPriority w:val="99"/>
    <w:unhideWhenUsed/>
    <w:rsid w:val="001D1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66B"/>
  </w:style>
  <w:style w:type="paragraph" w:styleId="Footer">
    <w:name w:val="footer"/>
    <w:basedOn w:val="Normal"/>
    <w:link w:val="FooterChar"/>
    <w:uiPriority w:val="99"/>
    <w:unhideWhenUsed/>
    <w:rsid w:val="001D1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6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00004">
      <w:bodyDiv w:val="1"/>
      <w:marLeft w:val="0"/>
      <w:marRight w:val="0"/>
      <w:marTop w:val="0"/>
      <w:marBottom w:val="0"/>
      <w:divBdr>
        <w:top w:val="none" w:sz="0" w:space="0" w:color="auto"/>
        <w:left w:val="none" w:sz="0" w:space="0" w:color="auto"/>
        <w:bottom w:val="none" w:sz="0" w:space="0" w:color="auto"/>
        <w:right w:val="none" w:sz="0" w:space="0" w:color="auto"/>
      </w:divBdr>
    </w:div>
    <w:div w:id="89282987">
      <w:bodyDiv w:val="1"/>
      <w:marLeft w:val="0"/>
      <w:marRight w:val="0"/>
      <w:marTop w:val="0"/>
      <w:marBottom w:val="0"/>
      <w:divBdr>
        <w:top w:val="none" w:sz="0" w:space="0" w:color="auto"/>
        <w:left w:val="none" w:sz="0" w:space="0" w:color="auto"/>
        <w:bottom w:val="none" w:sz="0" w:space="0" w:color="auto"/>
        <w:right w:val="none" w:sz="0" w:space="0" w:color="auto"/>
      </w:divBdr>
    </w:div>
    <w:div w:id="126048591">
      <w:bodyDiv w:val="1"/>
      <w:marLeft w:val="0"/>
      <w:marRight w:val="0"/>
      <w:marTop w:val="0"/>
      <w:marBottom w:val="0"/>
      <w:divBdr>
        <w:top w:val="none" w:sz="0" w:space="0" w:color="auto"/>
        <w:left w:val="none" w:sz="0" w:space="0" w:color="auto"/>
        <w:bottom w:val="none" w:sz="0" w:space="0" w:color="auto"/>
        <w:right w:val="none" w:sz="0" w:space="0" w:color="auto"/>
      </w:divBdr>
    </w:div>
    <w:div w:id="146944527">
      <w:bodyDiv w:val="1"/>
      <w:marLeft w:val="0"/>
      <w:marRight w:val="0"/>
      <w:marTop w:val="0"/>
      <w:marBottom w:val="0"/>
      <w:divBdr>
        <w:top w:val="none" w:sz="0" w:space="0" w:color="auto"/>
        <w:left w:val="none" w:sz="0" w:space="0" w:color="auto"/>
        <w:bottom w:val="none" w:sz="0" w:space="0" w:color="auto"/>
        <w:right w:val="none" w:sz="0" w:space="0" w:color="auto"/>
      </w:divBdr>
    </w:div>
    <w:div w:id="158010672">
      <w:bodyDiv w:val="1"/>
      <w:marLeft w:val="0"/>
      <w:marRight w:val="0"/>
      <w:marTop w:val="0"/>
      <w:marBottom w:val="0"/>
      <w:divBdr>
        <w:top w:val="none" w:sz="0" w:space="0" w:color="auto"/>
        <w:left w:val="none" w:sz="0" w:space="0" w:color="auto"/>
        <w:bottom w:val="none" w:sz="0" w:space="0" w:color="auto"/>
        <w:right w:val="none" w:sz="0" w:space="0" w:color="auto"/>
      </w:divBdr>
    </w:div>
    <w:div w:id="330648903">
      <w:bodyDiv w:val="1"/>
      <w:marLeft w:val="0"/>
      <w:marRight w:val="0"/>
      <w:marTop w:val="0"/>
      <w:marBottom w:val="0"/>
      <w:divBdr>
        <w:top w:val="none" w:sz="0" w:space="0" w:color="auto"/>
        <w:left w:val="none" w:sz="0" w:space="0" w:color="auto"/>
        <w:bottom w:val="none" w:sz="0" w:space="0" w:color="auto"/>
        <w:right w:val="none" w:sz="0" w:space="0" w:color="auto"/>
      </w:divBdr>
    </w:div>
    <w:div w:id="392582762">
      <w:bodyDiv w:val="1"/>
      <w:marLeft w:val="0"/>
      <w:marRight w:val="0"/>
      <w:marTop w:val="0"/>
      <w:marBottom w:val="0"/>
      <w:divBdr>
        <w:top w:val="none" w:sz="0" w:space="0" w:color="auto"/>
        <w:left w:val="none" w:sz="0" w:space="0" w:color="auto"/>
        <w:bottom w:val="none" w:sz="0" w:space="0" w:color="auto"/>
        <w:right w:val="none" w:sz="0" w:space="0" w:color="auto"/>
      </w:divBdr>
    </w:div>
    <w:div w:id="430204708">
      <w:bodyDiv w:val="1"/>
      <w:marLeft w:val="0"/>
      <w:marRight w:val="0"/>
      <w:marTop w:val="0"/>
      <w:marBottom w:val="0"/>
      <w:divBdr>
        <w:top w:val="none" w:sz="0" w:space="0" w:color="auto"/>
        <w:left w:val="none" w:sz="0" w:space="0" w:color="auto"/>
        <w:bottom w:val="none" w:sz="0" w:space="0" w:color="auto"/>
        <w:right w:val="none" w:sz="0" w:space="0" w:color="auto"/>
      </w:divBdr>
    </w:div>
    <w:div w:id="684939354">
      <w:bodyDiv w:val="1"/>
      <w:marLeft w:val="0"/>
      <w:marRight w:val="0"/>
      <w:marTop w:val="0"/>
      <w:marBottom w:val="0"/>
      <w:divBdr>
        <w:top w:val="none" w:sz="0" w:space="0" w:color="auto"/>
        <w:left w:val="none" w:sz="0" w:space="0" w:color="auto"/>
        <w:bottom w:val="none" w:sz="0" w:space="0" w:color="auto"/>
        <w:right w:val="none" w:sz="0" w:space="0" w:color="auto"/>
      </w:divBdr>
    </w:div>
    <w:div w:id="725841678">
      <w:bodyDiv w:val="1"/>
      <w:marLeft w:val="0"/>
      <w:marRight w:val="0"/>
      <w:marTop w:val="0"/>
      <w:marBottom w:val="0"/>
      <w:divBdr>
        <w:top w:val="none" w:sz="0" w:space="0" w:color="auto"/>
        <w:left w:val="none" w:sz="0" w:space="0" w:color="auto"/>
        <w:bottom w:val="none" w:sz="0" w:space="0" w:color="auto"/>
        <w:right w:val="none" w:sz="0" w:space="0" w:color="auto"/>
      </w:divBdr>
    </w:div>
    <w:div w:id="739669958">
      <w:bodyDiv w:val="1"/>
      <w:marLeft w:val="0"/>
      <w:marRight w:val="0"/>
      <w:marTop w:val="0"/>
      <w:marBottom w:val="0"/>
      <w:divBdr>
        <w:top w:val="none" w:sz="0" w:space="0" w:color="auto"/>
        <w:left w:val="none" w:sz="0" w:space="0" w:color="auto"/>
        <w:bottom w:val="none" w:sz="0" w:space="0" w:color="auto"/>
        <w:right w:val="none" w:sz="0" w:space="0" w:color="auto"/>
      </w:divBdr>
    </w:div>
    <w:div w:id="892885784">
      <w:bodyDiv w:val="1"/>
      <w:marLeft w:val="0"/>
      <w:marRight w:val="0"/>
      <w:marTop w:val="0"/>
      <w:marBottom w:val="0"/>
      <w:divBdr>
        <w:top w:val="none" w:sz="0" w:space="0" w:color="auto"/>
        <w:left w:val="none" w:sz="0" w:space="0" w:color="auto"/>
        <w:bottom w:val="none" w:sz="0" w:space="0" w:color="auto"/>
        <w:right w:val="none" w:sz="0" w:space="0" w:color="auto"/>
      </w:divBdr>
    </w:div>
    <w:div w:id="1017854612">
      <w:bodyDiv w:val="1"/>
      <w:marLeft w:val="0"/>
      <w:marRight w:val="0"/>
      <w:marTop w:val="0"/>
      <w:marBottom w:val="0"/>
      <w:divBdr>
        <w:top w:val="none" w:sz="0" w:space="0" w:color="auto"/>
        <w:left w:val="none" w:sz="0" w:space="0" w:color="auto"/>
        <w:bottom w:val="none" w:sz="0" w:space="0" w:color="auto"/>
        <w:right w:val="none" w:sz="0" w:space="0" w:color="auto"/>
      </w:divBdr>
    </w:div>
    <w:div w:id="1204713343">
      <w:bodyDiv w:val="1"/>
      <w:marLeft w:val="0"/>
      <w:marRight w:val="0"/>
      <w:marTop w:val="0"/>
      <w:marBottom w:val="0"/>
      <w:divBdr>
        <w:top w:val="none" w:sz="0" w:space="0" w:color="auto"/>
        <w:left w:val="none" w:sz="0" w:space="0" w:color="auto"/>
        <w:bottom w:val="none" w:sz="0" w:space="0" w:color="auto"/>
        <w:right w:val="none" w:sz="0" w:space="0" w:color="auto"/>
      </w:divBdr>
    </w:div>
    <w:div w:id="1251354117">
      <w:bodyDiv w:val="1"/>
      <w:marLeft w:val="0"/>
      <w:marRight w:val="0"/>
      <w:marTop w:val="0"/>
      <w:marBottom w:val="0"/>
      <w:divBdr>
        <w:top w:val="none" w:sz="0" w:space="0" w:color="auto"/>
        <w:left w:val="none" w:sz="0" w:space="0" w:color="auto"/>
        <w:bottom w:val="none" w:sz="0" w:space="0" w:color="auto"/>
        <w:right w:val="none" w:sz="0" w:space="0" w:color="auto"/>
      </w:divBdr>
    </w:div>
    <w:div w:id="1395932188">
      <w:bodyDiv w:val="1"/>
      <w:marLeft w:val="0"/>
      <w:marRight w:val="0"/>
      <w:marTop w:val="0"/>
      <w:marBottom w:val="0"/>
      <w:divBdr>
        <w:top w:val="none" w:sz="0" w:space="0" w:color="auto"/>
        <w:left w:val="none" w:sz="0" w:space="0" w:color="auto"/>
        <w:bottom w:val="none" w:sz="0" w:space="0" w:color="auto"/>
        <w:right w:val="none" w:sz="0" w:space="0" w:color="auto"/>
      </w:divBdr>
    </w:div>
    <w:div w:id="1511674123">
      <w:bodyDiv w:val="1"/>
      <w:marLeft w:val="0"/>
      <w:marRight w:val="0"/>
      <w:marTop w:val="0"/>
      <w:marBottom w:val="0"/>
      <w:divBdr>
        <w:top w:val="none" w:sz="0" w:space="0" w:color="auto"/>
        <w:left w:val="none" w:sz="0" w:space="0" w:color="auto"/>
        <w:bottom w:val="none" w:sz="0" w:space="0" w:color="auto"/>
        <w:right w:val="none" w:sz="0" w:space="0" w:color="auto"/>
      </w:divBdr>
    </w:div>
    <w:div w:id="1617249627">
      <w:bodyDiv w:val="1"/>
      <w:marLeft w:val="0"/>
      <w:marRight w:val="0"/>
      <w:marTop w:val="0"/>
      <w:marBottom w:val="0"/>
      <w:divBdr>
        <w:top w:val="none" w:sz="0" w:space="0" w:color="auto"/>
        <w:left w:val="none" w:sz="0" w:space="0" w:color="auto"/>
        <w:bottom w:val="none" w:sz="0" w:space="0" w:color="auto"/>
        <w:right w:val="none" w:sz="0" w:space="0" w:color="auto"/>
      </w:divBdr>
    </w:div>
    <w:div w:id="1631128817">
      <w:bodyDiv w:val="1"/>
      <w:marLeft w:val="0"/>
      <w:marRight w:val="0"/>
      <w:marTop w:val="0"/>
      <w:marBottom w:val="0"/>
      <w:divBdr>
        <w:top w:val="none" w:sz="0" w:space="0" w:color="auto"/>
        <w:left w:val="none" w:sz="0" w:space="0" w:color="auto"/>
        <w:bottom w:val="none" w:sz="0" w:space="0" w:color="auto"/>
        <w:right w:val="none" w:sz="0" w:space="0" w:color="auto"/>
      </w:divBdr>
    </w:div>
    <w:div w:id="1704867818">
      <w:bodyDiv w:val="1"/>
      <w:marLeft w:val="0"/>
      <w:marRight w:val="0"/>
      <w:marTop w:val="0"/>
      <w:marBottom w:val="0"/>
      <w:divBdr>
        <w:top w:val="none" w:sz="0" w:space="0" w:color="auto"/>
        <w:left w:val="none" w:sz="0" w:space="0" w:color="auto"/>
        <w:bottom w:val="none" w:sz="0" w:space="0" w:color="auto"/>
        <w:right w:val="none" w:sz="0" w:space="0" w:color="auto"/>
      </w:divBdr>
    </w:div>
    <w:div w:id="1766030973">
      <w:bodyDiv w:val="1"/>
      <w:marLeft w:val="0"/>
      <w:marRight w:val="0"/>
      <w:marTop w:val="0"/>
      <w:marBottom w:val="0"/>
      <w:divBdr>
        <w:top w:val="none" w:sz="0" w:space="0" w:color="auto"/>
        <w:left w:val="none" w:sz="0" w:space="0" w:color="auto"/>
        <w:bottom w:val="none" w:sz="0" w:space="0" w:color="auto"/>
        <w:right w:val="none" w:sz="0" w:space="0" w:color="auto"/>
      </w:divBdr>
    </w:div>
    <w:div w:id="1771201159">
      <w:bodyDiv w:val="1"/>
      <w:marLeft w:val="0"/>
      <w:marRight w:val="0"/>
      <w:marTop w:val="0"/>
      <w:marBottom w:val="0"/>
      <w:divBdr>
        <w:top w:val="none" w:sz="0" w:space="0" w:color="auto"/>
        <w:left w:val="none" w:sz="0" w:space="0" w:color="auto"/>
        <w:bottom w:val="none" w:sz="0" w:space="0" w:color="auto"/>
        <w:right w:val="none" w:sz="0" w:space="0" w:color="auto"/>
      </w:divBdr>
    </w:div>
    <w:div w:id="1901398869">
      <w:bodyDiv w:val="1"/>
      <w:marLeft w:val="0"/>
      <w:marRight w:val="0"/>
      <w:marTop w:val="0"/>
      <w:marBottom w:val="0"/>
      <w:divBdr>
        <w:top w:val="none" w:sz="0" w:space="0" w:color="auto"/>
        <w:left w:val="none" w:sz="0" w:space="0" w:color="auto"/>
        <w:bottom w:val="none" w:sz="0" w:space="0" w:color="auto"/>
        <w:right w:val="none" w:sz="0" w:space="0" w:color="auto"/>
      </w:divBdr>
    </w:div>
    <w:div w:id="1989165691">
      <w:bodyDiv w:val="1"/>
      <w:marLeft w:val="0"/>
      <w:marRight w:val="0"/>
      <w:marTop w:val="0"/>
      <w:marBottom w:val="0"/>
      <w:divBdr>
        <w:top w:val="none" w:sz="0" w:space="0" w:color="auto"/>
        <w:left w:val="none" w:sz="0" w:space="0" w:color="auto"/>
        <w:bottom w:val="none" w:sz="0" w:space="0" w:color="auto"/>
        <w:right w:val="none" w:sz="0" w:space="0" w:color="auto"/>
      </w:divBdr>
    </w:div>
    <w:div w:id="2062173981">
      <w:bodyDiv w:val="1"/>
      <w:marLeft w:val="0"/>
      <w:marRight w:val="0"/>
      <w:marTop w:val="0"/>
      <w:marBottom w:val="0"/>
      <w:divBdr>
        <w:top w:val="none" w:sz="0" w:space="0" w:color="auto"/>
        <w:left w:val="none" w:sz="0" w:space="0" w:color="auto"/>
        <w:bottom w:val="none" w:sz="0" w:space="0" w:color="auto"/>
        <w:right w:val="none" w:sz="0" w:space="0" w:color="auto"/>
      </w:divBdr>
    </w:div>
    <w:div w:id="2073577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Absence % Probationers 2018</a:t>
            </a:r>
          </a:p>
        </c:rich>
      </c:tx>
      <c:layout>
        <c:manualLayout>
          <c:xMode val="edge"/>
          <c:yMode val="edge"/>
          <c:x val="0.20745219347581553"/>
          <c:y val="8.2906252103102498E-2"/>
        </c:manualLayout>
      </c:layout>
      <c:overlay val="0"/>
      <c:spPr>
        <a:noFill/>
        <a:ln>
          <a:noFill/>
        </a:ln>
        <a:effectLst/>
      </c:spPr>
    </c:title>
    <c:autoTitleDeleted val="0"/>
    <c:plotArea>
      <c:layout/>
      <c:pieChart>
        <c:varyColors val="1"/>
        <c:ser>
          <c:idx val="0"/>
          <c:order val="0"/>
          <c:explosion val="2"/>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B461-4C47-8CAA-301B14272376}"/>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B461-4C47-8CAA-301B1427237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Sheet1!$R$16:$S$16</c:f>
              <c:strCache>
                <c:ptCount val="2"/>
                <c:pt idx="0">
                  <c:v>Absence </c:v>
                </c:pt>
                <c:pt idx="1">
                  <c:v>No Absence</c:v>
                </c:pt>
              </c:strCache>
            </c:strRef>
          </c:cat>
          <c:val>
            <c:numRef>
              <c:f>Sheet1!$R$17:$S$17</c:f>
              <c:numCache>
                <c:formatCode>0%</c:formatCode>
                <c:ptCount val="2"/>
                <c:pt idx="0">
                  <c:v>0.73</c:v>
                </c:pt>
                <c:pt idx="1">
                  <c:v>0.27</c:v>
                </c:pt>
              </c:numCache>
            </c:numRef>
          </c:val>
          <c:extLst xmlns:c16r2="http://schemas.microsoft.com/office/drawing/2015/06/chart">
            <c:ext xmlns:c16="http://schemas.microsoft.com/office/drawing/2014/chart" uri="{C3380CC4-5D6E-409C-BE32-E72D297353CC}">
              <c16:uniqueId val="{00000004-B461-4C47-8CAA-301B1427237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1" i="0" u="none" strike="noStrike" kern="1200" cap="all" spc="50" baseline="0">
                <a:solidFill>
                  <a:schemeClr val="tx1">
                    <a:lumMod val="65000"/>
                    <a:lumOff val="35000"/>
                  </a:schemeClr>
                </a:solidFill>
                <a:latin typeface="+mn-lt"/>
                <a:ea typeface="+mn-ea"/>
                <a:cs typeface="+mn-cs"/>
              </a:defRPr>
            </a:pPr>
            <a:r>
              <a:rPr lang="en-GB"/>
              <a:t>Absence % Probationers 2017</a:t>
            </a:r>
          </a:p>
        </c:rich>
      </c:tx>
      <c:layout>
        <c:manualLayout>
          <c:xMode val="edge"/>
          <c:yMode val="edge"/>
          <c:x val="0.24282633420822397"/>
          <c:y val="5.5555555555555552E-2"/>
        </c:manualLayout>
      </c:layout>
      <c:overlay val="0"/>
      <c:spPr>
        <a:noFill/>
        <a:ln>
          <a:noFill/>
        </a:ln>
        <a:effectLst/>
      </c:spPr>
    </c:title>
    <c:autoTitleDeleted val="0"/>
    <c:plotArea>
      <c:layout/>
      <c:pieChart>
        <c:varyColors val="1"/>
        <c:ser>
          <c:idx val="0"/>
          <c:order val="0"/>
          <c:explosion val="2"/>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8A92-42B1-A64B-8AAAD73B2D5D}"/>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8A92-42B1-A64B-8AAAD73B2D5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Sheet1!$R$16:$S$16</c:f>
              <c:strCache>
                <c:ptCount val="2"/>
                <c:pt idx="0">
                  <c:v>Absence </c:v>
                </c:pt>
                <c:pt idx="1">
                  <c:v>No Absence</c:v>
                </c:pt>
              </c:strCache>
            </c:strRef>
          </c:cat>
          <c:val>
            <c:numRef>
              <c:f>Sheet1!$R$17:$S$17</c:f>
              <c:numCache>
                <c:formatCode>0%</c:formatCode>
                <c:ptCount val="2"/>
                <c:pt idx="0">
                  <c:v>0.38</c:v>
                </c:pt>
                <c:pt idx="1">
                  <c:v>0.62</c:v>
                </c:pt>
              </c:numCache>
            </c:numRef>
          </c:val>
          <c:extLst xmlns:c16r2="http://schemas.microsoft.com/office/drawing/2015/06/chart">
            <c:ext xmlns:c16="http://schemas.microsoft.com/office/drawing/2014/chart" uri="{C3380CC4-5D6E-409C-BE32-E72D297353CC}">
              <c16:uniqueId val="{00000004-8A92-42B1-A64B-8AAAD73B2D5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Eva02</b:Tag>
    <b:SourceType>Book</b:SourceType>
    <b:Guid>{F61B7B23-995B-43F3-832A-E6DC68989CBE}</b:Guid>
    <b:Author>
      <b:Author>
        <b:NameList>
          <b:Person>
            <b:Last>Evans</b:Last>
            <b:First>Alastair</b:First>
          </b:Person>
          <b:Person>
            <b:Last>Walters</b:Last>
            <b:First>Mike</b:First>
          </b:Person>
        </b:NameList>
      </b:Author>
    </b:Author>
    <b:Title>From Absence to Attendance</b:Title>
    <b:Year>2002</b:Year>
    <b:City>London</b:City>
    <b:Publisher>CIPD</b:Publisher>
    <b:RefOrder>8</b:RefOrder>
  </b:Source>
  <b:Source>
    <b:Tag>Gen10</b:Tag>
    <b:SourceType>Book</b:SourceType>
    <b:Guid>{042A0073-B59F-4C3F-8BBE-3C77E9E92877}</b:Guid>
    <b:Title>Managing Employment Relations</b:Title>
    <b:Year>2010</b:Year>
    <b:City>London </b:City>
    <b:Publisher>CIPD</b:Publisher>
    <b:Author>
      <b:Author>
        <b:NameList>
          <b:Person>
            <b:Last>Gennard </b:Last>
            <b:First>John</b:First>
          </b:Person>
          <b:Person>
            <b:Last>Judge</b:Last>
            <b:First>Graham</b:First>
          </b:Person>
        </b:NameList>
      </b:Author>
    </b:Author>
    <b:RefOrder>9</b:RefOrder>
  </b:Source>
  <b:Source>
    <b:Tag>ACA14</b:Tag>
    <b:SourceType>Book</b:SourceType>
    <b:Guid>{A4A66919-69B0-481C-BEDD-81DBCA3EEF8A}</b:Guid>
    <b:Title>Managing attendance and employee turnover</b:Title>
    <b:Year>2014</b:Year>
    <b:Author>
      <b:Author>
        <b:Corporate>ACAS</b:Corporate>
      </b:Author>
    </b:Author>
    <b:InternetSiteTitle>www.acas.org.uk</b:InternetSiteTitle>
    <b:Month>March</b:Month>
    <b:YearAccessed>2018</b:YearAccessed>
    <b:MonthAccessed>October</b:MonthAccessed>
    <b:DayAccessed>20th</b:DayAccessed>
    <b:RefOrder>6</b:RefOrder>
  </b:Source>
  <b:Source>
    <b:Tag>HRM01</b:Tag>
    <b:SourceType>InternetSite</b:SourceType>
    <b:Guid>{7B285849-7B32-4F34-A3B6-0F6549DB1EA2}</b:Guid>
    <b:Title>HR Magazine</b:Title>
    <b:Year>2001</b:Year>
    <b:Author>
      <b:Author>
        <b:Corporate>HR Magazine</b:Corporate>
      </b:Author>
    </b:Author>
    <b:YearAccessed>2018</b:YearAccessed>
    <b:MonthAccessed>October</b:MonthAccessed>
    <b:URL>http://www.hrmagazine.co.uk/article-details/the-top-10-causes-of-absenteeism-and-what-you-can-do-about-it</b:URL>
    <b:RefOrder>10</b:RefOrder>
  </b:Source>
  <b:Source>
    <b:Tag>Emp18</b:Tag>
    <b:SourceType>InternetSite</b:SourceType>
    <b:Guid>{6FB99FD4-C207-4767-AB5A-F3207CB2CB16}</b:Guid>
    <b:Author>
      <b:Author>
        <b:Corporate>Employee Benefits</b:Corporate>
      </b:Author>
    </b:Author>
    <b:Title>Reducing absenteeism in the workplace</b:Title>
    <b:Year>2018</b:Year>
    <b:YearAccessed>2018</b:YearAccessed>
    <b:MonthAccessed>October</b:MonthAccessed>
    <b:URL>https://www.employeebenefits.co.uk/reducing-absenteeism-workplace/</b:URL>
    <b:RefOrder>11</b:RefOrder>
  </b:Source>
  <b:Source>
    <b:Tag>Lin15</b:Tag>
    <b:SourceType>InternetSite</b:SourceType>
    <b:Guid>{FB2976C2-C244-4129-9B6C-39EF0D82ABDC}</b:Guid>
    <b:Author>
      <b:Author>
        <b:NameList xmlns:msxsl="urn:schemas-microsoft-com:xslt" xmlns:b="http://schemas.openxmlformats.org/officeDocument/2006/bibliography">
          <b:Person>
            <b:Last>Lindop</b:Last>
            <b:First>Sharon</b:First>
            <b:Middle/>
          </b:Person>
        </b:NameList>
      </b:Author>
    </b:Author>
    <b:Title>Sickness Absence Calculator (Bradford Factor)</b:Title>
    <b:InternetSiteTitle/>
    <b:ProductionCompany/>
    <b:Year>2015</b:Year>
    <b:Month/>
    <b:Day/>
    <b:YearAccessed>2018</b:YearAccessed>
    <b:MonthAccessed>10</b:MonthAccessed>
    <b:DayAccessed>24</b:DayAccessed>
    <b:URL>https://coventry.gov.uk/directory_record/26133/sickness_absence_calculator_bradford_factor?acceptcookies=1</b:URL>
    <b:Version/>
    <b:ShortTitle/>
    <b:StandardNumber/>
    <b:Comments/>
    <b:Medium/>
    <b:DOI/>
    <b:RefOrder>12</b:RefOrder>
  </b:Source>
  <b:Source>
    <b:Tag>CIP18</b:Tag>
    <b:SourceType>InternetSite</b:SourceType>
    <b:Guid>{1893E054-5FAA-4CD6-A4EA-4F5B66682C7D}</b:Guid>
    <b:Title>CIPD</b:Title>
    <b:Year>2018</b:Year>
    <b:YearAccessed>2018</b:YearAccessed>
    <b:MonthAccessed>October</b:MonthAccessed>
    <b:URL>http://cipd.co.uk</b:URL>
    <b:Author>
      <b:Author>
        <b:Corporate>CIPD</b:Corporate>
      </b:Author>
    </b:Author>
    <b:RefOrder>5</b:RefOrder>
  </b:Source>
  <b:Source>
    <b:Tag>Ste17</b:Tag>
    <b:SourceType>InternetSite</b:SourceType>
    <b:Guid>{3E0F3D42-8EA3-4ACF-B3A3-34068DC57C3E}</b:Guid>
    <b:Title>Personel Today </b:Title>
    <b:Year>2017</b:Year>
    <b:Author>
      <b:Author>
        <b:NameList>
          <b:Person>
            <b:Last>Simpson</b:Last>
            <b:First>Stephen</b:First>
          </b:Person>
        </b:NameList>
      </b:Author>
    </b:Author>
    <b:YearAccessed>2018</b:YearAccessed>
    <b:MonthAccessed>October</b:MonthAccessed>
    <b:URL>https://www.personneltoday.com/hr/short-term-sickness-absence-policy-guide-hr/</b:URL>
    <b:RefOrder>13</b:RefOrder>
  </b:Source>
  <b:Source>
    <b:Tag>The18</b:Tag>
    <b:SourceType>InternetSite</b:SourceType>
    <b:Guid>{7C6C4892-86C2-45A0-A4F9-2A5533F05958}</b:Guid>
    <b:Title>The Bradford Factor Calculator</b:Title>
    <b:YearAccessed>2018</b:YearAccessed>
    <b:URL>https://www.bradfordfactorcalculator.com</b:URL>
    <b:Author>
      <b:Author>
        <b:Corporate>Bradford Factor</b:Corporate>
      </b:Author>
    </b:Author>
    <b:Year>2013</b:Year>
    <b:RefOrder>14</b:RefOrder>
  </b:Source>
  <b:Source>
    <b:Tag>Arm03</b:Tag>
    <b:SourceType>Book</b:SourceType>
    <b:Guid>{C85469C7-B13F-47DA-B49A-030FA822E004}</b:Guid>
    <b:Title>A Handbook of Human Resource Management Practice</b:Title>
    <b:Year>2006</b:Year>
    <b:Author>
      <b:Author>
        <b:NameList>
          <b:Person>
            <b:Last>Armstrong </b:Last>
            <b:First>M</b:First>
          </b:Person>
        </b:NameList>
      </b:Author>
    </b:Author>
    <b:City>London</b:City>
    <b:Edition>10th</b:Edition>
    <b:RefOrder>4</b:RefOrder>
  </b:Source>
  <b:Source>
    <b:Tag>Gue02</b:Tag>
    <b:SourceType>JournalArticle</b:SourceType>
    <b:Guid>{C14DD18A-F697-4F06-859B-929DDE45B674}</b:Guid>
    <b:Title>Communicating the psychological contract:an employer perspective</b:Title>
    <b:Year>2002</b:Year>
    <b:JournalName>Human Resource Management Journal</b:JournalName>
    <b:Pages>22-38</b:Pages>
    <b:Volume>12 No 2</b:Volume>
    <b:Author>
      <b:Author>
        <b:NameList>
          <b:Person>
            <b:Last>Guest</b:Last>
            <b:First>David E</b:First>
          </b:Person>
          <b:Person>
            <b:Last>Conway</b:Last>
            <b:First>Neil</b:First>
          </b:Person>
        </b:NameList>
      </b:Author>
    </b:Author>
    <b:RefOrder>15</b:RefOrder>
  </b:Source>
  <b:Source>
    <b:Tag>Spa9b</b:Tag>
    <b:SourceType>Book</b:SourceType>
    <b:Guid>{D57AEE8B-C55E-45CA-B392-253BAA39CBE5}</b:Guid>
    <b:Title>International HRM: Contemporary issues in Europe</b:Title>
    <b:Year>1999b</b:Year>
    <b:City>London </b:City>
    <b:Publisher>Routledge</b:Publisher>
    <b:Author>
      <b:Author>
        <b:NameList>
          <b:Person>
            <b:Last>Sparrow</b:Last>
            <b:First>P R</b:First>
          </b:Person>
        </b:NameList>
      </b:Author>
    </b:Author>
    <b:RefOrder>16</b:RefOrder>
  </b:Source>
  <b:Source>
    <b:Tag>Tay03</b:Tag>
    <b:SourceType>JournalArticle</b:SourceType>
    <b:Guid>{41F10A05-63D6-4EC2-A871-579C7913ECC6}</b:Guid>
    <b:Author>
      <b:Author>
        <b:NameList xmlns:msxsl="urn:schemas-microsoft-com:xslt" xmlns:b="http://schemas.openxmlformats.org/officeDocument/2006/bibliography">
          <b:Person>
            <b:Last>Taylor</b:Last>
            <b:First>Phil</b:First>
            <b:Middle/>
          </b:Person>
          <b:Person>
            <b:Last>Baldry</b:Last>
            <b:First>Chris</b:First>
            <b:Middle/>
          </b:Person>
          <b:Person>
            <b:Last>Bain</b:Last>
            <b:First>Peter</b:First>
            <b:Middle/>
          </b:Person>
          <b:Person>
            <b:Last>Ellis</b:Last>
            <b:First>Vaughan</b:First>
            <b:Middle/>
          </b:Person>
        </b:NameList>
      </b:Author>
    </b:Author>
    <b:Title>'A unique working environment': health, sickness and absence management in UK call centres</b:Title>
    <b:JournalName>Work, Employment &amp; Society</b:JournalName>
    <b:City/>
    <b:Year>2003</b:Year>
    <b:Month/>
    <b:Day/>
    <b:Pages>435-458</b:Pages>
    <b:Publisher/>
    <b:Volume>17</b:Volume>
    <b:Issue>3</b:Issue>
    <b:ShortTitle/>
    <b:StandardNumber/>
    <b:Comments/>
    <b:Medium/>
    <b:YearAccessed>2018</b:YearAccessed>
    <b:MonthAccessed>10</b:MonthAccessed>
    <b:DayAccessed>31</b:DayAccessed>
    <b:URL>http://journals.sagepub.com/doi/abs/10.1177/09500170030173002</b:URL>
    <b:DOI/>
    <b:RefOrder>17</b:RefOrder>
  </b:Source>
  <b:Source>
    <b:Tag>Gun</b:Tag>
    <b:SourceType>Book</b:SourceType>
    <b:Guid>{03D34309-0DF1-4638-B531-4A4F4B7F30C2}</b:Guid>
    <b:Title>Corporate Assessment</b:Title>
    <b:Author>
      <b:Author>
        <b:NameList>
          <b:Person>
            <b:Last>Gunter</b:Last>
            <b:First>Barrie</b:First>
          </b:Person>
          <b:Person>
            <b:Last>Furnham</b:Last>
            <b:First>Adrian</b:First>
          </b:Person>
        </b:NameList>
      </b:Author>
    </b:Author>
    <b:Year>1993</b:Year>
    <b:City>London </b:City>
    <b:Publisher>Routledge</b:Publisher>
    <b:RefOrder>1</b:RefOrder>
  </b:Source>
  <b:Source>
    <b:Tag>Sch84</b:Tag>
    <b:SourceType>JournalArticle</b:SourceType>
    <b:Guid>{2B687DA3-D1F4-4E7D-B1E4-6E79CF31600F}</b:Guid>
    <b:Title>Coming to a new awareness of culture</b:Title>
    <b:Year>1984</b:Year>
    <b:Author>
      <b:Author>
        <b:NameList>
          <b:Person>
            <b:Last>Schein </b:Last>
            <b:Middle>H</b:Middle>
            <b:First>Edgar</b:First>
          </b:Person>
        </b:NameList>
      </b:Author>
    </b:Author>
    <b:JournalName>Sloane Management Review </b:JournalName>
    <b:Pages>1-15</b:Pages>
    <b:Issue>Winter </b:Issue>
    <b:RefOrder>2</b:RefOrder>
  </b:Source>
  <b:Source>
    <b:Tag>Mcc18</b:Tag>
    <b:SourceType>Book</b:SourceType>
    <b:Guid>{03B58390-6B71-4F0F-A340-28DDA7AD3D1B}</b:Guid>
    <b:Title>Powerful</b:Title>
    <b:Year>2018</b:Year>
    <b:Publisher>Silicon Guild</b:Publisher>
    <b:Author>
      <b:Author>
        <b:NameList>
          <b:Person>
            <b:Last>Mccord </b:Last>
            <b:First>Patty</b:First>
          </b:Person>
        </b:NameList>
      </b:Author>
    </b:Author>
    <b:RefOrder>3</b:RefOrder>
  </b:Source>
  <b:Source>
    <b:Tag>CIPHW18</b:Tag>
    <b:SourceType>Report</b:SourceType>
    <b:Guid>{CEE1352C-C7A2-48C6-B22C-38812261723F}</b:Guid>
    <b:Title>Health &amp; Wellbeing at Work Survey </b:Title>
    <b:Year>2018</b:Year>
    <b:Publisher>CIPD</b:Publisher>
    <b:Author>
      <b:Author>
        <b:Corporate>CIPD</b:Corporate>
      </b:Author>
    </b:Author>
    <b:RefOrder>7</b:RefOrder>
  </b:Source>
</b:Sources>
</file>

<file path=customXml/itemProps1.xml><?xml version="1.0" encoding="utf-8"?>
<ds:datastoreItem xmlns:ds="http://schemas.openxmlformats.org/officeDocument/2006/customXml" ds:itemID="{E1B076F9-F33F-4DDB-B812-1AC1C19C8474}">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2948</Words>
  <Characters>16805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Managing absence during the first six months of employment</vt:lpstr>
    </vt:vector>
  </TitlesOfParts>
  <Company>EUI LIMITED</Company>
  <LinksUpToDate>false</LinksUpToDate>
  <CharactersWithSpaces>19714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absence during the first six months of employment</dc:title>
  <dc:subject>Improving attendance among new recruits.</dc:subject>
  <dc:creator>BOWEN, Sharon</dc:creator>
  <cp:lastModifiedBy>Stewart Collins</cp:lastModifiedBy>
  <cp:revision>2</cp:revision>
  <dcterms:created xsi:type="dcterms:W3CDTF">2018-10-31T22:51:00Z</dcterms:created>
  <dcterms:modified xsi:type="dcterms:W3CDTF">2018-10-31T22:51:00Z</dcterms:modified>
  <cp:category>Certificate in Human Resource Management</cp:category>
</cp:coreProperties>
</file>