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27840221" w:displacedByCustomXml="next"/>
    <w:sdt>
      <w:sdtPr>
        <w:rPr>
          <w:color w:val="4472C4" w:themeColor="accent1"/>
        </w:rPr>
        <w:id w:val="263352224"/>
        <w:docPartObj>
          <w:docPartGallery w:val="Cover Pages"/>
          <w:docPartUnique/>
        </w:docPartObj>
      </w:sdtPr>
      <w:sdtEndPr>
        <w:rPr>
          <w:rFonts w:ascii="Times New Roman" w:eastAsia="Times New Roman" w:hAnsi="Times New Roman" w:cs="Times New Roman"/>
          <w:b/>
          <w:bCs/>
          <w:color w:val="000000" w:themeColor="text1"/>
        </w:rPr>
      </w:sdtEndPr>
      <w:sdtContent>
        <w:p w14:paraId="1A1BFD4D" w14:textId="1C0BB2DC" w:rsidR="003C76B1" w:rsidRDefault="003C76B1">
          <w:pPr>
            <w:pStyle w:val="NoSpacing"/>
            <w:spacing w:before="1540" w:after="240"/>
            <w:jc w:val="center"/>
            <w:rPr>
              <w:color w:val="4472C4" w:themeColor="accent1"/>
            </w:rPr>
          </w:pPr>
          <w:r>
            <w:rPr>
              <w:noProof/>
              <w:color w:val="4472C4" w:themeColor="accent1"/>
            </w:rPr>
            <w:drawing>
              <wp:inline distT="0" distB="0" distL="0" distR="0" wp14:anchorId="2E669CEB" wp14:editId="319EB44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E40A85C5CD44C5299BB5485E773BA2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ED1416C" w14:textId="04D85754" w:rsidR="003C76B1" w:rsidRDefault="00581ED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managing in complex envirnment</w:t>
              </w:r>
            </w:p>
          </w:sdtContent>
        </w:sdt>
        <w:sdt>
          <w:sdtPr>
            <w:rPr>
              <w:color w:val="4472C4" w:themeColor="accent1"/>
              <w:sz w:val="28"/>
              <w:szCs w:val="28"/>
            </w:rPr>
            <w:alias w:val="Subtitle"/>
            <w:tag w:val=""/>
            <w:id w:val="328029620"/>
            <w:placeholder>
              <w:docPart w:val="99F28A58D72B41A6B88B95EC07D5F039"/>
            </w:placeholder>
            <w:dataBinding w:prefixMappings="xmlns:ns0='http://purl.org/dc/elements/1.1/' xmlns:ns1='http://schemas.openxmlformats.org/package/2006/metadata/core-properties' " w:xpath="/ns1:coreProperties[1]/ns0:subject[1]" w:storeItemID="{6C3C8BC8-F283-45AE-878A-BAB7291924A1}"/>
            <w:text/>
          </w:sdtPr>
          <w:sdtEndPr/>
          <w:sdtContent>
            <w:p w14:paraId="7CC7ACE3" w14:textId="790AED88" w:rsidR="003C76B1" w:rsidRDefault="00581ED7">
              <w:pPr>
                <w:pStyle w:val="NoSpacing"/>
                <w:jc w:val="center"/>
                <w:rPr>
                  <w:color w:val="4472C4" w:themeColor="accent1"/>
                  <w:sz w:val="28"/>
                  <w:szCs w:val="28"/>
                </w:rPr>
              </w:pPr>
              <w:r>
                <w:rPr>
                  <w:color w:val="4472C4" w:themeColor="accent1"/>
                  <w:sz w:val="28"/>
                  <w:szCs w:val="28"/>
                </w:rPr>
                <w:t>LCDB7002</w:t>
              </w:r>
            </w:p>
          </w:sdtContent>
        </w:sdt>
        <w:p w14:paraId="13408CCF" w14:textId="77777777" w:rsidR="003C76B1" w:rsidRDefault="003C76B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307781AE" wp14:editId="73B6C14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03T00:00:00Z">
                                    <w:dateFormat w:val="MMMM d, yyyy"/>
                                    <w:lid w:val="en-US"/>
                                    <w:storeMappedDataAs w:val="dateTime"/>
                                    <w:calendar w:val="gregorian"/>
                                  </w:date>
                                </w:sdtPr>
                                <w:sdtEndPr/>
                                <w:sdtContent>
                                  <w:p w14:paraId="1FD5DC36" w14:textId="557A23F9" w:rsidR="003C76B1" w:rsidRDefault="00581ED7">
                                    <w:pPr>
                                      <w:pStyle w:val="NoSpacing"/>
                                      <w:spacing w:after="40"/>
                                      <w:jc w:val="center"/>
                                      <w:rPr>
                                        <w:caps/>
                                        <w:color w:val="4472C4" w:themeColor="accent1"/>
                                        <w:sz w:val="28"/>
                                        <w:szCs w:val="28"/>
                                      </w:rPr>
                                    </w:pPr>
                                    <w:r>
                                      <w:rPr>
                                        <w:caps/>
                                        <w:color w:val="4472C4" w:themeColor="accent1"/>
                                        <w:sz w:val="28"/>
                                        <w:szCs w:val="28"/>
                                      </w:rPr>
                                      <w:t>January 3, 2020</w:t>
                                    </w:r>
                                  </w:p>
                                </w:sdtContent>
                              </w:sdt>
                              <w:p w14:paraId="6A6DC82D" w14:textId="63CCB576" w:rsidR="003C76B1" w:rsidRDefault="00581ED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Pr>
                                        <w:caps/>
                                        <w:color w:val="4472C4" w:themeColor="accent1"/>
                                      </w:rPr>
                                      <w:t>1807021</w:t>
                                    </w:r>
                                  </w:sdtContent>
                                </w:sdt>
                              </w:p>
                              <w:p w14:paraId="10A547E8" w14:textId="06C1AB4F" w:rsidR="003C76B1" w:rsidRDefault="00581ED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7781A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03T00:00:00Z">
                              <w:dateFormat w:val="MMMM d, yyyy"/>
                              <w:lid w:val="en-US"/>
                              <w:storeMappedDataAs w:val="dateTime"/>
                              <w:calendar w:val="gregorian"/>
                            </w:date>
                          </w:sdtPr>
                          <w:sdtEndPr/>
                          <w:sdtContent>
                            <w:p w14:paraId="1FD5DC36" w14:textId="557A23F9" w:rsidR="003C76B1" w:rsidRDefault="00581ED7">
                              <w:pPr>
                                <w:pStyle w:val="NoSpacing"/>
                                <w:spacing w:after="40"/>
                                <w:jc w:val="center"/>
                                <w:rPr>
                                  <w:caps/>
                                  <w:color w:val="4472C4" w:themeColor="accent1"/>
                                  <w:sz w:val="28"/>
                                  <w:szCs w:val="28"/>
                                </w:rPr>
                              </w:pPr>
                              <w:r>
                                <w:rPr>
                                  <w:caps/>
                                  <w:color w:val="4472C4" w:themeColor="accent1"/>
                                  <w:sz w:val="28"/>
                                  <w:szCs w:val="28"/>
                                </w:rPr>
                                <w:t>January 3, 2020</w:t>
                              </w:r>
                            </w:p>
                          </w:sdtContent>
                        </w:sdt>
                        <w:p w14:paraId="6A6DC82D" w14:textId="63CCB576" w:rsidR="003C76B1" w:rsidRDefault="00581ED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Pr>
                                  <w:caps/>
                                  <w:color w:val="4472C4" w:themeColor="accent1"/>
                                </w:rPr>
                                <w:t>1807021</w:t>
                              </w:r>
                            </w:sdtContent>
                          </w:sdt>
                        </w:p>
                        <w:p w14:paraId="10A547E8" w14:textId="06C1AB4F" w:rsidR="003C76B1" w:rsidRDefault="00581ED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521D587" wp14:editId="3E0964F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537F11" w14:textId="796B14D9" w:rsidR="003C76B1" w:rsidRDefault="003C76B1">
          <w:pPr>
            <w:rPr>
              <w:rFonts w:ascii="Times New Roman" w:eastAsia="Times New Roman" w:hAnsi="Times New Roman" w:cs="Times New Roman"/>
              <w:b/>
              <w:bCs/>
              <w:color w:val="000000" w:themeColor="text1"/>
              <w:sz w:val="32"/>
              <w:szCs w:val="32"/>
            </w:rPr>
          </w:pPr>
          <w:r>
            <w:rPr>
              <w:rFonts w:ascii="Times New Roman" w:eastAsia="Times New Roman" w:hAnsi="Times New Roman" w:cs="Times New Roman"/>
              <w:b/>
              <w:bCs/>
              <w:color w:val="000000" w:themeColor="text1"/>
            </w:rPr>
            <w:br w:type="page"/>
          </w:r>
        </w:p>
        <w:bookmarkStart w:id="1" w:name="_GoBack" w:displacedByCustomXml="next"/>
        <w:bookmarkEnd w:id="1" w:displacedByCustomXml="next"/>
      </w:sdtContent>
    </w:sdt>
    <w:p w14:paraId="62ED60EE" w14:textId="354FB806" w:rsidR="6D88E91F" w:rsidRDefault="3FBB2051" w:rsidP="3FBB2051">
      <w:pPr>
        <w:pStyle w:val="Heading1"/>
        <w:spacing w:line="360" w:lineRule="auto"/>
        <w:jc w:val="both"/>
        <w:rPr>
          <w:rFonts w:ascii="Times New Roman" w:eastAsia="Times New Roman" w:hAnsi="Times New Roman" w:cs="Times New Roman"/>
          <w:b/>
          <w:bCs/>
          <w:color w:val="000000" w:themeColor="text1"/>
        </w:rPr>
      </w:pPr>
      <w:r w:rsidRPr="3FBB2051">
        <w:rPr>
          <w:rFonts w:ascii="Times New Roman" w:eastAsia="Times New Roman" w:hAnsi="Times New Roman" w:cs="Times New Roman"/>
          <w:b/>
          <w:bCs/>
          <w:color w:val="000000" w:themeColor="text1"/>
        </w:rPr>
        <w:lastRenderedPageBreak/>
        <w:t>Executive summary</w:t>
      </w:r>
      <w:bookmarkEnd w:id="0"/>
    </w:p>
    <w:p w14:paraId="26681CFB" w14:textId="1FCE66C3" w:rsidR="3FBB2051"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Embracing a diverse culture and operating through eco-friendly activities are the latest inclusions for leading organizations all across the globe. Accepting and embracing diversity not only helps organizations to grow their business, but also assist them in various aspects of human development. It is now considered as a blessing that allows firms to display diversity in their operations, promote creativity and extend their business growth areas. Every organization tends to follow the trend but not all can fully accomplish it to the extent in which it should practice.</w:t>
      </w:r>
    </w:p>
    <w:p w14:paraId="78DB1C18" w14:textId="492C0EA0" w:rsidR="3FBB2051"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The understudied organization ‘Aetna’ is among the top U.S. diversity organizations which has embedded diversity in its core values and invests in it. Basically, Aetna is an international health care provider collecting its success stories since mid-1800s. However, recent findings of Aetna management show concerns about its people management issues and seeks for its betterment strategies. The report observed that although Aetna supports diversity in its organizational culture but also have a spacious area of advancement for LGBT and BAME (Ethnic) employees. A detailed literature review of these issues has been done and discussed accordingly. The analysis of research and prevailed conditions of diversity at Aetna advocates for the improvements and additions by HR management through diversity initiatives, diversity awareness, diversity trainings for talented pipelines enhancement and policies devised to furnish minority groups at leading positions, as well as its augmentation in overall population. It suggests for novel measurements to ensure globalized employee retention rate. Finally, it proposes recommendations to introduce better HR policies and strategies for a diversified population of LGBT and BAME employees. </w:t>
      </w:r>
    </w:p>
    <w:p w14:paraId="3B494A82" w14:textId="3B65DEAF" w:rsidR="3FBB2051" w:rsidRDefault="3FBB2051" w:rsidP="3FBB2051">
      <w:pPr>
        <w:spacing w:line="360" w:lineRule="auto"/>
        <w:jc w:val="both"/>
        <w:rPr>
          <w:rFonts w:ascii="Times New Roman" w:eastAsia="Times New Roman" w:hAnsi="Times New Roman" w:cs="Times New Roman"/>
          <w:color w:val="000000" w:themeColor="text1"/>
          <w:sz w:val="24"/>
          <w:szCs w:val="24"/>
        </w:rPr>
      </w:pPr>
    </w:p>
    <w:p w14:paraId="0737E16E" w14:textId="2C552707" w:rsidR="3FBB2051" w:rsidRDefault="3FBB2051" w:rsidP="3FBB2051">
      <w:pPr>
        <w:spacing w:line="360" w:lineRule="auto"/>
        <w:jc w:val="both"/>
        <w:rPr>
          <w:rFonts w:ascii="Times New Roman" w:eastAsia="Times New Roman" w:hAnsi="Times New Roman" w:cs="Times New Roman"/>
          <w:color w:val="000000" w:themeColor="text1"/>
          <w:sz w:val="24"/>
          <w:szCs w:val="24"/>
        </w:rPr>
      </w:pPr>
    </w:p>
    <w:p w14:paraId="6D220A02" w14:textId="73A269D0" w:rsidR="3FBB2051" w:rsidRDefault="3FBB2051" w:rsidP="3FBB2051">
      <w:pPr>
        <w:spacing w:line="360" w:lineRule="auto"/>
        <w:jc w:val="both"/>
        <w:rPr>
          <w:rFonts w:ascii="Times New Roman" w:eastAsia="Times New Roman" w:hAnsi="Times New Roman" w:cs="Times New Roman"/>
          <w:color w:val="000000" w:themeColor="text1"/>
          <w:sz w:val="24"/>
          <w:szCs w:val="24"/>
        </w:rPr>
      </w:pPr>
    </w:p>
    <w:p w14:paraId="468C3016" w14:textId="573A8A48" w:rsidR="3FBB2051" w:rsidRDefault="3FBB2051" w:rsidP="3FBB2051">
      <w:pPr>
        <w:spacing w:line="360" w:lineRule="auto"/>
        <w:jc w:val="both"/>
        <w:rPr>
          <w:rFonts w:ascii="Times New Roman" w:eastAsia="Times New Roman" w:hAnsi="Times New Roman" w:cs="Times New Roman"/>
          <w:color w:val="000000" w:themeColor="text1"/>
          <w:sz w:val="24"/>
          <w:szCs w:val="24"/>
        </w:rPr>
      </w:pPr>
    </w:p>
    <w:p w14:paraId="66FEE3AF" w14:textId="481727E1" w:rsidR="3FBB2051" w:rsidRDefault="3FBB2051" w:rsidP="3FBB2051">
      <w:pPr>
        <w:spacing w:line="360" w:lineRule="auto"/>
        <w:jc w:val="both"/>
        <w:rPr>
          <w:rFonts w:ascii="Times New Roman" w:eastAsia="Times New Roman" w:hAnsi="Times New Roman" w:cs="Times New Roman"/>
          <w:color w:val="000000" w:themeColor="text1"/>
          <w:sz w:val="24"/>
          <w:szCs w:val="24"/>
        </w:rPr>
      </w:pPr>
    </w:p>
    <w:p w14:paraId="6AE1365C" w14:textId="1C285AA5" w:rsidR="3FBB2051" w:rsidRDefault="3FBB2051" w:rsidP="3FBB2051">
      <w:pPr>
        <w:spacing w:line="360" w:lineRule="auto"/>
        <w:jc w:val="both"/>
        <w:rPr>
          <w:rFonts w:ascii="Times New Roman" w:eastAsia="Times New Roman" w:hAnsi="Times New Roman" w:cs="Times New Roman"/>
          <w:color w:val="000000" w:themeColor="text1"/>
          <w:sz w:val="24"/>
          <w:szCs w:val="24"/>
        </w:rPr>
      </w:pPr>
    </w:p>
    <w:p w14:paraId="066F7CBB" w14:textId="557EB369" w:rsidR="3FBB2051" w:rsidRDefault="3FBB2051" w:rsidP="3FBB2051">
      <w:pPr>
        <w:spacing w:line="360" w:lineRule="auto"/>
        <w:jc w:val="both"/>
        <w:rPr>
          <w:rFonts w:ascii="Times New Roman" w:eastAsia="Times New Roman" w:hAnsi="Times New Roman" w:cs="Times New Roman"/>
          <w:color w:val="000000" w:themeColor="text1"/>
          <w:sz w:val="24"/>
          <w:szCs w:val="24"/>
        </w:rPr>
      </w:pPr>
    </w:p>
    <w:sdt>
      <w:sdtPr>
        <w:rPr>
          <w:rFonts w:asciiTheme="minorHAnsi" w:eastAsiaTheme="minorHAnsi" w:hAnsiTheme="minorHAnsi" w:cstheme="minorBidi"/>
          <w:color w:val="auto"/>
          <w:sz w:val="22"/>
          <w:szCs w:val="22"/>
        </w:rPr>
        <w:id w:val="665678523"/>
        <w:docPartObj>
          <w:docPartGallery w:val="Table of Contents"/>
          <w:docPartUnique/>
        </w:docPartObj>
      </w:sdtPr>
      <w:sdtEndPr>
        <w:rPr>
          <w:b/>
          <w:bCs/>
          <w:noProof/>
        </w:rPr>
      </w:sdtEndPr>
      <w:sdtContent>
        <w:p w14:paraId="54AC7378" w14:textId="44D20630" w:rsidR="00C41511" w:rsidRDefault="00C41511">
          <w:pPr>
            <w:pStyle w:val="TOCHeading"/>
          </w:pPr>
          <w:r>
            <w:t>Contents</w:t>
          </w:r>
        </w:p>
        <w:p w14:paraId="01E4D72E" w14:textId="54F69E2B" w:rsidR="00C41511" w:rsidRDefault="00C41511">
          <w:pPr>
            <w:pStyle w:val="TOC1"/>
            <w:tabs>
              <w:tab w:val="right" w:leader="dot" w:pos="9350"/>
            </w:tabs>
            <w:rPr>
              <w:noProof/>
            </w:rPr>
          </w:pPr>
          <w:r>
            <w:fldChar w:fldCharType="begin"/>
          </w:r>
          <w:r>
            <w:instrText xml:space="preserve"> TOC \o "1-3" \h \z \u </w:instrText>
          </w:r>
          <w:r>
            <w:fldChar w:fldCharType="separate"/>
          </w:r>
          <w:hyperlink w:anchor="_Toc27840221" w:history="1">
            <w:r w:rsidRPr="00C87B95">
              <w:rPr>
                <w:rStyle w:val="Hyperlink"/>
                <w:rFonts w:ascii="Times New Roman" w:eastAsia="Times New Roman" w:hAnsi="Times New Roman" w:cs="Times New Roman"/>
                <w:b/>
                <w:bCs/>
                <w:noProof/>
              </w:rPr>
              <w:t>Executive summary</w:t>
            </w:r>
            <w:r>
              <w:rPr>
                <w:noProof/>
                <w:webHidden/>
              </w:rPr>
              <w:tab/>
            </w:r>
            <w:r>
              <w:rPr>
                <w:noProof/>
                <w:webHidden/>
              </w:rPr>
              <w:fldChar w:fldCharType="begin"/>
            </w:r>
            <w:r>
              <w:rPr>
                <w:noProof/>
                <w:webHidden/>
              </w:rPr>
              <w:instrText xml:space="preserve"> PAGEREF _Toc27840221 \h </w:instrText>
            </w:r>
            <w:r>
              <w:rPr>
                <w:noProof/>
                <w:webHidden/>
              </w:rPr>
            </w:r>
            <w:r>
              <w:rPr>
                <w:noProof/>
                <w:webHidden/>
              </w:rPr>
              <w:fldChar w:fldCharType="separate"/>
            </w:r>
            <w:r>
              <w:rPr>
                <w:noProof/>
                <w:webHidden/>
              </w:rPr>
              <w:t>1</w:t>
            </w:r>
            <w:r>
              <w:rPr>
                <w:noProof/>
                <w:webHidden/>
              </w:rPr>
              <w:fldChar w:fldCharType="end"/>
            </w:r>
          </w:hyperlink>
        </w:p>
        <w:p w14:paraId="431FA686" w14:textId="37E5E6F6" w:rsidR="00C41511" w:rsidRDefault="00581ED7">
          <w:pPr>
            <w:pStyle w:val="TOC1"/>
            <w:tabs>
              <w:tab w:val="right" w:leader="dot" w:pos="9350"/>
            </w:tabs>
            <w:rPr>
              <w:noProof/>
            </w:rPr>
          </w:pPr>
          <w:hyperlink w:anchor="_Toc27840222" w:history="1">
            <w:r w:rsidR="00C41511" w:rsidRPr="00C87B95">
              <w:rPr>
                <w:rStyle w:val="Hyperlink"/>
                <w:rFonts w:ascii="Times New Roman" w:eastAsia="Times New Roman" w:hAnsi="Times New Roman" w:cs="Times New Roman"/>
                <w:b/>
                <w:bCs/>
                <w:noProof/>
              </w:rPr>
              <w:t>Introduction</w:t>
            </w:r>
            <w:r w:rsidR="00C41511">
              <w:rPr>
                <w:noProof/>
                <w:webHidden/>
              </w:rPr>
              <w:tab/>
            </w:r>
            <w:r w:rsidR="00C41511">
              <w:rPr>
                <w:noProof/>
                <w:webHidden/>
              </w:rPr>
              <w:fldChar w:fldCharType="begin"/>
            </w:r>
            <w:r w:rsidR="00C41511">
              <w:rPr>
                <w:noProof/>
                <w:webHidden/>
              </w:rPr>
              <w:instrText xml:space="preserve"> PAGEREF _Toc27840222 \h </w:instrText>
            </w:r>
            <w:r w:rsidR="00C41511">
              <w:rPr>
                <w:noProof/>
                <w:webHidden/>
              </w:rPr>
            </w:r>
            <w:r w:rsidR="00C41511">
              <w:rPr>
                <w:noProof/>
                <w:webHidden/>
              </w:rPr>
              <w:fldChar w:fldCharType="separate"/>
            </w:r>
            <w:r w:rsidR="00C41511">
              <w:rPr>
                <w:noProof/>
                <w:webHidden/>
              </w:rPr>
              <w:t>3</w:t>
            </w:r>
            <w:r w:rsidR="00C41511">
              <w:rPr>
                <w:noProof/>
                <w:webHidden/>
              </w:rPr>
              <w:fldChar w:fldCharType="end"/>
            </w:r>
          </w:hyperlink>
        </w:p>
        <w:p w14:paraId="30443FF8" w14:textId="6C6773B8" w:rsidR="00C41511" w:rsidRDefault="00581ED7">
          <w:pPr>
            <w:pStyle w:val="TOC1"/>
            <w:tabs>
              <w:tab w:val="right" w:leader="dot" w:pos="9350"/>
            </w:tabs>
            <w:rPr>
              <w:noProof/>
            </w:rPr>
          </w:pPr>
          <w:hyperlink w:anchor="_Toc27840223" w:history="1">
            <w:r w:rsidR="00C41511" w:rsidRPr="00C87B95">
              <w:rPr>
                <w:rStyle w:val="Hyperlink"/>
                <w:rFonts w:ascii="Times New Roman" w:eastAsia="Times New Roman" w:hAnsi="Times New Roman" w:cs="Times New Roman"/>
                <w:b/>
                <w:bCs/>
                <w:noProof/>
              </w:rPr>
              <w:t>Literature review</w:t>
            </w:r>
            <w:r w:rsidR="00C41511">
              <w:rPr>
                <w:noProof/>
                <w:webHidden/>
              </w:rPr>
              <w:tab/>
            </w:r>
            <w:r w:rsidR="00C41511">
              <w:rPr>
                <w:noProof/>
                <w:webHidden/>
              </w:rPr>
              <w:fldChar w:fldCharType="begin"/>
            </w:r>
            <w:r w:rsidR="00C41511">
              <w:rPr>
                <w:noProof/>
                <w:webHidden/>
              </w:rPr>
              <w:instrText xml:space="preserve"> PAGEREF _Toc27840223 \h </w:instrText>
            </w:r>
            <w:r w:rsidR="00C41511">
              <w:rPr>
                <w:noProof/>
                <w:webHidden/>
              </w:rPr>
            </w:r>
            <w:r w:rsidR="00C41511">
              <w:rPr>
                <w:noProof/>
                <w:webHidden/>
              </w:rPr>
              <w:fldChar w:fldCharType="separate"/>
            </w:r>
            <w:r w:rsidR="00C41511">
              <w:rPr>
                <w:noProof/>
                <w:webHidden/>
              </w:rPr>
              <w:t>4</w:t>
            </w:r>
            <w:r w:rsidR="00C41511">
              <w:rPr>
                <w:noProof/>
                <w:webHidden/>
              </w:rPr>
              <w:fldChar w:fldCharType="end"/>
            </w:r>
          </w:hyperlink>
        </w:p>
        <w:p w14:paraId="4556DD0B" w14:textId="29E042FD" w:rsidR="00C41511" w:rsidRDefault="00581ED7">
          <w:pPr>
            <w:pStyle w:val="TOC2"/>
            <w:tabs>
              <w:tab w:val="right" w:leader="dot" w:pos="9350"/>
            </w:tabs>
            <w:rPr>
              <w:noProof/>
            </w:rPr>
          </w:pPr>
          <w:hyperlink w:anchor="_Toc27840224" w:history="1">
            <w:r w:rsidR="00C41511" w:rsidRPr="00C87B95">
              <w:rPr>
                <w:rStyle w:val="Hyperlink"/>
                <w:rFonts w:ascii="Times New Roman" w:eastAsia="Times New Roman" w:hAnsi="Times New Roman" w:cs="Times New Roman"/>
                <w:b/>
                <w:bCs/>
                <w:noProof/>
              </w:rPr>
              <w:t>LGBT in United States</w:t>
            </w:r>
            <w:r w:rsidR="00C41511">
              <w:rPr>
                <w:noProof/>
                <w:webHidden/>
              </w:rPr>
              <w:tab/>
            </w:r>
            <w:r w:rsidR="00C41511">
              <w:rPr>
                <w:noProof/>
                <w:webHidden/>
              </w:rPr>
              <w:fldChar w:fldCharType="begin"/>
            </w:r>
            <w:r w:rsidR="00C41511">
              <w:rPr>
                <w:noProof/>
                <w:webHidden/>
              </w:rPr>
              <w:instrText xml:space="preserve"> PAGEREF _Toc27840224 \h </w:instrText>
            </w:r>
            <w:r w:rsidR="00C41511">
              <w:rPr>
                <w:noProof/>
                <w:webHidden/>
              </w:rPr>
            </w:r>
            <w:r w:rsidR="00C41511">
              <w:rPr>
                <w:noProof/>
                <w:webHidden/>
              </w:rPr>
              <w:fldChar w:fldCharType="separate"/>
            </w:r>
            <w:r w:rsidR="00C41511">
              <w:rPr>
                <w:noProof/>
                <w:webHidden/>
              </w:rPr>
              <w:t>4</w:t>
            </w:r>
            <w:r w:rsidR="00C41511">
              <w:rPr>
                <w:noProof/>
                <w:webHidden/>
              </w:rPr>
              <w:fldChar w:fldCharType="end"/>
            </w:r>
          </w:hyperlink>
        </w:p>
        <w:p w14:paraId="306AC191" w14:textId="68697F96" w:rsidR="00C41511" w:rsidRDefault="00581ED7">
          <w:pPr>
            <w:pStyle w:val="TOC2"/>
            <w:tabs>
              <w:tab w:val="right" w:leader="dot" w:pos="9350"/>
            </w:tabs>
            <w:rPr>
              <w:noProof/>
            </w:rPr>
          </w:pPr>
          <w:hyperlink w:anchor="_Toc27840225" w:history="1">
            <w:r w:rsidR="00C41511" w:rsidRPr="00C87B95">
              <w:rPr>
                <w:rStyle w:val="Hyperlink"/>
                <w:rFonts w:ascii="Times New Roman" w:eastAsia="Times New Roman" w:hAnsi="Times New Roman" w:cs="Times New Roman"/>
                <w:b/>
                <w:bCs/>
                <w:noProof/>
              </w:rPr>
              <w:t>Ethnic Diversity in US</w:t>
            </w:r>
            <w:r w:rsidR="00C41511">
              <w:rPr>
                <w:noProof/>
                <w:webHidden/>
              </w:rPr>
              <w:tab/>
            </w:r>
            <w:r w:rsidR="00C41511">
              <w:rPr>
                <w:noProof/>
                <w:webHidden/>
              </w:rPr>
              <w:fldChar w:fldCharType="begin"/>
            </w:r>
            <w:r w:rsidR="00C41511">
              <w:rPr>
                <w:noProof/>
                <w:webHidden/>
              </w:rPr>
              <w:instrText xml:space="preserve"> PAGEREF _Toc27840225 \h </w:instrText>
            </w:r>
            <w:r w:rsidR="00C41511">
              <w:rPr>
                <w:noProof/>
                <w:webHidden/>
              </w:rPr>
            </w:r>
            <w:r w:rsidR="00C41511">
              <w:rPr>
                <w:noProof/>
                <w:webHidden/>
              </w:rPr>
              <w:fldChar w:fldCharType="separate"/>
            </w:r>
            <w:r w:rsidR="00C41511">
              <w:rPr>
                <w:noProof/>
                <w:webHidden/>
              </w:rPr>
              <w:t>7</w:t>
            </w:r>
            <w:r w:rsidR="00C41511">
              <w:rPr>
                <w:noProof/>
                <w:webHidden/>
              </w:rPr>
              <w:fldChar w:fldCharType="end"/>
            </w:r>
          </w:hyperlink>
        </w:p>
        <w:p w14:paraId="0A90B7F6" w14:textId="40D1DF5F" w:rsidR="00C41511" w:rsidRDefault="00581ED7">
          <w:pPr>
            <w:pStyle w:val="TOC2"/>
            <w:tabs>
              <w:tab w:val="right" w:leader="dot" w:pos="9350"/>
            </w:tabs>
            <w:rPr>
              <w:noProof/>
            </w:rPr>
          </w:pPr>
          <w:hyperlink w:anchor="_Toc27840226" w:history="1">
            <w:r w:rsidR="00C41511" w:rsidRPr="00C87B95">
              <w:rPr>
                <w:rStyle w:val="Hyperlink"/>
                <w:rFonts w:ascii="Times New Roman" w:eastAsia="Times New Roman" w:hAnsi="Times New Roman" w:cs="Times New Roman"/>
                <w:b/>
                <w:bCs/>
                <w:noProof/>
              </w:rPr>
              <w:t>Benefits and Challenges of Diversity of People at Aetna</w:t>
            </w:r>
            <w:r w:rsidR="00C41511">
              <w:rPr>
                <w:noProof/>
                <w:webHidden/>
              </w:rPr>
              <w:tab/>
            </w:r>
            <w:r w:rsidR="00C41511">
              <w:rPr>
                <w:noProof/>
                <w:webHidden/>
              </w:rPr>
              <w:fldChar w:fldCharType="begin"/>
            </w:r>
            <w:r w:rsidR="00C41511">
              <w:rPr>
                <w:noProof/>
                <w:webHidden/>
              </w:rPr>
              <w:instrText xml:space="preserve"> PAGEREF _Toc27840226 \h </w:instrText>
            </w:r>
            <w:r w:rsidR="00C41511">
              <w:rPr>
                <w:noProof/>
                <w:webHidden/>
              </w:rPr>
            </w:r>
            <w:r w:rsidR="00C41511">
              <w:rPr>
                <w:noProof/>
                <w:webHidden/>
              </w:rPr>
              <w:fldChar w:fldCharType="separate"/>
            </w:r>
            <w:r w:rsidR="00C41511">
              <w:rPr>
                <w:noProof/>
                <w:webHidden/>
              </w:rPr>
              <w:t>11</w:t>
            </w:r>
            <w:r w:rsidR="00C41511">
              <w:rPr>
                <w:noProof/>
                <w:webHidden/>
              </w:rPr>
              <w:fldChar w:fldCharType="end"/>
            </w:r>
          </w:hyperlink>
        </w:p>
        <w:p w14:paraId="6CEE1B80" w14:textId="585F5F10" w:rsidR="00C41511" w:rsidRDefault="00581ED7">
          <w:pPr>
            <w:pStyle w:val="TOC2"/>
            <w:tabs>
              <w:tab w:val="right" w:leader="dot" w:pos="9350"/>
            </w:tabs>
            <w:rPr>
              <w:noProof/>
            </w:rPr>
          </w:pPr>
          <w:hyperlink w:anchor="_Toc27840227" w:history="1">
            <w:r w:rsidR="00C41511" w:rsidRPr="00C87B95">
              <w:rPr>
                <w:rStyle w:val="Hyperlink"/>
                <w:rFonts w:ascii="Times New Roman" w:eastAsia="Times New Roman" w:hAnsi="Times New Roman" w:cs="Times New Roman"/>
                <w:b/>
                <w:bCs/>
                <w:noProof/>
              </w:rPr>
              <w:t>Current Policies and Strategies of Aetna towards the Diversity of LGBTs and Ethnic Minorities</w:t>
            </w:r>
            <w:r w:rsidR="00C41511">
              <w:rPr>
                <w:noProof/>
                <w:webHidden/>
              </w:rPr>
              <w:tab/>
            </w:r>
            <w:r w:rsidR="00C41511">
              <w:rPr>
                <w:noProof/>
                <w:webHidden/>
              </w:rPr>
              <w:fldChar w:fldCharType="begin"/>
            </w:r>
            <w:r w:rsidR="00C41511">
              <w:rPr>
                <w:noProof/>
                <w:webHidden/>
              </w:rPr>
              <w:instrText xml:space="preserve"> PAGEREF _Toc27840227 \h </w:instrText>
            </w:r>
            <w:r w:rsidR="00C41511">
              <w:rPr>
                <w:noProof/>
                <w:webHidden/>
              </w:rPr>
            </w:r>
            <w:r w:rsidR="00C41511">
              <w:rPr>
                <w:noProof/>
                <w:webHidden/>
              </w:rPr>
              <w:fldChar w:fldCharType="separate"/>
            </w:r>
            <w:r w:rsidR="00C41511">
              <w:rPr>
                <w:noProof/>
                <w:webHidden/>
              </w:rPr>
              <w:t>14</w:t>
            </w:r>
            <w:r w:rsidR="00C41511">
              <w:rPr>
                <w:noProof/>
                <w:webHidden/>
              </w:rPr>
              <w:fldChar w:fldCharType="end"/>
            </w:r>
          </w:hyperlink>
        </w:p>
        <w:p w14:paraId="05A1F41E" w14:textId="613C3AA9" w:rsidR="00C41511" w:rsidRDefault="00581ED7">
          <w:pPr>
            <w:pStyle w:val="TOC1"/>
            <w:tabs>
              <w:tab w:val="right" w:leader="dot" w:pos="9350"/>
            </w:tabs>
            <w:rPr>
              <w:noProof/>
            </w:rPr>
          </w:pPr>
          <w:hyperlink w:anchor="_Toc27840228" w:history="1">
            <w:r w:rsidR="00C41511" w:rsidRPr="00C87B95">
              <w:rPr>
                <w:rStyle w:val="Hyperlink"/>
                <w:rFonts w:ascii="Times New Roman" w:eastAsia="Times New Roman" w:hAnsi="Times New Roman" w:cs="Times New Roman"/>
                <w:b/>
                <w:bCs/>
                <w:noProof/>
              </w:rPr>
              <w:t>Analysis and Comparison of Aetna’s Diversity policies for Ethnic and LGBTs</w:t>
            </w:r>
            <w:r w:rsidR="00C41511">
              <w:rPr>
                <w:noProof/>
                <w:webHidden/>
              </w:rPr>
              <w:tab/>
            </w:r>
            <w:r w:rsidR="00C41511">
              <w:rPr>
                <w:noProof/>
                <w:webHidden/>
              </w:rPr>
              <w:fldChar w:fldCharType="begin"/>
            </w:r>
            <w:r w:rsidR="00C41511">
              <w:rPr>
                <w:noProof/>
                <w:webHidden/>
              </w:rPr>
              <w:instrText xml:space="preserve"> PAGEREF _Toc27840228 \h </w:instrText>
            </w:r>
            <w:r w:rsidR="00C41511">
              <w:rPr>
                <w:noProof/>
                <w:webHidden/>
              </w:rPr>
            </w:r>
            <w:r w:rsidR="00C41511">
              <w:rPr>
                <w:noProof/>
                <w:webHidden/>
              </w:rPr>
              <w:fldChar w:fldCharType="separate"/>
            </w:r>
            <w:r w:rsidR="00C41511">
              <w:rPr>
                <w:noProof/>
                <w:webHidden/>
              </w:rPr>
              <w:t>15</w:t>
            </w:r>
            <w:r w:rsidR="00C41511">
              <w:rPr>
                <w:noProof/>
                <w:webHidden/>
              </w:rPr>
              <w:fldChar w:fldCharType="end"/>
            </w:r>
          </w:hyperlink>
        </w:p>
        <w:p w14:paraId="311EC4B1" w14:textId="5F044883" w:rsidR="00C41511" w:rsidRDefault="00581ED7">
          <w:pPr>
            <w:pStyle w:val="TOC2"/>
            <w:tabs>
              <w:tab w:val="left" w:pos="660"/>
              <w:tab w:val="right" w:leader="dot" w:pos="9350"/>
            </w:tabs>
            <w:rPr>
              <w:noProof/>
            </w:rPr>
          </w:pPr>
          <w:hyperlink w:anchor="_Toc27840229" w:history="1">
            <w:r w:rsidR="00C41511" w:rsidRPr="00C87B95">
              <w:rPr>
                <w:rStyle w:val="Hyperlink"/>
                <w:b/>
                <w:bCs/>
                <w:noProof/>
              </w:rPr>
              <w:t>1.</w:t>
            </w:r>
            <w:r w:rsidR="00C41511">
              <w:rPr>
                <w:noProof/>
              </w:rPr>
              <w:tab/>
            </w:r>
            <w:r w:rsidR="00C41511" w:rsidRPr="00C87B95">
              <w:rPr>
                <w:rStyle w:val="Hyperlink"/>
                <w:rFonts w:ascii="Times New Roman" w:eastAsia="Times New Roman" w:hAnsi="Times New Roman" w:cs="Times New Roman"/>
                <w:b/>
                <w:bCs/>
                <w:noProof/>
              </w:rPr>
              <w:t>Address New Forms of Harassment</w:t>
            </w:r>
            <w:r w:rsidR="00C41511">
              <w:rPr>
                <w:noProof/>
                <w:webHidden/>
              </w:rPr>
              <w:tab/>
            </w:r>
            <w:r w:rsidR="00C41511">
              <w:rPr>
                <w:noProof/>
                <w:webHidden/>
              </w:rPr>
              <w:fldChar w:fldCharType="begin"/>
            </w:r>
            <w:r w:rsidR="00C41511">
              <w:rPr>
                <w:noProof/>
                <w:webHidden/>
              </w:rPr>
              <w:instrText xml:space="preserve"> PAGEREF _Toc27840229 \h </w:instrText>
            </w:r>
            <w:r w:rsidR="00C41511">
              <w:rPr>
                <w:noProof/>
                <w:webHidden/>
              </w:rPr>
            </w:r>
            <w:r w:rsidR="00C41511">
              <w:rPr>
                <w:noProof/>
                <w:webHidden/>
              </w:rPr>
              <w:fldChar w:fldCharType="separate"/>
            </w:r>
            <w:r w:rsidR="00C41511">
              <w:rPr>
                <w:noProof/>
                <w:webHidden/>
              </w:rPr>
              <w:t>16</w:t>
            </w:r>
            <w:r w:rsidR="00C41511">
              <w:rPr>
                <w:noProof/>
                <w:webHidden/>
              </w:rPr>
              <w:fldChar w:fldCharType="end"/>
            </w:r>
          </w:hyperlink>
        </w:p>
        <w:p w14:paraId="046C9112" w14:textId="519C1B27" w:rsidR="00C41511" w:rsidRDefault="00581ED7">
          <w:pPr>
            <w:pStyle w:val="TOC2"/>
            <w:tabs>
              <w:tab w:val="left" w:pos="660"/>
              <w:tab w:val="right" w:leader="dot" w:pos="9350"/>
            </w:tabs>
            <w:rPr>
              <w:noProof/>
            </w:rPr>
          </w:pPr>
          <w:hyperlink w:anchor="_Toc27840230" w:history="1">
            <w:r w:rsidR="00C41511" w:rsidRPr="00C87B95">
              <w:rPr>
                <w:rStyle w:val="Hyperlink"/>
                <w:b/>
                <w:bCs/>
                <w:noProof/>
              </w:rPr>
              <w:t>2.</w:t>
            </w:r>
            <w:r w:rsidR="00C41511">
              <w:rPr>
                <w:noProof/>
              </w:rPr>
              <w:tab/>
            </w:r>
            <w:r w:rsidR="00C41511" w:rsidRPr="00C87B95">
              <w:rPr>
                <w:rStyle w:val="Hyperlink"/>
                <w:rFonts w:ascii="Times New Roman" w:eastAsia="Times New Roman" w:hAnsi="Times New Roman" w:cs="Times New Roman"/>
                <w:b/>
                <w:bCs/>
                <w:noProof/>
              </w:rPr>
              <w:t>Control Invisible Threats to the Dignity of BAME and LGBT</w:t>
            </w:r>
            <w:r w:rsidR="00C41511">
              <w:rPr>
                <w:noProof/>
                <w:webHidden/>
              </w:rPr>
              <w:tab/>
            </w:r>
            <w:r w:rsidR="00C41511">
              <w:rPr>
                <w:noProof/>
                <w:webHidden/>
              </w:rPr>
              <w:fldChar w:fldCharType="begin"/>
            </w:r>
            <w:r w:rsidR="00C41511">
              <w:rPr>
                <w:noProof/>
                <w:webHidden/>
              </w:rPr>
              <w:instrText xml:space="preserve"> PAGEREF _Toc27840230 \h </w:instrText>
            </w:r>
            <w:r w:rsidR="00C41511">
              <w:rPr>
                <w:noProof/>
                <w:webHidden/>
              </w:rPr>
            </w:r>
            <w:r w:rsidR="00C41511">
              <w:rPr>
                <w:noProof/>
                <w:webHidden/>
              </w:rPr>
              <w:fldChar w:fldCharType="separate"/>
            </w:r>
            <w:r w:rsidR="00C41511">
              <w:rPr>
                <w:noProof/>
                <w:webHidden/>
              </w:rPr>
              <w:t>16</w:t>
            </w:r>
            <w:r w:rsidR="00C41511">
              <w:rPr>
                <w:noProof/>
                <w:webHidden/>
              </w:rPr>
              <w:fldChar w:fldCharType="end"/>
            </w:r>
          </w:hyperlink>
        </w:p>
        <w:p w14:paraId="5406200D" w14:textId="704FDDB4" w:rsidR="00C41511" w:rsidRDefault="00581ED7">
          <w:pPr>
            <w:pStyle w:val="TOC2"/>
            <w:tabs>
              <w:tab w:val="left" w:pos="660"/>
              <w:tab w:val="right" w:leader="dot" w:pos="9350"/>
            </w:tabs>
            <w:rPr>
              <w:noProof/>
            </w:rPr>
          </w:pPr>
          <w:hyperlink w:anchor="_Toc27840231" w:history="1">
            <w:r w:rsidR="00C41511" w:rsidRPr="00C87B95">
              <w:rPr>
                <w:rStyle w:val="Hyperlink"/>
                <w:b/>
                <w:bCs/>
                <w:noProof/>
              </w:rPr>
              <w:t>3.</w:t>
            </w:r>
            <w:r w:rsidR="00C41511">
              <w:rPr>
                <w:noProof/>
              </w:rPr>
              <w:tab/>
            </w:r>
            <w:r w:rsidR="00C41511" w:rsidRPr="00C87B95">
              <w:rPr>
                <w:rStyle w:val="Hyperlink"/>
                <w:rFonts w:ascii="Times New Roman" w:eastAsia="Times New Roman" w:hAnsi="Times New Roman" w:cs="Times New Roman"/>
                <w:b/>
                <w:bCs/>
                <w:noProof/>
              </w:rPr>
              <w:t>Incorporation to Pink Pound Foundation</w:t>
            </w:r>
            <w:r w:rsidR="00C41511">
              <w:rPr>
                <w:noProof/>
                <w:webHidden/>
              </w:rPr>
              <w:tab/>
            </w:r>
            <w:r w:rsidR="00C41511">
              <w:rPr>
                <w:noProof/>
                <w:webHidden/>
              </w:rPr>
              <w:fldChar w:fldCharType="begin"/>
            </w:r>
            <w:r w:rsidR="00C41511">
              <w:rPr>
                <w:noProof/>
                <w:webHidden/>
              </w:rPr>
              <w:instrText xml:space="preserve"> PAGEREF _Toc27840231 \h </w:instrText>
            </w:r>
            <w:r w:rsidR="00C41511">
              <w:rPr>
                <w:noProof/>
                <w:webHidden/>
              </w:rPr>
            </w:r>
            <w:r w:rsidR="00C41511">
              <w:rPr>
                <w:noProof/>
                <w:webHidden/>
              </w:rPr>
              <w:fldChar w:fldCharType="separate"/>
            </w:r>
            <w:r w:rsidR="00C41511">
              <w:rPr>
                <w:noProof/>
                <w:webHidden/>
              </w:rPr>
              <w:t>16</w:t>
            </w:r>
            <w:r w:rsidR="00C41511">
              <w:rPr>
                <w:noProof/>
                <w:webHidden/>
              </w:rPr>
              <w:fldChar w:fldCharType="end"/>
            </w:r>
          </w:hyperlink>
        </w:p>
        <w:p w14:paraId="0A087BA0" w14:textId="1A0F8DC3" w:rsidR="00C41511" w:rsidRDefault="00581ED7">
          <w:pPr>
            <w:pStyle w:val="TOC2"/>
            <w:tabs>
              <w:tab w:val="left" w:pos="660"/>
              <w:tab w:val="right" w:leader="dot" w:pos="9350"/>
            </w:tabs>
            <w:rPr>
              <w:noProof/>
            </w:rPr>
          </w:pPr>
          <w:hyperlink w:anchor="_Toc27840232" w:history="1">
            <w:r w:rsidR="00C41511" w:rsidRPr="00C87B95">
              <w:rPr>
                <w:rStyle w:val="Hyperlink"/>
                <w:b/>
                <w:bCs/>
                <w:noProof/>
              </w:rPr>
              <w:t>4.</w:t>
            </w:r>
            <w:r w:rsidR="00C41511">
              <w:rPr>
                <w:noProof/>
              </w:rPr>
              <w:tab/>
            </w:r>
            <w:r w:rsidR="00C41511" w:rsidRPr="00C87B95">
              <w:rPr>
                <w:rStyle w:val="Hyperlink"/>
                <w:rFonts w:ascii="Times New Roman" w:eastAsia="Times New Roman" w:hAnsi="Times New Roman" w:cs="Times New Roman"/>
                <w:b/>
                <w:bCs/>
                <w:noProof/>
              </w:rPr>
              <w:t>Handle issues of stereotyping</w:t>
            </w:r>
            <w:r w:rsidR="00C41511">
              <w:rPr>
                <w:noProof/>
                <w:webHidden/>
              </w:rPr>
              <w:tab/>
            </w:r>
            <w:r w:rsidR="00C41511">
              <w:rPr>
                <w:noProof/>
                <w:webHidden/>
              </w:rPr>
              <w:fldChar w:fldCharType="begin"/>
            </w:r>
            <w:r w:rsidR="00C41511">
              <w:rPr>
                <w:noProof/>
                <w:webHidden/>
              </w:rPr>
              <w:instrText xml:space="preserve"> PAGEREF _Toc27840232 \h </w:instrText>
            </w:r>
            <w:r w:rsidR="00C41511">
              <w:rPr>
                <w:noProof/>
                <w:webHidden/>
              </w:rPr>
            </w:r>
            <w:r w:rsidR="00C41511">
              <w:rPr>
                <w:noProof/>
                <w:webHidden/>
              </w:rPr>
              <w:fldChar w:fldCharType="separate"/>
            </w:r>
            <w:r w:rsidR="00C41511">
              <w:rPr>
                <w:noProof/>
                <w:webHidden/>
              </w:rPr>
              <w:t>17</w:t>
            </w:r>
            <w:r w:rsidR="00C41511">
              <w:rPr>
                <w:noProof/>
                <w:webHidden/>
              </w:rPr>
              <w:fldChar w:fldCharType="end"/>
            </w:r>
          </w:hyperlink>
        </w:p>
        <w:p w14:paraId="027B67FE" w14:textId="41D10754" w:rsidR="00C41511" w:rsidRDefault="00581ED7">
          <w:pPr>
            <w:pStyle w:val="TOC2"/>
            <w:tabs>
              <w:tab w:val="left" w:pos="660"/>
              <w:tab w:val="right" w:leader="dot" w:pos="9350"/>
            </w:tabs>
            <w:rPr>
              <w:noProof/>
            </w:rPr>
          </w:pPr>
          <w:hyperlink w:anchor="_Toc27840233" w:history="1">
            <w:r w:rsidR="00C41511" w:rsidRPr="00C87B95">
              <w:rPr>
                <w:rStyle w:val="Hyperlink"/>
                <w:b/>
                <w:bCs/>
                <w:noProof/>
              </w:rPr>
              <w:t>5.</w:t>
            </w:r>
            <w:r w:rsidR="00C41511">
              <w:rPr>
                <w:noProof/>
              </w:rPr>
              <w:tab/>
            </w:r>
            <w:r w:rsidR="00C41511" w:rsidRPr="00C87B95">
              <w:rPr>
                <w:rStyle w:val="Hyperlink"/>
                <w:rFonts w:ascii="Times New Roman" w:eastAsia="Times New Roman" w:hAnsi="Times New Roman" w:cs="Times New Roman"/>
                <w:b/>
                <w:bCs/>
                <w:noProof/>
              </w:rPr>
              <w:t>Building trust with an ethnic or LGBT leader</w:t>
            </w:r>
            <w:r w:rsidR="00C41511">
              <w:rPr>
                <w:noProof/>
                <w:webHidden/>
              </w:rPr>
              <w:tab/>
            </w:r>
            <w:r w:rsidR="00C41511">
              <w:rPr>
                <w:noProof/>
                <w:webHidden/>
              </w:rPr>
              <w:fldChar w:fldCharType="begin"/>
            </w:r>
            <w:r w:rsidR="00C41511">
              <w:rPr>
                <w:noProof/>
                <w:webHidden/>
              </w:rPr>
              <w:instrText xml:space="preserve"> PAGEREF _Toc27840233 \h </w:instrText>
            </w:r>
            <w:r w:rsidR="00C41511">
              <w:rPr>
                <w:noProof/>
                <w:webHidden/>
              </w:rPr>
            </w:r>
            <w:r w:rsidR="00C41511">
              <w:rPr>
                <w:noProof/>
                <w:webHidden/>
              </w:rPr>
              <w:fldChar w:fldCharType="separate"/>
            </w:r>
            <w:r w:rsidR="00C41511">
              <w:rPr>
                <w:noProof/>
                <w:webHidden/>
              </w:rPr>
              <w:t>17</w:t>
            </w:r>
            <w:r w:rsidR="00C41511">
              <w:rPr>
                <w:noProof/>
                <w:webHidden/>
              </w:rPr>
              <w:fldChar w:fldCharType="end"/>
            </w:r>
          </w:hyperlink>
        </w:p>
        <w:p w14:paraId="53513DF5" w14:textId="0C4FD901" w:rsidR="00C41511" w:rsidRDefault="00581ED7">
          <w:pPr>
            <w:pStyle w:val="TOC2"/>
            <w:tabs>
              <w:tab w:val="left" w:pos="660"/>
              <w:tab w:val="right" w:leader="dot" w:pos="9350"/>
            </w:tabs>
            <w:rPr>
              <w:noProof/>
            </w:rPr>
          </w:pPr>
          <w:hyperlink w:anchor="_Toc27840234" w:history="1">
            <w:r w:rsidR="00C41511" w:rsidRPr="00C87B95">
              <w:rPr>
                <w:rStyle w:val="Hyperlink"/>
                <w:noProof/>
              </w:rPr>
              <w:t>6.</w:t>
            </w:r>
            <w:r w:rsidR="00C41511">
              <w:rPr>
                <w:noProof/>
              </w:rPr>
              <w:tab/>
            </w:r>
            <w:r w:rsidR="00C41511" w:rsidRPr="00C87B95">
              <w:rPr>
                <w:rStyle w:val="Hyperlink"/>
                <w:rFonts w:ascii="Times New Roman" w:eastAsia="Times New Roman" w:hAnsi="Times New Roman" w:cs="Times New Roman"/>
                <w:b/>
                <w:bCs/>
                <w:noProof/>
              </w:rPr>
              <w:t>Measures to Identify Discrimination</w:t>
            </w:r>
            <w:r w:rsidR="00C41511">
              <w:rPr>
                <w:noProof/>
                <w:webHidden/>
              </w:rPr>
              <w:tab/>
            </w:r>
            <w:r w:rsidR="00C41511">
              <w:rPr>
                <w:noProof/>
                <w:webHidden/>
              </w:rPr>
              <w:fldChar w:fldCharType="begin"/>
            </w:r>
            <w:r w:rsidR="00C41511">
              <w:rPr>
                <w:noProof/>
                <w:webHidden/>
              </w:rPr>
              <w:instrText xml:space="preserve"> PAGEREF _Toc27840234 \h </w:instrText>
            </w:r>
            <w:r w:rsidR="00C41511">
              <w:rPr>
                <w:noProof/>
                <w:webHidden/>
              </w:rPr>
            </w:r>
            <w:r w:rsidR="00C41511">
              <w:rPr>
                <w:noProof/>
                <w:webHidden/>
              </w:rPr>
              <w:fldChar w:fldCharType="separate"/>
            </w:r>
            <w:r w:rsidR="00C41511">
              <w:rPr>
                <w:noProof/>
                <w:webHidden/>
              </w:rPr>
              <w:t>18</w:t>
            </w:r>
            <w:r w:rsidR="00C41511">
              <w:rPr>
                <w:noProof/>
                <w:webHidden/>
              </w:rPr>
              <w:fldChar w:fldCharType="end"/>
            </w:r>
          </w:hyperlink>
        </w:p>
        <w:p w14:paraId="6EC2D32B" w14:textId="0BAB4470" w:rsidR="00C41511" w:rsidRDefault="00581ED7">
          <w:pPr>
            <w:pStyle w:val="TOC1"/>
            <w:tabs>
              <w:tab w:val="right" w:leader="dot" w:pos="9350"/>
            </w:tabs>
            <w:rPr>
              <w:noProof/>
            </w:rPr>
          </w:pPr>
          <w:hyperlink w:anchor="_Toc27840235" w:history="1">
            <w:r w:rsidR="00C41511" w:rsidRPr="00C87B95">
              <w:rPr>
                <w:rStyle w:val="Hyperlink"/>
                <w:rFonts w:ascii="Times New Roman" w:eastAsia="Times New Roman" w:hAnsi="Times New Roman" w:cs="Times New Roman"/>
                <w:b/>
                <w:bCs/>
                <w:noProof/>
              </w:rPr>
              <w:t>Recommendations</w:t>
            </w:r>
            <w:r w:rsidR="00C41511">
              <w:rPr>
                <w:noProof/>
                <w:webHidden/>
              </w:rPr>
              <w:tab/>
            </w:r>
            <w:r w:rsidR="00C41511">
              <w:rPr>
                <w:noProof/>
                <w:webHidden/>
              </w:rPr>
              <w:fldChar w:fldCharType="begin"/>
            </w:r>
            <w:r w:rsidR="00C41511">
              <w:rPr>
                <w:noProof/>
                <w:webHidden/>
              </w:rPr>
              <w:instrText xml:space="preserve"> PAGEREF _Toc27840235 \h </w:instrText>
            </w:r>
            <w:r w:rsidR="00C41511">
              <w:rPr>
                <w:noProof/>
                <w:webHidden/>
              </w:rPr>
            </w:r>
            <w:r w:rsidR="00C41511">
              <w:rPr>
                <w:noProof/>
                <w:webHidden/>
              </w:rPr>
              <w:fldChar w:fldCharType="separate"/>
            </w:r>
            <w:r w:rsidR="00C41511">
              <w:rPr>
                <w:noProof/>
                <w:webHidden/>
              </w:rPr>
              <w:t>18</w:t>
            </w:r>
            <w:r w:rsidR="00C41511">
              <w:rPr>
                <w:noProof/>
                <w:webHidden/>
              </w:rPr>
              <w:fldChar w:fldCharType="end"/>
            </w:r>
          </w:hyperlink>
        </w:p>
        <w:p w14:paraId="432C106E" w14:textId="72DB15CF" w:rsidR="00C41511" w:rsidRDefault="00581ED7">
          <w:pPr>
            <w:pStyle w:val="TOC2"/>
            <w:tabs>
              <w:tab w:val="left" w:pos="660"/>
              <w:tab w:val="right" w:leader="dot" w:pos="9350"/>
            </w:tabs>
            <w:rPr>
              <w:noProof/>
            </w:rPr>
          </w:pPr>
          <w:hyperlink w:anchor="_Toc27840236" w:history="1">
            <w:r w:rsidR="00C41511" w:rsidRPr="00C87B95">
              <w:rPr>
                <w:rStyle w:val="Hyperlink"/>
                <w:rFonts w:ascii="Symbol" w:hAnsi="Symbol"/>
                <w:bCs/>
                <w:noProof/>
              </w:rPr>
              <w:t></w:t>
            </w:r>
            <w:r w:rsidR="00C41511">
              <w:rPr>
                <w:noProof/>
              </w:rPr>
              <w:tab/>
            </w:r>
            <w:r w:rsidR="00C41511" w:rsidRPr="00C87B95">
              <w:rPr>
                <w:rStyle w:val="Hyperlink"/>
                <w:rFonts w:ascii="Times New Roman" w:eastAsia="Times New Roman" w:hAnsi="Times New Roman" w:cs="Times New Roman"/>
                <w:b/>
                <w:bCs/>
                <w:noProof/>
              </w:rPr>
              <w:t>Review Process</w:t>
            </w:r>
            <w:r w:rsidR="00C41511">
              <w:rPr>
                <w:noProof/>
                <w:webHidden/>
              </w:rPr>
              <w:tab/>
            </w:r>
            <w:r w:rsidR="00C41511">
              <w:rPr>
                <w:noProof/>
                <w:webHidden/>
              </w:rPr>
              <w:fldChar w:fldCharType="begin"/>
            </w:r>
            <w:r w:rsidR="00C41511">
              <w:rPr>
                <w:noProof/>
                <w:webHidden/>
              </w:rPr>
              <w:instrText xml:space="preserve"> PAGEREF _Toc27840236 \h </w:instrText>
            </w:r>
            <w:r w:rsidR="00C41511">
              <w:rPr>
                <w:noProof/>
                <w:webHidden/>
              </w:rPr>
            </w:r>
            <w:r w:rsidR="00C41511">
              <w:rPr>
                <w:noProof/>
                <w:webHidden/>
              </w:rPr>
              <w:fldChar w:fldCharType="separate"/>
            </w:r>
            <w:r w:rsidR="00C41511">
              <w:rPr>
                <w:noProof/>
                <w:webHidden/>
              </w:rPr>
              <w:t>18</w:t>
            </w:r>
            <w:r w:rsidR="00C41511">
              <w:rPr>
                <w:noProof/>
                <w:webHidden/>
              </w:rPr>
              <w:fldChar w:fldCharType="end"/>
            </w:r>
          </w:hyperlink>
        </w:p>
        <w:p w14:paraId="0C7F36E3" w14:textId="098ECA67" w:rsidR="00C41511" w:rsidRDefault="00581ED7">
          <w:pPr>
            <w:pStyle w:val="TOC2"/>
            <w:tabs>
              <w:tab w:val="left" w:pos="660"/>
              <w:tab w:val="right" w:leader="dot" w:pos="9350"/>
            </w:tabs>
            <w:rPr>
              <w:noProof/>
            </w:rPr>
          </w:pPr>
          <w:hyperlink w:anchor="_Toc27840237" w:history="1">
            <w:r w:rsidR="00C41511" w:rsidRPr="00C87B95">
              <w:rPr>
                <w:rStyle w:val="Hyperlink"/>
                <w:rFonts w:ascii="Symbol" w:hAnsi="Symbol"/>
                <w:bCs/>
                <w:noProof/>
              </w:rPr>
              <w:t></w:t>
            </w:r>
            <w:r w:rsidR="00C41511">
              <w:rPr>
                <w:noProof/>
              </w:rPr>
              <w:tab/>
            </w:r>
            <w:r w:rsidR="00C41511" w:rsidRPr="00C87B95">
              <w:rPr>
                <w:rStyle w:val="Hyperlink"/>
                <w:rFonts w:ascii="Times New Roman" w:eastAsia="Times New Roman" w:hAnsi="Times New Roman" w:cs="Times New Roman"/>
                <w:b/>
                <w:bCs/>
                <w:noProof/>
              </w:rPr>
              <w:t>Accessibility</w:t>
            </w:r>
            <w:r w:rsidR="00C41511">
              <w:rPr>
                <w:noProof/>
                <w:webHidden/>
              </w:rPr>
              <w:tab/>
            </w:r>
            <w:r w:rsidR="00C41511">
              <w:rPr>
                <w:noProof/>
                <w:webHidden/>
              </w:rPr>
              <w:fldChar w:fldCharType="begin"/>
            </w:r>
            <w:r w:rsidR="00C41511">
              <w:rPr>
                <w:noProof/>
                <w:webHidden/>
              </w:rPr>
              <w:instrText xml:space="preserve"> PAGEREF _Toc27840237 \h </w:instrText>
            </w:r>
            <w:r w:rsidR="00C41511">
              <w:rPr>
                <w:noProof/>
                <w:webHidden/>
              </w:rPr>
            </w:r>
            <w:r w:rsidR="00C41511">
              <w:rPr>
                <w:noProof/>
                <w:webHidden/>
              </w:rPr>
              <w:fldChar w:fldCharType="separate"/>
            </w:r>
            <w:r w:rsidR="00C41511">
              <w:rPr>
                <w:noProof/>
                <w:webHidden/>
              </w:rPr>
              <w:t>18</w:t>
            </w:r>
            <w:r w:rsidR="00C41511">
              <w:rPr>
                <w:noProof/>
                <w:webHidden/>
              </w:rPr>
              <w:fldChar w:fldCharType="end"/>
            </w:r>
          </w:hyperlink>
        </w:p>
        <w:p w14:paraId="07695DA9" w14:textId="5FCD966D" w:rsidR="00C41511" w:rsidRDefault="00581ED7">
          <w:pPr>
            <w:pStyle w:val="TOC2"/>
            <w:tabs>
              <w:tab w:val="left" w:pos="660"/>
              <w:tab w:val="right" w:leader="dot" w:pos="9350"/>
            </w:tabs>
            <w:rPr>
              <w:noProof/>
            </w:rPr>
          </w:pPr>
          <w:hyperlink w:anchor="_Toc27840238" w:history="1">
            <w:r w:rsidR="00C41511" w:rsidRPr="00C87B95">
              <w:rPr>
                <w:rStyle w:val="Hyperlink"/>
                <w:rFonts w:ascii="Symbol" w:hAnsi="Symbol"/>
                <w:noProof/>
              </w:rPr>
              <w:t></w:t>
            </w:r>
            <w:r w:rsidR="00C41511">
              <w:rPr>
                <w:noProof/>
              </w:rPr>
              <w:tab/>
            </w:r>
            <w:r w:rsidR="00C41511" w:rsidRPr="00C87B95">
              <w:rPr>
                <w:rStyle w:val="Hyperlink"/>
                <w:rFonts w:ascii="Times New Roman" w:eastAsia="Times New Roman" w:hAnsi="Times New Roman" w:cs="Times New Roman"/>
                <w:b/>
                <w:bCs/>
                <w:noProof/>
              </w:rPr>
              <w:t>Diversity Training</w:t>
            </w:r>
            <w:r w:rsidR="00C41511">
              <w:rPr>
                <w:noProof/>
                <w:webHidden/>
              </w:rPr>
              <w:tab/>
            </w:r>
            <w:r w:rsidR="00C41511">
              <w:rPr>
                <w:noProof/>
                <w:webHidden/>
              </w:rPr>
              <w:fldChar w:fldCharType="begin"/>
            </w:r>
            <w:r w:rsidR="00C41511">
              <w:rPr>
                <w:noProof/>
                <w:webHidden/>
              </w:rPr>
              <w:instrText xml:space="preserve"> PAGEREF _Toc27840238 \h </w:instrText>
            </w:r>
            <w:r w:rsidR="00C41511">
              <w:rPr>
                <w:noProof/>
                <w:webHidden/>
              </w:rPr>
            </w:r>
            <w:r w:rsidR="00C41511">
              <w:rPr>
                <w:noProof/>
                <w:webHidden/>
              </w:rPr>
              <w:fldChar w:fldCharType="separate"/>
            </w:r>
            <w:r w:rsidR="00C41511">
              <w:rPr>
                <w:noProof/>
                <w:webHidden/>
              </w:rPr>
              <w:t>19</w:t>
            </w:r>
            <w:r w:rsidR="00C41511">
              <w:rPr>
                <w:noProof/>
                <w:webHidden/>
              </w:rPr>
              <w:fldChar w:fldCharType="end"/>
            </w:r>
          </w:hyperlink>
        </w:p>
        <w:p w14:paraId="703AE2E6" w14:textId="69BA4598" w:rsidR="00C41511" w:rsidRDefault="00581ED7">
          <w:pPr>
            <w:pStyle w:val="TOC2"/>
            <w:tabs>
              <w:tab w:val="left" w:pos="660"/>
              <w:tab w:val="right" w:leader="dot" w:pos="9350"/>
            </w:tabs>
            <w:rPr>
              <w:noProof/>
            </w:rPr>
          </w:pPr>
          <w:hyperlink w:anchor="_Toc27840239" w:history="1">
            <w:r w:rsidR="00C41511" w:rsidRPr="00C87B95">
              <w:rPr>
                <w:rStyle w:val="Hyperlink"/>
                <w:rFonts w:ascii="Symbol" w:hAnsi="Symbol"/>
                <w:bCs/>
                <w:noProof/>
              </w:rPr>
              <w:t></w:t>
            </w:r>
            <w:r w:rsidR="00C41511">
              <w:rPr>
                <w:noProof/>
              </w:rPr>
              <w:tab/>
            </w:r>
            <w:r w:rsidR="00C41511" w:rsidRPr="00C87B95">
              <w:rPr>
                <w:rStyle w:val="Hyperlink"/>
                <w:rFonts w:ascii="Times New Roman" w:eastAsia="Times New Roman" w:hAnsi="Times New Roman" w:cs="Times New Roman"/>
                <w:b/>
                <w:bCs/>
                <w:noProof/>
              </w:rPr>
              <w:t>Diversity Initiatives and Plans</w:t>
            </w:r>
            <w:r w:rsidR="00C41511">
              <w:rPr>
                <w:noProof/>
                <w:webHidden/>
              </w:rPr>
              <w:tab/>
            </w:r>
            <w:r w:rsidR="00C41511">
              <w:rPr>
                <w:noProof/>
                <w:webHidden/>
              </w:rPr>
              <w:fldChar w:fldCharType="begin"/>
            </w:r>
            <w:r w:rsidR="00C41511">
              <w:rPr>
                <w:noProof/>
                <w:webHidden/>
              </w:rPr>
              <w:instrText xml:space="preserve"> PAGEREF _Toc27840239 \h </w:instrText>
            </w:r>
            <w:r w:rsidR="00C41511">
              <w:rPr>
                <w:noProof/>
                <w:webHidden/>
              </w:rPr>
            </w:r>
            <w:r w:rsidR="00C41511">
              <w:rPr>
                <w:noProof/>
                <w:webHidden/>
              </w:rPr>
              <w:fldChar w:fldCharType="separate"/>
            </w:r>
            <w:r w:rsidR="00C41511">
              <w:rPr>
                <w:noProof/>
                <w:webHidden/>
              </w:rPr>
              <w:t>19</w:t>
            </w:r>
            <w:r w:rsidR="00C41511">
              <w:rPr>
                <w:noProof/>
                <w:webHidden/>
              </w:rPr>
              <w:fldChar w:fldCharType="end"/>
            </w:r>
          </w:hyperlink>
        </w:p>
        <w:p w14:paraId="1E1F8ED6" w14:textId="607D106B" w:rsidR="00C41511" w:rsidRDefault="00581ED7">
          <w:pPr>
            <w:pStyle w:val="TOC1"/>
            <w:tabs>
              <w:tab w:val="right" w:leader="dot" w:pos="9350"/>
            </w:tabs>
            <w:rPr>
              <w:noProof/>
            </w:rPr>
          </w:pPr>
          <w:hyperlink w:anchor="_Toc27840240" w:history="1">
            <w:r w:rsidR="00C41511" w:rsidRPr="00C87B95">
              <w:rPr>
                <w:rStyle w:val="Hyperlink"/>
                <w:rFonts w:ascii="Times New Roman" w:eastAsia="Times New Roman" w:hAnsi="Times New Roman" w:cs="Times New Roman"/>
                <w:b/>
                <w:bCs/>
                <w:noProof/>
              </w:rPr>
              <w:t>References</w:t>
            </w:r>
            <w:r w:rsidR="00C41511">
              <w:rPr>
                <w:noProof/>
                <w:webHidden/>
              </w:rPr>
              <w:tab/>
            </w:r>
            <w:r w:rsidR="00C41511">
              <w:rPr>
                <w:noProof/>
                <w:webHidden/>
              </w:rPr>
              <w:fldChar w:fldCharType="begin"/>
            </w:r>
            <w:r w:rsidR="00C41511">
              <w:rPr>
                <w:noProof/>
                <w:webHidden/>
              </w:rPr>
              <w:instrText xml:space="preserve"> PAGEREF _Toc27840240 \h </w:instrText>
            </w:r>
            <w:r w:rsidR="00C41511">
              <w:rPr>
                <w:noProof/>
                <w:webHidden/>
              </w:rPr>
            </w:r>
            <w:r w:rsidR="00C41511">
              <w:rPr>
                <w:noProof/>
                <w:webHidden/>
              </w:rPr>
              <w:fldChar w:fldCharType="separate"/>
            </w:r>
            <w:r w:rsidR="00C41511">
              <w:rPr>
                <w:noProof/>
                <w:webHidden/>
              </w:rPr>
              <w:t>20</w:t>
            </w:r>
            <w:r w:rsidR="00C41511">
              <w:rPr>
                <w:noProof/>
                <w:webHidden/>
              </w:rPr>
              <w:fldChar w:fldCharType="end"/>
            </w:r>
          </w:hyperlink>
        </w:p>
        <w:p w14:paraId="76D6A0A0" w14:textId="38EBB02A" w:rsidR="00C41511" w:rsidRDefault="00C41511">
          <w:r>
            <w:rPr>
              <w:b/>
              <w:bCs/>
              <w:noProof/>
            </w:rPr>
            <w:fldChar w:fldCharType="end"/>
          </w:r>
        </w:p>
      </w:sdtContent>
    </w:sdt>
    <w:p w14:paraId="7B51C272" w14:textId="77777777" w:rsidR="00C41511" w:rsidRDefault="00C41511" w:rsidP="6D88E91F">
      <w:pPr>
        <w:pStyle w:val="Heading1"/>
        <w:spacing w:line="360" w:lineRule="auto"/>
        <w:jc w:val="both"/>
        <w:rPr>
          <w:rFonts w:ascii="Times New Roman" w:eastAsia="Times New Roman" w:hAnsi="Times New Roman" w:cs="Times New Roman"/>
          <w:b/>
          <w:bCs/>
          <w:color w:val="000000" w:themeColor="text1"/>
        </w:rPr>
      </w:pPr>
    </w:p>
    <w:p w14:paraId="569ED48B" w14:textId="77777777" w:rsidR="00C41511" w:rsidRDefault="00C41511">
      <w:pPr>
        <w:rPr>
          <w:rFonts w:ascii="Times New Roman" w:eastAsia="Times New Roman" w:hAnsi="Times New Roman" w:cs="Times New Roman"/>
          <w:b/>
          <w:bCs/>
          <w:color w:val="000000" w:themeColor="text1"/>
          <w:sz w:val="32"/>
          <w:szCs w:val="32"/>
        </w:rPr>
      </w:pPr>
      <w:r>
        <w:rPr>
          <w:rFonts w:ascii="Times New Roman" w:eastAsia="Times New Roman" w:hAnsi="Times New Roman" w:cs="Times New Roman"/>
          <w:b/>
          <w:bCs/>
          <w:color w:val="000000" w:themeColor="text1"/>
        </w:rPr>
        <w:br w:type="page"/>
      </w:r>
    </w:p>
    <w:p w14:paraId="3737EACD" w14:textId="0A9D7BB0" w:rsidR="6D88E91F" w:rsidRDefault="6D88E91F" w:rsidP="6D88E91F">
      <w:pPr>
        <w:pStyle w:val="Heading1"/>
        <w:spacing w:line="360" w:lineRule="auto"/>
        <w:jc w:val="both"/>
        <w:rPr>
          <w:rFonts w:ascii="Times New Roman" w:eastAsia="Times New Roman" w:hAnsi="Times New Roman" w:cs="Times New Roman"/>
          <w:b/>
          <w:bCs/>
          <w:color w:val="000000" w:themeColor="text1"/>
        </w:rPr>
      </w:pPr>
      <w:bookmarkStart w:id="2" w:name="_Toc27840222"/>
      <w:r w:rsidRPr="6D88E91F">
        <w:rPr>
          <w:rFonts w:ascii="Times New Roman" w:eastAsia="Times New Roman" w:hAnsi="Times New Roman" w:cs="Times New Roman"/>
          <w:b/>
          <w:bCs/>
          <w:color w:val="000000" w:themeColor="text1"/>
        </w:rPr>
        <w:lastRenderedPageBreak/>
        <w:t>Introduction</w:t>
      </w:r>
      <w:bookmarkEnd w:id="2"/>
    </w:p>
    <w:p w14:paraId="337831D7" w14:textId="64226F7D" w:rsidR="6D88E91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A leading American health care company named ‘Aetna’ is globally known for its traditional and consumer directed services, since mid-1800s. Almost 800,000 Aetna members worldwide are being provided numerous health care services by more than 40,000 employees. With headquarter located at Hartford, United States, the company has been a benchmark of success among its competitors due to its vast variety of health care facilities as well as the diverse workforce (Aetna, 2019). This unique approach of acquiring diversified employees has increased its attraction worldwide, turning it into among top forty Fortune companies (Ng &amp; Rumens, 2017). This fundamental practice of HRM is also utilized for business strategic sustainability and profit. The company's net income reaps the benefits of playing in billion dollars annually due to the significant role of its diversity strategic policies. </w:t>
      </w:r>
    </w:p>
    <w:p w14:paraId="2399F64F" w14:textId="4C8F2C9E" w:rsidR="6D88E91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The prominent attributes making Aetna at the top market place are its values, organizational culture and dedication towards cultivation of diverse workforce. It has been known for its efficacy in uniting and empowering different communities, supporting and celebrating the diversity. Providing equal opportunities to all gender, race and minority groups, it is also one of the pioneers to value the LGBT (L</w:t>
      </w:r>
      <w:proofErr w:type="spellStart"/>
      <w:r w:rsidRPr="3FBB2051">
        <w:rPr>
          <w:rFonts w:ascii="Times New Roman" w:eastAsia="Times New Roman" w:hAnsi="Times New Roman" w:cs="Times New Roman"/>
          <w:color w:val="000000" w:themeColor="text1"/>
          <w:sz w:val="24"/>
          <w:szCs w:val="24"/>
          <w:lang w:val="en-GB"/>
        </w:rPr>
        <w:t>esbian</w:t>
      </w:r>
      <w:proofErr w:type="spellEnd"/>
      <w:r w:rsidRPr="3FBB2051">
        <w:rPr>
          <w:rFonts w:ascii="Times New Roman" w:eastAsia="Times New Roman" w:hAnsi="Times New Roman" w:cs="Times New Roman"/>
          <w:color w:val="000000" w:themeColor="text1"/>
          <w:sz w:val="24"/>
          <w:szCs w:val="24"/>
          <w:lang w:val="en-GB"/>
        </w:rPr>
        <w:t>, Gay, Bisexual and Transgender)</w:t>
      </w:r>
      <w:r w:rsidRPr="3FBB2051">
        <w:rPr>
          <w:rFonts w:ascii="Times New Roman" w:eastAsia="Times New Roman" w:hAnsi="Times New Roman" w:cs="Times New Roman"/>
          <w:color w:val="000000" w:themeColor="text1"/>
          <w:sz w:val="24"/>
          <w:szCs w:val="24"/>
        </w:rPr>
        <w:t xml:space="preserve"> and people of color</w:t>
      </w:r>
      <w:r w:rsidRPr="3FBB2051">
        <w:rPr>
          <w:rFonts w:ascii="Times New Roman" w:eastAsia="Times New Roman" w:hAnsi="Times New Roman" w:cs="Times New Roman"/>
          <w:color w:val="000000" w:themeColor="text1"/>
          <w:sz w:val="24"/>
          <w:szCs w:val="24"/>
          <w:lang w:val="en-GB"/>
        </w:rPr>
        <w:t xml:space="preserve">. Currently, 32% of Aetna employees represent people of </w:t>
      </w:r>
      <w:proofErr w:type="spellStart"/>
      <w:r w:rsidRPr="3FBB2051">
        <w:rPr>
          <w:rFonts w:ascii="Times New Roman" w:eastAsia="Times New Roman" w:hAnsi="Times New Roman" w:cs="Times New Roman"/>
          <w:color w:val="000000" w:themeColor="text1"/>
          <w:sz w:val="24"/>
          <w:szCs w:val="24"/>
          <w:lang w:val="en-GB"/>
        </w:rPr>
        <w:t>color</w:t>
      </w:r>
      <w:proofErr w:type="spellEnd"/>
      <w:r w:rsidRPr="3FBB2051">
        <w:rPr>
          <w:rFonts w:ascii="Times New Roman" w:eastAsia="Times New Roman" w:hAnsi="Times New Roman" w:cs="Times New Roman"/>
          <w:color w:val="000000" w:themeColor="text1"/>
          <w:sz w:val="24"/>
          <w:szCs w:val="24"/>
          <w:lang w:val="en-GB"/>
        </w:rPr>
        <w:t xml:space="preserve"> while 4% are LGBT </w:t>
      </w:r>
      <w:r w:rsidRPr="3FBB2051">
        <w:rPr>
          <w:rFonts w:ascii="Times New Roman" w:eastAsia="Times New Roman" w:hAnsi="Times New Roman" w:cs="Times New Roman"/>
          <w:color w:val="000000" w:themeColor="text1"/>
          <w:sz w:val="24"/>
          <w:szCs w:val="24"/>
        </w:rPr>
        <w:t xml:space="preserve">(Aetna, 2019). Moreover, Cascio (2009) reported for the annual diversity plan of Aetna and claimed for the formation of 15 employee resource groups (ERGs) including ethnicity and GLBT, and also diversified suppliers. It allied with various organizations for ‘minorities’ at national level such as </w:t>
      </w:r>
      <w:r w:rsidRPr="3FBB2051">
        <w:rPr>
          <w:rFonts w:ascii="Times New Roman" w:eastAsia="Times New Roman" w:hAnsi="Times New Roman" w:cs="Times New Roman"/>
          <w:color w:val="000000" w:themeColor="text1"/>
          <w:sz w:val="24"/>
          <w:szCs w:val="24"/>
          <w:lang w:val="en-GB"/>
        </w:rPr>
        <w:t>National Minority Supplier Development Council (NMSDC), Race for the cure and LGBT community support (</w:t>
      </w:r>
      <w:r w:rsidRPr="3FBB2051">
        <w:rPr>
          <w:rFonts w:ascii="Times New Roman" w:eastAsia="Times New Roman" w:hAnsi="Times New Roman" w:cs="Times New Roman"/>
          <w:color w:val="000000" w:themeColor="text1"/>
          <w:sz w:val="24"/>
          <w:szCs w:val="24"/>
        </w:rPr>
        <w:t>Aetna, 2015)</w:t>
      </w:r>
      <w:r w:rsidRPr="3FBB2051">
        <w:rPr>
          <w:rFonts w:ascii="Times New Roman" w:eastAsia="Times New Roman" w:hAnsi="Times New Roman" w:cs="Times New Roman"/>
          <w:color w:val="000000" w:themeColor="text1"/>
          <w:sz w:val="24"/>
          <w:szCs w:val="24"/>
          <w:lang w:val="en-GB"/>
        </w:rPr>
        <w:t xml:space="preserve">. By the year 2008, </w:t>
      </w:r>
      <w:r w:rsidRPr="3FBB2051">
        <w:rPr>
          <w:rFonts w:ascii="Times New Roman" w:eastAsia="Times New Roman" w:hAnsi="Times New Roman" w:cs="Times New Roman"/>
          <w:color w:val="000000" w:themeColor="text1"/>
          <w:sz w:val="24"/>
          <w:szCs w:val="24"/>
        </w:rPr>
        <w:t xml:space="preserve">Aetna’s corporate strategy started to emphasize broadly on two factors of diversity: Growth openings for non-traditional or other groups (i.e., GLBT) and customer need by such community groups (Cascio, 2009) which continued with further improvements and advancements. </w:t>
      </w:r>
    </w:p>
    <w:p w14:paraId="270E533B" w14:textId="02F7CD62" w:rsidR="6D88E91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To assess the tailor-suited advancements of current era in diversity, this business consultancy report explores the Aetna’s diversity policies emphasizing two HR issues: LGBT and Ethnic minority in the context of U.S. only. It also critically analyzes and evaluate the policies by comparing with other companies. It further directs recommendations for better opportunities and organizational strategies for the ethnic diversity and LGBT support. It suggests to invest in </w:t>
      </w:r>
      <w:r w:rsidRPr="3FBB2051">
        <w:rPr>
          <w:rFonts w:ascii="Times New Roman" w:eastAsia="Times New Roman" w:hAnsi="Times New Roman" w:cs="Times New Roman"/>
          <w:color w:val="000000" w:themeColor="text1"/>
          <w:sz w:val="24"/>
          <w:szCs w:val="24"/>
        </w:rPr>
        <w:lastRenderedPageBreak/>
        <w:t>acquiring and managing diverse ethnic and different cultural groups as it will raise profitability and competency in people management that will resultantly effect market share in a positive manner. Moreover, globalization is the key to human resource development which promotes the opportunities of learning and development, skill enhancement and talent augmentation under the same umbrella.</w:t>
      </w:r>
    </w:p>
    <w:p w14:paraId="3595DD05" w14:textId="2A495A4B" w:rsidR="6D88E91F" w:rsidRDefault="3FBB2051" w:rsidP="3FBB2051">
      <w:pPr>
        <w:pStyle w:val="Heading1"/>
        <w:spacing w:after="200" w:line="360" w:lineRule="auto"/>
        <w:jc w:val="both"/>
        <w:rPr>
          <w:rFonts w:ascii="Times New Roman" w:eastAsia="Times New Roman" w:hAnsi="Times New Roman" w:cs="Times New Roman"/>
          <w:b/>
          <w:bCs/>
          <w:color w:val="000000" w:themeColor="text1"/>
        </w:rPr>
      </w:pPr>
      <w:bookmarkStart w:id="3" w:name="_Toc27840223"/>
      <w:r w:rsidRPr="3FBB2051">
        <w:rPr>
          <w:rFonts w:ascii="Times New Roman" w:eastAsia="Times New Roman" w:hAnsi="Times New Roman" w:cs="Times New Roman"/>
          <w:b/>
          <w:bCs/>
          <w:color w:val="000000" w:themeColor="text1"/>
        </w:rPr>
        <w:t>Literature review</w:t>
      </w:r>
      <w:bookmarkEnd w:id="3"/>
    </w:p>
    <w:p w14:paraId="107BE5EC" w14:textId="1A7ECAA0" w:rsidR="6D88E91F" w:rsidRDefault="183874A8" w:rsidP="183874A8">
      <w:pPr>
        <w:pStyle w:val="Heading2"/>
        <w:spacing w:line="360" w:lineRule="auto"/>
        <w:jc w:val="both"/>
        <w:rPr>
          <w:rFonts w:ascii="Times New Roman" w:eastAsia="Times New Roman" w:hAnsi="Times New Roman" w:cs="Times New Roman"/>
          <w:b/>
          <w:bCs/>
          <w:color w:val="000000" w:themeColor="text1"/>
          <w:sz w:val="28"/>
          <w:szCs w:val="28"/>
        </w:rPr>
      </w:pPr>
      <w:bookmarkStart w:id="4" w:name="_Toc27840224"/>
      <w:r w:rsidRPr="183874A8">
        <w:rPr>
          <w:rFonts w:ascii="Times New Roman" w:eastAsia="Times New Roman" w:hAnsi="Times New Roman" w:cs="Times New Roman"/>
          <w:b/>
          <w:bCs/>
          <w:color w:val="000000" w:themeColor="text1"/>
          <w:sz w:val="28"/>
          <w:szCs w:val="28"/>
        </w:rPr>
        <w:t>LGBT in United States</w:t>
      </w:r>
      <w:bookmarkEnd w:id="4"/>
    </w:p>
    <w:p w14:paraId="2A44F0AA" w14:textId="24104224" w:rsidR="6D88E91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In United States, over 19 million Americans are reported to be LGBTs (</w:t>
      </w:r>
      <w:proofErr w:type="spellStart"/>
      <w:r w:rsidRPr="3FBB2051">
        <w:rPr>
          <w:rFonts w:ascii="Times New Roman" w:eastAsia="Times New Roman" w:hAnsi="Times New Roman" w:cs="Times New Roman"/>
          <w:color w:val="222222"/>
          <w:sz w:val="24"/>
          <w:szCs w:val="24"/>
        </w:rPr>
        <w:t>Bonvicini</w:t>
      </w:r>
      <w:proofErr w:type="spellEnd"/>
      <w:r w:rsidRPr="3FBB2051">
        <w:rPr>
          <w:rFonts w:ascii="Times New Roman" w:eastAsia="Times New Roman" w:hAnsi="Times New Roman" w:cs="Times New Roman"/>
          <w:color w:val="222222"/>
          <w:sz w:val="24"/>
          <w:szCs w:val="24"/>
        </w:rPr>
        <w:t xml:space="preserve">, 2017) while </w:t>
      </w:r>
      <w:r w:rsidRPr="3FBB2051">
        <w:rPr>
          <w:rFonts w:ascii="Times New Roman" w:eastAsia="Times New Roman" w:hAnsi="Times New Roman" w:cs="Times New Roman"/>
          <w:color w:val="000000" w:themeColor="text1"/>
          <w:sz w:val="24"/>
          <w:szCs w:val="24"/>
        </w:rPr>
        <w:t>almost 26 million belong to ethnic minorities or other community groups (</w:t>
      </w:r>
      <w:proofErr w:type="spellStart"/>
      <w:r w:rsidRPr="3FBB2051">
        <w:rPr>
          <w:rFonts w:ascii="Times New Roman" w:eastAsia="Times New Roman" w:hAnsi="Times New Roman" w:cs="Times New Roman"/>
          <w:color w:val="222222"/>
          <w:sz w:val="24"/>
          <w:szCs w:val="24"/>
        </w:rPr>
        <w:t>Utamsingh</w:t>
      </w:r>
      <w:proofErr w:type="spellEnd"/>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et al.</w:t>
      </w:r>
      <w:r w:rsidRPr="3FBB2051">
        <w:rPr>
          <w:rFonts w:ascii="Times New Roman" w:eastAsia="Times New Roman" w:hAnsi="Times New Roman" w:cs="Times New Roman"/>
          <w:color w:val="222222"/>
          <w:sz w:val="24"/>
          <w:szCs w:val="24"/>
        </w:rPr>
        <w:t xml:space="preserve">, 2017). According to a report by Gates (2014), 5.6% of general US population identifies itself as LGBT on Gallup which also considerably describes the ratio of </w:t>
      </w:r>
      <w:r w:rsidRPr="3FBB2051">
        <w:rPr>
          <w:rFonts w:ascii="Times New Roman" w:eastAsia="Times New Roman" w:hAnsi="Times New Roman" w:cs="Times New Roman"/>
          <w:color w:val="000000" w:themeColor="text1"/>
          <w:sz w:val="24"/>
          <w:szCs w:val="24"/>
        </w:rPr>
        <w:t xml:space="preserve">sexual minorities (Beasley </w:t>
      </w:r>
      <w:r w:rsidRPr="3FBB2051">
        <w:rPr>
          <w:rFonts w:ascii="Times New Roman" w:eastAsia="Times New Roman" w:hAnsi="Times New Roman" w:cs="Times New Roman"/>
          <w:i/>
          <w:iCs/>
          <w:color w:val="000000" w:themeColor="text1"/>
          <w:sz w:val="24"/>
          <w:szCs w:val="24"/>
        </w:rPr>
        <w:t>et al.</w:t>
      </w:r>
      <w:r w:rsidRPr="3FBB2051">
        <w:rPr>
          <w:rFonts w:ascii="Times New Roman" w:eastAsia="Times New Roman" w:hAnsi="Times New Roman" w:cs="Times New Roman"/>
          <w:color w:val="000000" w:themeColor="text1"/>
          <w:sz w:val="24"/>
          <w:szCs w:val="24"/>
        </w:rPr>
        <w:t xml:space="preserve">, 2015). To break it further, </w:t>
      </w:r>
      <w:r w:rsidRPr="3FBB2051">
        <w:rPr>
          <w:rFonts w:ascii="Times New Roman" w:eastAsia="Times New Roman" w:hAnsi="Times New Roman" w:cs="Times New Roman"/>
          <w:color w:val="222222"/>
          <w:sz w:val="24"/>
          <w:szCs w:val="24"/>
        </w:rPr>
        <w:t xml:space="preserve">Ng &amp; Rumens (2017) also mentioned the U.S. census for LGBTs as 3.8% which demands for supporting the needs and requirements of this group. In the demographic consensus by </w:t>
      </w:r>
      <w:r w:rsidRPr="3FBB2051">
        <w:rPr>
          <w:rFonts w:ascii="Times New Roman" w:eastAsia="Times New Roman" w:hAnsi="Times New Roman" w:cs="Times New Roman"/>
          <w:color w:val="000000" w:themeColor="text1"/>
          <w:sz w:val="24"/>
          <w:szCs w:val="24"/>
        </w:rPr>
        <w:t xml:space="preserve">Newport (2018) given in the table 1, the number of LGBTs in U.S. has increased more in female as compared to male LGBTs. </w:t>
      </w:r>
    </w:p>
    <w:p w14:paraId="2E9A4C75" w14:textId="470FDEAD" w:rsidR="6D88E91F" w:rsidRDefault="3FBB2051" w:rsidP="3FBB2051">
      <w:pPr>
        <w:spacing w:line="360" w:lineRule="auto"/>
        <w:jc w:val="center"/>
        <w:rPr>
          <w:rFonts w:ascii="Times New Roman" w:eastAsia="Times New Roman" w:hAnsi="Times New Roman" w:cs="Times New Roman"/>
          <w:i/>
          <w:iCs/>
          <w:sz w:val="24"/>
          <w:szCs w:val="24"/>
        </w:rPr>
      </w:pPr>
      <w:r w:rsidRPr="3FBB2051">
        <w:rPr>
          <w:rStyle w:val="SubtitleChar"/>
          <w:rFonts w:ascii="Times New Roman" w:eastAsia="Times New Roman" w:hAnsi="Times New Roman" w:cs="Times New Roman"/>
          <w:i/>
          <w:iCs/>
          <w:color w:val="auto"/>
          <w:sz w:val="24"/>
          <w:szCs w:val="24"/>
        </w:rPr>
        <w:t xml:space="preserve">Table 1: Percentage of U.S Adults Identified as LGBT by Gender </w:t>
      </w:r>
      <w:r w:rsidR="6D88E91F">
        <w:br/>
      </w:r>
      <w:r w:rsidRPr="3FBB2051">
        <w:rPr>
          <w:rStyle w:val="SubtitleChar"/>
          <w:rFonts w:ascii="Times New Roman" w:eastAsia="Times New Roman" w:hAnsi="Times New Roman" w:cs="Times New Roman"/>
          <w:i/>
          <w:iCs/>
          <w:color w:val="auto"/>
          <w:sz w:val="24"/>
          <w:szCs w:val="24"/>
        </w:rPr>
        <w:t>and Race/Ethnicity (2012- 2017)</w:t>
      </w:r>
    </w:p>
    <w:p w14:paraId="65278DD3" w14:textId="72DBFA0D" w:rsidR="6D88E91F" w:rsidRDefault="6D88E91F" w:rsidP="3FBB2051">
      <w:pPr>
        <w:spacing w:line="360" w:lineRule="auto"/>
        <w:jc w:val="both"/>
      </w:pPr>
      <w:r>
        <w:rPr>
          <w:noProof/>
        </w:rPr>
        <w:drawing>
          <wp:inline distT="0" distB="0" distL="0" distR="0" wp14:anchorId="559D3EDF" wp14:editId="17E5FE80">
            <wp:extent cx="5943600" cy="2390775"/>
            <wp:effectExtent l="0" t="0" r="0" b="0"/>
            <wp:docPr id="532109440" name="Picture 53210944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2390775"/>
                    </a:xfrm>
                    <a:prstGeom prst="rect">
                      <a:avLst/>
                    </a:prstGeom>
                  </pic:spPr>
                </pic:pic>
              </a:graphicData>
            </a:graphic>
          </wp:inline>
        </w:drawing>
      </w:r>
    </w:p>
    <w:p w14:paraId="532C7D4C" w14:textId="1124C359" w:rsidR="6D88E91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The ‘LGBT’ community was first observed in 1869 by a Hungarian Doctor (</w:t>
      </w:r>
      <w:proofErr w:type="spellStart"/>
      <w:r w:rsidRPr="3FBB2051">
        <w:rPr>
          <w:rFonts w:ascii="Times New Roman" w:eastAsia="Times New Roman" w:hAnsi="Times New Roman" w:cs="Times New Roman"/>
          <w:color w:val="000000" w:themeColor="text1"/>
          <w:sz w:val="24"/>
          <w:szCs w:val="24"/>
        </w:rPr>
        <w:t>Iovannone</w:t>
      </w:r>
      <w:proofErr w:type="spellEnd"/>
      <w:r w:rsidRPr="3FBB2051">
        <w:rPr>
          <w:rFonts w:ascii="Times New Roman" w:eastAsia="Times New Roman" w:hAnsi="Times New Roman" w:cs="Times New Roman"/>
          <w:color w:val="000000" w:themeColor="text1"/>
          <w:sz w:val="24"/>
          <w:szCs w:val="24"/>
        </w:rPr>
        <w:t xml:space="preserve">, 2018) and later termed as a different group of people by the Intersectional theoretical perspective of Crenshaw </w:t>
      </w:r>
      <w:r w:rsidRPr="3FBB2051">
        <w:rPr>
          <w:rFonts w:ascii="Times New Roman" w:eastAsia="Times New Roman" w:hAnsi="Times New Roman" w:cs="Times New Roman"/>
          <w:color w:val="000000" w:themeColor="text1"/>
          <w:sz w:val="24"/>
          <w:szCs w:val="24"/>
        </w:rPr>
        <w:lastRenderedPageBreak/>
        <w:t>(1989). According to it, there is a need to understand and accept the ‘Diversity’ and its related abundant experiences. The diverse communities experience changes in behavior and attitudes among the public based on their identity, structural obstacles, and thinking positioning in the social affairs. They often face oppression based on these social arrangements of the common society norms (Mehrotra, 2010).</w:t>
      </w:r>
    </w:p>
    <w:p w14:paraId="2C996D8E" w14:textId="52798EC3" w:rsidR="6D88E91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In the early years of 21</w:t>
      </w:r>
      <w:r w:rsidRPr="3FBB2051">
        <w:rPr>
          <w:rFonts w:ascii="Times New Roman" w:eastAsia="Times New Roman" w:hAnsi="Times New Roman" w:cs="Times New Roman"/>
          <w:color w:val="000000" w:themeColor="text1"/>
          <w:sz w:val="24"/>
          <w:szCs w:val="24"/>
          <w:vertAlign w:val="superscript"/>
        </w:rPr>
        <w:t>st</w:t>
      </w:r>
      <w:r w:rsidRPr="3FBB2051">
        <w:rPr>
          <w:rFonts w:ascii="Times New Roman" w:eastAsia="Times New Roman" w:hAnsi="Times New Roman" w:cs="Times New Roman"/>
          <w:color w:val="000000" w:themeColor="text1"/>
          <w:sz w:val="24"/>
          <w:szCs w:val="24"/>
        </w:rPr>
        <w:t xml:space="preserve"> century, LGBTs or sexual minorities were not able to openly authenticate their identities among public as their relationships or dealings were negatively affected by it. Either it is the health care facility or employment opportunity, this group was left to feel deprived upon self-identification as LGBT (</w:t>
      </w:r>
      <w:r w:rsidRPr="3FBB2051">
        <w:rPr>
          <w:rFonts w:ascii="Times New Roman" w:eastAsia="Times New Roman" w:hAnsi="Times New Roman" w:cs="Times New Roman"/>
          <w:color w:val="222222"/>
          <w:sz w:val="24"/>
          <w:szCs w:val="24"/>
        </w:rPr>
        <w:t xml:space="preserve">Burton </w:t>
      </w:r>
      <w:r w:rsidRPr="3FBB2051">
        <w:rPr>
          <w:rFonts w:ascii="Times New Roman" w:eastAsia="Times New Roman" w:hAnsi="Times New Roman" w:cs="Times New Roman"/>
          <w:i/>
          <w:iCs/>
          <w:color w:val="222222"/>
          <w:sz w:val="24"/>
          <w:szCs w:val="24"/>
        </w:rPr>
        <w:t>et al.</w:t>
      </w:r>
      <w:r w:rsidRPr="3FBB2051">
        <w:rPr>
          <w:rFonts w:ascii="Times New Roman" w:eastAsia="Times New Roman" w:hAnsi="Times New Roman" w:cs="Times New Roman"/>
          <w:color w:val="222222"/>
          <w:sz w:val="24"/>
          <w:szCs w:val="24"/>
        </w:rPr>
        <w:t>, 2018)</w:t>
      </w:r>
      <w:r w:rsidRPr="3FBB2051">
        <w:rPr>
          <w:rFonts w:ascii="Times New Roman" w:eastAsia="Times New Roman" w:hAnsi="Times New Roman" w:cs="Times New Roman"/>
          <w:color w:val="000000" w:themeColor="text1"/>
          <w:sz w:val="24"/>
          <w:szCs w:val="24"/>
        </w:rPr>
        <w:t xml:space="preserve">. </w:t>
      </w:r>
      <w:r w:rsidRPr="3FBB2051">
        <w:rPr>
          <w:rFonts w:ascii="Times New Roman" w:eastAsia="Times New Roman" w:hAnsi="Times New Roman" w:cs="Times New Roman"/>
          <w:color w:val="222222"/>
          <w:sz w:val="24"/>
          <w:szCs w:val="24"/>
        </w:rPr>
        <w:t>They were often pressurized to choose between health facil</w:t>
      </w:r>
      <w:r w:rsidRPr="3FBB2051">
        <w:rPr>
          <w:rFonts w:ascii="Times New Roman" w:eastAsia="Times New Roman" w:hAnsi="Times New Roman" w:cs="Times New Roman"/>
          <w:color w:val="000000" w:themeColor="text1"/>
          <w:sz w:val="24"/>
          <w:szCs w:val="24"/>
        </w:rPr>
        <w:t>ities and basic human necessities (Redman, 2010) and therefore, the key health details of LGBT patients were most likely to be overlooked (</w:t>
      </w:r>
      <w:proofErr w:type="spellStart"/>
      <w:r w:rsidRPr="3FBB2051">
        <w:rPr>
          <w:rFonts w:ascii="Times New Roman" w:eastAsia="Times New Roman" w:hAnsi="Times New Roman" w:cs="Times New Roman"/>
          <w:color w:val="000000" w:themeColor="text1"/>
          <w:sz w:val="24"/>
          <w:szCs w:val="24"/>
        </w:rPr>
        <w:t>Utamsingh</w:t>
      </w:r>
      <w:proofErr w:type="spellEnd"/>
      <w:r w:rsidRPr="3FBB2051">
        <w:rPr>
          <w:rFonts w:ascii="Times New Roman" w:eastAsia="Times New Roman" w:hAnsi="Times New Roman" w:cs="Times New Roman"/>
          <w:color w:val="000000" w:themeColor="text1"/>
          <w:sz w:val="24"/>
          <w:szCs w:val="24"/>
        </w:rPr>
        <w:t xml:space="preserve"> </w:t>
      </w:r>
      <w:r w:rsidRPr="3FBB2051">
        <w:rPr>
          <w:rFonts w:ascii="Times New Roman" w:eastAsia="Times New Roman" w:hAnsi="Times New Roman" w:cs="Times New Roman"/>
          <w:i/>
          <w:iCs/>
          <w:color w:val="000000" w:themeColor="text1"/>
          <w:sz w:val="24"/>
          <w:szCs w:val="24"/>
        </w:rPr>
        <w:t>et al.</w:t>
      </w:r>
      <w:r w:rsidRPr="3FBB2051">
        <w:rPr>
          <w:rFonts w:ascii="Times New Roman" w:eastAsia="Times New Roman" w:hAnsi="Times New Roman" w:cs="Times New Roman"/>
          <w:color w:val="000000" w:themeColor="text1"/>
          <w:sz w:val="24"/>
          <w:szCs w:val="24"/>
        </w:rPr>
        <w:t xml:space="preserve">, 2015). The pressure often turned from minor stress to adverse health issues, and even depression caused by harassment in the form of severe threats or practical violence. Irrespective of the region, they face harassment from neighboring residents, administrative staff, medical assistants and the security personnel (Bailey </w:t>
      </w:r>
      <w:r w:rsidRPr="3FBB2051">
        <w:rPr>
          <w:rFonts w:ascii="Times New Roman" w:eastAsia="Times New Roman" w:hAnsi="Times New Roman" w:cs="Times New Roman"/>
          <w:i/>
          <w:iCs/>
          <w:color w:val="000000" w:themeColor="text1"/>
          <w:sz w:val="24"/>
          <w:szCs w:val="24"/>
        </w:rPr>
        <w:t>et al.</w:t>
      </w:r>
      <w:r w:rsidRPr="3FBB2051">
        <w:rPr>
          <w:rFonts w:ascii="Times New Roman" w:eastAsia="Times New Roman" w:hAnsi="Times New Roman" w:cs="Times New Roman"/>
          <w:color w:val="000000" w:themeColor="text1"/>
          <w:sz w:val="24"/>
          <w:szCs w:val="24"/>
        </w:rPr>
        <w:t xml:space="preserve">, 2004). </w:t>
      </w:r>
    </w:p>
    <w:p w14:paraId="3FD3B0A2" w14:textId="3CF6153C" w:rsidR="6D88E91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Durso</w:t>
      </w:r>
      <w:proofErr w:type="spellEnd"/>
      <w:r w:rsidRPr="3FBB2051">
        <w:rPr>
          <w:rFonts w:ascii="Times New Roman" w:eastAsia="Times New Roman" w:hAnsi="Times New Roman" w:cs="Times New Roman"/>
          <w:color w:val="222222"/>
          <w:sz w:val="24"/>
          <w:szCs w:val="24"/>
        </w:rPr>
        <w:t xml:space="preserve"> (2017) fortified this issue and represented old-age or adult LGBT class that were destitute of their basic rights. The research showed that although the Older American Act was legalized in 1965 but facilitation of basic living program and prevention to isolation for the GLBT Adults was reflected slowly across the country. However, the alliance of National survey of Older Americans Act Participants strengthened the agenda by refining and providing unique needs to the targeted resources in present cultural settings all across U.S. Organizations such as </w:t>
      </w:r>
      <w:r w:rsidRPr="3FBB2051">
        <w:rPr>
          <w:rFonts w:ascii="Times New Roman" w:eastAsia="Times New Roman" w:hAnsi="Times New Roman" w:cs="Times New Roman"/>
          <w:color w:val="000000" w:themeColor="text1"/>
          <w:sz w:val="24"/>
          <w:szCs w:val="24"/>
        </w:rPr>
        <w:t>American Geriatrics Society Ethics Committee were also made to address disproportionate prevalence of adult LGBTs physical and behavioral health outcomes (</w:t>
      </w:r>
      <w:proofErr w:type="spellStart"/>
      <w:r w:rsidRPr="3FBB2051">
        <w:rPr>
          <w:rFonts w:ascii="Times New Roman" w:eastAsia="Times New Roman" w:hAnsi="Times New Roman" w:cs="Times New Roman"/>
          <w:color w:val="000000" w:themeColor="text1"/>
          <w:sz w:val="24"/>
          <w:szCs w:val="24"/>
        </w:rPr>
        <w:t>Goldhammer</w:t>
      </w:r>
      <w:proofErr w:type="spellEnd"/>
      <w:r w:rsidRPr="3FBB2051">
        <w:rPr>
          <w:rFonts w:ascii="Times New Roman" w:eastAsia="Times New Roman" w:hAnsi="Times New Roman" w:cs="Times New Roman"/>
          <w:color w:val="000000" w:themeColor="text1"/>
          <w:sz w:val="24"/>
          <w:szCs w:val="24"/>
        </w:rPr>
        <w:t xml:space="preserve"> </w:t>
      </w:r>
      <w:r w:rsidRPr="3FBB2051">
        <w:rPr>
          <w:rFonts w:ascii="Times New Roman" w:eastAsia="Times New Roman" w:hAnsi="Times New Roman" w:cs="Times New Roman"/>
          <w:i/>
          <w:iCs/>
          <w:color w:val="000000" w:themeColor="text1"/>
          <w:sz w:val="24"/>
          <w:szCs w:val="24"/>
        </w:rPr>
        <w:t>et al.</w:t>
      </w:r>
      <w:r w:rsidRPr="3FBB2051">
        <w:rPr>
          <w:rFonts w:ascii="Times New Roman" w:eastAsia="Times New Roman" w:hAnsi="Times New Roman" w:cs="Times New Roman"/>
          <w:color w:val="000000" w:themeColor="text1"/>
          <w:sz w:val="24"/>
          <w:szCs w:val="24"/>
        </w:rPr>
        <w:t>, 2019).</w:t>
      </w:r>
    </w:p>
    <w:p w14:paraId="63F081AF" w14:textId="5C00CD0D" w:rsidR="6D88E91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Another major concern to the LGBT community is poverty in which they are socially deterred for work professions and major roles. This issue is deeply rooted with preferences allocated to define the class, privileges and dominance of cultural settings (</w:t>
      </w:r>
      <w:proofErr w:type="spellStart"/>
      <w:r w:rsidRPr="3FBB2051">
        <w:rPr>
          <w:rFonts w:ascii="Times New Roman" w:eastAsia="Times New Roman" w:hAnsi="Times New Roman" w:cs="Times New Roman"/>
          <w:color w:val="222222"/>
          <w:sz w:val="24"/>
          <w:szCs w:val="24"/>
        </w:rPr>
        <w:t>Takács</w:t>
      </w:r>
      <w:proofErr w:type="spellEnd"/>
      <w:r w:rsidRPr="3FBB2051">
        <w:rPr>
          <w:rFonts w:ascii="Times New Roman" w:eastAsia="Times New Roman" w:hAnsi="Times New Roman" w:cs="Times New Roman"/>
          <w:color w:val="222222"/>
          <w:sz w:val="24"/>
          <w:szCs w:val="24"/>
        </w:rPr>
        <w:t xml:space="preserve">, 2006). Not only the individuals, families of the LGBTs also have had to struggle for the poverty issue </w:t>
      </w:r>
      <w:r w:rsidRPr="3FBB2051">
        <w:rPr>
          <w:rFonts w:ascii="Times New Roman" w:eastAsia="Times New Roman" w:hAnsi="Times New Roman" w:cs="Times New Roman"/>
          <w:color w:val="000000" w:themeColor="text1"/>
          <w:sz w:val="24"/>
          <w:szCs w:val="24"/>
        </w:rPr>
        <w:t xml:space="preserve">(Redman, 2010). The practice of firing people based on their sexual representation was considered to be allowed legally. The discrimination for LGBTs was at the peak when a National organization - The Center for American Progress highlighted it as “a root cause of lower incomes and poverty among adult gay and </w:t>
      </w:r>
      <w:r w:rsidRPr="3FBB2051">
        <w:rPr>
          <w:rFonts w:ascii="Times New Roman" w:eastAsia="Times New Roman" w:hAnsi="Times New Roman" w:cs="Times New Roman"/>
          <w:color w:val="000000" w:themeColor="text1"/>
          <w:sz w:val="24"/>
          <w:szCs w:val="24"/>
        </w:rPr>
        <w:lastRenderedPageBreak/>
        <w:t>transgender Americans depicting the high rate of workplace discrimination they face”. Further research showed that LGBTs were frequently facing major issues such as unequal payment or increment methods, obstacles for health services, limited medical facilities, unethical recruitment and employment advancement, detention procedures, hostile or unsafe workplace environments with even verbal and sexual harassment cases (</w:t>
      </w:r>
      <w:proofErr w:type="spellStart"/>
      <w:r w:rsidRPr="3FBB2051">
        <w:rPr>
          <w:rFonts w:ascii="Times New Roman" w:eastAsia="Times New Roman" w:hAnsi="Times New Roman" w:cs="Times New Roman"/>
          <w:color w:val="000000" w:themeColor="text1"/>
          <w:sz w:val="24"/>
          <w:szCs w:val="24"/>
        </w:rPr>
        <w:t>Krehely</w:t>
      </w:r>
      <w:proofErr w:type="spellEnd"/>
      <w:r w:rsidRPr="3FBB2051">
        <w:rPr>
          <w:rFonts w:ascii="Times New Roman" w:eastAsia="Times New Roman" w:hAnsi="Times New Roman" w:cs="Times New Roman"/>
          <w:color w:val="000000" w:themeColor="text1"/>
          <w:sz w:val="24"/>
          <w:szCs w:val="24"/>
        </w:rPr>
        <w:t xml:space="preserve"> &amp; Hunt, 2011; Cech, 2015; </w:t>
      </w:r>
      <w:proofErr w:type="spellStart"/>
      <w:r w:rsidRPr="3FBB2051">
        <w:rPr>
          <w:rFonts w:ascii="Times New Roman" w:eastAsia="Times New Roman" w:hAnsi="Times New Roman" w:cs="Times New Roman"/>
          <w:color w:val="222222"/>
          <w:sz w:val="24"/>
          <w:szCs w:val="24"/>
        </w:rPr>
        <w:t>Hillenburg</w:t>
      </w:r>
      <w:proofErr w:type="spellEnd"/>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et al.</w:t>
      </w:r>
      <w:r w:rsidRPr="3FBB2051">
        <w:rPr>
          <w:rFonts w:ascii="Times New Roman" w:eastAsia="Times New Roman" w:hAnsi="Times New Roman" w:cs="Times New Roman"/>
          <w:color w:val="222222"/>
          <w:sz w:val="24"/>
          <w:szCs w:val="24"/>
        </w:rPr>
        <w:t>, 2016</w:t>
      </w:r>
      <w:r w:rsidRPr="3FBB2051">
        <w:rPr>
          <w:rFonts w:ascii="Times New Roman" w:eastAsia="Times New Roman" w:hAnsi="Times New Roman" w:cs="Times New Roman"/>
          <w:color w:val="000000" w:themeColor="text1"/>
          <w:sz w:val="24"/>
          <w:szCs w:val="24"/>
        </w:rPr>
        <w:t>).</w:t>
      </w:r>
    </w:p>
    <w:p w14:paraId="68A35223" w14:textId="5848362D" w:rsidR="6D88E91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To evaluate more about this stance of classism, several surveys were produced to find the discrimination effect and poverty linkage of LGBT community. For instance, gay men earn almost 10 – 32 % less income than other employed men with similar qualified attributes (</w:t>
      </w:r>
      <w:proofErr w:type="spellStart"/>
      <w:r w:rsidRPr="3FBB2051">
        <w:rPr>
          <w:rFonts w:ascii="Times New Roman" w:eastAsia="Times New Roman" w:hAnsi="Times New Roman" w:cs="Times New Roman"/>
          <w:color w:val="000000" w:themeColor="text1"/>
          <w:sz w:val="24"/>
          <w:szCs w:val="24"/>
        </w:rPr>
        <w:t>Krehely</w:t>
      </w:r>
      <w:proofErr w:type="spellEnd"/>
      <w:r w:rsidRPr="3FBB2051">
        <w:rPr>
          <w:rFonts w:ascii="Times New Roman" w:eastAsia="Times New Roman" w:hAnsi="Times New Roman" w:cs="Times New Roman"/>
          <w:color w:val="000000" w:themeColor="text1"/>
          <w:sz w:val="24"/>
          <w:szCs w:val="24"/>
        </w:rPr>
        <w:t xml:space="preserve"> &amp; Hunt, 2011; Gates, 2017). Another report by </w:t>
      </w:r>
      <w:proofErr w:type="spellStart"/>
      <w:r w:rsidRPr="3FBB2051">
        <w:rPr>
          <w:rFonts w:ascii="Times New Roman" w:eastAsia="Times New Roman" w:hAnsi="Times New Roman" w:cs="Times New Roman"/>
          <w:color w:val="000000" w:themeColor="text1"/>
          <w:sz w:val="24"/>
          <w:szCs w:val="24"/>
        </w:rPr>
        <w:t>DeFilippis</w:t>
      </w:r>
      <w:proofErr w:type="spellEnd"/>
      <w:r w:rsidRPr="3FBB2051">
        <w:rPr>
          <w:rFonts w:ascii="Times New Roman" w:eastAsia="Times New Roman" w:hAnsi="Times New Roman" w:cs="Times New Roman"/>
          <w:color w:val="000000" w:themeColor="text1"/>
          <w:sz w:val="24"/>
          <w:szCs w:val="24"/>
        </w:rPr>
        <w:t xml:space="preserve"> (2016) on LGBT and poverty rates showed that Native American gay men had 19.1% poverty rate while same-sex couples had it only 2.7%. Almost 21% of the LGBT community men were simply denied to avail an employment opportunity, fired or deployed upon self-identification as gay men. Next to this issue, homelessness was revealed and documented based on the least or no employment concerns. The homelessness was faced by even adult LGBTS and according to the survey, almost one-third of the homeless people belong to this deprived community (</w:t>
      </w:r>
      <w:proofErr w:type="spellStart"/>
      <w:r w:rsidRPr="3FBB2051">
        <w:rPr>
          <w:rFonts w:ascii="Times New Roman" w:eastAsia="Times New Roman" w:hAnsi="Times New Roman" w:cs="Times New Roman"/>
          <w:color w:val="000000" w:themeColor="text1"/>
          <w:sz w:val="24"/>
          <w:szCs w:val="24"/>
        </w:rPr>
        <w:t>Allday</w:t>
      </w:r>
      <w:proofErr w:type="spellEnd"/>
      <w:r w:rsidRPr="3FBB2051">
        <w:rPr>
          <w:rFonts w:ascii="Times New Roman" w:eastAsia="Times New Roman" w:hAnsi="Times New Roman" w:cs="Times New Roman"/>
          <w:color w:val="000000" w:themeColor="text1"/>
          <w:sz w:val="24"/>
          <w:szCs w:val="24"/>
        </w:rPr>
        <w:t xml:space="preserve">, 2013). </w:t>
      </w:r>
    </w:p>
    <w:p w14:paraId="2A7F4143" w14:textId="22623FE1" w:rsidR="6D88E91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In the last 40 years of U.S. history, LGBT rights movement were initiated with many agendas led by various National organizations for LGBTs. It emphasized nation-wide employment opportunities (Flores, 2019), equal laws and legal structures (Wilson &amp; </w:t>
      </w:r>
      <w:proofErr w:type="spellStart"/>
      <w:r w:rsidRPr="3FBB2051">
        <w:rPr>
          <w:rFonts w:ascii="Times New Roman" w:eastAsia="Times New Roman" w:hAnsi="Times New Roman" w:cs="Times New Roman"/>
          <w:color w:val="222222"/>
          <w:sz w:val="24"/>
          <w:szCs w:val="24"/>
        </w:rPr>
        <w:t>Gianella-Malca</w:t>
      </w:r>
      <w:proofErr w:type="spellEnd"/>
      <w:r w:rsidRPr="3FBB2051">
        <w:rPr>
          <w:rFonts w:ascii="Times New Roman" w:eastAsia="Times New Roman" w:hAnsi="Times New Roman" w:cs="Times New Roman"/>
          <w:color w:val="222222"/>
          <w:sz w:val="24"/>
          <w:szCs w:val="24"/>
        </w:rPr>
        <w:t xml:space="preserve">, 2019), access to </w:t>
      </w:r>
      <w:r w:rsidRPr="3FBB2051">
        <w:rPr>
          <w:rFonts w:ascii="Times New Roman" w:eastAsia="Times New Roman" w:hAnsi="Times New Roman" w:cs="Times New Roman"/>
          <w:color w:val="000000" w:themeColor="text1"/>
          <w:sz w:val="24"/>
          <w:szCs w:val="24"/>
        </w:rPr>
        <w:t>American social institutions (</w:t>
      </w:r>
      <w:r w:rsidRPr="3FBB2051">
        <w:rPr>
          <w:rFonts w:ascii="Times New Roman" w:eastAsia="Times New Roman" w:hAnsi="Times New Roman" w:cs="Times New Roman"/>
          <w:color w:val="222222"/>
          <w:sz w:val="24"/>
          <w:szCs w:val="24"/>
        </w:rPr>
        <w:t>Eagle, 2019), health and aiding services (</w:t>
      </w:r>
      <w:proofErr w:type="spellStart"/>
      <w:r w:rsidRPr="3FBB2051">
        <w:rPr>
          <w:rFonts w:ascii="Times New Roman" w:eastAsia="Times New Roman" w:hAnsi="Times New Roman" w:cs="Times New Roman"/>
          <w:color w:val="222222"/>
          <w:sz w:val="24"/>
          <w:szCs w:val="24"/>
        </w:rPr>
        <w:t>Utamsingh</w:t>
      </w:r>
      <w:proofErr w:type="spellEnd"/>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et al.,</w:t>
      </w:r>
      <w:r w:rsidRPr="3FBB2051">
        <w:rPr>
          <w:rFonts w:ascii="Times New Roman" w:eastAsia="Times New Roman" w:hAnsi="Times New Roman" w:cs="Times New Roman"/>
          <w:color w:val="222222"/>
          <w:sz w:val="24"/>
          <w:szCs w:val="24"/>
        </w:rPr>
        <w:t xml:space="preserve"> 2017) and other concerns. Resultantly, the inclusion of LGBTs and fairness were achieved. </w:t>
      </w:r>
      <w:proofErr w:type="spellStart"/>
      <w:r w:rsidRPr="3FBB2051">
        <w:rPr>
          <w:rFonts w:ascii="Times New Roman" w:eastAsia="Times New Roman" w:hAnsi="Times New Roman" w:cs="Times New Roman"/>
          <w:color w:val="222222"/>
          <w:sz w:val="24"/>
          <w:szCs w:val="24"/>
        </w:rPr>
        <w:t>DeFilippis</w:t>
      </w:r>
      <w:proofErr w:type="spellEnd"/>
      <w:r w:rsidRPr="3FBB2051">
        <w:rPr>
          <w:rFonts w:ascii="Times New Roman" w:eastAsia="Times New Roman" w:hAnsi="Times New Roman" w:cs="Times New Roman"/>
          <w:color w:val="222222"/>
          <w:sz w:val="24"/>
          <w:szCs w:val="24"/>
        </w:rPr>
        <w:t xml:space="preserve"> (2016) mentions in his research that LGBT movements in U.S. has directed us to a point where no body inquires your set for societal and social concerns. Organizational structures are improved in which implementation of the fairness-based goal achievement, efficiency measurement and communication are occurred. This equality movement in institutions also provide a highly successful management of communicating, directing and achieving the organizational </w:t>
      </w:r>
      <w:r w:rsidRPr="3FBB2051">
        <w:rPr>
          <w:rFonts w:ascii="Times New Roman" w:eastAsia="Times New Roman" w:hAnsi="Times New Roman" w:cs="Times New Roman"/>
          <w:color w:val="000000" w:themeColor="text1"/>
          <w:sz w:val="24"/>
          <w:szCs w:val="24"/>
        </w:rPr>
        <w:t>goals.</w:t>
      </w:r>
    </w:p>
    <w:p w14:paraId="15D039AF" w14:textId="702F1113" w:rsidR="6D88E91F" w:rsidRDefault="6D88E91F" w:rsidP="3FBB2051">
      <w:pPr>
        <w:spacing w:line="360" w:lineRule="auto"/>
        <w:jc w:val="center"/>
        <w:rPr>
          <w:rFonts w:ascii="Times New Roman" w:eastAsia="Times New Roman" w:hAnsi="Times New Roman" w:cs="Times New Roman"/>
          <w:color w:val="000000" w:themeColor="text1"/>
          <w:sz w:val="24"/>
          <w:szCs w:val="24"/>
        </w:rPr>
      </w:pPr>
      <w:r>
        <w:rPr>
          <w:noProof/>
        </w:rPr>
        <w:lastRenderedPageBreak/>
        <w:drawing>
          <wp:inline distT="0" distB="0" distL="0" distR="0" wp14:anchorId="2AA80579" wp14:editId="749592BF">
            <wp:extent cx="4981574" cy="2476500"/>
            <wp:effectExtent l="0" t="0" r="0" b="0"/>
            <wp:docPr id="1146604927" name="Picture 1146604927"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981574" cy="2476500"/>
                    </a:xfrm>
                    <a:prstGeom prst="rect">
                      <a:avLst/>
                    </a:prstGeom>
                  </pic:spPr>
                </pic:pic>
              </a:graphicData>
            </a:graphic>
          </wp:inline>
        </w:drawing>
      </w:r>
    </w:p>
    <w:p w14:paraId="17A26869" w14:textId="3D7D8718" w:rsidR="6D88E91F" w:rsidRDefault="3FBB2051" w:rsidP="3FBB2051">
      <w:pPr>
        <w:spacing w:line="360" w:lineRule="auto"/>
        <w:jc w:val="center"/>
        <w:rPr>
          <w:rFonts w:ascii="Times New Roman" w:eastAsia="Times New Roman" w:hAnsi="Times New Roman" w:cs="Times New Roman"/>
          <w:i/>
          <w:iCs/>
          <w:color w:val="000000" w:themeColor="text1"/>
          <w:sz w:val="24"/>
          <w:szCs w:val="24"/>
        </w:rPr>
      </w:pPr>
      <w:r w:rsidRPr="3FBB2051">
        <w:rPr>
          <w:rFonts w:ascii="Times New Roman" w:eastAsia="Times New Roman" w:hAnsi="Times New Roman" w:cs="Times New Roman"/>
          <w:i/>
          <w:iCs/>
          <w:color w:val="000000" w:themeColor="text1"/>
          <w:sz w:val="24"/>
          <w:szCs w:val="24"/>
        </w:rPr>
        <w:t xml:space="preserve">Figure 1: </w:t>
      </w:r>
      <w:r w:rsidRPr="3FBB2051">
        <w:rPr>
          <w:rFonts w:ascii="Times New Roman" w:eastAsia="Times New Roman" w:hAnsi="Times New Roman" w:cs="Times New Roman"/>
          <w:i/>
          <w:iCs/>
          <w:color w:val="222222"/>
          <w:sz w:val="24"/>
          <w:szCs w:val="24"/>
        </w:rPr>
        <w:t>US attitudes toward lesbian and gay people</w:t>
      </w:r>
    </w:p>
    <w:p w14:paraId="5BA9E3ED" w14:textId="4094112A" w:rsidR="6D88E91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Recently, Fetner (2016) devised a research on acceptance of LGBTs among common public of U.S. It was found that common people </w:t>
      </w:r>
      <w:r w:rsidRPr="3FBB2051">
        <w:rPr>
          <w:rFonts w:ascii="Times New Roman" w:eastAsia="Times New Roman" w:hAnsi="Times New Roman" w:cs="Times New Roman"/>
          <w:color w:val="222222"/>
          <w:sz w:val="24"/>
          <w:szCs w:val="24"/>
        </w:rPr>
        <w:t xml:space="preserve">attitude towards lesbian and gay people are better than ever as shown in the figure 1 given above. It is clearly observable that the embracement rate for LGBTs is constantly improving with every passing year. The findings of </w:t>
      </w:r>
      <w:proofErr w:type="spellStart"/>
      <w:r w:rsidRPr="3FBB2051">
        <w:rPr>
          <w:rFonts w:ascii="Times New Roman" w:eastAsia="Times New Roman" w:hAnsi="Times New Roman" w:cs="Times New Roman"/>
          <w:color w:val="000000" w:themeColor="text1"/>
          <w:sz w:val="24"/>
          <w:szCs w:val="24"/>
        </w:rPr>
        <w:t>Goldhammer</w:t>
      </w:r>
      <w:proofErr w:type="spellEnd"/>
      <w:r w:rsidRPr="3FBB2051">
        <w:rPr>
          <w:rFonts w:ascii="Times New Roman" w:eastAsia="Times New Roman" w:hAnsi="Times New Roman" w:cs="Times New Roman"/>
          <w:color w:val="000000" w:themeColor="text1"/>
          <w:sz w:val="24"/>
          <w:szCs w:val="24"/>
        </w:rPr>
        <w:t xml:space="preserve"> </w:t>
      </w:r>
      <w:r w:rsidRPr="3FBB2051">
        <w:rPr>
          <w:rFonts w:ascii="Times New Roman" w:eastAsia="Times New Roman" w:hAnsi="Times New Roman" w:cs="Times New Roman"/>
          <w:i/>
          <w:iCs/>
          <w:color w:val="000000" w:themeColor="text1"/>
          <w:sz w:val="24"/>
          <w:szCs w:val="24"/>
        </w:rPr>
        <w:t>et al.</w:t>
      </w:r>
      <w:r w:rsidRPr="3FBB2051">
        <w:rPr>
          <w:rFonts w:ascii="Times New Roman" w:eastAsia="Times New Roman" w:hAnsi="Times New Roman" w:cs="Times New Roman"/>
          <w:color w:val="000000" w:themeColor="text1"/>
          <w:sz w:val="24"/>
          <w:szCs w:val="24"/>
        </w:rPr>
        <w:t xml:space="preserve"> (2019) evidenced the improvements and quality care of LGBTs through multiple trainings, research, changes in most organizational policies and practice.</w:t>
      </w:r>
    </w:p>
    <w:p w14:paraId="46171607" w14:textId="602DCD75" w:rsidR="6D88E91F" w:rsidRDefault="183874A8" w:rsidP="183874A8">
      <w:pPr>
        <w:pStyle w:val="Heading2"/>
        <w:spacing w:line="360" w:lineRule="auto"/>
        <w:jc w:val="both"/>
        <w:rPr>
          <w:rFonts w:ascii="Times New Roman" w:eastAsia="Times New Roman" w:hAnsi="Times New Roman" w:cs="Times New Roman"/>
          <w:b/>
          <w:bCs/>
          <w:color w:val="000000" w:themeColor="text1"/>
          <w:sz w:val="28"/>
          <w:szCs w:val="28"/>
        </w:rPr>
      </w:pPr>
      <w:bookmarkStart w:id="5" w:name="_Toc27840225"/>
      <w:r w:rsidRPr="183874A8">
        <w:rPr>
          <w:rFonts w:ascii="Times New Roman" w:eastAsia="Times New Roman" w:hAnsi="Times New Roman" w:cs="Times New Roman"/>
          <w:b/>
          <w:bCs/>
          <w:color w:val="000000" w:themeColor="text1"/>
          <w:sz w:val="28"/>
          <w:szCs w:val="28"/>
        </w:rPr>
        <w:t>Ethnic Diversity in US</w:t>
      </w:r>
      <w:bookmarkEnd w:id="5"/>
    </w:p>
    <w:p w14:paraId="5B002E2F" w14:textId="2621EBB2" w:rsidR="1EAA37C7" w:rsidRDefault="3FBB2051" w:rsidP="3FBB2051">
      <w:pPr>
        <w:spacing w:line="360" w:lineRule="auto"/>
        <w:jc w:val="both"/>
        <w:rPr>
          <w:rFonts w:ascii="Arial" w:eastAsia="Arial" w:hAnsi="Arial" w:cs="Arial"/>
          <w:color w:val="222222"/>
          <w:sz w:val="19"/>
          <w:szCs w:val="19"/>
        </w:rPr>
      </w:pPr>
      <w:r w:rsidRPr="3FBB2051">
        <w:rPr>
          <w:rFonts w:ascii="Times New Roman" w:eastAsia="Times New Roman" w:hAnsi="Times New Roman" w:cs="Times New Roman"/>
          <w:color w:val="000000" w:themeColor="text1"/>
          <w:sz w:val="24"/>
          <w:szCs w:val="24"/>
        </w:rPr>
        <w:t>The term “Ethnicity” is referred as a minority group which is usually comprised of four major sectors: African Americans, American Indians and Alaska Natives, Asians and Pacific Islanders, and Hispanics (</w:t>
      </w:r>
      <w:r w:rsidRPr="3FBB2051">
        <w:rPr>
          <w:rFonts w:ascii="Times New Roman" w:eastAsia="Times New Roman" w:hAnsi="Times New Roman" w:cs="Times New Roman"/>
          <w:color w:val="222222"/>
          <w:sz w:val="24"/>
          <w:szCs w:val="24"/>
        </w:rPr>
        <w:t xml:space="preserve">Meissner &amp; </w:t>
      </w:r>
      <w:proofErr w:type="spellStart"/>
      <w:r w:rsidRPr="3FBB2051">
        <w:rPr>
          <w:rFonts w:ascii="Times New Roman" w:eastAsia="Times New Roman" w:hAnsi="Times New Roman" w:cs="Times New Roman"/>
          <w:color w:val="222222"/>
          <w:sz w:val="24"/>
          <w:szCs w:val="24"/>
        </w:rPr>
        <w:t>Vertovec</w:t>
      </w:r>
      <w:proofErr w:type="spellEnd"/>
      <w:r w:rsidRPr="3FBB2051">
        <w:rPr>
          <w:rFonts w:ascii="Times New Roman" w:eastAsia="Times New Roman" w:hAnsi="Times New Roman" w:cs="Times New Roman"/>
          <w:color w:val="222222"/>
          <w:sz w:val="24"/>
          <w:szCs w:val="24"/>
        </w:rPr>
        <w:t>, 2015)</w:t>
      </w:r>
      <w:r w:rsidRPr="3FBB2051">
        <w:rPr>
          <w:rFonts w:ascii="Times New Roman" w:eastAsia="Times New Roman" w:hAnsi="Times New Roman" w:cs="Times New Roman"/>
          <w:color w:val="000000" w:themeColor="text1"/>
          <w:sz w:val="24"/>
          <w:szCs w:val="24"/>
        </w:rPr>
        <w:t>. It is often also referred as ‘BAME’: Black, Asian and Minority Ethnic (</w:t>
      </w:r>
      <w:r w:rsidRPr="3FBB2051">
        <w:rPr>
          <w:rFonts w:ascii="Times New Roman" w:eastAsia="Times New Roman" w:hAnsi="Times New Roman" w:cs="Times New Roman"/>
          <w:color w:val="222222"/>
          <w:sz w:val="24"/>
          <w:szCs w:val="24"/>
        </w:rPr>
        <w:t xml:space="preserve">Gleeson </w:t>
      </w:r>
      <w:r w:rsidRPr="3FBB2051">
        <w:rPr>
          <w:rFonts w:ascii="Times New Roman" w:eastAsia="Times New Roman" w:hAnsi="Times New Roman" w:cs="Times New Roman"/>
          <w:i/>
          <w:iCs/>
          <w:color w:val="222222"/>
          <w:sz w:val="24"/>
          <w:szCs w:val="24"/>
        </w:rPr>
        <w:t>et al</w:t>
      </w:r>
      <w:r w:rsidRPr="3FBB2051">
        <w:rPr>
          <w:rFonts w:ascii="Times New Roman" w:eastAsia="Times New Roman" w:hAnsi="Times New Roman" w:cs="Times New Roman"/>
          <w:i/>
          <w:iCs/>
          <w:color w:val="000000" w:themeColor="text1"/>
          <w:sz w:val="24"/>
          <w:szCs w:val="24"/>
        </w:rPr>
        <w:t>.</w:t>
      </w:r>
      <w:r w:rsidRPr="3FBB2051">
        <w:rPr>
          <w:rFonts w:ascii="Times New Roman" w:eastAsia="Times New Roman" w:hAnsi="Times New Roman" w:cs="Times New Roman"/>
          <w:color w:val="000000" w:themeColor="text1"/>
          <w:sz w:val="24"/>
          <w:szCs w:val="24"/>
        </w:rPr>
        <w:t>, 2019) and according to the survey by</w:t>
      </w:r>
      <w:r w:rsidRPr="3FBB2051">
        <w:rPr>
          <w:rFonts w:ascii="Times New Roman" w:eastAsia="Times New Roman" w:hAnsi="Times New Roman" w:cs="Times New Roman"/>
          <w:sz w:val="24"/>
          <w:szCs w:val="24"/>
        </w:rPr>
        <w:t xml:space="preserve"> Fetner (2016) the number of ethnic groups is growing as shown in figure 2 below:</w:t>
      </w:r>
    </w:p>
    <w:p w14:paraId="2CC48B6F" w14:textId="1D772980" w:rsidR="1EAA37C7" w:rsidRDefault="3FBB2051" w:rsidP="3FBB2051">
      <w:pPr>
        <w:pStyle w:val="Subtitle"/>
        <w:spacing w:line="360" w:lineRule="auto"/>
        <w:jc w:val="center"/>
        <w:rPr>
          <w:rFonts w:ascii="Times New Roman" w:eastAsia="Times New Roman" w:hAnsi="Times New Roman" w:cs="Times New Roman"/>
          <w:i/>
          <w:iCs/>
          <w:color w:val="000000" w:themeColor="text1"/>
          <w:sz w:val="24"/>
          <w:szCs w:val="24"/>
        </w:rPr>
      </w:pPr>
      <w:r w:rsidRPr="3FBB2051">
        <w:rPr>
          <w:rFonts w:ascii="Times New Roman" w:eastAsia="Times New Roman" w:hAnsi="Times New Roman" w:cs="Times New Roman"/>
          <w:i/>
          <w:iCs/>
          <w:color w:val="auto"/>
          <w:sz w:val="24"/>
          <w:szCs w:val="24"/>
        </w:rPr>
        <w:t xml:space="preserve">Figure 2: US Ethnic population over the years 1984 – 2012 </w:t>
      </w:r>
    </w:p>
    <w:p w14:paraId="5B10509F" w14:textId="2341B195" w:rsidR="1EAA37C7" w:rsidRDefault="1EAA37C7" w:rsidP="3FBB2051">
      <w:pPr>
        <w:spacing w:line="360" w:lineRule="auto"/>
        <w:jc w:val="center"/>
        <w:rPr>
          <w:rFonts w:ascii="Arial" w:eastAsia="Arial" w:hAnsi="Arial" w:cs="Arial"/>
          <w:color w:val="000000" w:themeColor="text1"/>
          <w:sz w:val="19"/>
          <w:szCs w:val="19"/>
        </w:rPr>
      </w:pPr>
      <w:r>
        <w:rPr>
          <w:noProof/>
        </w:rPr>
        <w:lastRenderedPageBreak/>
        <w:drawing>
          <wp:inline distT="0" distB="0" distL="0" distR="0" wp14:anchorId="3DF17B30" wp14:editId="3B1997D4">
            <wp:extent cx="5105402" cy="3359683"/>
            <wp:effectExtent l="0" t="0" r="0" b="0"/>
            <wp:docPr id="1826135357" name="Picture 1826135357"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105402" cy="3359683"/>
                    </a:xfrm>
                    <a:prstGeom prst="rect">
                      <a:avLst/>
                    </a:prstGeom>
                  </pic:spPr>
                </pic:pic>
              </a:graphicData>
            </a:graphic>
          </wp:inline>
        </w:drawing>
      </w:r>
    </w:p>
    <w:p w14:paraId="3A592C49" w14:textId="66BAD4EF" w:rsidR="1EAA37C7" w:rsidRDefault="3FBB2051" w:rsidP="3FBB2051">
      <w:pPr>
        <w:spacing w:line="360" w:lineRule="auto"/>
        <w:jc w:val="both"/>
        <w:rPr>
          <w:rFonts w:ascii="Times New Roman" w:eastAsia="Times New Roman" w:hAnsi="Times New Roman" w:cs="Times New Roman"/>
          <w:color w:val="222222"/>
          <w:sz w:val="24"/>
          <w:szCs w:val="24"/>
        </w:rPr>
      </w:pPr>
      <w:r w:rsidRPr="3FBB2051">
        <w:rPr>
          <w:rFonts w:ascii="Times New Roman" w:eastAsia="Times New Roman" w:hAnsi="Times New Roman" w:cs="Times New Roman"/>
          <w:color w:val="000000" w:themeColor="text1"/>
          <w:sz w:val="24"/>
          <w:szCs w:val="24"/>
        </w:rPr>
        <w:t xml:space="preserve">Newport (2018) also observed that the number of ethnic populations is increasing by every passing year (Table 1). </w:t>
      </w:r>
      <w:r w:rsidRPr="3FBB2051">
        <w:rPr>
          <w:rFonts w:ascii="Times New Roman" w:eastAsia="Times New Roman" w:hAnsi="Times New Roman" w:cs="Times New Roman"/>
          <w:color w:val="222222"/>
          <w:sz w:val="24"/>
          <w:szCs w:val="24"/>
        </w:rPr>
        <w:t xml:space="preserve">Colby &amp; </w:t>
      </w:r>
      <w:proofErr w:type="spellStart"/>
      <w:r w:rsidRPr="3FBB2051">
        <w:rPr>
          <w:rFonts w:ascii="Times New Roman" w:eastAsia="Times New Roman" w:hAnsi="Times New Roman" w:cs="Times New Roman"/>
          <w:color w:val="222222"/>
          <w:sz w:val="24"/>
          <w:szCs w:val="24"/>
        </w:rPr>
        <w:t>Ortman</w:t>
      </w:r>
      <w:proofErr w:type="spellEnd"/>
      <w:r w:rsidRPr="3FBB2051">
        <w:rPr>
          <w:rFonts w:ascii="Times New Roman" w:eastAsia="Times New Roman" w:hAnsi="Times New Roman" w:cs="Times New Roman"/>
          <w:color w:val="222222"/>
          <w:sz w:val="24"/>
          <w:szCs w:val="24"/>
        </w:rPr>
        <w:t xml:space="preserve"> (2017) predicted that BAME group will become a highly populated group of US by the year 2060 as shown in figure 3 below and this kind of minority diversity will become the ‘Majority Minority’ nation. </w:t>
      </w:r>
    </w:p>
    <w:p w14:paraId="18BBE278" w14:textId="5EE36A1D" w:rsidR="1EAA37C7" w:rsidRDefault="3FBB2051" w:rsidP="3FBB2051">
      <w:pPr>
        <w:pStyle w:val="Subtitle"/>
        <w:spacing w:line="360" w:lineRule="auto"/>
        <w:jc w:val="center"/>
        <w:rPr>
          <w:rFonts w:ascii="Times New Roman" w:eastAsia="Times New Roman" w:hAnsi="Times New Roman" w:cs="Times New Roman"/>
          <w:i/>
          <w:iCs/>
          <w:color w:val="auto"/>
          <w:sz w:val="28"/>
          <w:szCs w:val="28"/>
        </w:rPr>
      </w:pPr>
      <w:r w:rsidRPr="3FBB2051">
        <w:rPr>
          <w:rFonts w:ascii="Times New Roman" w:eastAsia="Times New Roman" w:hAnsi="Times New Roman" w:cs="Times New Roman"/>
          <w:i/>
          <w:iCs/>
          <w:color w:val="auto"/>
          <w:sz w:val="24"/>
          <w:szCs w:val="24"/>
        </w:rPr>
        <w:t>Figure 3: Distribution of US population 2014-2060 based on diversity</w:t>
      </w:r>
    </w:p>
    <w:p w14:paraId="4F771026" w14:textId="76DFBEE5" w:rsidR="1EAA37C7" w:rsidRDefault="1EAA37C7" w:rsidP="3FBB2051">
      <w:pPr>
        <w:spacing w:line="360" w:lineRule="auto"/>
        <w:jc w:val="center"/>
      </w:pPr>
      <w:r>
        <w:rPr>
          <w:noProof/>
        </w:rPr>
        <w:lastRenderedPageBreak/>
        <w:drawing>
          <wp:inline distT="0" distB="0" distL="0" distR="0" wp14:anchorId="526E99C0" wp14:editId="7CD4D2DF">
            <wp:extent cx="6135918" cy="4391025"/>
            <wp:effectExtent l="0" t="0" r="0" b="0"/>
            <wp:docPr id="890620151" name="Picture 890620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l="1485" r="2823"/>
                    <a:stretch>
                      <a:fillRect/>
                    </a:stretch>
                  </pic:blipFill>
                  <pic:spPr>
                    <a:xfrm>
                      <a:off x="0" y="0"/>
                      <a:ext cx="6135918" cy="4391025"/>
                    </a:xfrm>
                    <a:prstGeom prst="rect">
                      <a:avLst/>
                    </a:prstGeom>
                  </pic:spPr>
                </pic:pic>
              </a:graphicData>
            </a:graphic>
          </wp:inline>
        </w:drawing>
      </w:r>
    </w:p>
    <w:p w14:paraId="7226D5B7" w14:textId="77C61BC8" w:rsidR="7BA38760" w:rsidRDefault="3FBB2051" w:rsidP="3FBB2051">
      <w:pPr>
        <w:spacing w:line="360" w:lineRule="auto"/>
        <w:jc w:val="both"/>
      </w:pPr>
      <w:r w:rsidRPr="3FBB2051">
        <w:rPr>
          <w:rFonts w:ascii="Times New Roman" w:eastAsia="Times New Roman" w:hAnsi="Times New Roman" w:cs="Times New Roman"/>
          <w:color w:val="000000" w:themeColor="text1"/>
          <w:sz w:val="24"/>
          <w:szCs w:val="24"/>
        </w:rPr>
        <w:t>Although almost 38.4% of the total U.S. population at present belongs to the ethnic minorities but they experience a noticeable difference prevalent in variant perspectives such as the employment, property ownership, education opportunities, income and societal issues (</w:t>
      </w:r>
      <w:r w:rsidRPr="3FBB2051">
        <w:rPr>
          <w:rFonts w:ascii="Times New Roman" w:eastAsia="Times New Roman" w:hAnsi="Times New Roman" w:cs="Times New Roman"/>
          <w:color w:val="222222"/>
          <w:sz w:val="24"/>
          <w:szCs w:val="24"/>
        </w:rPr>
        <w:t>Gates, 2014a; 2017b)</w:t>
      </w:r>
      <w:r w:rsidRPr="3FBB2051">
        <w:rPr>
          <w:rFonts w:ascii="Times New Roman" w:eastAsia="Times New Roman" w:hAnsi="Times New Roman" w:cs="Times New Roman"/>
          <w:color w:val="000000" w:themeColor="text1"/>
          <w:sz w:val="24"/>
          <w:szCs w:val="24"/>
        </w:rPr>
        <w:t>. Among which 27% of the ethnic people in US are fired or simply rejected for a job opportunity which is an observable and alarming number that needs to be considered. The ethnic diversity majorly faces the inequality issues from society, business organizations and as a moral norm among public (</w:t>
      </w:r>
      <w:proofErr w:type="spellStart"/>
      <w:r w:rsidRPr="3FBB2051">
        <w:rPr>
          <w:rFonts w:ascii="Times New Roman" w:eastAsia="Times New Roman" w:hAnsi="Times New Roman" w:cs="Times New Roman"/>
          <w:color w:val="000000" w:themeColor="text1"/>
          <w:sz w:val="24"/>
          <w:szCs w:val="24"/>
        </w:rPr>
        <w:t>DeFilippis</w:t>
      </w:r>
      <w:proofErr w:type="spellEnd"/>
      <w:r w:rsidRPr="3FBB2051">
        <w:rPr>
          <w:rFonts w:ascii="Times New Roman" w:eastAsia="Times New Roman" w:hAnsi="Times New Roman" w:cs="Times New Roman"/>
          <w:color w:val="000000" w:themeColor="text1"/>
          <w:sz w:val="24"/>
          <w:szCs w:val="24"/>
        </w:rPr>
        <w:t>, 2016). Barry (2017) further stated that opportunities and access to employment work should be equal for common people regardless of their race, identity groups, circumstances or backgrounds. Although there is a significant improvement in research economy regarding the BAME equality stance but it lacks in the practice (CIPD, 2017).</w:t>
      </w:r>
    </w:p>
    <w:p w14:paraId="284E6ACC" w14:textId="4FE4ED9D" w:rsidR="1EAA37C7" w:rsidRDefault="3FBB2051" w:rsidP="3FBB2051">
      <w:pPr>
        <w:spacing w:line="360" w:lineRule="auto"/>
        <w:jc w:val="both"/>
        <w:rPr>
          <w:rFonts w:ascii="Times New Roman" w:eastAsia="Times New Roman" w:hAnsi="Times New Roman" w:cs="Times New Roman"/>
          <w:color w:val="222222"/>
          <w:sz w:val="24"/>
          <w:szCs w:val="24"/>
        </w:rPr>
      </w:pPr>
      <w:r w:rsidRPr="3FBB2051">
        <w:rPr>
          <w:rFonts w:ascii="Times New Roman" w:eastAsia="Times New Roman" w:hAnsi="Times New Roman" w:cs="Times New Roman"/>
          <w:sz w:val="24"/>
          <w:szCs w:val="24"/>
        </w:rPr>
        <w:t>The diversity groups are meant to provide variety in the creativity, productivity, performance, employer reputation, globalized perspective and impact at various stages of employment lifecycle as argued by (</w:t>
      </w:r>
      <w:r w:rsidRPr="3FBB2051">
        <w:rPr>
          <w:rFonts w:ascii="Times New Roman" w:eastAsia="Times New Roman" w:hAnsi="Times New Roman" w:cs="Times New Roman"/>
          <w:color w:val="222222"/>
          <w:sz w:val="24"/>
          <w:szCs w:val="24"/>
        </w:rPr>
        <w:t xml:space="preserve">Rao &amp; Tilt, 2016). Attracting successful diverse employees also lead to problem </w:t>
      </w:r>
      <w:r w:rsidRPr="3FBB2051">
        <w:rPr>
          <w:rFonts w:ascii="Times New Roman" w:eastAsia="Times New Roman" w:hAnsi="Times New Roman" w:cs="Times New Roman"/>
          <w:color w:val="222222"/>
          <w:sz w:val="24"/>
          <w:szCs w:val="24"/>
        </w:rPr>
        <w:lastRenderedPageBreak/>
        <w:t>solving, quality service, synergy at best available and competitive market advantage (</w:t>
      </w:r>
      <w:r w:rsidRPr="3FBB2051">
        <w:rPr>
          <w:rFonts w:ascii="Times New Roman" w:eastAsia="Times New Roman" w:hAnsi="Times New Roman" w:cs="Times New Roman"/>
          <w:color w:val="494949"/>
          <w:sz w:val="24"/>
          <w:szCs w:val="24"/>
        </w:rPr>
        <w:t xml:space="preserve">Katzenbach &amp; Smith, 2006). </w:t>
      </w:r>
      <w:r w:rsidRPr="3FBB2051">
        <w:rPr>
          <w:rFonts w:ascii="Times New Roman" w:eastAsia="Times New Roman" w:hAnsi="Times New Roman" w:cs="Times New Roman"/>
          <w:sz w:val="24"/>
          <w:szCs w:val="24"/>
        </w:rPr>
        <w:t>Organizations tend to utilize the skills and talent of their human resource at best (</w:t>
      </w:r>
      <w:r w:rsidRPr="3FBB2051">
        <w:rPr>
          <w:rFonts w:ascii="Times New Roman" w:eastAsia="Times New Roman" w:hAnsi="Times New Roman" w:cs="Times New Roman"/>
          <w:color w:val="222222"/>
          <w:sz w:val="24"/>
          <w:szCs w:val="24"/>
        </w:rPr>
        <w:t>Hiltrop, 1999)</w:t>
      </w:r>
      <w:r w:rsidRPr="3FBB2051">
        <w:rPr>
          <w:rFonts w:ascii="Times New Roman" w:eastAsia="Times New Roman" w:hAnsi="Times New Roman" w:cs="Times New Roman"/>
          <w:sz w:val="24"/>
          <w:szCs w:val="24"/>
        </w:rPr>
        <w:t xml:space="preserve"> but considering the diversity perspective, ethnic minorities usually face under-utilization of their potential qualities. A wide range of studies on ethnic minorities have repeatedly reported it and called for a sustainable change at the societal level in terms of cultural norms and business planning of institutions (Philips </w:t>
      </w:r>
      <w:r w:rsidRPr="3FBB2051">
        <w:rPr>
          <w:rFonts w:ascii="Times New Roman" w:eastAsia="Times New Roman" w:hAnsi="Times New Roman" w:cs="Times New Roman"/>
          <w:i/>
          <w:iCs/>
          <w:sz w:val="24"/>
          <w:szCs w:val="24"/>
        </w:rPr>
        <w:t>et al.</w:t>
      </w:r>
      <w:r w:rsidRPr="3FBB2051">
        <w:rPr>
          <w:rFonts w:ascii="Times New Roman" w:eastAsia="Times New Roman" w:hAnsi="Times New Roman" w:cs="Times New Roman"/>
          <w:sz w:val="24"/>
          <w:szCs w:val="24"/>
        </w:rPr>
        <w:t xml:space="preserve">, 2000; </w:t>
      </w:r>
      <w:proofErr w:type="spellStart"/>
      <w:r w:rsidRPr="3FBB2051">
        <w:rPr>
          <w:rFonts w:ascii="Times New Roman" w:eastAsia="Times New Roman" w:hAnsi="Times New Roman" w:cs="Times New Roman"/>
          <w:sz w:val="24"/>
          <w:szCs w:val="24"/>
        </w:rPr>
        <w:t>Ntim</w:t>
      </w:r>
      <w:proofErr w:type="spellEnd"/>
      <w:r w:rsidRPr="3FBB2051">
        <w:rPr>
          <w:rFonts w:ascii="Times New Roman" w:eastAsia="Times New Roman" w:hAnsi="Times New Roman" w:cs="Times New Roman"/>
          <w:sz w:val="24"/>
          <w:szCs w:val="24"/>
        </w:rPr>
        <w:t xml:space="preserve">, 2015; </w:t>
      </w:r>
      <w:proofErr w:type="spellStart"/>
      <w:r w:rsidRPr="3FBB2051">
        <w:rPr>
          <w:rFonts w:ascii="Times New Roman" w:eastAsia="Times New Roman" w:hAnsi="Times New Roman" w:cs="Times New Roman"/>
          <w:sz w:val="24"/>
          <w:szCs w:val="24"/>
        </w:rPr>
        <w:t>Holck</w:t>
      </w:r>
      <w:proofErr w:type="spellEnd"/>
      <w:r w:rsidRPr="3FBB2051">
        <w:rPr>
          <w:rFonts w:ascii="Times New Roman" w:eastAsia="Times New Roman" w:hAnsi="Times New Roman" w:cs="Times New Roman"/>
          <w:sz w:val="24"/>
          <w:szCs w:val="24"/>
        </w:rPr>
        <w:t xml:space="preserve"> 2018). BAME observes the lack of leadership, approach to top management and promotion to the leading positions based on their race or ethnic groups. The cultural values and ethics of any organization must contribute fundamentally to the trust, fairness, equality and inclusion. The BAME employees must progress their career as all other individuals of the firm (</w:t>
      </w:r>
      <w:proofErr w:type="spellStart"/>
      <w:r w:rsidRPr="3FBB2051">
        <w:rPr>
          <w:rFonts w:ascii="Times New Roman" w:eastAsia="Times New Roman" w:hAnsi="Times New Roman" w:cs="Times New Roman"/>
          <w:color w:val="222222"/>
          <w:sz w:val="24"/>
          <w:szCs w:val="24"/>
        </w:rPr>
        <w:t>Desmet</w:t>
      </w:r>
      <w:proofErr w:type="spellEnd"/>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et al.</w:t>
      </w:r>
      <w:r w:rsidRPr="3FBB2051">
        <w:rPr>
          <w:rFonts w:ascii="Times New Roman" w:eastAsia="Times New Roman" w:hAnsi="Times New Roman" w:cs="Times New Roman"/>
          <w:color w:val="222222"/>
          <w:sz w:val="24"/>
          <w:szCs w:val="24"/>
        </w:rPr>
        <w:t>, 2017).</w:t>
      </w:r>
      <w:r w:rsidRPr="3FBB2051">
        <w:rPr>
          <w:rFonts w:ascii="Times New Roman" w:eastAsia="Times New Roman" w:hAnsi="Times New Roman" w:cs="Times New Roman"/>
          <w:sz w:val="24"/>
          <w:szCs w:val="24"/>
        </w:rPr>
        <w:t xml:space="preserve"> </w:t>
      </w:r>
    </w:p>
    <w:p w14:paraId="67C86230" w14:textId="67508B9B" w:rsidR="7BA38760" w:rsidRDefault="3FBB2051" w:rsidP="3FBB2051">
      <w:pPr>
        <w:spacing w:line="360" w:lineRule="auto"/>
        <w:jc w:val="both"/>
      </w:pPr>
      <w:r w:rsidRPr="3FBB2051">
        <w:rPr>
          <w:rFonts w:ascii="Times New Roman" w:eastAsia="Times New Roman" w:hAnsi="Times New Roman" w:cs="Times New Roman"/>
          <w:sz w:val="24"/>
          <w:szCs w:val="24"/>
        </w:rPr>
        <w:t>CIPD (2017) highlighted few traits to define an employee’s development in a diverse organizational culture which includes organizational culture, individual’s ambition, support from line manager and organization, job satisfaction aligned with development opportunities. All this can be attained through the basic HR principles of equality, justice and trust-based embracement. Through a report on BAME employees at US organizations, ethnic groups lack to define their progression in the firm without any role model or a leading manager. The potential of BAME group is more likely to be affected by the discrimination factor and their development opportunities are also dependent on their identity or background settings.</w:t>
      </w:r>
      <w:r w:rsidRPr="3FBB2051">
        <w:rPr>
          <w:rFonts w:ascii="Times New Roman" w:eastAsia="Times New Roman" w:hAnsi="Times New Roman" w:cs="Times New Roman"/>
          <w:sz w:val="20"/>
          <w:szCs w:val="20"/>
        </w:rPr>
        <w:t xml:space="preserve"> </w:t>
      </w:r>
      <w:r w:rsidRPr="3FBB2051">
        <w:rPr>
          <w:rFonts w:ascii="Times New Roman" w:eastAsia="Times New Roman" w:hAnsi="Times New Roman" w:cs="Times New Roman"/>
          <w:sz w:val="24"/>
          <w:szCs w:val="24"/>
        </w:rPr>
        <w:t xml:space="preserve">Moreover, young BAME employees prefer more to seek aid from a mentor to start their career and demand for transparency as compared to other communities. It was noted that although BAME are willing to work harder but they lack self-ambition and look forward to the organizational support to achieve their potential talent. Providentially, 60% of BAME employees feel satisfied with their jobs but 50% feel reluctant to discuss themselves or personal life with their colleagues. </w:t>
      </w:r>
    </w:p>
    <w:p w14:paraId="1C5F5CEE" w14:textId="6D02710F" w:rsidR="2D24F90C" w:rsidRDefault="3FBB2051" w:rsidP="3FBB2051">
      <w:pPr>
        <w:spacing w:line="360" w:lineRule="auto"/>
        <w:jc w:val="both"/>
        <w:rPr>
          <w:rFonts w:ascii="Times" w:eastAsia="Times" w:hAnsi="Times" w:cs="Times"/>
          <w:color w:val="000000" w:themeColor="text1"/>
          <w:sz w:val="24"/>
          <w:szCs w:val="24"/>
        </w:rPr>
      </w:pPr>
      <w:r w:rsidRPr="3FBB2051">
        <w:rPr>
          <w:rFonts w:ascii="Times New Roman" w:eastAsia="Times New Roman" w:hAnsi="Times New Roman" w:cs="Times New Roman"/>
          <w:sz w:val="24"/>
          <w:szCs w:val="24"/>
        </w:rPr>
        <w:t>The Ethnic or BAME groups at organizations have reportedly face the glass ceiling at different levels. The obstacles for diversity groups also vary in terms of place, institution category, management, and advancement levels. For instance, leaving a successor of same race, stereotyping or unconscious biasness (</w:t>
      </w:r>
      <w:proofErr w:type="spellStart"/>
      <w:r w:rsidRPr="3FBB2051">
        <w:rPr>
          <w:rFonts w:ascii="Times New Roman" w:eastAsia="Times New Roman" w:hAnsi="Times New Roman" w:cs="Times New Roman"/>
          <w:color w:val="222222"/>
          <w:sz w:val="24"/>
          <w:szCs w:val="24"/>
        </w:rPr>
        <w:t>Bartol</w:t>
      </w:r>
      <w:proofErr w:type="spellEnd"/>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et al.</w:t>
      </w:r>
      <w:r w:rsidRPr="3FBB2051">
        <w:rPr>
          <w:rFonts w:ascii="Times New Roman" w:eastAsia="Times New Roman" w:hAnsi="Times New Roman" w:cs="Times New Roman"/>
          <w:color w:val="222222"/>
          <w:sz w:val="24"/>
          <w:szCs w:val="24"/>
        </w:rPr>
        <w:t>, 2003)</w:t>
      </w:r>
      <w:r w:rsidRPr="3FBB2051">
        <w:rPr>
          <w:rFonts w:ascii="Times New Roman" w:eastAsia="Times New Roman" w:hAnsi="Times New Roman" w:cs="Times New Roman"/>
          <w:sz w:val="24"/>
          <w:szCs w:val="24"/>
        </w:rPr>
        <w:t xml:space="preserve">. The same effect is seen in other lifestyle perspectives including health care. A survey report by </w:t>
      </w:r>
      <w:proofErr w:type="spellStart"/>
      <w:r w:rsidRPr="3FBB2051">
        <w:rPr>
          <w:rFonts w:ascii="Times New Roman" w:eastAsia="Times New Roman" w:hAnsi="Times New Roman" w:cs="Times New Roman"/>
          <w:sz w:val="24"/>
          <w:szCs w:val="24"/>
        </w:rPr>
        <w:t>Statistica</w:t>
      </w:r>
      <w:proofErr w:type="spellEnd"/>
      <w:r w:rsidRPr="3FBB2051">
        <w:rPr>
          <w:rFonts w:ascii="Times New Roman" w:eastAsia="Times New Roman" w:hAnsi="Times New Roman" w:cs="Times New Roman"/>
          <w:sz w:val="24"/>
          <w:szCs w:val="24"/>
        </w:rPr>
        <w:t xml:space="preserve"> (</w:t>
      </w:r>
      <w:r w:rsidRPr="3FBB2051">
        <w:rPr>
          <w:rFonts w:ascii="Times" w:eastAsia="Times" w:hAnsi="Times" w:cs="Times"/>
          <w:color w:val="000000" w:themeColor="text1"/>
          <w:sz w:val="24"/>
          <w:szCs w:val="24"/>
        </w:rPr>
        <w:t>John</w:t>
      </w:r>
      <w:r w:rsidRPr="3FBB2051">
        <w:rPr>
          <w:rFonts w:ascii="Times New Roman" w:eastAsia="Times New Roman" w:hAnsi="Times New Roman" w:cs="Times New Roman"/>
          <w:sz w:val="24"/>
          <w:szCs w:val="24"/>
        </w:rPr>
        <w:t xml:space="preserve">, 2017) showed the degree to which the ethnic groups of US prioritize </w:t>
      </w:r>
      <w:r w:rsidRPr="3FBB2051">
        <w:rPr>
          <w:rFonts w:ascii="Times" w:eastAsia="Times" w:hAnsi="Times" w:cs="Times"/>
          <w:color w:val="000000" w:themeColor="text1"/>
          <w:sz w:val="24"/>
          <w:szCs w:val="24"/>
        </w:rPr>
        <w:t xml:space="preserve">healthcare provider from their own culture. According to it, 40% </w:t>
      </w:r>
      <w:r w:rsidRPr="3FBB2051">
        <w:rPr>
          <w:rFonts w:ascii="Times" w:eastAsia="Times" w:hAnsi="Times" w:cs="Times"/>
          <w:color w:val="000000" w:themeColor="text1"/>
          <w:sz w:val="24"/>
          <w:szCs w:val="24"/>
        </w:rPr>
        <w:lastRenderedPageBreak/>
        <w:t xml:space="preserve">considered it unimportant while 33% felt it very important to have a health service assistant from their own ethnic group. </w:t>
      </w:r>
    </w:p>
    <w:p w14:paraId="710DB57A" w14:textId="131C463D" w:rsidR="2D24F90C" w:rsidRDefault="3FBB2051" w:rsidP="3FBB2051">
      <w:pPr>
        <w:spacing w:line="360" w:lineRule="auto"/>
        <w:jc w:val="center"/>
        <w:rPr>
          <w:rFonts w:ascii="Times New Roman" w:eastAsia="Times New Roman" w:hAnsi="Times New Roman" w:cs="Times New Roman"/>
          <w:i/>
          <w:iCs/>
          <w:sz w:val="24"/>
          <w:szCs w:val="24"/>
        </w:rPr>
      </w:pPr>
      <w:r w:rsidRPr="3FBB2051">
        <w:rPr>
          <w:rFonts w:ascii="Times New Roman" w:eastAsia="Times New Roman" w:hAnsi="Times New Roman" w:cs="Times New Roman"/>
          <w:i/>
          <w:iCs/>
          <w:sz w:val="24"/>
          <w:szCs w:val="24"/>
        </w:rPr>
        <w:t>Figure 4: Percentage of adults in the U.S. valuing to have healthcare provider sharing or understanding their culture as of 2017, by ethnicity</w:t>
      </w:r>
    </w:p>
    <w:p w14:paraId="16D18073" w14:textId="68E35CFF" w:rsidR="2D24F90C" w:rsidRDefault="2D24F90C" w:rsidP="3FBB2051">
      <w:pPr>
        <w:spacing w:line="360" w:lineRule="auto"/>
        <w:jc w:val="both"/>
      </w:pPr>
      <w:r>
        <w:rPr>
          <w:noProof/>
        </w:rPr>
        <w:drawing>
          <wp:inline distT="0" distB="0" distL="0" distR="0" wp14:anchorId="2A81EAD5" wp14:editId="40B4C662">
            <wp:extent cx="5924548" cy="3739872"/>
            <wp:effectExtent l="0" t="0" r="0" b="0"/>
            <wp:docPr id="814192801" name="Picture 8141928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24548" cy="3739872"/>
                    </a:xfrm>
                    <a:prstGeom prst="rect">
                      <a:avLst/>
                    </a:prstGeom>
                  </pic:spPr>
                </pic:pic>
              </a:graphicData>
            </a:graphic>
          </wp:inline>
        </w:drawing>
      </w:r>
    </w:p>
    <w:p w14:paraId="2B42DEFB" w14:textId="12EEF2E8" w:rsidR="6D88E91F" w:rsidRDefault="183874A8" w:rsidP="183874A8">
      <w:pPr>
        <w:pStyle w:val="Heading2"/>
        <w:spacing w:line="360" w:lineRule="auto"/>
        <w:jc w:val="both"/>
        <w:rPr>
          <w:rFonts w:ascii="Times New Roman" w:eastAsia="Times New Roman" w:hAnsi="Times New Roman" w:cs="Times New Roman"/>
          <w:b/>
          <w:bCs/>
          <w:color w:val="000000" w:themeColor="text1"/>
          <w:sz w:val="28"/>
          <w:szCs w:val="28"/>
        </w:rPr>
      </w:pPr>
      <w:bookmarkStart w:id="6" w:name="_Toc27840226"/>
      <w:r w:rsidRPr="183874A8">
        <w:rPr>
          <w:rFonts w:ascii="Times New Roman" w:eastAsia="Times New Roman" w:hAnsi="Times New Roman" w:cs="Times New Roman"/>
          <w:b/>
          <w:bCs/>
          <w:color w:val="000000" w:themeColor="text1"/>
          <w:sz w:val="28"/>
          <w:szCs w:val="28"/>
        </w:rPr>
        <w:t>Benefits and Challenges of Diversity of People at Aetna</w:t>
      </w:r>
      <w:bookmarkEnd w:id="6"/>
    </w:p>
    <w:p w14:paraId="6ADBDEC4" w14:textId="60B5FF71" w:rsidR="149ECF6E" w:rsidRDefault="3FBB2051" w:rsidP="3FBB2051">
      <w:pPr>
        <w:spacing w:line="360" w:lineRule="auto"/>
        <w:jc w:val="both"/>
        <w:rPr>
          <w:rFonts w:ascii="Times New Roman" w:eastAsia="Times New Roman" w:hAnsi="Times New Roman" w:cs="Times New Roman"/>
          <w:color w:val="222222"/>
          <w:sz w:val="24"/>
          <w:szCs w:val="24"/>
        </w:rPr>
      </w:pPr>
      <w:r w:rsidRPr="3FBB2051">
        <w:rPr>
          <w:rFonts w:ascii="Times New Roman" w:eastAsia="Times New Roman" w:hAnsi="Times New Roman" w:cs="Times New Roman"/>
          <w:color w:val="000000" w:themeColor="text1"/>
          <w:sz w:val="24"/>
          <w:szCs w:val="24"/>
        </w:rPr>
        <w:t>Diversity is the term referred to the ways in which individuals and organizations are differed or compared for commonalities in order to justify and motivate the distinct group of people or entities to work together for mutually beneficent outcomes.</w:t>
      </w:r>
      <w:r w:rsidRPr="3FBB2051">
        <w:rPr>
          <w:rFonts w:ascii="Times New Roman" w:eastAsia="Times New Roman" w:hAnsi="Times New Roman" w:cs="Times New Roman"/>
          <w:color w:val="222222"/>
          <w:sz w:val="24"/>
          <w:szCs w:val="24"/>
        </w:rPr>
        <w:t xml:space="preserve"> Among various factors of acquired and inherent diversity; ethnicity, physical appearance, gender and age are some prominent that also include personal attributes such as religion, sexual orientation, belief or sector system, language, nationality and socio-economic status</w:t>
      </w:r>
      <w:r w:rsidRPr="3FBB2051">
        <w:rPr>
          <w:rFonts w:ascii="Times New Roman" w:eastAsia="Times New Roman" w:hAnsi="Times New Roman" w:cs="Times New Roman"/>
          <w:color w:val="000000" w:themeColor="text1"/>
          <w:sz w:val="24"/>
          <w:szCs w:val="24"/>
        </w:rPr>
        <w:t xml:space="preserve"> (</w:t>
      </w:r>
      <w:r w:rsidRPr="3FBB2051">
        <w:rPr>
          <w:rFonts w:ascii="Times New Roman" w:eastAsia="Times New Roman" w:hAnsi="Times New Roman" w:cs="Times New Roman"/>
          <w:color w:val="222222"/>
          <w:sz w:val="24"/>
          <w:szCs w:val="24"/>
        </w:rPr>
        <w:t>Arnold, 1997). Gore (2000) explains it as a term to define each of us as individual including all characteristics, dimensions and experiences as ‘REGARGS’ (</w:t>
      </w:r>
      <w:r w:rsidRPr="3FBB2051">
        <w:rPr>
          <w:rFonts w:ascii="Times New Roman" w:eastAsia="Times New Roman" w:hAnsi="Times New Roman" w:cs="Times New Roman"/>
          <w:sz w:val="24"/>
          <w:szCs w:val="24"/>
        </w:rPr>
        <w:t xml:space="preserve">Race, Ethnicity, Gender, Age, Religion, Disability, and Sexual orientation). </w:t>
      </w:r>
      <w:r w:rsidRPr="3FBB2051">
        <w:rPr>
          <w:rFonts w:ascii="Times New Roman" w:eastAsia="Times New Roman" w:hAnsi="Times New Roman" w:cs="Times New Roman"/>
          <w:color w:val="222222"/>
          <w:sz w:val="24"/>
          <w:szCs w:val="24"/>
        </w:rPr>
        <w:t xml:space="preserve">Among institutions, diverse employees are recruited and retained to cease personal differences and promote the inclusion of each employee to achieve the organizational goals. </w:t>
      </w:r>
      <w:proofErr w:type="spellStart"/>
      <w:r w:rsidRPr="3FBB2051">
        <w:rPr>
          <w:rFonts w:ascii="Times New Roman" w:eastAsia="Times New Roman" w:hAnsi="Times New Roman" w:cs="Times New Roman"/>
          <w:color w:val="222222"/>
          <w:sz w:val="24"/>
          <w:szCs w:val="24"/>
        </w:rPr>
        <w:t>Pless</w:t>
      </w:r>
      <w:proofErr w:type="spellEnd"/>
      <w:r w:rsidRPr="3FBB2051">
        <w:rPr>
          <w:rFonts w:ascii="Times New Roman" w:eastAsia="Times New Roman" w:hAnsi="Times New Roman" w:cs="Times New Roman"/>
          <w:color w:val="222222"/>
          <w:sz w:val="24"/>
          <w:szCs w:val="24"/>
        </w:rPr>
        <w:t xml:space="preserve"> &amp; </w:t>
      </w:r>
      <w:proofErr w:type="spellStart"/>
      <w:r w:rsidRPr="3FBB2051">
        <w:rPr>
          <w:rFonts w:ascii="Times New Roman" w:eastAsia="Times New Roman" w:hAnsi="Times New Roman" w:cs="Times New Roman"/>
          <w:color w:val="222222"/>
          <w:sz w:val="24"/>
          <w:szCs w:val="24"/>
        </w:rPr>
        <w:t>Maak</w:t>
      </w:r>
      <w:proofErr w:type="spellEnd"/>
      <w:r w:rsidRPr="3FBB2051">
        <w:rPr>
          <w:rFonts w:ascii="Times New Roman" w:eastAsia="Times New Roman" w:hAnsi="Times New Roman" w:cs="Times New Roman"/>
          <w:color w:val="222222"/>
          <w:sz w:val="24"/>
          <w:szCs w:val="24"/>
        </w:rPr>
        <w:t xml:space="preserve"> (2004) proposed </w:t>
      </w:r>
      <w:r w:rsidRPr="3FBB2051">
        <w:rPr>
          <w:rFonts w:ascii="Times New Roman" w:eastAsia="Times New Roman" w:hAnsi="Times New Roman" w:cs="Times New Roman"/>
          <w:color w:val="222222"/>
          <w:sz w:val="24"/>
          <w:szCs w:val="24"/>
        </w:rPr>
        <w:lastRenderedPageBreak/>
        <w:t xml:space="preserve">that inclusion of diversified groups helps to achieve goals at the firm level in a better way through multiple ideas of solution and talents. </w:t>
      </w:r>
    </w:p>
    <w:p w14:paraId="76245A91" w14:textId="36621785" w:rsidR="6D88E91F" w:rsidRDefault="3FBB2051" w:rsidP="3FBB2051">
      <w:pPr>
        <w:spacing w:line="360" w:lineRule="auto"/>
        <w:jc w:val="both"/>
        <w:rPr>
          <w:rFonts w:ascii="Times New Roman" w:eastAsia="Times New Roman" w:hAnsi="Times New Roman" w:cs="Times New Roman"/>
          <w:color w:val="222222"/>
          <w:sz w:val="24"/>
          <w:szCs w:val="24"/>
        </w:rPr>
      </w:pPr>
      <w:r w:rsidRPr="3FBB2051">
        <w:rPr>
          <w:rFonts w:ascii="Times New Roman" w:eastAsia="Times New Roman" w:hAnsi="Times New Roman" w:cs="Times New Roman"/>
          <w:color w:val="222222"/>
          <w:sz w:val="24"/>
          <w:szCs w:val="24"/>
        </w:rPr>
        <w:t xml:space="preserve">Contrary to it, organizations which ignore the factors of biasness and prejudice in their policies, promote discrimination that ultimately causes negative outcomes for its human resource (Jones </w:t>
      </w:r>
      <w:r w:rsidRPr="3FBB2051">
        <w:rPr>
          <w:rFonts w:ascii="Times New Roman" w:eastAsia="Times New Roman" w:hAnsi="Times New Roman" w:cs="Times New Roman"/>
          <w:i/>
          <w:iCs/>
          <w:color w:val="222222"/>
          <w:sz w:val="24"/>
          <w:szCs w:val="24"/>
        </w:rPr>
        <w:t>et al.</w:t>
      </w:r>
      <w:r w:rsidRPr="3FBB2051">
        <w:rPr>
          <w:rFonts w:ascii="Times New Roman" w:eastAsia="Times New Roman" w:hAnsi="Times New Roman" w:cs="Times New Roman"/>
          <w:color w:val="222222"/>
          <w:sz w:val="24"/>
          <w:szCs w:val="24"/>
        </w:rPr>
        <w:t>, 2017). However, trainings on diversity can be proved effective in creating awareness and skills for better culture and an environment free of prejudice at behavior and emotion level. Every organization must take diversity initiatives and invest resources in it (</w:t>
      </w:r>
      <w:proofErr w:type="spellStart"/>
      <w:r w:rsidRPr="3FBB2051">
        <w:rPr>
          <w:rFonts w:ascii="Times New Roman" w:eastAsia="Times New Roman" w:hAnsi="Times New Roman" w:cs="Times New Roman"/>
          <w:color w:val="222222"/>
          <w:sz w:val="24"/>
          <w:szCs w:val="24"/>
        </w:rPr>
        <w:t>Giovannini</w:t>
      </w:r>
      <w:proofErr w:type="spellEnd"/>
      <w:r w:rsidRPr="3FBB2051">
        <w:rPr>
          <w:rFonts w:ascii="Times New Roman" w:eastAsia="Times New Roman" w:hAnsi="Times New Roman" w:cs="Times New Roman"/>
          <w:color w:val="222222"/>
          <w:sz w:val="24"/>
          <w:szCs w:val="24"/>
        </w:rPr>
        <w:t>, 2004). In the understudied organization ‘Aetna’, HR policies are such developed that promote civil rights but also emphasize on the quality improvement of care for each employee without any race relations. It is also the member of ‘Diversity support organizations’ at national level such as National</w:t>
      </w:r>
      <w:r w:rsidRPr="3FBB2051">
        <w:rPr>
          <w:rFonts w:ascii="Times New Roman" w:eastAsia="Times New Roman" w:hAnsi="Times New Roman" w:cs="Times New Roman"/>
          <w:sz w:val="24"/>
          <w:szCs w:val="24"/>
        </w:rPr>
        <w:t xml:space="preserve"> Minority Supplier Development Council (NMSDC) and National Gay and Lesbian Chamber of Commerce </w:t>
      </w:r>
      <w:r w:rsidRPr="3FBB2051">
        <w:rPr>
          <w:rFonts w:ascii="Times New Roman" w:eastAsia="Times New Roman" w:hAnsi="Times New Roman" w:cs="Times New Roman"/>
          <w:color w:val="222222"/>
          <w:sz w:val="24"/>
          <w:szCs w:val="24"/>
        </w:rPr>
        <w:t>(</w:t>
      </w:r>
      <w:proofErr w:type="spellStart"/>
      <w:r w:rsidRPr="3FBB2051">
        <w:rPr>
          <w:rFonts w:ascii="Times New Roman" w:eastAsia="Times New Roman" w:hAnsi="Times New Roman" w:cs="Times New Roman"/>
          <w:sz w:val="24"/>
          <w:szCs w:val="24"/>
        </w:rPr>
        <w:t>Hassett</w:t>
      </w:r>
      <w:proofErr w:type="spellEnd"/>
      <w:r w:rsidRPr="3FBB2051">
        <w:rPr>
          <w:rFonts w:ascii="Times New Roman" w:eastAsia="Times New Roman" w:hAnsi="Times New Roman" w:cs="Times New Roman"/>
          <w:sz w:val="24"/>
          <w:szCs w:val="24"/>
        </w:rPr>
        <w:t xml:space="preserve">, 2005). In 2008, Aetna developed a unique division for diversity that supported 15 employee resource groups: </w:t>
      </w:r>
    </w:p>
    <w:tbl>
      <w:tblPr>
        <w:tblStyle w:val="PlainTable4"/>
        <w:tblW w:w="0" w:type="auto"/>
        <w:tblLayout w:type="fixed"/>
        <w:tblLook w:val="06A0" w:firstRow="1" w:lastRow="0" w:firstColumn="1" w:lastColumn="0" w:noHBand="1" w:noVBand="1"/>
      </w:tblPr>
      <w:tblGrid>
        <w:gridCol w:w="4080"/>
        <w:gridCol w:w="4410"/>
      </w:tblGrid>
      <w:tr w:rsidR="3E46ABA7" w14:paraId="3A46E215" w14:textId="77777777" w:rsidTr="3FBB20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80" w:type="dxa"/>
          </w:tcPr>
          <w:p w14:paraId="107DA157" w14:textId="7F75E0AF" w:rsidR="3E46ABA7" w:rsidRDefault="3FBB2051" w:rsidP="3FBB2051">
            <w:pPr>
              <w:pStyle w:val="ListParagraph"/>
              <w:numPr>
                <w:ilvl w:val="0"/>
                <w:numId w:val="8"/>
              </w:numPr>
              <w:spacing w:line="360" w:lineRule="auto"/>
              <w:jc w:val="both"/>
              <w:rPr>
                <w:b w:val="0"/>
                <w:bCs w:val="0"/>
                <w:sz w:val="24"/>
                <w:szCs w:val="24"/>
              </w:rPr>
            </w:pPr>
            <w:r w:rsidRPr="3FBB2051">
              <w:rPr>
                <w:rFonts w:ascii="Times New Roman" w:eastAsia="Times New Roman" w:hAnsi="Times New Roman" w:cs="Times New Roman"/>
                <w:b w:val="0"/>
                <w:bCs w:val="0"/>
                <w:sz w:val="24"/>
                <w:szCs w:val="24"/>
              </w:rPr>
              <w:t>African American employees</w:t>
            </w:r>
          </w:p>
        </w:tc>
        <w:tc>
          <w:tcPr>
            <w:tcW w:w="4410" w:type="dxa"/>
          </w:tcPr>
          <w:p w14:paraId="7DA1C2F1" w14:textId="70D4DAD0" w:rsidR="3E46ABA7" w:rsidRDefault="3FBB2051" w:rsidP="3FBB2051">
            <w:pPr>
              <w:pStyle w:val="ListParagraph"/>
              <w:numPr>
                <w:ilvl w:val="0"/>
                <w:numId w:val="15"/>
              </w:num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3FBB2051">
              <w:rPr>
                <w:rFonts w:ascii="Times New Roman" w:eastAsia="Times New Roman" w:hAnsi="Times New Roman" w:cs="Times New Roman"/>
                <w:b w:val="0"/>
                <w:bCs w:val="0"/>
                <w:sz w:val="24"/>
                <w:szCs w:val="24"/>
              </w:rPr>
              <w:t>Asian American employees</w:t>
            </w:r>
          </w:p>
        </w:tc>
      </w:tr>
      <w:tr w:rsidR="3E46ABA7" w14:paraId="0CB73118" w14:textId="77777777" w:rsidTr="3FBB2051">
        <w:tc>
          <w:tcPr>
            <w:cnfStyle w:val="001000000000" w:firstRow="0" w:lastRow="0" w:firstColumn="1" w:lastColumn="0" w:oddVBand="0" w:evenVBand="0" w:oddHBand="0" w:evenHBand="0" w:firstRowFirstColumn="0" w:firstRowLastColumn="0" w:lastRowFirstColumn="0" w:lastRowLastColumn="0"/>
            <w:tcW w:w="4080" w:type="dxa"/>
          </w:tcPr>
          <w:p w14:paraId="2579DCF0" w14:textId="30880FB3" w:rsidR="3E46ABA7" w:rsidRDefault="3FBB2051" w:rsidP="3FBB2051">
            <w:pPr>
              <w:pStyle w:val="ListParagraph"/>
              <w:numPr>
                <w:ilvl w:val="0"/>
                <w:numId w:val="15"/>
              </w:numPr>
              <w:spacing w:line="360" w:lineRule="auto"/>
              <w:jc w:val="both"/>
              <w:rPr>
                <w:b w:val="0"/>
                <w:bCs w:val="0"/>
                <w:sz w:val="24"/>
                <w:szCs w:val="24"/>
              </w:rPr>
            </w:pPr>
            <w:r w:rsidRPr="3FBB2051">
              <w:rPr>
                <w:rFonts w:ascii="Times New Roman" w:eastAsia="Times New Roman" w:hAnsi="Times New Roman" w:cs="Times New Roman"/>
                <w:b w:val="0"/>
                <w:bCs w:val="0"/>
                <w:sz w:val="24"/>
                <w:szCs w:val="24"/>
              </w:rPr>
              <w:t>Employees with disabilities</w:t>
            </w:r>
          </w:p>
        </w:tc>
        <w:tc>
          <w:tcPr>
            <w:tcW w:w="4410" w:type="dxa"/>
          </w:tcPr>
          <w:p w14:paraId="289E4CE4" w14:textId="344D6F8C" w:rsidR="3E46ABA7" w:rsidRDefault="3FBB2051" w:rsidP="3FBB2051">
            <w:pPr>
              <w:pStyle w:val="ListParagraph"/>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3FBB2051">
              <w:rPr>
                <w:rFonts w:ascii="Times New Roman" w:eastAsia="Times New Roman" w:hAnsi="Times New Roman" w:cs="Times New Roman"/>
                <w:sz w:val="24"/>
                <w:szCs w:val="24"/>
              </w:rPr>
              <w:t>Hispanic American employees</w:t>
            </w:r>
          </w:p>
        </w:tc>
      </w:tr>
      <w:tr w:rsidR="3E46ABA7" w14:paraId="3A630050" w14:textId="77777777" w:rsidTr="3FBB2051">
        <w:tc>
          <w:tcPr>
            <w:cnfStyle w:val="001000000000" w:firstRow="0" w:lastRow="0" w:firstColumn="1" w:lastColumn="0" w:oddVBand="0" w:evenVBand="0" w:oddHBand="0" w:evenHBand="0" w:firstRowFirstColumn="0" w:firstRowLastColumn="0" w:lastRowFirstColumn="0" w:lastRowLastColumn="0"/>
            <w:tcW w:w="4080" w:type="dxa"/>
          </w:tcPr>
          <w:p w14:paraId="69261C80" w14:textId="7708E4D5" w:rsidR="3E46ABA7" w:rsidRDefault="3FBB2051" w:rsidP="3FBB2051">
            <w:pPr>
              <w:pStyle w:val="ListParagraph"/>
              <w:numPr>
                <w:ilvl w:val="0"/>
                <w:numId w:val="14"/>
              </w:numPr>
              <w:spacing w:line="360" w:lineRule="auto"/>
              <w:jc w:val="both"/>
              <w:rPr>
                <w:b w:val="0"/>
                <w:bCs w:val="0"/>
                <w:sz w:val="24"/>
                <w:szCs w:val="24"/>
              </w:rPr>
            </w:pPr>
            <w:r w:rsidRPr="3FBB2051">
              <w:rPr>
                <w:rFonts w:ascii="Times New Roman" w:eastAsia="Times New Roman" w:hAnsi="Times New Roman" w:cs="Times New Roman"/>
                <w:b w:val="0"/>
                <w:bCs w:val="0"/>
                <w:sz w:val="24"/>
                <w:szCs w:val="24"/>
              </w:rPr>
              <w:t>Caregivers</w:t>
            </w:r>
          </w:p>
        </w:tc>
        <w:tc>
          <w:tcPr>
            <w:tcW w:w="4410" w:type="dxa"/>
          </w:tcPr>
          <w:p w14:paraId="1894E940" w14:textId="4E8C7B05" w:rsidR="3E46ABA7" w:rsidRDefault="3FBB2051" w:rsidP="3FBB2051">
            <w:pPr>
              <w:pStyle w:val="ListParagraph"/>
              <w:numPr>
                <w:ilvl w:val="0"/>
                <w:numId w:val="13"/>
              </w:num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3FBB2051">
              <w:rPr>
                <w:rFonts w:ascii="Times New Roman" w:eastAsia="Times New Roman" w:hAnsi="Times New Roman" w:cs="Times New Roman"/>
                <w:sz w:val="24"/>
                <w:szCs w:val="24"/>
              </w:rPr>
              <w:t>Native American employees</w:t>
            </w:r>
          </w:p>
        </w:tc>
      </w:tr>
      <w:tr w:rsidR="3E46ABA7" w14:paraId="3CD8DE65" w14:textId="77777777" w:rsidTr="3FBB2051">
        <w:tc>
          <w:tcPr>
            <w:cnfStyle w:val="001000000000" w:firstRow="0" w:lastRow="0" w:firstColumn="1" w:lastColumn="0" w:oddVBand="0" w:evenVBand="0" w:oddHBand="0" w:evenHBand="0" w:firstRowFirstColumn="0" w:firstRowLastColumn="0" w:lastRowFirstColumn="0" w:lastRowLastColumn="0"/>
            <w:tcW w:w="4080" w:type="dxa"/>
          </w:tcPr>
          <w:p w14:paraId="3C5E7DC2" w14:textId="36083B5F" w:rsidR="3E46ABA7" w:rsidRDefault="3FBB2051" w:rsidP="3FBB2051">
            <w:pPr>
              <w:pStyle w:val="ListParagraph"/>
              <w:numPr>
                <w:ilvl w:val="0"/>
                <w:numId w:val="13"/>
              </w:numPr>
              <w:spacing w:line="360" w:lineRule="auto"/>
              <w:jc w:val="both"/>
              <w:rPr>
                <w:b w:val="0"/>
                <w:bCs w:val="0"/>
                <w:sz w:val="24"/>
                <w:szCs w:val="24"/>
              </w:rPr>
            </w:pPr>
            <w:r w:rsidRPr="3FBB2051">
              <w:rPr>
                <w:rFonts w:ascii="Times New Roman" w:eastAsia="Times New Roman" w:hAnsi="Times New Roman" w:cs="Times New Roman"/>
                <w:b w:val="0"/>
                <w:bCs w:val="0"/>
                <w:sz w:val="24"/>
                <w:szCs w:val="24"/>
              </w:rPr>
              <w:t>Baby boomers</w:t>
            </w:r>
          </w:p>
        </w:tc>
        <w:tc>
          <w:tcPr>
            <w:tcW w:w="4410" w:type="dxa"/>
          </w:tcPr>
          <w:p w14:paraId="15D24200" w14:textId="28199ABF" w:rsidR="3E46ABA7" w:rsidRDefault="3FBB2051" w:rsidP="3FBB2051">
            <w:pPr>
              <w:pStyle w:val="ListParagraph"/>
              <w:numPr>
                <w:ilvl w:val="0"/>
                <w:numId w:val="12"/>
              </w:num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3FBB2051">
              <w:rPr>
                <w:rFonts w:ascii="Times New Roman" w:eastAsia="Times New Roman" w:hAnsi="Times New Roman" w:cs="Times New Roman"/>
                <w:sz w:val="24"/>
                <w:szCs w:val="24"/>
              </w:rPr>
              <w:t>“Silent” generation</w:t>
            </w:r>
          </w:p>
        </w:tc>
      </w:tr>
      <w:tr w:rsidR="3E46ABA7" w14:paraId="499CA7A4" w14:textId="77777777" w:rsidTr="3FBB2051">
        <w:tc>
          <w:tcPr>
            <w:cnfStyle w:val="001000000000" w:firstRow="0" w:lastRow="0" w:firstColumn="1" w:lastColumn="0" w:oddVBand="0" w:evenVBand="0" w:oddHBand="0" w:evenHBand="0" w:firstRowFirstColumn="0" w:firstRowLastColumn="0" w:lastRowFirstColumn="0" w:lastRowLastColumn="0"/>
            <w:tcW w:w="4080" w:type="dxa"/>
          </w:tcPr>
          <w:p w14:paraId="0D128147" w14:textId="37B3DF5B" w:rsidR="3E46ABA7" w:rsidRDefault="3FBB2051" w:rsidP="3FBB2051">
            <w:pPr>
              <w:pStyle w:val="ListParagraph"/>
              <w:numPr>
                <w:ilvl w:val="0"/>
                <w:numId w:val="12"/>
              </w:numPr>
              <w:spacing w:line="360" w:lineRule="auto"/>
              <w:jc w:val="both"/>
              <w:rPr>
                <w:b w:val="0"/>
                <w:bCs w:val="0"/>
                <w:sz w:val="24"/>
                <w:szCs w:val="24"/>
              </w:rPr>
            </w:pPr>
            <w:r w:rsidRPr="3FBB2051">
              <w:rPr>
                <w:rFonts w:ascii="Times New Roman" w:eastAsia="Times New Roman" w:hAnsi="Times New Roman" w:cs="Times New Roman"/>
                <w:b w:val="0"/>
                <w:bCs w:val="0"/>
                <w:sz w:val="24"/>
                <w:szCs w:val="24"/>
              </w:rPr>
              <w:t>Generation X</w:t>
            </w:r>
          </w:p>
        </w:tc>
        <w:tc>
          <w:tcPr>
            <w:tcW w:w="4410" w:type="dxa"/>
          </w:tcPr>
          <w:p w14:paraId="769DD881" w14:textId="08213A71" w:rsidR="3E46ABA7" w:rsidRDefault="3FBB2051" w:rsidP="3FBB2051">
            <w:pPr>
              <w:pStyle w:val="ListParagraph"/>
              <w:numPr>
                <w:ilvl w:val="0"/>
                <w:numId w:val="11"/>
              </w:num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3FBB2051">
              <w:rPr>
                <w:rFonts w:ascii="Times New Roman" w:eastAsia="Times New Roman" w:hAnsi="Times New Roman" w:cs="Times New Roman"/>
                <w:sz w:val="24"/>
                <w:szCs w:val="24"/>
              </w:rPr>
              <w:t>Generation Y</w:t>
            </w:r>
          </w:p>
        </w:tc>
      </w:tr>
      <w:tr w:rsidR="3E46ABA7" w14:paraId="01B03254" w14:textId="77777777" w:rsidTr="3FBB2051">
        <w:tc>
          <w:tcPr>
            <w:cnfStyle w:val="001000000000" w:firstRow="0" w:lastRow="0" w:firstColumn="1" w:lastColumn="0" w:oddVBand="0" w:evenVBand="0" w:oddHBand="0" w:evenHBand="0" w:firstRowFirstColumn="0" w:firstRowLastColumn="0" w:lastRowFirstColumn="0" w:lastRowLastColumn="0"/>
            <w:tcW w:w="4080" w:type="dxa"/>
          </w:tcPr>
          <w:p w14:paraId="7B1802EB" w14:textId="7F9B392F" w:rsidR="3E46ABA7" w:rsidRDefault="3FBB2051" w:rsidP="3FBB2051">
            <w:pPr>
              <w:pStyle w:val="ListParagraph"/>
              <w:numPr>
                <w:ilvl w:val="0"/>
                <w:numId w:val="11"/>
              </w:numPr>
              <w:spacing w:line="360" w:lineRule="auto"/>
              <w:jc w:val="both"/>
              <w:rPr>
                <w:b w:val="0"/>
                <w:bCs w:val="0"/>
                <w:sz w:val="24"/>
                <w:szCs w:val="24"/>
              </w:rPr>
            </w:pPr>
            <w:r w:rsidRPr="3FBB2051">
              <w:rPr>
                <w:rFonts w:ascii="Times New Roman" w:eastAsia="Times New Roman" w:hAnsi="Times New Roman" w:cs="Times New Roman"/>
                <w:b w:val="0"/>
                <w:bCs w:val="0"/>
                <w:sz w:val="24"/>
                <w:szCs w:val="24"/>
              </w:rPr>
              <w:t>Veterans</w:t>
            </w:r>
          </w:p>
        </w:tc>
        <w:tc>
          <w:tcPr>
            <w:tcW w:w="4410" w:type="dxa"/>
          </w:tcPr>
          <w:p w14:paraId="3EB9CB35" w14:textId="6E540725" w:rsidR="3E46ABA7" w:rsidRDefault="3FBB2051" w:rsidP="3FBB2051">
            <w:pPr>
              <w:pStyle w:val="ListParagraph"/>
              <w:numPr>
                <w:ilvl w:val="0"/>
                <w:numId w:val="10"/>
              </w:num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3FBB2051">
              <w:rPr>
                <w:rFonts w:ascii="Times New Roman" w:eastAsia="Times New Roman" w:hAnsi="Times New Roman" w:cs="Times New Roman"/>
                <w:sz w:val="24"/>
                <w:szCs w:val="24"/>
              </w:rPr>
              <w:t>Women</w:t>
            </w:r>
          </w:p>
        </w:tc>
      </w:tr>
      <w:tr w:rsidR="3E46ABA7" w14:paraId="7A2FDF54" w14:textId="77777777" w:rsidTr="3FBB2051">
        <w:tc>
          <w:tcPr>
            <w:cnfStyle w:val="001000000000" w:firstRow="0" w:lastRow="0" w:firstColumn="1" w:lastColumn="0" w:oddVBand="0" w:evenVBand="0" w:oddHBand="0" w:evenHBand="0" w:firstRowFirstColumn="0" w:firstRowLastColumn="0" w:lastRowFirstColumn="0" w:lastRowLastColumn="0"/>
            <w:tcW w:w="4080" w:type="dxa"/>
          </w:tcPr>
          <w:p w14:paraId="10016E70" w14:textId="48E9BDC2" w:rsidR="3E46ABA7" w:rsidRDefault="3FBB2051" w:rsidP="3FBB2051">
            <w:pPr>
              <w:pStyle w:val="ListParagraph"/>
              <w:numPr>
                <w:ilvl w:val="0"/>
                <w:numId w:val="10"/>
              </w:numPr>
              <w:spacing w:line="360" w:lineRule="auto"/>
              <w:jc w:val="both"/>
              <w:rPr>
                <w:b w:val="0"/>
                <w:bCs w:val="0"/>
                <w:sz w:val="24"/>
                <w:szCs w:val="24"/>
              </w:rPr>
            </w:pPr>
            <w:r w:rsidRPr="3FBB2051">
              <w:rPr>
                <w:rFonts w:ascii="Times New Roman" w:eastAsia="Times New Roman" w:hAnsi="Times New Roman" w:cs="Times New Roman"/>
                <w:b w:val="0"/>
                <w:bCs w:val="0"/>
                <w:sz w:val="24"/>
                <w:szCs w:val="24"/>
              </w:rPr>
              <w:t>Working mothers</w:t>
            </w:r>
          </w:p>
        </w:tc>
        <w:tc>
          <w:tcPr>
            <w:tcW w:w="4410" w:type="dxa"/>
          </w:tcPr>
          <w:p w14:paraId="4175180D" w14:textId="7F4572A5" w:rsidR="3E46ABA7" w:rsidRDefault="3FBB2051" w:rsidP="3FBB2051">
            <w:pPr>
              <w:pStyle w:val="ListParagraph"/>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3FBB2051">
              <w:rPr>
                <w:rFonts w:ascii="Times New Roman" w:eastAsia="Times New Roman" w:hAnsi="Times New Roman" w:cs="Times New Roman"/>
                <w:sz w:val="24"/>
                <w:szCs w:val="24"/>
              </w:rPr>
              <w:t>Teleworkers</w:t>
            </w:r>
          </w:p>
        </w:tc>
      </w:tr>
      <w:tr w:rsidR="3E46ABA7" w14:paraId="7E5633DC" w14:textId="77777777" w:rsidTr="3FBB2051">
        <w:tc>
          <w:tcPr>
            <w:cnfStyle w:val="001000000000" w:firstRow="0" w:lastRow="0" w:firstColumn="1" w:lastColumn="0" w:oddVBand="0" w:evenVBand="0" w:oddHBand="0" w:evenHBand="0" w:firstRowFirstColumn="0" w:firstRowLastColumn="0" w:lastRowFirstColumn="0" w:lastRowLastColumn="0"/>
            <w:tcW w:w="8490" w:type="dxa"/>
            <w:gridSpan w:val="2"/>
          </w:tcPr>
          <w:p w14:paraId="36DD6C90" w14:textId="595D3F00" w:rsidR="3E46ABA7" w:rsidRDefault="3FBB2051" w:rsidP="3FBB2051">
            <w:pPr>
              <w:pStyle w:val="ListParagraph"/>
              <w:numPr>
                <w:ilvl w:val="0"/>
                <w:numId w:val="9"/>
              </w:numPr>
              <w:spacing w:line="360" w:lineRule="auto"/>
              <w:jc w:val="both"/>
              <w:rPr>
                <w:b w:val="0"/>
                <w:bCs w:val="0"/>
                <w:sz w:val="24"/>
                <w:szCs w:val="24"/>
              </w:rPr>
            </w:pPr>
            <w:r w:rsidRPr="3FBB2051">
              <w:rPr>
                <w:rFonts w:ascii="Times New Roman" w:eastAsia="Times New Roman" w:hAnsi="Times New Roman" w:cs="Times New Roman"/>
                <w:b w:val="0"/>
                <w:bCs w:val="0"/>
                <w:sz w:val="24"/>
                <w:szCs w:val="24"/>
              </w:rPr>
              <w:t>Lesbian, gay, bisexual and transgender employees (LGBTs)</w:t>
            </w:r>
          </w:p>
        </w:tc>
      </w:tr>
    </w:tbl>
    <w:p w14:paraId="746742D4" w14:textId="519B18E7" w:rsidR="6D88E91F" w:rsidRDefault="6D88E91F" w:rsidP="3FBB2051">
      <w:pPr>
        <w:spacing w:line="360" w:lineRule="auto"/>
        <w:rPr>
          <w:rFonts w:ascii="Times New Roman" w:eastAsia="Times New Roman" w:hAnsi="Times New Roman" w:cs="Times New Roman"/>
          <w:sz w:val="24"/>
          <w:szCs w:val="24"/>
        </w:rPr>
      </w:pPr>
    </w:p>
    <w:p w14:paraId="00ADED73" w14:textId="7DBBB6FD" w:rsidR="6D88E91F" w:rsidRDefault="3FBB2051" w:rsidP="3FBB2051">
      <w:pPr>
        <w:spacing w:line="360" w:lineRule="auto"/>
        <w:jc w:val="both"/>
        <w:rPr>
          <w:rFonts w:ascii="Times New Roman" w:eastAsia="Times New Roman" w:hAnsi="Times New Roman" w:cs="Times New Roman"/>
          <w:color w:val="222222"/>
          <w:sz w:val="24"/>
          <w:szCs w:val="24"/>
        </w:rPr>
      </w:pPr>
      <w:r w:rsidRPr="3FBB2051">
        <w:rPr>
          <w:rFonts w:ascii="Times New Roman" w:eastAsia="Times New Roman" w:hAnsi="Times New Roman" w:cs="Times New Roman"/>
          <w:sz w:val="24"/>
          <w:szCs w:val="24"/>
        </w:rPr>
        <w:t xml:space="preserve">At Aetna, each community and ethnic group is embraced for its efforts to the organization that </w:t>
      </w:r>
      <w:proofErr w:type="spellStart"/>
      <w:r w:rsidRPr="3FBB2051">
        <w:rPr>
          <w:rFonts w:ascii="Times New Roman" w:eastAsia="Times New Roman" w:hAnsi="Times New Roman" w:cs="Times New Roman"/>
          <w:sz w:val="24"/>
          <w:szCs w:val="24"/>
        </w:rPr>
        <w:t>DiversityInc</w:t>
      </w:r>
      <w:proofErr w:type="spellEnd"/>
      <w:r w:rsidRPr="3FBB2051">
        <w:rPr>
          <w:rFonts w:ascii="Times New Roman" w:eastAsia="Times New Roman" w:hAnsi="Times New Roman" w:cs="Times New Roman"/>
          <w:sz w:val="24"/>
          <w:szCs w:val="24"/>
        </w:rPr>
        <w:t xml:space="preserve"> (2018) recognized Aetna among top 30 diversity companies by the Diversity best practices Inclusion Index of 2018. The BAME or minority groups are also recognized for business practices and strategies at the corporate level. Considering HR equality index related to LGBTs, the Human Right Campaign Foundation (2017) made Aetna as a benchmark of diversity policies and practices among other corporate companies and Top employer as LGBT friendly by Black EOE Journal. Moreover, the foundation has awarded $2.25M to the racial and ethnic disparities. Till date, Aetna has maintained considerable HR practices for two diversity groups: Ethnicity and </w:t>
      </w:r>
      <w:r w:rsidRPr="3FBB2051">
        <w:rPr>
          <w:rFonts w:ascii="Times New Roman" w:eastAsia="Times New Roman" w:hAnsi="Times New Roman" w:cs="Times New Roman"/>
          <w:sz w:val="24"/>
          <w:szCs w:val="24"/>
        </w:rPr>
        <w:lastRenderedPageBreak/>
        <w:t xml:space="preserve">LGBTs. This business report focuses on its further advancements and provide dimensions to the future policies and practices in order to sustain its position in the current market race. As suggested by </w:t>
      </w:r>
      <w:r w:rsidRPr="3FBB2051">
        <w:rPr>
          <w:rFonts w:ascii="Times New Roman" w:eastAsia="Times New Roman" w:hAnsi="Times New Roman" w:cs="Times New Roman"/>
          <w:color w:val="222222"/>
          <w:sz w:val="24"/>
          <w:szCs w:val="24"/>
        </w:rPr>
        <w:t>Sharma (2016), it is the HR domain of every organization that manage diversity at its best through informed documentation and implementation of policies on it, and act to remove cultural barriers that hinder the equality. Following is the population ratio of LGBT and Ethnic at Aetna:</w:t>
      </w:r>
    </w:p>
    <w:p w14:paraId="712BA1D3" w14:textId="68E94A96" w:rsidR="6D88E91F" w:rsidRDefault="3FBB2051" w:rsidP="3FBB2051">
      <w:pPr>
        <w:pStyle w:val="ListParagraph"/>
        <w:numPr>
          <w:ilvl w:val="0"/>
          <w:numId w:val="5"/>
        </w:numPr>
        <w:spacing w:line="360" w:lineRule="auto"/>
        <w:rPr>
          <w:b/>
          <w:bCs/>
          <w:sz w:val="24"/>
          <w:szCs w:val="24"/>
        </w:rPr>
      </w:pPr>
      <w:r w:rsidRPr="3FBB2051">
        <w:rPr>
          <w:rFonts w:ascii="Times New Roman" w:eastAsia="Times New Roman" w:hAnsi="Times New Roman" w:cs="Times New Roman"/>
          <w:b/>
          <w:bCs/>
          <w:sz w:val="24"/>
          <w:szCs w:val="24"/>
        </w:rPr>
        <w:t xml:space="preserve">LGBT </w:t>
      </w:r>
    </w:p>
    <w:p w14:paraId="6D31549C" w14:textId="343A5CD1" w:rsidR="6D88E91F" w:rsidRDefault="3FBB2051" w:rsidP="3FBB2051">
      <w:pPr>
        <w:spacing w:line="360" w:lineRule="auto"/>
        <w:jc w:val="both"/>
        <w:rPr>
          <w:rFonts w:ascii="Times New Roman" w:eastAsia="Times New Roman" w:hAnsi="Times New Roman" w:cs="Times New Roman"/>
          <w:sz w:val="24"/>
          <w:szCs w:val="24"/>
        </w:rPr>
      </w:pPr>
      <w:r w:rsidRPr="3FBB2051">
        <w:rPr>
          <w:rFonts w:ascii="Times New Roman" w:eastAsia="Times New Roman" w:hAnsi="Times New Roman" w:cs="Times New Roman"/>
          <w:sz w:val="24"/>
          <w:szCs w:val="24"/>
        </w:rPr>
        <w:t xml:space="preserve">According to the latest index, 3% of total employees at Aetna identified themselves as LGBT community (Aetna, 2013) while the index was 5% by the year 2008 (Arroyo, 2009). This mentions a certain decline in the population rate and point outs for further advancement for this sector. </w:t>
      </w:r>
    </w:p>
    <w:p w14:paraId="6E3EBDB8" w14:textId="7D776AB3" w:rsidR="183874A8" w:rsidRDefault="183874A8" w:rsidP="3FBB2051">
      <w:pPr>
        <w:spacing w:line="360" w:lineRule="auto"/>
        <w:jc w:val="center"/>
      </w:pPr>
      <w:r>
        <w:rPr>
          <w:noProof/>
        </w:rPr>
        <w:drawing>
          <wp:inline distT="0" distB="0" distL="0" distR="0" wp14:anchorId="2BD34784" wp14:editId="74CF075B">
            <wp:extent cx="4572000" cy="2933700"/>
            <wp:effectExtent l="0" t="0" r="0" b="0"/>
            <wp:docPr id="557159679" name="Picture 557159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933700"/>
                    </a:xfrm>
                    <a:prstGeom prst="rect">
                      <a:avLst/>
                    </a:prstGeom>
                  </pic:spPr>
                </pic:pic>
              </a:graphicData>
            </a:graphic>
          </wp:inline>
        </w:drawing>
      </w:r>
    </w:p>
    <w:p w14:paraId="1C4D4DA5" w14:textId="4EFD8BD8" w:rsidR="07C6730F" w:rsidRDefault="3FBB2051" w:rsidP="3FBB2051">
      <w:pPr>
        <w:pStyle w:val="Subtitle"/>
        <w:spacing w:line="360" w:lineRule="auto"/>
        <w:jc w:val="center"/>
        <w:rPr>
          <w:rFonts w:ascii="Times New Roman" w:eastAsia="Times New Roman" w:hAnsi="Times New Roman" w:cs="Times New Roman"/>
          <w:i/>
          <w:iCs/>
          <w:color w:val="auto"/>
          <w:sz w:val="24"/>
          <w:szCs w:val="24"/>
        </w:rPr>
      </w:pPr>
      <w:r w:rsidRPr="3FBB2051">
        <w:rPr>
          <w:rFonts w:ascii="Times New Roman" w:eastAsia="Times New Roman" w:hAnsi="Times New Roman" w:cs="Times New Roman"/>
          <w:i/>
          <w:iCs/>
          <w:color w:val="auto"/>
          <w:sz w:val="24"/>
          <w:szCs w:val="24"/>
        </w:rPr>
        <w:t>Figure 5: Decline in the Demographic of LGBTs at Aetna (2008 – 2013)</w:t>
      </w:r>
    </w:p>
    <w:p w14:paraId="584720A5" w14:textId="0D107A58" w:rsidR="6D88E91F" w:rsidRDefault="3FBB2051" w:rsidP="3FBB2051">
      <w:pPr>
        <w:pStyle w:val="ListParagraph"/>
        <w:numPr>
          <w:ilvl w:val="0"/>
          <w:numId w:val="6"/>
        </w:numPr>
        <w:spacing w:line="360" w:lineRule="auto"/>
        <w:rPr>
          <w:sz w:val="24"/>
          <w:szCs w:val="24"/>
        </w:rPr>
      </w:pPr>
      <w:r w:rsidRPr="3FBB2051">
        <w:rPr>
          <w:rFonts w:ascii="Times New Roman" w:eastAsia="Times New Roman" w:hAnsi="Times New Roman" w:cs="Times New Roman"/>
          <w:b/>
          <w:bCs/>
          <w:sz w:val="24"/>
          <w:szCs w:val="24"/>
        </w:rPr>
        <w:t>Race and ethnicity</w:t>
      </w:r>
    </w:p>
    <w:p w14:paraId="6408A9E0" w14:textId="162A47F0" w:rsidR="07C6730F" w:rsidRDefault="3189B049" w:rsidP="3FBB2051">
      <w:pPr>
        <w:spacing w:line="360" w:lineRule="auto"/>
        <w:jc w:val="both"/>
        <w:rPr>
          <w:rFonts w:ascii="Times New Roman" w:eastAsia="Times New Roman" w:hAnsi="Times New Roman" w:cs="Times New Roman"/>
          <w:sz w:val="24"/>
          <w:szCs w:val="24"/>
        </w:rPr>
      </w:pPr>
      <w:r w:rsidRPr="3189B049">
        <w:rPr>
          <w:rFonts w:ascii="Times New Roman" w:eastAsia="Times New Roman" w:hAnsi="Times New Roman" w:cs="Times New Roman"/>
          <w:sz w:val="24"/>
          <w:szCs w:val="24"/>
        </w:rPr>
        <w:t xml:space="preserve">At Aetna, 32% of the total population represents people of color; belonging to various ethnic communities and minority groups. Among these employees, 15% successfully occupy the management or top supervisory positions. Also, 11% are the leaders heading their sub-ordinates. Aetna proudly represents 23% of its board directors belonging to different race and ethnic groups. </w:t>
      </w:r>
      <w:r w:rsidRPr="3189B049">
        <w:rPr>
          <w:rFonts w:ascii="Times New Roman" w:eastAsia="Times New Roman" w:hAnsi="Times New Roman" w:cs="Times New Roman"/>
          <w:sz w:val="24"/>
          <w:szCs w:val="24"/>
        </w:rPr>
        <w:lastRenderedPageBreak/>
        <w:t>The agenda of recruitment was further advan</w:t>
      </w:r>
      <w:r w:rsidR="07C6730F">
        <w:rPr>
          <w:noProof/>
        </w:rPr>
        <w:drawing>
          <wp:anchor distT="0" distB="0" distL="114300" distR="114300" simplePos="0" relativeHeight="251658240" behindDoc="0" locked="0" layoutInCell="1" allowOverlap="1" wp14:anchorId="0C7937D3" wp14:editId="60EB4AA3">
            <wp:simplePos x="0" y="0"/>
            <wp:positionH relativeFrom="column">
              <wp:align>right</wp:align>
            </wp:positionH>
            <wp:positionV relativeFrom="paragraph">
              <wp:posOffset>0</wp:posOffset>
            </wp:positionV>
            <wp:extent cx="3314700" cy="4514850"/>
            <wp:effectExtent l="0" t="0" r="0" b="0"/>
            <wp:wrapSquare wrapText="bothSides"/>
            <wp:docPr id="60579217" name="Picture 60579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314700" cy="4514850"/>
                    </a:xfrm>
                    <a:prstGeom prst="rect">
                      <a:avLst/>
                    </a:prstGeom>
                  </pic:spPr>
                </pic:pic>
              </a:graphicData>
            </a:graphic>
            <wp14:sizeRelH relativeFrom="page">
              <wp14:pctWidth>0</wp14:pctWidth>
            </wp14:sizeRelH>
            <wp14:sizeRelV relativeFrom="page">
              <wp14:pctHeight>0</wp14:pctHeight>
            </wp14:sizeRelV>
          </wp:anchor>
        </w:drawing>
      </w:r>
      <w:r w:rsidRPr="3189B049">
        <w:rPr>
          <w:rFonts w:ascii="Times New Roman" w:eastAsia="Times New Roman" w:hAnsi="Times New Roman" w:cs="Times New Roman"/>
          <w:sz w:val="24"/>
          <w:szCs w:val="24"/>
        </w:rPr>
        <w:t xml:space="preserve">ced in 2008 by hiring ethnic people in bulk that gives out a total of 46% of the newly hired ratio to total hired employees that year (Arroyo, 2009). However, this index has also decreased in the latest index report of Aetna (2013), the total population has fall to 31%, 17% representation in Board of members while 37% in recruitment drive. Therefore, it may become a challenge to Aetna in future to lead its position among top thirty U.S. organizations of diversity. </w:t>
      </w:r>
    </w:p>
    <w:p w14:paraId="1F51CAD2" w14:textId="610ED298" w:rsidR="229EED8F" w:rsidRDefault="3FBB2051" w:rsidP="3FBB2051">
      <w:pPr>
        <w:pStyle w:val="Subtitle"/>
        <w:spacing w:line="360" w:lineRule="auto"/>
        <w:jc w:val="center"/>
        <w:rPr>
          <w:rFonts w:ascii="Times New Roman" w:eastAsia="Times New Roman" w:hAnsi="Times New Roman" w:cs="Times New Roman"/>
          <w:i/>
          <w:iCs/>
          <w:color w:val="auto"/>
          <w:sz w:val="24"/>
          <w:szCs w:val="24"/>
        </w:rPr>
      </w:pPr>
      <w:r w:rsidRPr="3FBB2051">
        <w:rPr>
          <w:rFonts w:ascii="Times New Roman" w:eastAsia="Times New Roman" w:hAnsi="Times New Roman" w:cs="Times New Roman"/>
          <w:i/>
          <w:iCs/>
          <w:color w:val="auto"/>
          <w:sz w:val="24"/>
          <w:szCs w:val="24"/>
        </w:rPr>
        <w:t>Figure 6: Decline in the Demographic of Race &amp; Ethnicity at Aetna (2008 – 2013)</w:t>
      </w:r>
    </w:p>
    <w:p w14:paraId="04725CB2" w14:textId="266A12C7" w:rsidR="6D88E91F" w:rsidRDefault="183874A8" w:rsidP="183874A8">
      <w:pPr>
        <w:pStyle w:val="Heading2"/>
        <w:spacing w:line="360" w:lineRule="auto"/>
        <w:jc w:val="both"/>
        <w:rPr>
          <w:rFonts w:ascii="Times New Roman" w:eastAsia="Times New Roman" w:hAnsi="Times New Roman" w:cs="Times New Roman"/>
          <w:b/>
          <w:bCs/>
          <w:color w:val="000000" w:themeColor="text1"/>
          <w:sz w:val="28"/>
          <w:szCs w:val="28"/>
        </w:rPr>
      </w:pPr>
      <w:bookmarkStart w:id="7" w:name="_Toc27840227"/>
      <w:r w:rsidRPr="183874A8">
        <w:rPr>
          <w:rFonts w:ascii="Times New Roman" w:eastAsia="Times New Roman" w:hAnsi="Times New Roman" w:cs="Times New Roman"/>
          <w:b/>
          <w:bCs/>
          <w:color w:val="000000" w:themeColor="text1"/>
          <w:sz w:val="28"/>
          <w:szCs w:val="28"/>
        </w:rPr>
        <w:t>Current Policies and Strategies of Aetna towards the Diversity of LGBTs and Ethnic Minorities</w:t>
      </w:r>
      <w:bookmarkEnd w:id="7"/>
    </w:p>
    <w:p w14:paraId="4D64DAF3" w14:textId="4C791B4D" w:rsidR="183874A8" w:rsidRDefault="3FBB2051" w:rsidP="3FBB2051">
      <w:pPr>
        <w:spacing w:line="360" w:lineRule="auto"/>
        <w:jc w:val="both"/>
        <w:rPr>
          <w:rFonts w:ascii="Arial" w:eastAsia="Arial" w:hAnsi="Arial" w:cs="Arial"/>
          <w:sz w:val="20"/>
          <w:szCs w:val="20"/>
        </w:rPr>
      </w:pPr>
      <w:r w:rsidRPr="3FBB2051">
        <w:rPr>
          <w:rFonts w:ascii="Times New Roman" w:eastAsia="Times New Roman" w:hAnsi="Times New Roman" w:cs="Times New Roman"/>
          <w:color w:val="000000" w:themeColor="text1"/>
          <w:sz w:val="24"/>
          <w:szCs w:val="24"/>
        </w:rPr>
        <w:t>The current organizational culture of Aetna promotes development of employees with inclusion of support to the diversity initiatives at the corporate level, as stated by Aetna (2015). This also helps the organization to eliminate discrimination factor and increase the representation of minority or globalized communities (</w:t>
      </w:r>
      <w:r w:rsidRPr="3FBB2051">
        <w:rPr>
          <w:rFonts w:ascii="Times New Roman" w:eastAsia="Times New Roman" w:hAnsi="Times New Roman" w:cs="Times New Roman"/>
          <w:color w:val="222222"/>
          <w:sz w:val="24"/>
          <w:szCs w:val="24"/>
        </w:rPr>
        <w:t>Scroggins &amp; Benson, 2010)</w:t>
      </w:r>
      <w:r w:rsidRPr="3FBB2051">
        <w:rPr>
          <w:rFonts w:ascii="Times New Roman" w:eastAsia="Times New Roman" w:hAnsi="Times New Roman" w:cs="Times New Roman"/>
          <w:color w:val="000000" w:themeColor="text1"/>
          <w:sz w:val="24"/>
          <w:szCs w:val="24"/>
        </w:rPr>
        <w:t>. The values at Aetna respects integrity, excellence, motivation and care for each of its employee which is also referred as the ‘</w:t>
      </w:r>
      <w:r w:rsidRPr="3FBB2051">
        <w:rPr>
          <w:rFonts w:ascii="Times New Roman" w:eastAsia="Times New Roman" w:hAnsi="Times New Roman" w:cs="Times New Roman"/>
          <w:b/>
          <w:bCs/>
          <w:i/>
          <w:iCs/>
          <w:color w:val="000000" w:themeColor="text1"/>
          <w:sz w:val="24"/>
          <w:szCs w:val="24"/>
        </w:rPr>
        <w:t>Aetna Way</w:t>
      </w:r>
      <w:r w:rsidRPr="3FBB2051">
        <w:rPr>
          <w:rFonts w:ascii="Times New Roman" w:eastAsia="Times New Roman" w:hAnsi="Times New Roman" w:cs="Times New Roman"/>
          <w:color w:val="000000" w:themeColor="text1"/>
          <w:sz w:val="24"/>
          <w:szCs w:val="24"/>
        </w:rPr>
        <w:t>’. To elaborate this strategy further, organizational culture is developed in such a way that integrity is maintained for every employee, teaching a well-built sense of ethics in an environment friendly way. Diversified human resource of Aetna is nurtured in a motivated firm-environment that stimulates innovative and suitable solutions, making its manpower a competitive edge of future talent. Excellence attained through self-motivated employee engagement and accountability also helps to give a positive impact of care and respect as a priority (</w:t>
      </w:r>
      <w:r w:rsidRPr="3FBB2051">
        <w:rPr>
          <w:rFonts w:ascii="Times New Roman" w:eastAsia="Times New Roman" w:hAnsi="Times New Roman" w:cs="Times New Roman"/>
          <w:sz w:val="24"/>
          <w:szCs w:val="24"/>
        </w:rPr>
        <w:t>Arroyo, 2009)</w:t>
      </w:r>
      <w:r w:rsidRPr="3FBB2051">
        <w:rPr>
          <w:rFonts w:ascii="Times New Roman" w:eastAsia="Times New Roman" w:hAnsi="Times New Roman" w:cs="Times New Roman"/>
          <w:color w:val="000000" w:themeColor="text1"/>
          <w:sz w:val="24"/>
          <w:szCs w:val="24"/>
        </w:rPr>
        <w:t>.</w:t>
      </w:r>
    </w:p>
    <w:p w14:paraId="7D61A8A6" w14:textId="25FF1AF1" w:rsidR="183874A8" w:rsidRDefault="3FBB2051" w:rsidP="3FBB2051">
      <w:pPr>
        <w:spacing w:line="360" w:lineRule="auto"/>
        <w:jc w:val="both"/>
        <w:rPr>
          <w:rFonts w:ascii="Times New Roman" w:eastAsia="Times New Roman" w:hAnsi="Times New Roman" w:cs="Times New Roman"/>
          <w:sz w:val="24"/>
          <w:szCs w:val="24"/>
        </w:rPr>
      </w:pPr>
      <w:r w:rsidRPr="3FBB2051">
        <w:rPr>
          <w:rFonts w:ascii="Times New Roman" w:eastAsia="Times New Roman" w:hAnsi="Times New Roman" w:cs="Times New Roman"/>
          <w:color w:val="000000" w:themeColor="text1"/>
          <w:sz w:val="24"/>
          <w:szCs w:val="24"/>
        </w:rPr>
        <w:lastRenderedPageBreak/>
        <w:t>Another strategy of Aetna includes ‘</w:t>
      </w:r>
      <w:r w:rsidRPr="3FBB2051">
        <w:rPr>
          <w:rFonts w:ascii="Times New Roman" w:eastAsia="Times New Roman" w:hAnsi="Times New Roman" w:cs="Times New Roman"/>
          <w:b/>
          <w:bCs/>
          <w:i/>
          <w:iCs/>
          <w:color w:val="000000" w:themeColor="text1"/>
          <w:sz w:val="24"/>
          <w:szCs w:val="24"/>
        </w:rPr>
        <w:t>Identifying Trends early and Implement it</w:t>
      </w:r>
      <w:r w:rsidRPr="3FBB2051">
        <w:rPr>
          <w:rFonts w:ascii="Times New Roman" w:eastAsia="Times New Roman" w:hAnsi="Times New Roman" w:cs="Times New Roman"/>
          <w:i/>
          <w:iCs/>
          <w:color w:val="000000" w:themeColor="text1"/>
          <w:sz w:val="24"/>
          <w:szCs w:val="24"/>
        </w:rPr>
        <w:t xml:space="preserve">’ </w:t>
      </w:r>
      <w:r w:rsidRPr="3FBB2051">
        <w:rPr>
          <w:rFonts w:ascii="Times New Roman" w:eastAsia="Times New Roman" w:hAnsi="Times New Roman" w:cs="Times New Roman"/>
          <w:color w:val="000000" w:themeColor="text1"/>
          <w:sz w:val="24"/>
          <w:szCs w:val="24"/>
        </w:rPr>
        <w:t xml:space="preserve">in its policies, practice and culture (Investor Conference, 2014). The direction of recruiting and managing employee's diversity in an organization strategically at the corporate level was first identified by </w:t>
      </w:r>
      <w:r w:rsidRPr="3FBB2051">
        <w:rPr>
          <w:rFonts w:ascii="Times New Roman" w:eastAsia="Times New Roman" w:hAnsi="Times New Roman" w:cs="Times New Roman"/>
          <w:color w:val="222222"/>
          <w:sz w:val="24"/>
          <w:szCs w:val="24"/>
        </w:rPr>
        <w:t>Grogan &amp; Eshelman (1998), that was implemented in Aetna’s strategies and policies before 2003 (Aetna, 2019a). The commitment to diversity in strategy and policy was strengthened when the company undertook it in its all aspects of business values: man force, customers, services, networks, suppliers and offered products. As stated, ‘</w:t>
      </w:r>
      <w:r w:rsidRPr="3FBB2051">
        <w:rPr>
          <w:rFonts w:ascii="Times New Roman" w:eastAsia="Times New Roman" w:hAnsi="Times New Roman" w:cs="Times New Roman"/>
          <w:i/>
          <w:iCs/>
          <w:sz w:val="24"/>
          <w:szCs w:val="24"/>
        </w:rPr>
        <w:t>Aetna will be the industry leader in the diverse marketplace</w:t>
      </w:r>
      <w:r w:rsidRPr="3FBB2051">
        <w:rPr>
          <w:rFonts w:ascii="Times New Roman" w:eastAsia="Times New Roman" w:hAnsi="Times New Roman" w:cs="Times New Roman"/>
          <w:sz w:val="24"/>
          <w:szCs w:val="24"/>
        </w:rPr>
        <w:t xml:space="preserve">’ that will offer best-suited services to the customers all across the globe. To achieve this mission, diverse supplier base, globalized workforce and fostered culture of diversified talent pool was contributed (Aetna, 2019b). In the current business report, LGBTs and Ethnic minorities (BAME) are considered upon which an extended work has been progressed and recognized internationally (Aetna, 2019c) but the decline in their demographics (Figure 5 and 6) calls for some novel diversity initiatives, advancement in the present policies, better strategies aligned with new trends of diversity and a scope uniquely defined for minority groups: LGBT and BAME employees. </w:t>
      </w:r>
    </w:p>
    <w:p w14:paraId="467759C7" w14:textId="23717E44" w:rsidR="183874A8" w:rsidRDefault="3FBB2051" w:rsidP="3FBB2051">
      <w:pPr>
        <w:pStyle w:val="Heading1"/>
        <w:spacing w:line="360" w:lineRule="auto"/>
        <w:jc w:val="both"/>
        <w:rPr>
          <w:rFonts w:ascii="Times New Roman" w:eastAsia="Times New Roman" w:hAnsi="Times New Roman" w:cs="Times New Roman"/>
          <w:b/>
          <w:bCs/>
          <w:color w:val="auto"/>
        </w:rPr>
      </w:pPr>
      <w:bookmarkStart w:id="8" w:name="_Toc27840228"/>
      <w:r w:rsidRPr="3FBB2051">
        <w:rPr>
          <w:rFonts w:ascii="Times New Roman" w:eastAsia="Times New Roman" w:hAnsi="Times New Roman" w:cs="Times New Roman"/>
          <w:b/>
          <w:bCs/>
          <w:color w:val="auto"/>
        </w:rPr>
        <w:t>Analysis and Comparison of Aetna’s Diversity policies for Ethnic and LGBTs</w:t>
      </w:r>
      <w:bookmarkEnd w:id="8"/>
      <w:r w:rsidRPr="3FBB2051">
        <w:rPr>
          <w:rFonts w:ascii="Times New Roman" w:eastAsia="Times New Roman" w:hAnsi="Times New Roman" w:cs="Times New Roman"/>
          <w:b/>
          <w:bCs/>
          <w:color w:val="auto"/>
        </w:rPr>
        <w:t xml:space="preserve"> </w:t>
      </w:r>
    </w:p>
    <w:p w14:paraId="166842AE" w14:textId="29499E20" w:rsidR="183874A8" w:rsidRDefault="3FBB2051" w:rsidP="3FBB2051">
      <w:pPr>
        <w:spacing w:line="360" w:lineRule="auto"/>
        <w:jc w:val="both"/>
        <w:rPr>
          <w:rFonts w:ascii="Times New Roman" w:eastAsia="Times New Roman" w:hAnsi="Times New Roman" w:cs="Times New Roman"/>
          <w:sz w:val="24"/>
          <w:szCs w:val="24"/>
        </w:rPr>
      </w:pPr>
      <w:r w:rsidRPr="3FBB2051">
        <w:rPr>
          <w:rFonts w:ascii="Times New Roman" w:eastAsia="Times New Roman" w:hAnsi="Times New Roman" w:cs="Times New Roman"/>
          <w:sz w:val="24"/>
          <w:szCs w:val="24"/>
        </w:rPr>
        <w:t xml:space="preserve">Through a recent research on the new trends of diversity regarding policies and strategies for ethnicity and LGBTs, several dimensions are identified that needs to be inculcate in future. These dimensions refer to new initiatives, augmentation programs and trainings for sustaining in the market race of competitive advantage at international level. It has been stated that other than having just a status of “accept and welcome them into the workplace”, these dimensions now force the organizations to build strategies for it (Ng &amp; Rumens, 2017; </w:t>
      </w:r>
      <w:proofErr w:type="spellStart"/>
      <w:r w:rsidRPr="3FBB2051">
        <w:rPr>
          <w:rFonts w:ascii="Times New Roman" w:eastAsia="Times New Roman" w:hAnsi="Times New Roman" w:cs="Times New Roman"/>
          <w:sz w:val="24"/>
          <w:szCs w:val="24"/>
        </w:rPr>
        <w:t>Hur</w:t>
      </w:r>
      <w:proofErr w:type="spellEnd"/>
      <w:r w:rsidRPr="3FBB2051">
        <w:rPr>
          <w:rFonts w:ascii="Times New Roman" w:eastAsia="Times New Roman" w:hAnsi="Times New Roman" w:cs="Times New Roman"/>
          <w:sz w:val="24"/>
          <w:szCs w:val="24"/>
        </w:rPr>
        <w:t xml:space="preserve">, 2019; </w:t>
      </w:r>
      <w:proofErr w:type="spellStart"/>
      <w:r w:rsidRPr="3FBB2051">
        <w:rPr>
          <w:rFonts w:ascii="Times New Roman" w:eastAsia="Times New Roman" w:hAnsi="Times New Roman" w:cs="Times New Roman"/>
          <w:sz w:val="24"/>
          <w:szCs w:val="24"/>
        </w:rPr>
        <w:t>Rengers</w:t>
      </w:r>
      <w:proofErr w:type="spellEnd"/>
      <w:r w:rsidRPr="3FBB2051">
        <w:rPr>
          <w:rFonts w:ascii="Times New Roman" w:eastAsia="Times New Roman" w:hAnsi="Times New Roman" w:cs="Times New Roman"/>
          <w:sz w:val="24"/>
          <w:szCs w:val="24"/>
        </w:rPr>
        <w:t xml:space="preserve"> </w:t>
      </w:r>
      <w:r w:rsidRPr="3FBB2051">
        <w:rPr>
          <w:rFonts w:ascii="Times New Roman" w:eastAsia="Times New Roman" w:hAnsi="Times New Roman" w:cs="Times New Roman"/>
          <w:i/>
          <w:iCs/>
          <w:sz w:val="24"/>
          <w:szCs w:val="24"/>
        </w:rPr>
        <w:t>et al.</w:t>
      </w:r>
      <w:r w:rsidRPr="3FBB2051">
        <w:rPr>
          <w:rFonts w:ascii="Times New Roman" w:eastAsia="Times New Roman" w:hAnsi="Times New Roman" w:cs="Times New Roman"/>
          <w:sz w:val="24"/>
          <w:szCs w:val="24"/>
        </w:rPr>
        <w:t>, 2019). Contrarily, organization will not only fail to achieve its position among top, but also other factors may affect it potentially such as: miscommunication, dysfunctional adaptation attitudes, employee satisfaction and creation of visible or invisible barriers (</w:t>
      </w:r>
      <w:r w:rsidRPr="3FBB2051">
        <w:rPr>
          <w:rFonts w:ascii="Times New Roman" w:eastAsia="Times New Roman" w:hAnsi="Times New Roman" w:cs="Times New Roman"/>
          <w:color w:val="222222"/>
          <w:sz w:val="24"/>
          <w:szCs w:val="24"/>
        </w:rPr>
        <w:t xml:space="preserve">Hunt </w:t>
      </w:r>
      <w:r w:rsidRPr="3FBB2051">
        <w:rPr>
          <w:rFonts w:ascii="Times New Roman" w:eastAsia="Times New Roman" w:hAnsi="Times New Roman" w:cs="Times New Roman"/>
          <w:i/>
          <w:iCs/>
          <w:color w:val="222222"/>
          <w:sz w:val="24"/>
          <w:szCs w:val="24"/>
        </w:rPr>
        <w:t>et al</w:t>
      </w:r>
      <w:r w:rsidRPr="3FBB2051">
        <w:rPr>
          <w:rFonts w:ascii="Times New Roman" w:eastAsia="Times New Roman" w:hAnsi="Times New Roman" w:cs="Times New Roman"/>
          <w:color w:val="222222"/>
          <w:sz w:val="24"/>
          <w:szCs w:val="24"/>
        </w:rPr>
        <w:t>., 2015)</w:t>
      </w:r>
      <w:r w:rsidRPr="3FBB2051">
        <w:rPr>
          <w:rFonts w:ascii="Times New Roman" w:eastAsia="Times New Roman" w:hAnsi="Times New Roman" w:cs="Times New Roman"/>
          <w:sz w:val="24"/>
          <w:szCs w:val="24"/>
        </w:rPr>
        <w:t xml:space="preserve">. In the light of this research, Aetna’s policies should be furnished comprising of the following postulates: </w:t>
      </w:r>
    </w:p>
    <w:p w14:paraId="61EC2484" w14:textId="53C89648" w:rsidR="6D88E91F" w:rsidRDefault="3FBB2051" w:rsidP="3FBB2051">
      <w:pPr>
        <w:pStyle w:val="Heading2"/>
        <w:numPr>
          <w:ilvl w:val="0"/>
          <w:numId w:val="3"/>
        </w:numPr>
        <w:spacing w:line="360" w:lineRule="auto"/>
        <w:rPr>
          <w:b/>
          <w:bCs/>
          <w:color w:val="000000" w:themeColor="text1"/>
        </w:rPr>
      </w:pPr>
      <w:bookmarkStart w:id="9" w:name="_Toc27840229"/>
      <w:r w:rsidRPr="3FBB2051">
        <w:rPr>
          <w:rFonts w:ascii="Times New Roman" w:eastAsia="Times New Roman" w:hAnsi="Times New Roman" w:cs="Times New Roman"/>
          <w:b/>
          <w:bCs/>
          <w:color w:val="auto"/>
        </w:rPr>
        <w:lastRenderedPageBreak/>
        <w:t>Address New Forms of Harassment</w:t>
      </w:r>
      <w:bookmarkEnd w:id="9"/>
      <w:r w:rsidRPr="3FBB2051">
        <w:rPr>
          <w:rFonts w:ascii="Times New Roman" w:eastAsia="Times New Roman" w:hAnsi="Times New Roman" w:cs="Times New Roman"/>
          <w:b/>
          <w:bCs/>
          <w:color w:val="auto"/>
        </w:rPr>
        <w:t xml:space="preserve"> </w:t>
      </w:r>
    </w:p>
    <w:p w14:paraId="0958A942" w14:textId="2408EC59" w:rsidR="6D88E91F" w:rsidRDefault="3FBB2051" w:rsidP="3FBB2051">
      <w:pPr>
        <w:spacing w:line="360" w:lineRule="auto"/>
        <w:jc w:val="both"/>
        <w:rPr>
          <w:rFonts w:ascii="Times New Roman" w:eastAsia="Times New Roman" w:hAnsi="Times New Roman" w:cs="Times New Roman"/>
          <w:sz w:val="24"/>
          <w:szCs w:val="24"/>
        </w:rPr>
      </w:pPr>
      <w:r w:rsidRPr="3FBB2051">
        <w:rPr>
          <w:rFonts w:ascii="Times New Roman" w:eastAsia="Times New Roman" w:hAnsi="Times New Roman" w:cs="Times New Roman"/>
          <w:sz w:val="24"/>
          <w:szCs w:val="24"/>
        </w:rPr>
        <w:t xml:space="preserve">For LGBTs and BAME groups, new forms of harassments are submitted at firm level such as </w:t>
      </w:r>
      <w:r w:rsidRPr="3FBB2051">
        <w:rPr>
          <w:rFonts w:ascii="Times New Roman" w:eastAsia="Times New Roman" w:hAnsi="Times New Roman" w:cs="Times New Roman"/>
          <w:color w:val="000000" w:themeColor="text1"/>
          <w:sz w:val="24"/>
          <w:szCs w:val="24"/>
        </w:rPr>
        <w:t xml:space="preserve">microaggressions and ostracism. Microaggression is the term used to define frustration, anger, hurt feelings, rage, powerlessness and </w:t>
      </w:r>
      <w:r w:rsidRPr="3FBB2051">
        <w:rPr>
          <w:rFonts w:ascii="Times New Roman" w:eastAsia="Times New Roman" w:hAnsi="Times New Roman" w:cs="Times New Roman"/>
          <w:sz w:val="24"/>
          <w:szCs w:val="24"/>
        </w:rPr>
        <w:t>alienation due to racial discrimination and proved worse than any other type of harassment</w:t>
      </w:r>
      <w:r w:rsidRPr="3FBB2051">
        <w:rPr>
          <w:rFonts w:ascii="Times New Roman" w:eastAsia="Times New Roman" w:hAnsi="Times New Roman" w:cs="Times New Roman"/>
          <w:color w:val="000000" w:themeColor="text1"/>
          <w:sz w:val="24"/>
          <w:szCs w:val="24"/>
        </w:rPr>
        <w:t xml:space="preserve">. It also includes comments passed harmlessly and reported as the most frequent type of harassment. Ostracism is the social exclusion or simply ignoring some individual due to his ethnic group or being different in sexual orientation (LGBTs). The negative impact of ostracism includes emotional pain, threat to </w:t>
      </w:r>
      <w:r w:rsidRPr="3FBB2051">
        <w:rPr>
          <w:rFonts w:ascii="Times New Roman" w:eastAsia="Times New Roman" w:hAnsi="Times New Roman" w:cs="Times New Roman"/>
          <w:sz w:val="24"/>
          <w:szCs w:val="24"/>
        </w:rPr>
        <w:t>psychological needs (self-esteem, control, respect, meaningful existence), depression, helplessness to the target individual</w:t>
      </w:r>
      <w:r w:rsidRPr="3FBB2051">
        <w:rPr>
          <w:rFonts w:ascii="Times New Roman" w:eastAsia="Times New Roman" w:hAnsi="Times New Roman" w:cs="Times New Roman"/>
          <w:color w:val="000000" w:themeColor="text1"/>
          <w:sz w:val="24"/>
          <w:szCs w:val="24"/>
        </w:rPr>
        <w:t xml:space="preserve"> (</w:t>
      </w:r>
      <w:proofErr w:type="spellStart"/>
      <w:r w:rsidRPr="3FBB2051">
        <w:rPr>
          <w:rFonts w:ascii="Times New Roman" w:eastAsia="Times New Roman" w:hAnsi="Times New Roman" w:cs="Times New Roman"/>
          <w:color w:val="222222"/>
          <w:sz w:val="24"/>
          <w:szCs w:val="24"/>
        </w:rPr>
        <w:t>DeSouza</w:t>
      </w:r>
      <w:proofErr w:type="spellEnd"/>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et al.</w:t>
      </w:r>
      <w:r w:rsidRPr="3FBB2051">
        <w:rPr>
          <w:rFonts w:ascii="Times New Roman" w:eastAsia="Times New Roman" w:hAnsi="Times New Roman" w:cs="Times New Roman"/>
          <w:color w:val="222222"/>
          <w:sz w:val="24"/>
          <w:szCs w:val="24"/>
        </w:rPr>
        <w:t>, 2019)</w:t>
      </w:r>
      <w:r w:rsidRPr="3FBB2051">
        <w:rPr>
          <w:rFonts w:ascii="Times New Roman" w:eastAsia="Times New Roman" w:hAnsi="Times New Roman" w:cs="Times New Roman"/>
          <w:sz w:val="24"/>
          <w:szCs w:val="24"/>
        </w:rPr>
        <w:t>. Unlike subtle and old-fashioned discrimination, these forms of harassment are invisible and more problematic to the victim. It can nullify the previous work-life balance environment and promote hostile conditions even in its early stages (Ng &amp; Rumens, 2017)</w:t>
      </w:r>
      <w:r w:rsidRPr="3FBB2051">
        <w:rPr>
          <w:rFonts w:ascii="Times New Roman" w:eastAsia="Times New Roman" w:hAnsi="Times New Roman" w:cs="Times New Roman"/>
          <w:color w:val="000000" w:themeColor="text1"/>
          <w:sz w:val="24"/>
          <w:szCs w:val="24"/>
        </w:rPr>
        <w:t>.</w:t>
      </w:r>
      <w:r w:rsidRPr="3FBB2051">
        <w:rPr>
          <w:rFonts w:ascii="Times New Roman" w:eastAsia="Times New Roman" w:hAnsi="Times New Roman" w:cs="Times New Roman"/>
          <w:sz w:val="24"/>
          <w:szCs w:val="24"/>
        </w:rPr>
        <w:t xml:space="preserve"> Therefore, Aetna needs to invest in s</w:t>
      </w:r>
      <w:r w:rsidRPr="3FBB2051">
        <w:rPr>
          <w:rFonts w:ascii="Times New Roman" w:eastAsia="Times New Roman" w:hAnsi="Times New Roman" w:cs="Times New Roman"/>
          <w:color w:val="000000" w:themeColor="text1"/>
          <w:sz w:val="24"/>
          <w:szCs w:val="24"/>
        </w:rPr>
        <w:t>uccessful intervention strategies to identify and overcome these new patterns of harassment.</w:t>
      </w:r>
    </w:p>
    <w:p w14:paraId="22672390" w14:textId="041A04E6" w:rsidR="6D88E91F" w:rsidRDefault="3FBB2051" w:rsidP="3FBB2051">
      <w:pPr>
        <w:pStyle w:val="Heading2"/>
        <w:numPr>
          <w:ilvl w:val="0"/>
          <w:numId w:val="3"/>
        </w:numPr>
        <w:spacing w:line="360" w:lineRule="auto"/>
        <w:rPr>
          <w:b/>
          <w:bCs/>
          <w:color w:val="000000" w:themeColor="text1"/>
        </w:rPr>
      </w:pPr>
      <w:bookmarkStart w:id="10" w:name="_Toc27840230"/>
      <w:r w:rsidRPr="3FBB2051">
        <w:rPr>
          <w:rFonts w:ascii="Times New Roman" w:eastAsia="Times New Roman" w:hAnsi="Times New Roman" w:cs="Times New Roman"/>
          <w:b/>
          <w:bCs/>
          <w:color w:val="auto"/>
        </w:rPr>
        <w:t>Control Invisible Threats to the Dignity of BAME and LGBT</w:t>
      </w:r>
      <w:bookmarkEnd w:id="10"/>
    </w:p>
    <w:p w14:paraId="6115A240" w14:textId="1DFB0F67" w:rsidR="6D88E91F" w:rsidRDefault="3FBB2051" w:rsidP="3FBB2051">
      <w:pPr>
        <w:spacing w:line="360" w:lineRule="auto"/>
        <w:jc w:val="both"/>
        <w:rPr>
          <w:rFonts w:ascii="Times New Roman" w:eastAsia="Times New Roman" w:hAnsi="Times New Roman" w:cs="Times New Roman"/>
          <w:color w:val="222222"/>
          <w:sz w:val="24"/>
          <w:szCs w:val="24"/>
        </w:rPr>
      </w:pPr>
      <w:r w:rsidRPr="3FBB2051">
        <w:rPr>
          <w:rFonts w:ascii="Times New Roman" w:eastAsia="Times New Roman" w:hAnsi="Times New Roman" w:cs="Times New Roman"/>
          <w:sz w:val="24"/>
          <w:szCs w:val="24"/>
        </w:rPr>
        <w:t>With the advent of 21</w:t>
      </w:r>
      <w:r w:rsidRPr="3FBB2051">
        <w:rPr>
          <w:rFonts w:ascii="Times New Roman" w:eastAsia="Times New Roman" w:hAnsi="Times New Roman" w:cs="Times New Roman"/>
          <w:sz w:val="24"/>
          <w:szCs w:val="24"/>
          <w:vertAlign w:val="superscript"/>
        </w:rPr>
        <w:t>st</w:t>
      </w:r>
      <w:r w:rsidRPr="3FBB2051">
        <w:rPr>
          <w:rFonts w:ascii="Times New Roman" w:eastAsia="Times New Roman" w:hAnsi="Times New Roman" w:cs="Times New Roman"/>
          <w:sz w:val="24"/>
          <w:szCs w:val="24"/>
        </w:rPr>
        <w:t xml:space="preserve"> century, organizations or employers started to accept and embrace the minority groups. For instance, the trend of being ‘gay-friendly’ organizations and multi-ethnic or women empowered firms was aroused (</w:t>
      </w:r>
      <w:proofErr w:type="spellStart"/>
      <w:r w:rsidRPr="3FBB2051">
        <w:rPr>
          <w:rFonts w:ascii="Times New Roman" w:eastAsia="Times New Roman" w:hAnsi="Times New Roman" w:cs="Times New Roman"/>
          <w:color w:val="222222"/>
          <w:sz w:val="24"/>
          <w:szCs w:val="24"/>
        </w:rPr>
        <w:t>Dreachslin</w:t>
      </w:r>
      <w:proofErr w:type="spellEnd"/>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et al</w:t>
      </w:r>
      <w:r w:rsidRPr="3FBB2051">
        <w:rPr>
          <w:rFonts w:ascii="Times New Roman" w:eastAsia="Times New Roman" w:hAnsi="Times New Roman" w:cs="Times New Roman"/>
          <w:color w:val="222222"/>
          <w:sz w:val="24"/>
          <w:szCs w:val="24"/>
        </w:rPr>
        <w:t xml:space="preserve">., 2004; Snell, 2018). All the efforts were made to protect and ensure the workplace dignity so that none of the employee face a sense of disrespect, worthless entity or de-esteemed individual by his coworkers. Organizations try to secure the dignity of their employees but often fail to catch the authenticity and identity of minority groups especially LGBTs and BAME. Therefore, Aetna needs to devise policies that would be able to address this invisible threat for the dignity of BAME and LGBTs employees. </w:t>
      </w:r>
    </w:p>
    <w:p w14:paraId="22FCB360" w14:textId="70660A39" w:rsidR="229EED8F" w:rsidRDefault="3FBB2051" w:rsidP="3FBB2051">
      <w:pPr>
        <w:pStyle w:val="Heading2"/>
        <w:numPr>
          <w:ilvl w:val="0"/>
          <w:numId w:val="3"/>
        </w:numPr>
        <w:spacing w:line="360" w:lineRule="auto"/>
        <w:rPr>
          <w:b/>
          <w:bCs/>
          <w:color w:val="auto"/>
        </w:rPr>
      </w:pPr>
      <w:bookmarkStart w:id="11" w:name="_Toc27840231"/>
      <w:r w:rsidRPr="3FBB2051">
        <w:rPr>
          <w:rFonts w:ascii="Times New Roman" w:eastAsia="Times New Roman" w:hAnsi="Times New Roman" w:cs="Times New Roman"/>
          <w:b/>
          <w:bCs/>
          <w:color w:val="auto"/>
        </w:rPr>
        <w:t>Incorporation to Pink Pound Foundation</w:t>
      </w:r>
      <w:bookmarkEnd w:id="11"/>
    </w:p>
    <w:p w14:paraId="07CB38A7" w14:textId="77B9F0C0"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The term ‘Pink Pound’ or ‘Pink economy’ was first coined in Britain 1984 that debates for the LGBT community particularly gay males and lesbian females, and lends various benefits in exchange to its membership.</w:t>
      </w:r>
      <w:r w:rsidRPr="3FBB2051">
        <w:rPr>
          <w:rFonts w:ascii="Times New Roman" w:eastAsia="Times New Roman" w:hAnsi="Times New Roman" w:cs="Times New Roman"/>
          <w:color w:val="000000" w:themeColor="text1"/>
          <w:sz w:val="24"/>
          <w:szCs w:val="24"/>
        </w:rPr>
        <w:t xml:space="preserve"> It basically supports LGBT-owned or LGBT-friendly businesses and promotes loyalty to this community through various discounts, generous offers and other benefits. The Pink Pound Foundation is free to join for any individual who appreciates the LGBT community or being ‘gay’. The foundation itself promotes the local and national events </w:t>
      </w:r>
      <w:r w:rsidRPr="3FBB2051">
        <w:rPr>
          <w:rFonts w:ascii="Times New Roman" w:eastAsia="Times New Roman" w:hAnsi="Times New Roman" w:cs="Times New Roman"/>
          <w:color w:val="000000" w:themeColor="text1"/>
          <w:sz w:val="24"/>
          <w:szCs w:val="24"/>
        </w:rPr>
        <w:lastRenderedPageBreak/>
        <w:t xml:space="preserve">particularly designed for LGBT community. For instance, using this foundation helps LGBTs to enjoy more affordable household items, higher incomes and greater locational choices for purchase. The agenda of Pink Pound is DINK – Double Income and No Kids </w:t>
      </w:r>
      <w:r w:rsidRPr="3FBB2051">
        <w:rPr>
          <w:rFonts w:ascii="Times New Roman" w:eastAsia="Times New Roman" w:hAnsi="Times New Roman" w:cs="Times New Roman"/>
          <w:color w:val="222222"/>
          <w:sz w:val="24"/>
          <w:szCs w:val="24"/>
        </w:rPr>
        <w:t>(</w:t>
      </w:r>
      <w:r w:rsidRPr="3FBB2051">
        <w:rPr>
          <w:rFonts w:ascii="Times New Roman" w:eastAsia="Times New Roman" w:hAnsi="Times New Roman" w:cs="Times New Roman"/>
          <w:color w:val="000000" w:themeColor="text1"/>
          <w:sz w:val="24"/>
          <w:szCs w:val="24"/>
        </w:rPr>
        <w:t xml:space="preserve">Crunch, 2014; </w:t>
      </w:r>
      <w:r w:rsidRPr="3FBB2051">
        <w:rPr>
          <w:rFonts w:ascii="Times New Roman" w:eastAsia="Times New Roman" w:hAnsi="Times New Roman" w:cs="Times New Roman"/>
          <w:color w:val="222222"/>
          <w:sz w:val="24"/>
          <w:szCs w:val="24"/>
        </w:rPr>
        <w:t xml:space="preserve">Matthews, &amp; </w:t>
      </w:r>
      <w:proofErr w:type="spellStart"/>
      <w:r w:rsidRPr="3FBB2051">
        <w:rPr>
          <w:rFonts w:ascii="Times New Roman" w:eastAsia="Times New Roman" w:hAnsi="Times New Roman" w:cs="Times New Roman"/>
          <w:color w:val="222222"/>
          <w:sz w:val="24"/>
          <w:szCs w:val="24"/>
        </w:rPr>
        <w:t>Besemer</w:t>
      </w:r>
      <w:proofErr w:type="spellEnd"/>
      <w:r w:rsidRPr="3FBB2051">
        <w:rPr>
          <w:rFonts w:ascii="Times New Roman" w:eastAsia="Times New Roman" w:hAnsi="Times New Roman" w:cs="Times New Roman"/>
          <w:color w:val="222222"/>
          <w:sz w:val="24"/>
          <w:szCs w:val="24"/>
        </w:rPr>
        <w:t>, 2015)</w:t>
      </w:r>
      <w:r w:rsidRPr="3FBB2051">
        <w:rPr>
          <w:rFonts w:ascii="Times New Roman" w:eastAsia="Times New Roman" w:hAnsi="Times New Roman" w:cs="Times New Roman"/>
          <w:color w:val="000000" w:themeColor="text1"/>
          <w:sz w:val="24"/>
          <w:szCs w:val="24"/>
        </w:rPr>
        <w:t xml:space="preserve">. </w:t>
      </w:r>
    </w:p>
    <w:p w14:paraId="01497663" w14:textId="70A80AB7"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In U.S., the ‘Pink Pound’ was followed and named as ‘Dorothy Dollar’ where a massive amount of money was spent for LGBTs annually so that more individuals feel safe to identify themselves with this target community. This campaign also aims to help, promote, support and vote LGBTs more than a minority community (The Pink Pound, 2019). Many organizations all across the America are becoming its member because it costs nothing for its registration but gives out many </w:t>
      </w:r>
      <w:proofErr w:type="gramStart"/>
      <w:r w:rsidRPr="3FBB2051">
        <w:rPr>
          <w:rFonts w:ascii="Times New Roman" w:eastAsia="Times New Roman" w:hAnsi="Times New Roman" w:cs="Times New Roman"/>
          <w:color w:val="000000" w:themeColor="text1"/>
          <w:sz w:val="24"/>
          <w:szCs w:val="24"/>
        </w:rPr>
        <w:t>business</w:t>
      </w:r>
      <w:proofErr w:type="gramEnd"/>
      <w:r w:rsidRPr="3FBB2051">
        <w:rPr>
          <w:rFonts w:ascii="Times New Roman" w:eastAsia="Times New Roman" w:hAnsi="Times New Roman" w:cs="Times New Roman"/>
          <w:color w:val="000000" w:themeColor="text1"/>
          <w:sz w:val="24"/>
          <w:szCs w:val="24"/>
        </w:rPr>
        <w:t xml:space="preserve"> offers for the sake of appreciation to LGBTs. Aetna needs to be a part of pink economy or Dorothy Dollar so that its recruitment drive can be boost for LGBTs, and sustaining its position among top in diversity perspective. </w:t>
      </w:r>
    </w:p>
    <w:p w14:paraId="24B0A0D8" w14:textId="39A99E89" w:rsidR="6D88E91F" w:rsidRDefault="3FBB2051" w:rsidP="3FBB2051">
      <w:pPr>
        <w:pStyle w:val="Heading2"/>
        <w:numPr>
          <w:ilvl w:val="0"/>
          <w:numId w:val="3"/>
        </w:numPr>
        <w:spacing w:line="360" w:lineRule="auto"/>
        <w:rPr>
          <w:b/>
          <w:bCs/>
          <w:color w:val="auto"/>
        </w:rPr>
      </w:pPr>
      <w:bookmarkStart w:id="12" w:name="_Toc27840232"/>
      <w:r w:rsidRPr="3FBB2051">
        <w:rPr>
          <w:rFonts w:ascii="Times New Roman" w:eastAsia="Times New Roman" w:hAnsi="Times New Roman" w:cs="Times New Roman"/>
          <w:b/>
          <w:bCs/>
          <w:color w:val="auto"/>
        </w:rPr>
        <w:t>Handle issues of stereotyping</w:t>
      </w:r>
      <w:bookmarkEnd w:id="12"/>
    </w:p>
    <w:p w14:paraId="690BE492" w14:textId="63EEB6AC" w:rsidR="229EED8F" w:rsidRDefault="3FBB2051" w:rsidP="3FBB2051">
      <w:pPr>
        <w:spacing w:line="360" w:lineRule="auto"/>
        <w:jc w:val="both"/>
        <w:rPr>
          <w:rFonts w:ascii="Times New Roman" w:eastAsia="Times New Roman" w:hAnsi="Times New Roman" w:cs="Times New Roman"/>
          <w:sz w:val="24"/>
          <w:szCs w:val="24"/>
        </w:rPr>
      </w:pPr>
      <w:r w:rsidRPr="3FBB2051">
        <w:rPr>
          <w:rFonts w:ascii="Times New Roman" w:eastAsia="Times New Roman" w:hAnsi="Times New Roman" w:cs="Times New Roman"/>
          <w:sz w:val="24"/>
          <w:szCs w:val="24"/>
        </w:rPr>
        <w:t xml:space="preserve">Racial and gender stereotyping is a very common issue that negatively impacts the employment decisions, position role of a candidate and performance evaluation. Preference of heterosexuals to LGBTs, white to black and so on, is the type of stereotyping that is prevalent in many organizations worldwide (Ng &amp; Rumens, 2017). This prejudice perspective hinders the competency skills of many individuals that needs to be addressed at micro and macro levels of institutions. Aetna may need to revise its policies with this micro-macro lens of stereotyping. </w:t>
      </w:r>
    </w:p>
    <w:p w14:paraId="39318CDC" w14:textId="30F83012" w:rsidR="6D88E91F" w:rsidRDefault="3FBB2051" w:rsidP="3FBB2051">
      <w:pPr>
        <w:pStyle w:val="Heading2"/>
        <w:numPr>
          <w:ilvl w:val="0"/>
          <w:numId w:val="3"/>
        </w:numPr>
        <w:spacing w:line="360" w:lineRule="auto"/>
        <w:rPr>
          <w:b/>
          <w:bCs/>
          <w:color w:val="auto"/>
        </w:rPr>
      </w:pPr>
      <w:bookmarkStart w:id="13" w:name="_Toc27840233"/>
      <w:r w:rsidRPr="3FBB2051">
        <w:rPr>
          <w:rFonts w:ascii="Times New Roman" w:eastAsia="Times New Roman" w:hAnsi="Times New Roman" w:cs="Times New Roman"/>
          <w:b/>
          <w:bCs/>
          <w:color w:val="auto"/>
        </w:rPr>
        <w:t>Building trust with an ethnic or LGBT leader</w:t>
      </w:r>
      <w:bookmarkEnd w:id="13"/>
      <w:r w:rsidRPr="3FBB2051">
        <w:rPr>
          <w:rFonts w:ascii="Times New Roman" w:eastAsia="Times New Roman" w:hAnsi="Times New Roman" w:cs="Times New Roman"/>
          <w:b/>
          <w:bCs/>
          <w:color w:val="auto"/>
        </w:rPr>
        <w:t xml:space="preserve"> </w:t>
      </w:r>
    </w:p>
    <w:p w14:paraId="1C12F85A" w14:textId="66EFC5E3" w:rsidR="2D24F90C"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sz w:val="24"/>
          <w:szCs w:val="24"/>
        </w:rPr>
        <w:t>In mega corporations or institutions, challenges are also massive such as building connection and trust amongst each employee linked to each other. It is harder especially in the case of BAME and LGBT employees. Establishing a secure and healthy relationship between leaders and followers is often reported demanding when encountered with BAME and LGBT personnel (</w:t>
      </w:r>
      <w:proofErr w:type="spellStart"/>
      <w:r w:rsidRPr="3FBB2051">
        <w:rPr>
          <w:rFonts w:ascii="Times New Roman" w:eastAsia="Times New Roman" w:hAnsi="Times New Roman" w:cs="Times New Roman"/>
          <w:sz w:val="24"/>
          <w:szCs w:val="24"/>
        </w:rPr>
        <w:t>Kezar</w:t>
      </w:r>
      <w:proofErr w:type="spellEnd"/>
      <w:r w:rsidRPr="3FBB2051">
        <w:rPr>
          <w:rFonts w:ascii="Times New Roman" w:eastAsia="Times New Roman" w:hAnsi="Times New Roman" w:cs="Times New Roman"/>
          <w:sz w:val="24"/>
          <w:szCs w:val="24"/>
        </w:rPr>
        <w:t xml:space="preserve"> &amp; Moriarty, 2000; </w:t>
      </w:r>
      <w:proofErr w:type="spellStart"/>
      <w:r w:rsidRPr="3FBB2051">
        <w:rPr>
          <w:rFonts w:ascii="Times New Roman" w:eastAsia="Times New Roman" w:hAnsi="Times New Roman" w:cs="Times New Roman"/>
          <w:color w:val="222222"/>
          <w:sz w:val="24"/>
          <w:szCs w:val="24"/>
        </w:rPr>
        <w:t>Komives</w:t>
      </w:r>
      <w:proofErr w:type="spellEnd"/>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et al.</w:t>
      </w:r>
      <w:r w:rsidRPr="3FBB2051">
        <w:rPr>
          <w:rFonts w:ascii="Times New Roman" w:eastAsia="Times New Roman" w:hAnsi="Times New Roman" w:cs="Times New Roman"/>
          <w:color w:val="222222"/>
          <w:sz w:val="24"/>
          <w:szCs w:val="24"/>
        </w:rPr>
        <w:t>, 2009</w:t>
      </w:r>
      <w:r w:rsidRPr="3FBB2051">
        <w:rPr>
          <w:rFonts w:ascii="Times New Roman" w:eastAsia="Times New Roman" w:hAnsi="Times New Roman" w:cs="Times New Roman"/>
          <w:sz w:val="24"/>
          <w:szCs w:val="24"/>
        </w:rPr>
        <w:t xml:space="preserve">). Ng &amp; Rumens (2017) proposed for an organizational culture where a leader belonging to LGBT or BAME community can express his identity freely. It will also enhance the satisfaction rate for leadership and resultantly decrease the effect of homophobia. Furthermore, skill utilization becomes easy and approachable when personal or sexual practices and norms contain no more significance for the attributes of successful job </w:t>
      </w:r>
      <w:r w:rsidRPr="3FBB2051">
        <w:rPr>
          <w:rFonts w:ascii="Times New Roman" w:eastAsia="Times New Roman" w:hAnsi="Times New Roman" w:cs="Times New Roman"/>
          <w:sz w:val="24"/>
          <w:szCs w:val="24"/>
        </w:rPr>
        <w:lastRenderedPageBreak/>
        <w:t>completion. Therefore, Aetna may also contribute in its diverse workforce through initiatives focusing this agenda.</w:t>
      </w:r>
    </w:p>
    <w:p w14:paraId="162FE71F" w14:textId="57F0B6D7" w:rsidR="6D88E91F" w:rsidRDefault="3FBB2051" w:rsidP="3FBB2051">
      <w:pPr>
        <w:pStyle w:val="Heading2"/>
        <w:numPr>
          <w:ilvl w:val="0"/>
          <w:numId w:val="3"/>
        </w:numPr>
        <w:spacing w:line="360" w:lineRule="auto"/>
      </w:pPr>
      <w:bookmarkStart w:id="14" w:name="_Toc27840234"/>
      <w:r w:rsidRPr="3FBB2051">
        <w:rPr>
          <w:rFonts w:ascii="Times New Roman" w:eastAsia="Times New Roman" w:hAnsi="Times New Roman" w:cs="Times New Roman"/>
          <w:b/>
          <w:bCs/>
          <w:color w:val="auto"/>
        </w:rPr>
        <w:t>Measures to Identify Discrimination</w:t>
      </w:r>
      <w:bookmarkEnd w:id="14"/>
    </w:p>
    <w:p w14:paraId="3E924DE9" w14:textId="1B7E8AF6" w:rsidR="6D88E91F" w:rsidRDefault="3FBB2051" w:rsidP="3FBB2051">
      <w:pPr>
        <w:spacing w:before="240" w:after="0" w:line="360" w:lineRule="auto"/>
        <w:jc w:val="both"/>
      </w:pPr>
      <w:r w:rsidRPr="3FBB2051">
        <w:rPr>
          <w:rFonts w:ascii="Times New Roman" w:eastAsia="Times New Roman" w:hAnsi="Times New Roman" w:cs="Times New Roman"/>
          <w:color w:val="222222"/>
          <w:sz w:val="24"/>
          <w:szCs w:val="24"/>
        </w:rPr>
        <w:t>Cech (2015) identified some measures to identify on-going organizational discrimination through the perspectives of employee treatment, policy fairness and job satisfaction. It includes fostering work success, transparent criteria, sufficient resources to each individual, respect, satisfaction, work-life balance, support to diversity, leadership integrity, ability to whistle blow, intolerance to favoritism, employee empowerment and cooperation of coworkers. Aetna may embrace all these traits in its policies and nourish ethnicity and LGBTs in a more proactive manner.</w:t>
      </w:r>
    </w:p>
    <w:p w14:paraId="67EDD9EE" w14:textId="17F0618E" w:rsidR="6D88E91F" w:rsidRDefault="3FBB2051" w:rsidP="3FBB2051">
      <w:pPr>
        <w:pStyle w:val="Heading1"/>
        <w:spacing w:line="360" w:lineRule="auto"/>
        <w:rPr>
          <w:rFonts w:ascii="Times New Roman" w:eastAsia="Times New Roman" w:hAnsi="Times New Roman" w:cs="Times New Roman"/>
          <w:b/>
          <w:bCs/>
          <w:color w:val="auto"/>
        </w:rPr>
      </w:pPr>
      <w:bookmarkStart w:id="15" w:name="_Toc27840235"/>
      <w:r w:rsidRPr="3FBB2051">
        <w:rPr>
          <w:rFonts w:ascii="Times New Roman" w:eastAsia="Times New Roman" w:hAnsi="Times New Roman" w:cs="Times New Roman"/>
          <w:b/>
          <w:bCs/>
          <w:color w:val="auto"/>
        </w:rPr>
        <w:t>Recommendations</w:t>
      </w:r>
      <w:bookmarkEnd w:id="15"/>
    </w:p>
    <w:p w14:paraId="4A167464" w14:textId="42CE297A" w:rsidR="4DDF19CE" w:rsidRDefault="3FBB2051" w:rsidP="3FBB2051">
      <w:pPr>
        <w:spacing w:line="360" w:lineRule="auto"/>
        <w:jc w:val="both"/>
        <w:rPr>
          <w:rFonts w:ascii="Times New Roman" w:eastAsia="Times New Roman" w:hAnsi="Times New Roman" w:cs="Times New Roman"/>
          <w:sz w:val="24"/>
          <w:szCs w:val="24"/>
        </w:rPr>
      </w:pPr>
      <w:r w:rsidRPr="3FBB2051">
        <w:rPr>
          <w:rFonts w:ascii="Times New Roman" w:eastAsia="Times New Roman" w:hAnsi="Times New Roman" w:cs="Times New Roman"/>
          <w:sz w:val="24"/>
          <w:szCs w:val="24"/>
        </w:rPr>
        <w:t>The Diversity measures at Aetna need some enhancement by optimizing them through various lens such as employee experience perspective, job satisfaction and workplace fairness. It is also recommended to align the organizational culture with cultural traits of each individual or community for the betterment of workplace diversity. Since organizational diversity values norms, traditions, behaviors and customs through its framework, the firm’s goals and missions are also accomplished. The company must provide flexibility in its processes through strategic policies so that diversified teamwork can assist to accomplish this purpose</w:t>
      </w:r>
      <w:r w:rsidRPr="3FBB2051">
        <w:rPr>
          <w:rFonts w:ascii="Helvetica Neue" w:eastAsia="Helvetica Neue" w:hAnsi="Helvetica Neue" w:cs="Helvetica Neue"/>
          <w:color w:val="000000" w:themeColor="text1"/>
          <w:sz w:val="21"/>
          <w:szCs w:val="21"/>
        </w:rPr>
        <w:t>.</w:t>
      </w:r>
    </w:p>
    <w:p w14:paraId="7E42FAAD" w14:textId="5720F1D8" w:rsidR="183874A8" w:rsidRDefault="3FBB2051" w:rsidP="3FBB2051">
      <w:pPr>
        <w:pStyle w:val="Heading2"/>
        <w:numPr>
          <w:ilvl w:val="0"/>
          <w:numId w:val="2"/>
        </w:numPr>
        <w:spacing w:line="360" w:lineRule="auto"/>
        <w:rPr>
          <w:b/>
          <w:bCs/>
          <w:color w:val="auto"/>
        </w:rPr>
      </w:pPr>
      <w:bookmarkStart w:id="16" w:name="_Toc27840236"/>
      <w:r w:rsidRPr="3FBB2051">
        <w:rPr>
          <w:rFonts w:ascii="Times New Roman" w:eastAsia="Times New Roman" w:hAnsi="Times New Roman" w:cs="Times New Roman"/>
          <w:b/>
          <w:bCs/>
          <w:color w:val="auto"/>
        </w:rPr>
        <w:t>Review Process</w:t>
      </w:r>
      <w:bookmarkEnd w:id="16"/>
    </w:p>
    <w:p w14:paraId="059BFC04" w14:textId="1057130C" w:rsidR="4DDF19CE" w:rsidRDefault="3FBB2051" w:rsidP="3FBB2051">
      <w:pPr>
        <w:spacing w:line="360" w:lineRule="auto"/>
        <w:jc w:val="both"/>
        <w:rPr>
          <w:rFonts w:ascii="Times New Roman" w:eastAsia="Times New Roman" w:hAnsi="Times New Roman" w:cs="Times New Roman"/>
          <w:sz w:val="24"/>
          <w:szCs w:val="24"/>
        </w:rPr>
      </w:pPr>
      <w:r w:rsidRPr="3FBB2051">
        <w:rPr>
          <w:rFonts w:ascii="Times New Roman" w:eastAsia="Times New Roman" w:hAnsi="Times New Roman" w:cs="Times New Roman"/>
          <w:sz w:val="24"/>
          <w:szCs w:val="24"/>
        </w:rPr>
        <w:t>The HR policies must be aligned strategically to review the process of workplace diversity at different intervals of organizational processes. There must be a planned strategy and policies to be implemented on, for this purpose in which all sectors regardless of their minor presence must be included. Employees from all sectors and communities must be involved in this process to monitor micro effects, prior to their potential conversion into macro effect. At employer end, there should be a critical appraisal system for the organizational culture also. Policy makers and leaders of Aetna must be always aware of threats to the workplace diversity in a pro-active manner.</w:t>
      </w:r>
    </w:p>
    <w:p w14:paraId="6DFCC883" w14:textId="06FA6836" w:rsidR="229EED8F" w:rsidRDefault="3FBB2051" w:rsidP="3FBB2051">
      <w:pPr>
        <w:pStyle w:val="Heading2"/>
        <w:numPr>
          <w:ilvl w:val="0"/>
          <w:numId w:val="33"/>
        </w:numPr>
        <w:spacing w:line="360" w:lineRule="auto"/>
        <w:rPr>
          <w:b/>
          <w:bCs/>
          <w:color w:val="000000" w:themeColor="text1"/>
        </w:rPr>
      </w:pPr>
      <w:bookmarkStart w:id="17" w:name="_Toc27840237"/>
      <w:r w:rsidRPr="3FBB2051">
        <w:rPr>
          <w:rFonts w:ascii="Times New Roman" w:eastAsia="Times New Roman" w:hAnsi="Times New Roman" w:cs="Times New Roman"/>
          <w:b/>
          <w:bCs/>
          <w:color w:val="auto"/>
        </w:rPr>
        <w:t>Accessibility</w:t>
      </w:r>
      <w:bookmarkEnd w:id="17"/>
    </w:p>
    <w:p w14:paraId="09B8B782" w14:textId="23EE07EF" w:rsidR="183874A8" w:rsidRDefault="3FBB2051" w:rsidP="3FBB2051">
      <w:pPr>
        <w:spacing w:line="360" w:lineRule="auto"/>
        <w:jc w:val="both"/>
        <w:rPr>
          <w:rFonts w:ascii="Times New Roman" w:eastAsia="Times New Roman" w:hAnsi="Times New Roman" w:cs="Times New Roman"/>
          <w:b/>
          <w:bCs/>
        </w:rPr>
      </w:pPr>
      <w:r w:rsidRPr="3FBB2051">
        <w:rPr>
          <w:rFonts w:ascii="Times New Roman" w:eastAsia="Times New Roman" w:hAnsi="Times New Roman" w:cs="Times New Roman"/>
          <w:sz w:val="24"/>
          <w:szCs w:val="24"/>
        </w:rPr>
        <w:t xml:space="preserve">The approach to review process and make future predictions of improvement must be accessible for each sector and race, either BAME or LGBT employees. At employer level, Aetna must be </w:t>
      </w:r>
      <w:r w:rsidRPr="3FBB2051">
        <w:rPr>
          <w:rFonts w:ascii="Times New Roman" w:eastAsia="Times New Roman" w:hAnsi="Times New Roman" w:cs="Times New Roman"/>
          <w:sz w:val="24"/>
          <w:szCs w:val="24"/>
        </w:rPr>
        <w:lastRenderedPageBreak/>
        <w:t xml:space="preserve">aware of what is happening inside the firm to access micro-macro changes, harassment and other related factors. The company’s foundation must be known to the intersectional or progression barriers to every individual joined to them. </w:t>
      </w:r>
    </w:p>
    <w:p w14:paraId="61037E8A" w14:textId="75763756" w:rsidR="183874A8" w:rsidRDefault="3FBB2051" w:rsidP="3FBB2051">
      <w:pPr>
        <w:pStyle w:val="Heading2"/>
        <w:numPr>
          <w:ilvl w:val="0"/>
          <w:numId w:val="1"/>
        </w:numPr>
        <w:spacing w:line="360" w:lineRule="auto"/>
        <w:rPr>
          <w:color w:val="000000" w:themeColor="text1"/>
          <w:sz w:val="24"/>
          <w:szCs w:val="24"/>
        </w:rPr>
      </w:pPr>
      <w:bookmarkStart w:id="18" w:name="_Toc27840238"/>
      <w:r w:rsidRPr="3FBB2051">
        <w:rPr>
          <w:rFonts w:ascii="Times New Roman" w:eastAsia="Times New Roman" w:hAnsi="Times New Roman" w:cs="Times New Roman"/>
          <w:b/>
          <w:bCs/>
          <w:color w:val="auto"/>
          <w:sz w:val="24"/>
          <w:szCs w:val="24"/>
        </w:rPr>
        <w:t>Diversity Training</w:t>
      </w:r>
      <w:bookmarkEnd w:id="18"/>
    </w:p>
    <w:p w14:paraId="5A724FCF" w14:textId="095939D9" w:rsidR="4DDF19CE" w:rsidRDefault="3FBB2051" w:rsidP="3FBB2051">
      <w:pPr>
        <w:spacing w:line="360" w:lineRule="auto"/>
        <w:jc w:val="both"/>
        <w:rPr>
          <w:rFonts w:ascii="Times New Roman" w:eastAsia="Times New Roman" w:hAnsi="Times New Roman" w:cs="Times New Roman"/>
          <w:sz w:val="24"/>
          <w:szCs w:val="24"/>
        </w:rPr>
      </w:pPr>
      <w:r w:rsidRPr="3FBB2051">
        <w:rPr>
          <w:rFonts w:ascii="Times New Roman" w:eastAsia="Times New Roman" w:hAnsi="Times New Roman" w:cs="Times New Roman"/>
          <w:sz w:val="24"/>
          <w:szCs w:val="24"/>
        </w:rPr>
        <w:t>Several trainings and workshops on diversity awareness must be given to all employees, regardless of their organizational position or rank. This program schema of diversity awareness could be conducted in-house or through conferences at local or international level. The purpose of these trainings and seminars should be to learn and encourage each employee to raise their voice for inform change, and whistle blowing. It should also acknowledge ways to open up conversations related to LGBTs and race, and aids them to identify and remove barriers in career progressions. In this way, sustainable talent pipelines can be developed.</w:t>
      </w:r>
    </w:p>
    <w:p w14:paraId="22820E96" w14:textId="6ABE5C82" w:rsidR="229EED8F" w:rsidRDefault="3FBB2051" w:rsidP="3FBB2051">
      <w:pPr>
        <w:pStyle w:val="Heading2"/>
        <w:numPr>
          <w:ilvl w:val="0"/>
          <w:numId w:val="33"/>
        </w:numPr>
        <w:spacing w:line="360" w:lineRule="auto"/>
        <w:rPr>
          <w:b/>
          <w:bCs/>
          <w:color w:val="auto"/>
        </w:rPr>
      </w:pPr>
      <w:bookmarkStart w:id="19" w:name="_Toc27840239"/>
      <w:r w:rsidRPr="3FBB2051">
        <w:rPr>
          <w:rFonts w:ascii="Times New Roman" w:eastAsia="Times New Roman" w:hAnsi="Times New Roman" w:cs="Times New Roman"/>
          <w:b/>
          <w:bCs/>
          <w:color w:val="auto"/>
        </w:rPr>
        <w:t>Diversity Initiatives and Plans</w:t>
      </w:r>
      <w:bookmarkEnd w:id="19"/>
    </w:p>
    <w:p w14:paraId="490A5E7E" w14:textId="723D270B" w:rsidR="6D88E91F" w:rsidRDefault="3FBB2051" w:rsidP="3FBB2051">
      <w:pPr>
        <w:spacing w:line="360" w:lineRule="auto"/>
        <w:jc w:val="both"/>
        <w:rPr>
          <w:rFonts w:ascii="Times New Roman" w:eastAsia="Times New Roman" w:hAnsi="Times New Roman" w:cs="Times New Roman"/>
          <w:b/>
          <w:bCs/>
          <w:color w:val="000000" w:themeColor="text1"/>
          <w:sz w:val="32"/>
          <w:szCs w:val="32"/>
        </w:rPr>
      </w:pPr>
      <w:r w:rsidRPr="3FBB2051">
        <w:rPr>
          <w:rFonts w:ascii="Times New Roman" w:eastAsia="Times New Roman" w:hAnsi="Times New Roman" w:cs="Times New Roman"/>
          <w:sz w:val="24"/>
          <w:szCs w:val="24"/>
        </w:rPr>
        <w:t>Diversity initiatives such as registration to the Pink Pound Foundation, identifying and eliminating new forms of harassment and other plans must be undertaken by the organizational domain of development; HRD. There must also be some strategies and plans to control and respond to unconscious biasness timely. HR partners of Aetna must generate some initiatives to provide practical support to these minority communities that may also boost the demographic ratio of these populations. There is a need to develop guidance for employer action through policies so that Aetna can lead from the front to other companies in supporting and fostering the LGBTs and BAME individuals.</w:t>
      </w:r>
      <w:r w:rsidR="6D88E91F">
        <w:br/>
      </w:r>
      <w:r w:rsidRPr="3FBB2051">
        <w:rPr>
          <w:rFonts w:ascii="Times New Roman" w:eastAsia="Times New Roman" w:hAnsi="Times New Roman" w:cs="Times New Roman"/>
          <w:color w:val="3C3C3B"/>
          <w:sz w:val="20"/>
          <w:szCs w:val="20"/>
        </w:rPr>
        <w:t xml:space="preserve"> </w:t>
      </w:r>
    </w:p>
    <w:p w14:paraId="32B6C6B5" w14:textId="5E36B653" w:rsidR="6D88E91F" w:rsidRDefault="3FBB2051" w:rsidP="3FBB2051">
      <w:pPr>
        <w:spacing w:line="360" w:lineRule="auto"/>
        <w:jc w:val="both"/>
        <w:rPr>
          <w:rFonts w:ascii="Times New Roman" w:eastAsia="Times New Roman" w:hAnsi="Times New Roman" w:cs="Times New Roman"/>
          <w:b/>
          <w:bCs/>
          <w:color w:val="000000" w:themeColor="text1"/>
          <w:sz w:val="32"/>
          <w:szCs w:val="32"/>
        </w:rPr>
      </w:pPr>
      <w:r w:rsidRPr="3FBB2051">
        <w:rPr>
          <w:rFonts w:ascii="Times New Roman" w:eastAsia="Times New Roman" w:hAnsi="Times New Roman" w:cs="Times New Roman"/>
          <w:b/>
          <w:bCs/>
          <w:color w:val="000000" w:themeColor="text1"/>
          <w:sz w:val="32"/>
          <w:szCs w:val="32"/>
        </w:rPr>
        <w:t>Conclusion</w:t>
      </w:r>
    </w:p>
    <w:p w14:paraId="6115F6B3" w14:textId="1F39EED3" w:rsidR="4DDF19CE" w:rsidRDefault="3FBB2051" w:rsidP="3FBB2051">
      <w:pPr>
        <w:spacing w:line="360" w:lineRule="auto"/>
        <w:jc w:val="both"/>
        <w:rPr>
          <w:rFonts w:ascii="Calibri" w:eastAsia="Calibri" w:hAnsi="Calibri" w:cs="Calibri"/>
          <w:color w:val="000000" w:themeColor="text1"/>
        </w:rPr>
      </w:pPr>
      <w:r w:rsidRPr="3FBB2051">
        <w:rPr>
          <w:rFonts w:ascii="Calibri" w:eastAsia="Calibri" w:hAnsi="Calibri" w:cs="Calibri"/>
          <w:color w:val="000000" w:themeColor="text1"/>
          <w:sz w:val="24"/>
          <w:szCs w:val="24"/>
        </w:rPr>
        <w:t>‌</w:t>
      </w:r>
      <w:r w:rsidRPr="3FBB2051">
        <w:rPr>
          <w:rFonts w:ascii="Times New Roman" w:eastAsia="Times New Roman" w:hAnsi="Times New Roman" w:cs="Times New Roman"/>
          <w:color w:val="000000" w:themeColor="text1"/>
          <w:sz w:val="24"/>
          <w:szCs w:val="24"/>
        </w:rPr>
        <w:t xml:space="preserve">From recruiting applicants to successful progression in the organization, a diversified workplace has a prominent role that always demand for refurbishment to complement the upcoming challenges. Moreover, new trends globally persuade organizations to meet and greet diversified talented resources especially under-represented groups: ethnic minorities, disability people, and LGBTQ (lesbian, gay, bisexual, transgender and queer) as proposed by Diversity Best Practices Inclusion Index Organizations (2018). It is recommended that Aetna review the existing procedures to strengthen its diverse workforce and explore for new methods such as collecting </w:t>
      </w:r>
      <w:r w:rsidRPr="3FBB2051">
        <w:rPr>
          <w:rFonts w:ascii="Times New Roman" w:eastAsia="Times New Roman" w:hAnsi="Times New Roman" w:cs="Times New Roman"/>
          <w:color w:val="000000" w:themeColor="text1"/>
          <w:sz w:val="24"/>
          <w:szCs w:val="24"/>
        </w:rPr>
        <w:lastRenderedPageBreak/>
        <w:t xml:space="preserve">information procedure (employee surveys and culture measures), compensation and benefit methods to cultivate inclusion culture through employee engagement, leadership and communication. This business report advises Aetna foundation to highlight and promote diversity initiatives, trainings and related activities at organizational level so that it can continue to achieve its sustained competitive edge over others. </w:t>
      </w:r>
    </w:p>
    <w:p w14:paraId="7885CF8F" w14:textId="5216C255" w:rsidR="229EED8F" w:rsidRDefault="3FBB2051" w:rsidP="3FBB2051">
      <w:pPr>
        <w:pStyle w:val="Heading1"/>
        <w:spacing w:line="360" w:lineRule="auto"/>
        <w:rPr>
          <w:rFonts w:ascii="Times New Roman" w:eastAsia="Times New Roman" w:hAnsi="Times New Roman" w:cs="Times New Roman"/>
          <w:color w:val="auto"/>
        </w:rPr>
      </w:pPr>
      <w:bookmarkStart w:id="20" w:name="_Toc27840240"/>
      <w:r w:rsidRPr="3FBB2051">
        <w:rPr>
          <w:rFonts w:ascii="Times New Roman" w:eastAsia="Times New Roman" w:hAnsi="Times New Roman" w:cs="Times New Roman"/>
          <w:b/>
          <w:bCs/>
          <w:color w:val="auto"/>
        </w:rPr>
        <w:t>References</w:t>
      </w:r>
      <w:bookmarkEnd w:id="20"/>
    </w:p>
    <w:p w14:paraId="49AD8BAC" w14:textId="2935D3B4" w:rsidR="229EED8F" w:rsidRDefault="3FBB2051" w:rsidP="3FBB2051">
      <w:pPr>
        <w:spacing w:line="360" w:lineRule="auto"/>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Aetna. (2009). </w:t>
      </w:r>
      <w:r w:rsidRPr="3FBB2051">
        <w:rPr>
          <w:rFonts w:ascii="Times New Roman" w:eastAsia="Times New Roman" w:hAnsi="Times New Roman" w:cs="Times New Roman"/>
          <w:i/>
          <w:iCs/>
          <w:color w:val="000000" w:themeColor="text1"/>
          <w:sz w:val="24"/>
          <w:szCs w:val="24"/>
        </w:rPr>
        <w:t>Workplace Diversity – About Us</w:t>
      </w:r>
      <w:r w:rsidRPr="3FBB2051">
        <w:rPr>
          <w:rFonts w:ascii="Times New Roman" w:eastAsia="Times New Roman" w:hAnsi="Times New Roman" w:cs="Times New Roman"/>
          <w:color w:val="000000" w:themeColor="text1"/>
          <w:sz w:val="24"/>
          <w:szCs w:val="24"/>
        </w:rPr>
        <w:t xml:space="preserve"> | Retrieved December 15, 2019, from Aetna.com website: </w:t>
      </w:r>
      <w:hyperlink r:id="rId16">
        <w:r w:rsidRPr="3FBB2051">
          <w:rPr>
            <w:rStyle w:val="Hyperlink"/>
            <w:rFonts w:ascii="Times New Roman" w:eastAsia="Times New Roman" w:hAnsi="Times New Roman" w:cs="Times New Roman"/>
            <w:color w:val="000000" w:themeColor="text1"/>
            <w:sz w:val="24"/>
            <w:szCs w:val="24"/>
          </w:rPr>
          <w:t>https://www.aetna.com/about-us/diversity-inclusion/workplace-diversity.html</w:t>
        </w:r>
      </w:hyperlink>
      <w:r w:rsidRPr="3FBB2051">
        <w:rPr>
          <w:rFonts w:ascii="Times New Roman" w:eastAsia="Times New Roman" w:hAnsi="Times New Roman" w:cs="Times New Roman"/>
          <w:color w:val="000000" w:themeColor="text1"/>
          <w:sz w:val="24"/>
          <w:szCs w:val="24"/>
          <w:u w:val="single"/>
        </w:rPr>
        <w:t xml:space="preserve"> </w:t>
      </w:r>
    </w:p>
    <w:p w14:paraId="7BE0712E" w14:textId="3F87C1A4" w:rsidR="229EED8F" w:rsidRDefault="3FBB2051" w:rsidP="3FBB2051">
      <w:pPr>
        <w:spacing w:line="360" w:lineRule="auto"/>
        <w:jc w:val="both"/>
        <w:rPr>
          <w:rFonts w:ascii="Calibri" w:eastAsia="Calibri" w:hAnsi="Calibri" w:cs="Calibri"/>
          <w:color w:val="000000" w:themeColor="text1"/>
        </w:rPr>
      </w:pPr>
      <w:r w:rsidRPr="3FBB2051">
        <w:rPr>
          <w:rFonts w:ascii="Times New Roman" w:eastAsia="Times New Roman" w:hAnsi="Times New Roman" w:cs="Times New Roman"/>
          <w:color w:val="000000" w:themeColor="text1"/>
          <w:sz w:val="24"/>
          <w:szCs w:val="24"/>
        </w:rPr>
        <w:t xml:space="preserve">Aetna. (2013). </w:t>
      </w:r>
      <w:r w:rsidRPr="3FBB2051">
        <w:rPr>
          <w:rFonts w:ascii="Times New Roman" w:eastAsia="Times New Roman" w:hAnsi="Times New Roman" w:cs="Times New Roman"/>
          <w:i/>
          <w:iCs/>
          <w:color w:val="000000" w:themeColor="text1"/>
          <w:sz w:val="24"/>
          <w:szCs w:val="24"/>
        </w:rPr>
        <w:t>Company Demographics</w:t>
      </w:r>
      <w:r w:rsidRPr="3FBB2051">
        <w:rPr>
          <w:rFonts w:ascii="Times New Roman" w:eastAsia="Times New Roman" w:hAnsi="Times New Roman" w:cs="Times New Roman"/>
          <w:color w:val="000000" w:themeColor="text1"/>
          <w:sz w:val="24"/>
          <w:szCs w:val="24"/>
        </w:rPr>
        <w:t xml:space="preserve">. Retrieved December 16, 2019, from Aetna.com: </w:t>
      </w:r>
      <w:hyperlink r:id="rId17">
        <w:r w:rsidRPr="3FBB2051">
          <w:rPr>
            <w:rStyle w:val="Hyperlink"/>
            <w:rFonts w:ascii="Times New Roman" w:eastAsia="Times New Roman" w:hAnsi="Times New Roman" w:cs="Times New Roman"/>
            <w:color w:val="000000" w:themeColor="text1"/>
            <w:sz w:val="24"/>
            <w:szCs w:val="24"/>
          </w:rPr>
          <w:t>https://www1.aetna.com/about-aetna-insurance/aetna-corporate-profile/diversity/workforce-workplace.html</w:t>
        </w:r>
      </w:hyperlink>
    </w:p>
    <w:p w14:paraId="58B579C8" w14:textId="62F99BF0" w:rsidR="229EED8F" w:rsidRDefault="3FBB2051" w:rsidP="3FBB2051">
      <w:pPr>
        <w:spacing w:line="360" w:lineRule="auto"/>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Aetna. (2015). </w:t>
      </w:r>
      <w:r w:rsidRPr="3FBB2051">
        <w:rPr>
          <w:rFonts w:ascii="Times New Roman" w:eastAsia="Times New Roman" w:hAnsi="Times New Roman" w:cs="Times New Roman"/>
          <w:i/>
          <w:iCs/>
          <w:color w:val="000000" w:themeColor="text1"/>
          <w:sz w:val="24"/>
          <w:szCs w:val="24"/>
        </w:rPr>
        <w:t>Aetna in the Community – About Us | Aetna</w:t>
      </w:r>
      <w:r w:rsidRPr="3FBB2051">
        <w:rPr>
          <w:rFonts w:ascii="Times New Roman" w:eastAsia="Times New Roman" w:hAnsi="Times New Roman" w:cs="Times New Roman"/>
          <w:color w:val="000000" w:themeColor="text1"/>
          <w:sz w:val="24"/>
          <w:szCs w:val="24"/>
        </w:rPr>
        <w:t xml:space="preserve">. [online] Available at: </w:t>
      </w:r>
      <w:hyperlink r:id="rId18">
        <w:r w:rsidRPr="3FBB2051">
          <w:rPr>
            <w:rStyle w:val="Hyperlink"/>
            <w:rFonts w:ascii="Times New Roman" w:eastAsia="Times New Roman" w:hAnsi="Times New Roman" w:cs="Times New Roman"/>
            <w:color w:val="000000" w:themeColor="text1"/>
            <w:sz w:val="24"/>
            <w:szCs w:val="24"/>
          </w:rPr>
          <w:t>https://www.aetna.com/about-us/corporate-responsibility/aetna-in-the-community.html</w:t>
        </w:r>
      </w:hyperlink>
      <w:r w:rsidRPr="3FBB2051">
        <w:rPr>
          <w:rFonts w:ascii="Times New Roman" w:eastAsia="Times New Roman" w:hAnsi="Times New Roman" w:cs="Times New Roman"/>
          <w:color w:val="000000" w:themeColor="text1"/>
          <w:sz w:val="24"/>
          <w:szCs w:val="24"/>
          <w:u w:val="single"/>
        </w:rPr>
        <w:t>.</w:t>
      </w:r>
    </w:p>
    <w:p w14:paraId="6990D1C4" w14:textId="3FAD878D" w:rsidR="229EED8F" w:rsidRDefault="3FBB2051" w:rsidP="3FBB2051">
      <w:pPr>
        <w:spacing w:line="360" w:lineRule="auto"/>
        <w:rPr>
          <w:rFonts w:ascii="Calibri" w:eastAsia="Calibri" w:hAnsi="Calibri" w:cs="Calibri"/>
          <w:color w:val="000000" w:themeColor="text1"/>
        </w:rPr>
      </w:pPr>
      <w:r w:rsidRPr="3FBB2051">
        <w:rPr>
          <w:rFonts w:ascii="Times New Roman" w:eastAsia="Times New Roman" w:hAnsi="Times New Roman" w:cs="Times New Roman"/>
          <w:color w:val="000000" w:themeColor="text1"/>
          <w:sz w:val="24"/>
          <w:szCs w:val="24"/>
        </w:rPr>
        <w:t xml:space="preserve">Aetna. (2019a). </w:t>
      </w:r>
      <w:r w:rsidRPr="3FBB2051">
        <w:rPr>
          <w:rFonts w:ascii="Times New Roman" w:eastAsia="Times New Roman" w:hAnsi="Times New Roman" w:cs="Times New Roman"/>
          <w:i/>
          <w:iCs/>
          <w:color w:val="000000" w:themeColor="text1"/>
          <w:sz w:val="24"/>
          <w:szCs w:val="24"/>
        </w:rPr>
        <w:t>Leadership Message from Chairman and CEO, Ron Williams</w:t>
      </w:r>
      <w:r w:rsidRPr="3FBB2051">
        <w:rPr>
          <w:rFonts w:ascii="Times New Roman" w:eastAsia="Times New Roman" w:hAnsi="Times New Roman" w:cs="Times New Roman"/>
          <w:color w:val="000000" w:themeColor="text1"/>
          <w:sz w:val="24"/>
          <w:szCs w:val="24"/>
        </w:rPr>
        <w:t xml:space="preserve">. Retrieved December 16, 2019, from Aetna.com website: </w:t>
      </w:r>
      <w:hyperlink r:id="rId19">
        <w:r w:rsidRPr="3FBB2051">
          <w:rPr>
            <w:rStyle w:val="Hyperlink"/>
            <w:rFonts w:ascii="Times New Roman" w:eastAsia="Times New Roman" w:hAnsi="Times New Roman" w:cs="Times New Roman"/>
            <w:color w:val="000000" w:themeColor="text1"/>
            <w:sz w:val="24"/>
            <w:szCs w:val="24"/>
          </w:rPr>
          <w:t>https://www1.aetna.com/about-aetna-insurance/aetna-corporate-profile/diversity/leadership_message.html</w:t>
        </w:r>
      </w:hyperlink>
    </w:p>
    <w:p w14:paraId="5423C388" w14:textId="12BEB706" w:rsidR="229EED8F" w:rsidRDefault="3FBB2051" w:rsidP="3FBB2051">
      <w:pPr>
        <w:spacing w:line="360" w:lineRule="auto"/>
        <w:rPr>
          <w:rFonts w:ascii="Calibri" w:eastAsia="Calibri" w:hAnsi="Calibri" w:cs="Calibri"/>
          <w:color w:val="000000" w:themeColor="text1"/>
        </w:rPr>
      </w:pPr>
      <w:r w:rsidRPr="3FBB2051">
        <w:rPr>
          <w:rFonts w:ascii="Times New Roman" w:eastAsia="Times New Roman" w:hAnsi="Times New Roman" w:cs="Times New Roman"/>
          <w:color w:val="000000" w:themeColor="text1"/>
          <w:sz w:val="24"/>
          <w:szCs w:val="24"/>
        </w:rPr>
        <w:t xml:space="preserve">Aetna. (2019b). </w:t>
      </w:r>
      <w:r w:rsidRPr="3FBB2051">
        <w:rPr>
          <w:rFonts w:ascii="Times New Roman" w:eastAsia="Times New Roman" w:hAnsi="Times New Roman" w:cs="Times New Roman"/>
          <w:i/>
          <w:iCs/>
          <w:color w:val="000000" w:themeColor="text1"/>
          <w:sz w:val="24"/>
          <w:szCs w:val="24"/>
        </w:rPr>
        <w:t>Diversity | Corporate Profile</w:t>
      </w:r>
      <w:r w:rsidRPr="3FBB2051">
        <w:rPr>
          <w:rFonts w:ascii="Times New Roman" w:eastAsia="Times New Roman" w:hAnsi="Times New Roman" w:cs="Times New Roman"/>
          <w:color w:val="000000" w:themeColor="text1"/>
          <w:sz w:val="24"/>
          <w:szCs w:val="24"/>
        </w:rPr>
        <w:t xml:space="preserve"> -- Retrieved December 16, 2019, from Aetna.com website: </w:t>
      </w:r>
      <w:hyperlink r:id="rId20">
        <w:r w:rsidRPr="3FBB2051">
          <w:rPr>
            <w:rStyle w:val="Hyperlink"/>
            <w:rFonts w:ascii="Times New Roman" w:eastAsia="Times New Roman" w:hAnsi="Times New Roman" w:cs="Times New Roman"/>
            <w:color w:val="000000" w:themeColor="text1"/>
            <w:sz w:val="24"/>
            <w:szCs w:val="24"/>
          </w:rPr>
          <w:t>https://www1.aetna.com/about-aetna-insurance/aetna-corporate-profile/diversity/index.html</w:t>
        </w:r>
      </w:hyperlink>
    </w:p>
    <w:p w14:paraId="1CE96C47" w14:textId="6D6AAA8A" w:rsidR="229EED8F" w:rsidRDefault="3FBB2051" w:rsidP="3FBB2051">
      <w:pPr>
        <w:spacing w:line="360" w:lineRule="auto"/>
        <w:rPr>
          <w:rFonts w:ascii="Calibri" w:eastAsia="Calibri" w:hAnsi="Calibri" w:cs="Calibri"/>
          <w:color w:val="000000" w:themeColor="text1"/>
        </w:rPr>
      </w:pPr>
      <w:r w:rsidRPr="3FBB2051">
        <w:rPr>
          <w:rFonts w:ascii="Times New Roman" w:eastAsia="Times New Roman" w:hAnsi="Times New Roman" w:cs="Times New Roman"/>
          <w:color w:val="000000" w:themeColor="text1"/>
          <w:sz w:val="24"/>
          <w:szCs w:val="24"/>
        </w:rPr>
        <w:t xml:space="preserve">Aetna (2019c) </w:t>
      </w:r>
      <w:r w:rsidRPr="3FBB2051">
        <w:rPr>
          <w:rFonts w:ascii="Times New Roman" w:eastAsia="Times New Roman" w:hAnsi="Times New Roman" w:cs="Times New Roman"/>
          <w:i/>
          <w:iCs/>
          <w:color w:val="000000" w:themeColor="text1"/>
          <w:sz w:val="24"/>
          <w:szCs w:val="24"/>
        </w:rPr>
        <w:t>About Us | Aetna International</w:t>
      </w:r>
      <w:r w:rsidRPr="3FBB2051">
        <w:rPr>
          <w:rFonts w:ascii="Times New Roman" w:eastAsia="Times New Roman" w:hAnsi="Times New Roman" w:cs="Times New Roman"/>
          <w:color w:val="000000" w:themeColor="text1"/>
          <w:sz w:val="24"/>
          <w:szCs w:val="24"/>
        </w:rPr>
        <w:t xml:space="preserve">. Retrieved December 16, 2019, from Aetnainternational.com website: </w:t>
      </w:r>
      <w:hyperlink r:id="rId21">
        <w:r w:rsidRPr="3FBB2051">
          <w:rPr>
            <w:rStyle w:val="Hyperlink"/>
            <w:rFonts w:ascii="Times New Roman" w:eastAsia="Times New Roman" w:hAnsi="Times New Roman" w:cs="Times New Roman"/>
            <w:color w:val="000000" w:themeColor="text1"/>
            <w:sz w:val="24"/>
            <w:szCs w:val="24"/>
          </w:rPr>
          <w:t>https://www.aetnainternational.com/en/about-us.html</w:t>
        </w:r>
      </w:hyperlink>
    </w:p>
    <w:p w14:paraId="05B5C596" w14:textId="6CE5B4E7" w:rsidR="229EED8F" w:rsidRDefault="3FBB2051" w:rsidP="3FBB2051">
      <w:pPr>
        <w:spacing w:line="360" w:lineRule="auto"/>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000000" w:themeColor="text1"/>
          <w:sz w:val="24"/>
          <w:szCs w:val="24"/>
        </w:rPr>
        <w:t>Allday</w:t>
      </w:r>
      <w:proofErr w:type="spellEnd"/>
      <w:r w:rsidRPr="3FBB2051">
        <w:rPr>
          <w:rFonts w:ascii="Times New Roman" w:eastAsia="Times New Roman" w:hAnsi="Times New Roman" w:cs="Times New Roman"/>
          <w:color w:val="000000" w:themeColor="text1"/>
          <w:sz w:val="24"/>
          <w:szCs w:val="24"/>
        </w:rPr>
        <w:t>, E. (2013, June 22). Almost one-third of homeless in S.F. are gay. San Francisco Chronicle.’</w:t>
      </w:r>
    </w:p>
    <w:p w14:paraId="602ED9B2" w14:textId="71281294"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Arnold, J. (1997). </w:t>
      </w:r>
      <w:r w:rsidRPr="3FBB2051">
        <w:rPr>
          <w:rFonts w:ascii="Times New Roman" w:eastAsia="Times New Roman" w:hAnsi="Times New Roman" w:cs="Times New Roman"/>
          <w:i/>
          <w:iCs/>
          <w:color w:val="222222"/>
          <w:sz w:val="24"/>
          <w:szCs w:val="24"/>
        </w:rPr>
        <w:t>Managing careers into the 21st century</w:t>
      </w:r>
      <w:r w:rsidRPr="3FBB2051">
        <w:rPr>
          <w:rFonts w:ascii="Times New Roman" w:eastAsia="Times New Roman" w:hAnsi="Times New Roman" w:cs="Times New Roman"/>
          <w:color w:val="222222"/>
          <w:sz w:val="24"/>
          <w:szCs w:val="24"/>
        </w:rPr>
        <w:t>. Sage.</w:t>
      </w:r>
      <w:r w:rsidRPr="3FBB2051">
        <w:rPr>
          <w:rFonts w:ascii="Times New Roman" w:eastAsia="Times New Roman" w:hAnsi="Times New Roman" w:cs="Times New Roman"/>
          <w:color w:val="000000" w:themeColor="text1"/>
          <w:sz w:val="24"/>
          <w:szCs w:val="24"/>
        </w:rPr>
        <w:t xml:space="preserve"> </w:t>
      </w:r>
    </w:p>
    <w:p w14:paraId="08F0A78B" w14:textId="36F432EB" w:rsidR="229EED8F" w:rsidRDefault="3FBB2051" w:rsidP="3FBB2051">
      <w:pPr>
        <w:spacing w:line="360" w:lineRule="auto"/>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Arroyo, R. J. (2009). The strength of diversity. </w:t>
      </w:r>
      <w:r w:rsidRPr="3FBB2051">
        <w:rPr>
          <w:rFonts w:ascii="Times New Roman" w:eastAsia="Times New Roman" w:hAnsi="Times New Roman" w:cs="Times New Roman"/>
          <w:i/>
          <w:iCs/>
          <w:color w:val="000000" w:themeColor="text1"/>
          <w:sz w:val="24"/>
          <w:szCs w:val="24"/>
        </w:rPr>
        <w:t>An inclusive vision implemented in diverse ways</w:t>
      </w:r>
      <w:r w:rsidRPr="3FBB2051">
        <w:rPr>
          <w:rFonts w:ascii="Times New Roman" w:eastAsia="Times New Roman" w:hAnsi="Times New Roman" w:cs="Times New Roman"/>
          <w:color w:val="000000" w:themeColor="text1"/>
          <w:sz w:val="24"/>
          <w:szCs w:val="24"/>
        </w:rPr>
        <w:t xml:space="preserve">, 3(9), Aetna Inc. </w:t>
      </w:r>
    </w:p>
    <w:p w14:paraId="12832BE0" w14:textId="65F0B733"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lastRenderedPageBreak/>
        <w:t xml:space="preserve">Bailey, M. M., </w:t>
      </w:r>
      <w:proofErr w:type="spellStart"/>
      <w:r w:rsidRPr="3FBB2051">
        <w:rPr>
          <w:rFonts w:ascii="Times New Roman" w:eastAsia="Times New Roman" w:hAnsi="Times New Roman" w:cs="Times New Roman"/>
          <w:color w:val="000000" w:themeColor="text1"/>
          <w:sz w:val="24"/>
          <w:szCs w:val="24"/>
        </w:rPr>
        <w:t>Kandaswamy</w:t>
      </w:r>
      <w:proofErr w:type="spellEnd"/>
      <w:r w:rsidRPr="3FBB2051">
        <w:rPr>
          <w:rFonts w:ascii="Times New Roman" w:eastAsia="Times New Roman" w:hAnsi="Times New Roman" w:cs="Times New Roman"/>
          <w:color w:val="000000" w:themeColor="text1"/>
          <w:sz w:val="24"/>
          <w:szCs w:val="24"/>
        </w:rPr>
        <w:t xml:space="preserve">, P., &amp; Richardson, M. U. (2004). Is gay marriage </w:t>
      </w:r>
      <w:proofErr w:type="spellStart"/>
      <w:r w:rsidRPr="3FBB2051">
        <w:rPr>
          <w:rFonts w:ascii="Times New Roman" w:eastAsia="Times New Roman" w:hAnsi="Times New Roman" w:cs="Times New Roman"/>
          <w:color w:val="000000" w:themeColor="text1"/>
          <w:sz w:val="24"/>
          <w:szCs w:val="24"/>
        </w:rPr>
        <w:t>rascist</w:t>
      </w:r>
      <w:proofErr w:type="spellEnd"/>
      <w:r w:rsidRPr="3FBB2051">
        <w:rPr>
          <w:rFonts w:ascii="Times New Roman" w:eastAsia="Times New Roman" w:hAnsi="Times New Roman" w:cs="Times New Roman"/>
          <w:color w:val="000000" w:themeColor="text1"/>
          <w:sz w:val="24"/>
          <w:szCs w:val="24"/>
        </w:rPr>
        <w:t>? In M. B. Sycamore (Ed.), That’s revolting: Queer strategies for resisting assimilation (pp. 113–119). Berkeley, CA: Soft Skull Press.</w:t>
      </w:r>
    </w:p>
    <w:p w14:paraId="3B732B04" w14:textId="4E27846B"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Barry, B. (2017). Equal opportunity and moral arbitrariness. In </w:t>
      </w:r>
      <w:r w:rsidRPr="3FBB2051">
        <w:rPr>
          <w:rFonts w:ascii="Times New Roman" w:eastAsia="Times New Roman" w:hAnsi="Times New Roman" w:cs="Times New Roman"/>
          <w:i/>
          <w:iCs/>
          <w:color w:val="222222"/>
          <w:sz w:val="24"/>
          <w:szCs w:val="24"/>
        </w:rPr>
        <w:t>Distributive Justice</w:t>
      </w:r>
      <w:r w:rsidRPr="3FBB2051">
        <w:rPr>
          <w:rFonts w:ascii="Times New Roman" w:eastAsia="Times New Roman" w:hAnsi="Times New Roman" w:cs="Times New Roman"/>
          <w:color w:val="222222"/>
          <w:sz w:val="24"/>
          <w:szCs w:val="24"/>
        </w:rPr>
        <w:t xml:space="preserve"> (pp. 213-234). Routledge.</w:t>
      </w:r>
    </w:p>
    <w:p w14:paraId="22B56A3A" w14:textId="5E060C48"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Bartol</w:t>
      </w:r>
      <w:proofErr w:type="spellEnd"/>
      <w:r w:rsidRPr="3FBB2051">
        <w:rPr>
          <w:rFonts w:ascii="Times New Roman" w:eastAsia="Times New Roman" w:hAnsi="Times New Roman" w:cs="Times New Roman"/>
          <w:color w:val="222222"/>
          <w:sz w:val="24"/>
          <w:szCs w:val="24"/>
        </w:rPr>
        <w:t xml:space="preserve">, K. M., Martin, D. C., &amp; </w:t>
      </w:r>
      <w:proofErr w:type="spellStart"/>
      <w:r w:rsidRPr="3FBB2051">
        <w:rPr>
          <w:rFonts w:ascii="Times New Roman" w:eastAsia="Times New Roman" w:hAnsi="Times New Roman" w:cs="Times New Roman"/>
          <w:color w:val="222222"/>
          <w:sz w:val="24"/>
          <w:szCs w:val="24"/>
        </w:rPr>
        <w:t>Kromkowski</w:t>
      </w:r>
      <w:proofErr w:type="spellEnd"/>
      <w:r w:rsidRPr="3FBB2051">
        <w:rPr>
          <w:rFonts w:ascii="Times New Roman" w:eastAsia="Times New Roman" w:hAnsi="Times New Roman" w:cs="Times New Roman"/>
          <w:color w:val="222222"/>
          <w:sz w:val="24"/>
          <w:szCs w:val="24"/>
        </w:rPr>
        <w:t xml:space="preserve">, J. A. (2003). Leadership and the glass ceiling: Gender and ethnic group influences on leader behaviors at middle and executive managerial levels. </w:t>
      </w:r>
      <w:r w:rsidRPr="3FBB2051">
        <w:rPr>
          <w:rFonts w:ascii="Times New Roman" w:eastAsia="Times New Roman" w:hAnsi="Times New Roman" w:cs="Times New Roman"/>
          <w:i/>
          <w:iCs/>
          <w:color w:val="222222"/>
          <w:sz w:val="24"/>
          <w:szCs w:val="24"/>
        </w:rPr>
        <w:t>Journal of Leadership &amp; Organizational Studies</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9</w:t>
      </w:r>
      <w:r w:rsidRPr="3FBB2051">
        <w:rPr>
          <w:rFonts w:ascii="Times New Roman" w:eastAsia="Times New Roman" w:hAnsi="Times New Roman" w:cs="Times New Roman"/>
          <w:color w:val="222222"/>
          <w:sz w:val="24"/>
          <w:szCs w:val="24"/>
        </w:rPr>
        <w:t>(3), 8-19.</w:t>
      </w:r>
    </w:p>
    <w:p w14:paraId="5EFAA912" w14:textId="3111A3A6"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Beasley, C. R., Jenkins, R. A., &amp; </w:t>
      </w:r>
      <w:proofErr w:type="spellStart"/>
      <w:r w:rsidRPr="3FBB2051">
        <w:rPr>
          <w:rFonts w:ascii="Times New Roman" w:eastAsia="Times New Roman" w:hAnsi="Times New Roman" w:cs="Times New Roman"/>
          <w:color w:val="000000" w:themeColor="text1"/>
          <w:sz w:val="24"/>
          <w:szCs w:val="24"/>
        </w:rPr>
        <w:t>Valenti</w:t>
      </w:r>
      <w:proofErr w:type="spellEnd"/>
      <w:r w:rsidRPr="3FBB2051">
        <w:rPr>
          <w:rFonts w:ascii="Times New Roman" w:eastAsia="Times New Roman" w:hAnsi="Times New Roman" w:cs="Times New Roman"/>
          <w:color w:val="000000" w:themeColor="text1"/>
          <w:sz w:val="24"/>
          <w:szCs w:val="24"/>
        </w:rPr>
        <w:t xml:space="preserve">, M. (2015). </w:t>
      </w:r>
      <w:r w:rsidRPr="3FBB2051">
        <w:rPr>
          <w:rFonts w:ascii="Times New Roman" w:eastAsia="Times New Roman" w:hAnsi="Times New Roman" w:cs="Times New Roman"/>
          <w:i/>
          <w:iCs/>
          <w:color w:val="000000" w:themeColor="text1"/>
          <w:sz w:val="24"/>
          <w:szCs w:val="24"/>
        </w:rPr>
        <w:t>Special Section on LGBT Resilience Across Cultures: Introduction. American Journal of Community Psychology, 55(1-2), 164–166.</w:t>
      </w:r>
    </w:p>
    <w:p w14:paraId="1B84B3E9" w14:textId="6B764CB5" w:rsidR="229EED8F" w:rsidRDefault="3FBB2051" w:rsidP="3FBB2051">
      <w:pPr>
        <w:spacing w:line="360" w:lineRule="auto"/>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Bonvicini</w:t>
      </w:r>
      <w:proofErr w:type="spellEnd"/>
      <w:r w:rsidRPr="3FBB2051">
        <w:rPr>
          <w:rFonts w:ascii="Times New Roman" w:eastAsia="Times New Roman" w:hAnsi="Times New Roman" w:cs="Times New Roman"/>
          <w:color w:val="222222"/>
          <w:sz w:val="24"/>
          <w:szCs w:val="24"/>
        </w:rPr>
        <w:t xml:space="preserve">, K. A. (2017). LGBT healthcare disparities: What progress have we </w:t>
      </w:r>
      <w:proofErr w:type="gramStart"/>
      <w:r w:rsidRPr="3FBB2051">
        <w:rPr>
          <w:rFonts w:ascii="Times New Roman" w:eastAsia="Times New Roman" w:hAnsi="Times New Roman" w:cs="Times New Roman"/>
          <w:color w:val="222222"/>
          <w:sz w:val="24"/>
          <w:szCs w:val="24"/>
        </w:rPr>
        <w:t>made?.</w:t>
      </w:r>
      <w:proofErr w:type="gramEnd"/>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Patient education and counseling</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100</w:t>
      </w:r>
      <w:r w:rsidRPr="3FBB2051">
        <w:rPr>
          <w:rFonts w:ascii="Times New Roman" w:eastAsia="Times New Roman" w:hAnsi="Times New Roman" w:cs="Times New Roman"/>
          <w:color w:val="222222"/>
          <w:sz w:val="24"/>
          <w:szCs w:val="24"/>
        </w:rPr>
        <w:t>(12), 2357-2361</w:t>
      </w:r>
    </w:p>
    <w:p w14:paraId="0513F966" w14:textId="702AD637"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Burton, C., Lee, J., </w:t>
      </w:r>
      <w:proofErr w:type="spellStart"/>
      <w:r w:rsidRPr="3FBB2051">
        <w:rPr>
          <w:rFonts w:ascii="Times New Roman" w:eastAsia="Times New Roman" w:hAnsi="Times New Roman" w:cs="Times New Roman"/>
          <w:color w:val="222222"/>
          <w:sz w:val="24"/>
          <w:szCs w:val="24"/>
        </w:rPr>
        <w:t>Waalen</w:t>
      </w:r>
      <w:proofErr w:type="spellEnd"/>
      <w:r w:rsidRPr="3FBB2051">
        <w:rPr>
          <w:rFonts w:ascii="Times New Roman" w:eastAsia="Times New Roman" w:hAnsi="Times New Roman" w:cs="Times New Roman"/>
          <w:color w:val="222222"/>
          <w:sz w:val="24"/>
          <w:szCs w:val="24"/>
        </w:rPr>
        <w:t>, A., Sorkin, D., Fitzpatrick, C., &amp; Gibbs, L. (2018, April). LGBT Elders and US Health Care Systems: Experiences &amp; Unmet Needs. In Journal of the American Geriatrics Society (Vol. 66, pp. S139-S140), NJ USA: WILEY.</w:t>
      </w:r>
    </w:p>
    <w:p w14:paraId="1057ED99" w14:textId="38C2C855" w:rsidR="229EED8F" w:rsidRDefault="3FBB2051" w:rsidP="3FBB2051">
      <w:pPr>
        <w:spacing w:line="360" w:lineRule="auto"/>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Cascio, W. (2009). Aetna: Investing in Diversity. Society for Human Resource Management (SHRM).</w:t>
      </w:r>
    </w:p>
    <w:p w14:paraId="29DF70DD" w14:textId="0C59ECDA"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Cech, E. A. (2015, June). LGBT professionals’ workplace experiences in STEM-related federal agencies. In </w:t>
      </w:r>
      <w:r w:rsidRPr="3FBB2051">
        <w:rPr>
          <w:rFonts w:ascii="Times New Roman" w:eastAsia="Times New Roman" w:hAnsi="Times New Roman" w:cs="Times New Roman"/>
          <w:i/>
          <w:iCs/>
          <w:color w:val="222222"/>
          <w:sz w:val="24"/>
          <w:szCs w:val="24"/>
        </w:rPr>
        <w:t>2015 ASEE Annual Conference &amp; Exposition</w:t>
      </w:r>
      <w:r w:rsidRPr="3FBB2051">
        <w:rPr>
          <w:rFonts w:ascii="Times New Roman" w:eastAsia="Times New Roman" w:hAnsi="Times New Roman" w:cs="Times New Roman"/>
          <w:color w:val="222222"/>
          <w:sz w:val="24"/>
          <w:szCs w:val="24"/>
        </w:rPr>
        <w:t xml:space="preserve"> (pp. 26-1094).</w:t>
      </w:r>
    </w:p>
    <w:p w14:paraId="0E898716" w14:textId="1EEBC6AF"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CIPD. (2017). </w:t>
      </w:r>
      <w:r w:rsidRPr="3FBB2051">
        <w:rPr>
          <w:rFonts w:ascii="Times New Roman" w:eastAsia="Times New Roman" w:hAnsi="Times New Roman" w:cs="Times New Roman"/>
          <w:i/>
          <w:iCs/>
          <w:color w:val="000000" w:themeColor="text1"/>
          <w:sz w:val="24"/>
          <w:szCs w:val="24"/>
        </w:rPr>
        <w:t>Addressing the barriers to BAME employee career progression to the top Report</w:t>
      </w:r>
      <w:r w:rsidRPr="3FBB2051">
        <w:rPr>
          <w:rFonts w:ascii="Times New Roman" w:eastAsia="Times New Roman" w:hAnsi="Times New Roman" w:cs="Times New Roman"/>
          <w:color w:val="000000" w:themeColor="text1"/>
          <w:sz w:val="24"/>
          <w:szCs w:val="24"/>
        </w:rPr>
        <w:t>.</w:t>
      </w:r>
    </w:p>
    <w:p w14:paraId="7BA92717" w14:textId="1DC532C1"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Colby, S. L., &amp; </w:t>
      </w:r>
      <w:proofErr w:type="spellStart"/>
      <w:r w:rsidRPr="3FBB2051">
        <w:rPr>
          <w:rFonts w:ascii="Times New Roman" w:eastAsia="Times New Roman" w:hAnsi="Times New Roman" w:cs="Times New Roman"/>
          <w:color w:val="222222"/>
          <w:sz w:val="24"/>
          <w:szCs w:val="24"/>
        </w:rPr>
        <w:t>Ortman</w:t>
      </w:r>
      <w:proofErr w:type="spellEnd"/>
      <w:r w:rsidRPr="3FBB2051">
        <w:rPr>
          <w:rFonts w:ascii="Times New Roman" w:eastAsia="Times New Roman" w:hAnsi="Times New Roman" w:cs="Times New Roman"/>
          <w:color w:val="222222"/>
          <w:sz w:val="24"/>
          <w:szCs w:val="24"/>
        </w:rPr>
        <w:t>, J. M. (2017). Projections of the size and composition of the US population: 2014 to 2060: Population estimates and projections.</w:t>
      </w:r>
    </w:p>
    <w:p w14:paraId="78A1A6C5" w14:textId="24F5D3F3"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Crenshaw, K. W. (1989). Demarginalizing the intersection of race and sex: A Black feminist critique of antidiscrimination doctrine, feminist theory and antiracist politics. University of Chicago Legal Forum, 1989, 139–167.</w:t>
      </w:r>
    </w:p>
    <w:p w14:paraId="53080735" w14:textId="381FBC99" w:rsidR="229EED8F" w:rsidRDefault="3FBB2051" w:rsidP="3FBB2051">
      <w:pPr>
        <w:spacing w:line="360" w:lineRule="auto"/>
        <w:rPr>
          <w:rFonts w:ascii="Calibri" w:eastAsia="Calibri" w:hAnsi="Calibri" w:cs="Calibri"/>
          <w:color w:val="000000" w:themeColor="text1"/>
        </w:rPr>
      </w:pPr>
      <w:r w:rsidRPr="3FBB2051">
        <w:rPr>
          <w:rFonts w:ascii="Times New Roman" w:eastAsia="Times New Roman" w:hAnsi="Times New Roman" w:cs="Times New Roman"/>
          <w:color w:val="000000" w:themeColor="text1"/>
          <w:sz w:val="24"/>
          <w:szCs w:val="24"/>
        </w:rPr>
        <w:lastRenderedPageBreak/>
        <w:t xml:space="preserve">Crunch. (2014). </w:t>
      </w:r>
      <w:r w:rsidRPr="3FBB2051">
        <w:rPr>
          <w:rFonts w:ascii="Times New Roman" w:eastAsia="Times New Roman" w:hAnsi="Times New Roman" w:cs="Times New Roman"/>
          <w:i/>
          <w:iCs/>
          <w:color w:val="000000" w:themeColor="text1"/>
          <w:sz w:val="24"/>
          <w:szCs w:val="24"/>
        </w:rPr>
        <w:t>Pursuing the pink pound: How big is the UK’s LGBT market?</w:t>
      </w:r>
      <w:r w:rsidRPr="3FBB2051">
        <w:rPr>
          <w:rFonts w:ascii="Times New Roman" w:eastAsia="Times New Roman" w:hAnsi="Times New Roman" w:cs="Times New Roman"/>
          <w:color w:val="000000" w:themeColor="text1"/>
          <w:sz w:val="24"/>
          <w:szCs w:val="24"/>
        </w:rPr>
        <w:t xml:space="preserve"> Retrieved from: </w:t>
      </w:r>
      <w:hyperlink r:id="rId22">
        <w:r w:rsidRPr="3FBB2051">
          <w:rPr>
            <w:rStyle w:val="Hyperlink"/>
            <w:rFonts w:ascii="Times New Roman" w:eastAsia="Times New Roman" w:hAnsi="Times New Roman" w:cs="Times New Roman"/>
            <w:color w:val="000000" w:themeColor="text1"/>
            <w:sz w:val="24"/>
            <w:szCs w:val="24"/>
          </w:rPr>
          <w:t>https://www.crunch.co.uk/knowledge/marketing/pursuing-the-pink-pound-how-big-is-the-uks-lgbt-market/</w:t>
        </w:r>
      </w:hyperlink>
    </w:p>
    <w:p w14:paraId="07F924F3" w14:textId="32B5397C"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DeFilippis</w:t>
      </w:r>
      <w:proofErr w:type="spellEnd"/>
      <w:r w:rsidRPr="3FBB2051">
        <w:rPr>
          <w:rFonts w:ascii="Times New Roman" w:eastAsia="Times New Roman" w:hAnsi="Times New Roman" w:cs="Times New Roman"/>
          <w:color w:val="222222"/>
          <w:sz w:val="24"/>
          <w:szCs w:val="24"/>
        </w:rPr>
        <w:t xml:space="preserve">, J. N. (2016). “What about the rest of us?” An overview of LGBT poverty issues and a call to action. </w:t>
      </w:r>
      <w:r w:rsidRPr="3FBB2051">
        <w:rPr>
          <w:rFonts w:ascii="Times New Roman" w:eastAsia="Times New Roman" w:hAnsi="Times New Roman" w:cs="Times New Roman"/>
          <w:i/>
          <w:iCs/>
          <w:color w:val="222222"/>
          <w:sz w:val="24"/>
          <w:szCs w:val="24"/>
        </w:rPr>
        <w:t>Journal of Progressive Human Services</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27</w:t>
      </w:r>
      <w:r w:rsidRPr="3FBB2051">
        <w:rPr>
          <w:rFonts w:ascii="Times New Roman" w:eastAsia="Times New Roman" w:hAnsi="Times New Roman" w:cs="Times New Roman"/>
          <w:color w:val="222222"/>
          <w:sz w:val="24"/>
          <w:szCs w:val="24"/>
        </w:rPr>
        <w:t>(3), 143-174.</w:t>
      </w:r>
    </w:p>
    <w:p w14:paraId="4C20FCEA" w14:textId="41C8A235"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Desmet</w:t>
      </w:r>
      <w:proofErr w:type="spellEnd"/>
      <w:r w:rsidRPr="3FBB2051">
        <w:rPr>
          <w:rFonts w:ascii="Times New Roman" w:eastAsia="Times New Roman" w:hAnsi="Times New Roman" w:cs="Times New Roman"/>
          <w:color w:val="222222"/>
          <w:sz w:val="24"/>
          <w:szCs w:val="24"/>
        </w:rPr>
        <w:t xml:space="preserve">, K., </w:t>
      </w:r>
      <w:proofErr w:type="spellStart"/>
      <w:r w:rsidRPr="3FBB2051">
        <w:rPr>
          <w:rFonts w:ascii="Times New Roman" w:eastAsia="Times New Roman" w:hAnsi="Times New Roman" w:cs="Times New Roman"/>
          <w:color w:val="222222"/>
          <w:sz w:val="24"/>
          <w:szCs w:val="24"/>
        </w:rPr>
        <w:t>Ortuño-Ortín</w:t>
      </w:r>
      <w:proofErr w:type="spellEnd"/>
      <w:r w:rsidRPr="3FBB2051">
        <w:rPr>
          <w:rFonts w:ascii="Times New Roman" w:eastAsia="Times New Roman" w:hAnsi="Times New Roman" w:cs="Times New Roman"/>
          <w:color w:val="222222"/>
          <w:sz w:val="24"/>
          <w:szCs w:val="24"/>
        </w:rPr>
        <w:t xml:space="preserve">, I., &amp; </w:t>
      </w:r>
      <w:proofErr w:type="spellStart"/>
      <w:r w:rsidRPr="3FBB2051">
        <w:rPr>
          <w:rFonts w:ascii="Times New Roman" w:eastAsia="Times New Roman" w:hAnsi="Times New Roman" w:cs="Times New Roman"/>
          <w:color w:val="222222"/>
          <w:sz w:val="24"/>
          <w:szCs w:val="24"/>
        </w:rPr>
        <w:t>Wacziarg</w:t>
      </w:r>
      <w:proofErr w:type="spellEnd"/>
      <w:r w:rsidRPr="3FBB2051">
        <w:rPr>
          <w:rFonts w:ascii="Times New Roman" w:eastAsia="Times New Roman" w:hAnsi="Times New Roman" w:cs="Times New Roman"/>
          <w:color w:val="222222"/>
          <w:sz w:val="24"/>
          <w:szCs w:val="24"/>
        </w:rPr>
        <w:t xml:space="preserve">, R. (2017). Culture, ethnicity, and diversity. </w:t>
      </w:r>
      <w:r w:rsidRPr="3FBB2051">
        <w:rPr>
          <w:rFonts w:ascii="Times New Roman" w:eastAsia="Times New Roman" w:hAnsi="Times New Roman" w:cs="Times New Roman"/>
          <w:i/>
          <w:iCs/>
          <w:color w:val="222222"/>
          <w:sz w:val="24"/>
          <w:szCs w:val="24"/>
        </w:rPr>
        <w:t>American Economic Review</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107</w:t>
      </w:r>
      <w:r w:rsidRPr="3FBB2051">
        <w:rPr>
          <w:rFonts w:ascii="Times New Roman" w:eastAsia="Times New Roman" w:hAnsi="Times New Roman" w:cs="Times New Roman"/>
          <w:color w:val="222222"/>
          <w:sz w:val="24"/>
          <w:szCs w:val="24"/>
        </w:rPr>
        <w:t>(9), 2479-2513.</w:t>
      </w:r>
    </w:p>
    <w:p w14:paraId="5D76B6A7" w14:textId="66C2ABDC"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DeSouza</w:t>
      </w:r>
      <w:proofErr w:type="spellEnd"/>
      <w:r w:rsidRPr="3FBB2051">
        <w:rPr>
          <w:rFonts w:ascii="Times New Roman" w:eastAsia="Times New Roman" w:hAnsi="Times New Roman" w:cs="Times New Roman"/>
          <w:color w:val="222222"/>
          <w:sz w:val="24"/>
          <w:szCs w:val="24"/>
        </w:rPr>
        <w:t xml:space="preserve">, E. R., Wesselmann, E. D., </w:t>
      </w:r>
      <w:proofErr w:type="spellStart"/>
      <w:r w:rsidRPr="3FBB2051">
        <w:rPr>
          <w:rFonts w:ascii="Times New Roman" w:eastAsia="Times New Roman" w:hAnsi="Times New Roman" w:cs="Times New Roman"/>
          <w:color w:val="222222"/>
          <w:sz w:val="24"/>
          <w:szCs w:val="24"/>
        </w:rPr>
        <w:t>Taschetto</w:t>
      </w:r>
      <w:proofErr w:type="spellEnd"/>
      <w:r w:rsidRPr="3FBB2051">
        <w:rPr>
          <w:rFonts w:ascii="Times New Roman" w:eastAsia="Times New Roman" w:hAnsi="Times New Roman" w:cs="Times New Roman"/>
          <w:color w:val="222222"/>
          <w:sz w:val="24"/>
          <w:szCs w:val="24"/>
        </w:rPr>
        <w:t xml:space="preserve">, L. R., Rosa, G. C., Rosa, C. F., </w:t>
      </w:r>
      <w:proofErr w:type="spellStart"/>
      <w:r w:rsidRPr="3FBB2051">
        <w:rPr>
          <w:rFonts w:ascii="Times New Roman" w:eastAsia="Times New Roman" w:hAnsi="Times New Roman" w:cs="Times New Roman"/>
          <w:color w:val="222222"/>
          <w:sz w:val="24"/>
          <w:szCs w:val="24"/>
        </w:rPr>
        <w:t>Yunes</w:t>
      </w:r>
      <w:proofErr w:type="spellEnd"/>
      <w:r w:rsidRPr="3FBB2051">
        <w:rPr>
          <w:rFonts w:ascii="Times New Roman" w:eastAsia="Times New Roman" w:hAnsi="Times New Roman" w:cs="Times New Roman"/>
          <w:color w:val="222222"/>
          <w:sz w:val="24"/>
          <w:szCs w:val="24"/>
        </w:rPr>
        <w:t xml:space="preserve">, M. A. M. &amp; Fernandes, G. (2019). Investigating ostracism and racial microaggressions toward Afro-Brazilians. </w:t>
      </w:r>
      <w:r w:rsidRPr="3FBB2051">
        <w:rPr>
          <w:rFonts w:ascii="Times New Roman" w:eastAsia="Times New Roman" w:hAnsi="Times New Roman" w:cs="Times New Roman"/>
          <w:i/>
          <w:iCs/>
          <w:color w:val="222222"/>
          <w:sz w:val="24"/>
          <w:szCs w:val="24"/>
        </w:rPr>
        <w:t>Journal of Black Psychology</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45</w:t>
      </w:r>
      <w:r w:rsidRPr="3FBB2051">
        <w:rPr>
          <w:rFonts w:ascii="Times New Roman" w:eastAsia="Times New Roman" w:hAnsi="Times New Roman" w:cs="Times New Roman"/>
          <w:color w:val="222222"/>
          <w:sz w:val="24"/>
          <w:szCs w:val="24"/>
        </w:rPr>
        <w:t>(4), 222-268.</w:t>
      </w:r>
    </w:p>
    <w:p w14:paraId="39EDDC2E" w14:textId="41286F19"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w:t>
      </w:r>
      <w:proofErr w:type="spellStart"/>
      <w:r w:rsidRPr="3FBB2051">
        <w:rPr>
          <w:rFonts w:ascii="Times New Roman" w:eastAsia="Times New Roman" w:hAnsi="Times New Roman" w:cs="Times New Roman"/>
          <w:color w:val="000000" w:themeColor="text1"/>
          <w:sz w:val="24"/>
          <w:szCs w:val="24"/>
        </w:rPr>
        <w:t>DiversityInc</w:t>
      </w:r>
      <w:proofErr w:type="spellEnd"/>
      <w:r w:rsidRPr="3FBB2051">
        <w:rPr>
          <w:rFonts w:ascii="Times New Roman" w:eastAsia="Times New Roman" w:hAnsi="Times New Roman" w:cs="Times New Roman"/>
          <w:color w:val="000000" w:themeColor="text1"/>
          <w:sz w:val="24"/>
          <w:szCs w:val="24"/>
        </w:rPr>
        <w:t xml:space="preserve">. (2018). </w:t>
      </w:r>
      <w:r w:rsidRPr="3FBB2051">
        <w:rPr>
          <w:rFonts w:ascii="Times New Roman" w:eastAsia="Times New Roman" w:hAnsi="Times New Roman" w:cs="Times New Roman"/>
          <w:i/>
          <w:iCs/>
          <w:color w:val="000000" w:themeColor="text1"/>
          <w:sz w:val="24"/>
          <w:szCs w:val="24"/>
        </w:rPr>
        <w:t xml:space="preserve">The </w:t>
      </w:r>
      <w:proofErr w:type="spellStart"/>
      <w:r w:rsidRPr="3FBB2051">
        <w:rPr>
          <w:rFonts w:ascii="Times New Roman" w:eastAsia="Times New Roman" w:hAnsi="Times New Roman" w:cs="Times New Roman"/>
          <w:i/>
          <w:iCs/>
          <w:color w:val="000000" w:themeColor="text1"/>
          <w:sz w:val="24"/>
          <w:szCs w:val="24"/>
        </w:rPr>
        <w:t>DiversityInc</w:t>
      </w:r>
      <w:proofErr w:type="spellEnd"/>
      <w:r w:rsidRPr="3FBB2051">
        <w:rPr>
          <w:rFonts w:ascii="Times New Roman" w:eastAsia="Times New Roman" w:hAnsi="Times New Roman" w:cs="Times New Roman"/>
          <w:i/>
          <w:iCs/>
          <w:color w:val="000000" w:themeColor="text1"/>
          <w:sz w:val="24"/>
          <w:szCs w:val="24"/>
        </w:rPr>
        <w:t xml:space="preserve"> Top 50 Companies | Ranking </w:t>
      </w:r>
      <w:proofErr w:type="gramStart"/>
      <w:r w:rsidRPr="3FBB2051">
        <w:rPr>
          <w:rFonts w:ascii="Times New Roman" w:eastAsia="Times New Roman" w:hAnsi="Times New Roman" w:cs="Times New Roman"/>
          <w:i/>
          <w:iCs/>
          <w:color w:val="000000" w:themeColor="text1"/>
          <w:sz w:val="24"/>
          <w:szCs w:val="24"/>
        </w:rPr>
        <w:t>The</w:t>
      </w:r>
      <w:proofErr w:type="gramEnd"/>
      <w:r w:rsidRPr="3FBB2051">
        <w:rPr>
          <w:rFonts w:ascii="Times New Roman" w:eastAsia="Times New Roman" w:hAnsi="Times New Roman" w:cs="Times New Roman"/>
          <w:i/>
          <w:iCs/>
          <w:color w:val="000000" w:themeColor="text1"/>
          <w:sz w:val="24"/>
          <w:szCs w:val="24"/>
        </w:rPr>
        <w:t xml:space="preserve"> Brands.</w:t>
      </w:r>
      <w:r w:rsidRPr="3FBB2051">
        <w:rPr>
          <w:rFonts w:ascii="Times New Roman" w:eastAsia="Times New Roman" w:hAnsi="Times New Roman" w:cs="Times New Roman"/>
          <w:color w:val="000000" w:themeColor="text1"/>
          <w:sz w:val="24"/>
          <w:szCs w:val="24"/>
        </w:rPr>
        <w:t xml:space="preserve"> (2018). Retrieved December 15, 2019, from Rankingthebrands.com website: </w:t>
      </w:r>
      <w:hyperlink r:id="rId23">
        <w:r w:rsidRPr="3FBB2051">
          <w:rPr>
            <w:rStyle w:val="Hyperlink"/>
            <w:rFonts w:ascii="Times New Roman" w:eastAsia="Times New Roman" w:hAnsi="Times New Roman" w:cs="Times New Roman"/>
            <w:color w:val="000000" w:themeColor="text1"/>
            <w:sz w:val="24"/>
            <w:szCs w:val="24"/>
          </w:rPr>
          <w:t>https://www.rankingthebrands.com/The-Brand-Rankings.aspx?rankingID=365&amp;year=1208</w:t>
        </w:r>
      </w:hyperlink>
    </w:p>
    <w:p w14:paraId="7278113A" w14:textId="5C26D9E4"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Diversity Best Practices Reveals the Inclusion Index. (2019). Recognizing 73 Organizations for Best Practices in Diversity &amp; Inclusion, </w:t>
      </w:r>
      <w:r w:rsidRPr="3FBB2051">
        <w:rPr>
          <w:rFonts w:ascii="Times New Roman" w:eastAsia="Times New Roman" w:hAnsi="Times New Roman" w:cs="Times New Roman"/>
          <w:i/>
          <w:iCs/>
          <w:color w:val="000000" w:themeColor="text1"/>
          <w:sz w:val="24"/>
          <w:szCs w:val="24"/>
        </w:rPr>
        <w:t>News.</w:t>
      </w:r>
      <w:r w:rsidRPr="3FBB2051">
        <w:rPr>
          <w:rFonts w:ascii="Times New Roman" w:eastAsia="Times New Roman" w:hAnsi="Times New Roman" w:cs="Times New Roman"/>
          <w:sz w:val="24"/>
          <w:szCs w:val="24"/>
        </w:rPr>
        <w:t xml:space="preserve"> Bonnier Corporation Company. NY.</w:t>
      </w:r>
    </w:p>
    <w:p w14:paraId="01C499F4" w14:textId="11BFE7EC"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Dreachslin</w:t>
      </w:r>
      <w:proofErr w:type="spellEnd"/>
      <w:r w:rsidRPr="3FBB2051">
        <w:rPr>
          <w:rFonts w:ascii="Times New Roman" w:eastAsia="Times New Roman" w:hAnsi="Times New Roman" w:cs="Times New Roman"/>
          <w:color w:val="222222"/>
          <w:sz w:val="24"/>
          <w:szCs w:val="24"/>
        </w:rPr>
        <w:t xml:space="preserve">, J. L., </w:t>
      </w:r>
      <w:proofErr w:type="spellStart"/>
      <w:r w:rsidRPr="3FBB2051">
        <w:rPr>
          <w:rFonts w:ascii="Times New Roman" w:eastAsia="Times New Roman" w:hAnsi="Times New Roman" w:cs="Times New Roman"/>
          <w:color w:val="222222"/>
          <w:sz w:val="24"/>
          <w:szCs w:val="24"/>
        </w:rPr>
        <w:t>Weech</w:t>
      </w:r>
      <w:proofErr w:type="spellEnd"/>
      <w:r w:rsidRPr="3FBB2051">
        <w:rPr>
          <w:rFonts w:ascii="Times New Roman" w:eastAsia="Times New Roman" w:hAnsi="Times New Roman" w:cs="Times New Roman"/>
          <w:color w:val="222222"/>
          <w:sz w:val="24"/>
          <w:szCs w:val="24"/>
        </w:rPr>
        <w:t xml:space="preserve">-Maldonado, R., &amp; </w:t>
      </w:r>
      <w:proofErr w:type="spellStart"/>
      <w:r w:rsidRPr="3FBB2051">
        <w:rPr>
          <w:rFonts w:ascii="Times New Roman" w:eastAsia="Times New Roman" w:hAnsi="Times New Roman" w:cs="Times New Roman"/>
          <w:color w:val="222222"/>
          <w:sz w:val="24"/>
          <w:szCs w:val="24"/>
        </w:rPr>
        <w:t>Dansky</w:t>
      </w:r>
      <w:proofErr w:type="spellEnd"/>
      <w:r w:rsidRPr="3FBB2051">
        <w:rPr>
          <w:rFonts w:ascii="Times New Roman" w:eastAsia="Times New Roman" w:hAnsi="Times New Roman" w:cs="Times New Roman"/>
          <w:color w:val="222222"/>
          <w:sz w:val="24"/>
          <w:szCs w:val="24"/>
        </w:rPr>
        <w:t xml:space="preserve">, K. H. (2004). Racial and ethnic diversity and organizational behavior: a focused research agenda for health services management. </w:t>
      </w:r>
      <w:r w:rsidRPr="3FBB2051">
        <w:rPr>
          <w:rFonts w:ascii="Times New Roman" w:eastAsia="Times New Roman" w:hAnsi="Times New Roman" w:cs="Times New Roman"/>
          <w:i/>
          <w:iCs/>
          <w:color w:val="222222"/>
          <w:sz w:val="24"/>
          <w:szCs w:val="24"/>
        </w:rPr>
        <w:t>Social Science &amp; Medicine</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59</w:t>
      </w:r>
      <w:r w:rsidRPr="3FBB2051">
        <w:rPr>
          <w:rFonts w:ascii="Times New Roman" w:eastAsia="Times New Roman" w:hAnsi="Times New Roman" w:cs="Times New Roman"/>
          <w:color w:val="222222"/>
          <w:sz w:val="24"/>
          <w:szCs w:val="24"/>
        </w:rPr>
        <w:t>(5), 961-971.</w:t>
      </w:r>
    </w:p>
    <w:p w14:paraId="04836C15" w14:textId="024484A7"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Durso</w:t>
      </w:r>
      <w:proofErr w:type="spellEnd"/>
      <w:r w:rsidRPr="3FBB2051">
        <w:rPr>
          <w:rFonts w:ascii="Times New Roman" w:eastAsia="Times New Roman" w:hAnsi="Times New Roman" w:cs="Times New Roman"/>
          <w:color w:val="222222"/>
          <w:sz w:val="24"/>
          <w:szCs w:val="24"/>
        </w:rPr>
        <w:t>, L. E. (2017). Data move us closer to full equality by speaking for those who cannot: Advocating for LGBT older adults.</w:t>
      </w:r>
      <w:r w:rsidRPr="3FBB2051">
        <w:rPr>
          <w:rFonts w:ascii="Times New Roman" w:eastAsia="Times New Roman" w:hAnsi="Times New Roman" w:cs="Times New Roman"/>
          <w:color w:val="000000" w:themeColor="text1"/>
          <w:sz w:val="24"/>
          <w:szCs w:val="24"/>
        </w:rPr>
        <w:t xml:space="preserve"> </w:t>
      </w:r>
      <w:r w:rsidRPr="3FBB2051">
        <w:rPr>
          <w:rFonts w:ascii="Times New Roman" w:eastAsia="Times New Roman" w:hAnsi="Times New Roman" w:cs="Times New Roman"/>
          <w:i/>
          <w:iCs/>
          <w:color w:val="000000" w:themeColor="text1"/>
          <w:sz w:val="24"/>
          <w:szCs w:val="24"/>
        </w:rPr>
        <w:t>The American Journal of Public Health (AJPH).</w:t>
      </w:r>
    </w:p>
    <w:p w14:paraId="18E1FFD2" w14:textId="598C4FE3"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Eagle, D. E. (2019). Book Review: Gay on God’s Campus: Mobilizing for LGBT Equality at Christian Colleges and Universities.</w:t>
      </w:r>
    </w:p>
    <w:p w14:paraId="1E288039" w14:textId="3AF69796" w:rsidR="229EED8F" w:rsidRDefault="3FBB2051" w:rsidP="3FBB2051">
      <w:pPr>
        <w:spacing w:line="360" w:lineRule="auto"/>
        <w:jc w:val="both"/>
        <w:rPr>
          <w:rFonts w:ascii="Calibri" w:eastAsia="Calibri" w:hAnsi="Calibri" w:cs="Calibri"/>
          <w:color w:val="000000" w:themeColor="text1"/>
        </w:rPr>
      </w:pPr>
      <w:proofErr w:type="spellStart"/>
      <w:r w:rsidRPr="3FBB2051">
        <w:rPr>
          <w:rFonts w:ascii="Times New Roman" w:eastAsia="Times New Roman" w:hAnsi="Times New Roman" w:cs="Times New Roman"/>
          <w:color w:val="000000" w:themeColor="text1"/>
          <w:sz w:val="24"/>
          <w:szCs w:val="24"/>
        </w:rPr>
        <w:t>Elflein</w:t>
      </w:r>
      <w:proofErr w:type="spellEnd"/>
      <w:r w:rsidRPr="3FBB2051">
        <w:rPr>
          <w:rFonts w:ascii="Times New Roman" w:eastAsia="Times New Roman" w:hAnsi="Times New Roman" w:cs="Times New Roman"/>
          <w:color w:val="000000" w:themeColor="text1"/>
          <w:sz w:val="24"/>
          <w:szCs w:val="24"/>
        </w:rPr>
        <w:t xml:space="preserve">, J. (2017). Adults views on having a healthcare provider that shares their same culture by ethnicity U.S. 2017 | Statista. Retrieved December 14, 2019, from Statista website: </w:t>
      </w:r>
      <w:hyperlink r:id="rId24">
        <w:r w:rsidRPr="3FBB2051">
          <w:rPr>
            <w:rStyle w:val="Hyperlink"/>
            <w:rFonts w:ascii="Times New Roman" w:eastAsia="Times New Roman" w:hAnsi="Times New Roman" w:cs="Times New Roman"/>
            <w:color w:val="000000" w:themeColor="text1"/>
            <w:sz w:val="24"/>
            <w:szCs w:val="24"/>
          </w:rPr>
          <w:t>https://www.statista.com/statistics/1064152/us-adults-views-on-having-healthcare-provider-sharing-the-same-culture/</w:t>
        </w:r>
      </w:hyperlink>
    </w:p>
    <w:p w14:paraId="645237F9" w14:textId="45444DAD"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lastRenderedPageBreak/>
        <w:t xml:space="preserve">Fetner, T. (2016). US attitudes toward lesbian and gay people are better than ever. </w:t>
      </w:r>
      <w:r w:rsidRPr="3FBB2051">
        <w:rPr>
          <w:rFonts w:ascii="Times New Roman" w:eastAsia="Times New Roman" w:hAnsi="Times New Roman" w:cs="Times New Roman"/>
          <w:i/>
          <w:iCs/>
          <w:color w:val="222222"/>
          <w:sz w:val="24"/>
          <w:szCs w:val="24"/>
        </w:rPr>
        <w:t>Contexts</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15</w:t>
      </w:r>
      <w:r w:rsidRPr="3FBB2051">
        <w:rPr>
          <w:rFonts w:ascii="Times New Roman" w:eastAsia="Times New Roman" w:hAnsi="Times New Roman" w:cs="Times New Roman"/>
          <w:color w:val="222222"/>
          <w:sz w:val="24"/>
          <w:szCs w:val="24"/>
        </w:rPr>
        <w:t>(2), 20-27.</w:t>
      </w:r>
    </w:p>
    <w:p w14:paraId="0B2E4D2B" w14:textId="5740EA9D"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Flores, A. R. (2019). On transnational networks and coming out: reflections from LGBT politics in the United States. </w:t>
      </w:r>
      <w:r w:rsidRPr="3FBB2051">
        <w:rPr>
          <w:rFonts w:ascii="Times New Roman" w:eastAsia="Times New Roman" w:hAnsi="Times New Roman" w:cs="Times New Roman"/>
          <w:i/>
          <w:iCs/>
          <w:color w:val="222222"/>
          <w:sz w:val="24"/>
          <w:szCs w:val="24"/>
        </w:rPr>
        <w:t>Politics, Groups, and Identities</w:t>
      </w:r>
      <w:r w:rsidRPr="3FBB2051">
        <w:rPr>
          <w:rFonts w:ascii="Times New Roman" w:eastAsia="Times New Roman" w:hAnsi="Times New Roman" w:cs="Times New Roman"/>
          <w:color w:val="222222"/>
          <w:sz w:val="24"/>
          <w:szCs w:val="24"/>
        </w:rPr>
        <w:t xml:space="preserve">, 1-4.   </w:t>
      </w:r>
    </w:p>
    <w:p w14:paraId="5A9E96B2" w14:textId="28EDC02C"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Gates, G. J. (2014). LGBT demographics: Comparisons among population-based surveys.</w:t>
      </w:r>
    </w:p>
    <w:p w14:paraId="3CF11E07" w14:textId="3E76A663" w:rsidR="229EED8F" w:rsidRDefault="3FBB2051" w:rsidP="3FBB2051">
      <w:pPr>
        <w:spacing w:line="360" w:lineRule="auto"/>
        <w:jc w:val="both"/>
        <w:rPr>
          <w:rFonts w:ascii="Times New Roman" w:eastAsia="Times New Roman" w:hAnsi="Times New Roman" w:cs="Times New Roman"/>
          <w:color w:val="000000" w:themeColor="text1"/>
          <w:sz w:val="26"/>
          <w:szCs w:val="26"/>
        </w:rPr>
      </w:pPr>
      <w:r w:rsidRPr="3FBB2051">
        <w:rPr>
          <w:rFonts w:ascii="Times New Roman" w:eastAsia="Times New Roman" w:hAnsi="Times New Roman" w:cs="Times New Roman"/>
          <w:color w:val="000000" w:themeColor="text1"/>
          <w:sz w:val="24"/>
          <w:szCs w:val="24"/>
        </w:rPr>
        <w:t xml:space="preserve">Gates, G.J. (2017). LGBT Data Collection Amid Social and Demographic Shifts of the US LGBT Community. </w:t>
      </w:r>
      <w:r w:rsidRPr="3FBB2051">
        <w:rPr>
          <w:rFonts w:ascii="Times New Roman" w:eastAsia="Times New Roman" w:hAnsi="Times New Roman" w:cs="Times New Roman"/>
          <w:i/>
          <w:iCs/>
          <w:color w:val="000000" w:themeColor="text1"/>
          <w:sz w:val="24"/>
          <w:szCs w:val="24"/>
        </w:rPr>
        <w:t>American Journal of Public Health</w:t>
      </w:r>
      <w:r w:rsidRPr="3FBB2051">
        <w:rPr>
          <w:rFonts w:ascii="Times New Roman" w:eastAsia="Times New Roman" w:hAnsi="Times New Roman" w:cs="Times New Roman"/>
          <w:color w:val="000000" w:themeColor="text1"/>
          <w:sz w:val="24"/>
          <w:szCs w:val="24"/>
        </w:rPr>
        <w:t xml:space="preserve">, 107(8), pp.1220–1222. </w:t>
      </w:r>
      <w:r w:rsidRPr="3FBB2051">
        <w:rPr>
          <w:rFonts w:ascii="Times New Roman" w:eastAsia="Times New Roman" w:hAnsi="Times New Roman" w:cs="Times New Roman"/>
          <w:color w:val="000000" w:themeColor="text1"/>
          <w:sz w:val="26"/>
          <w:szCs w:val="26"/>
        </w:rPr>
        <w:t xml:space="preserve"> </w:t>
      </w:r>
    </w:p>
    <w:p w14:paraId="65DAD5BB" w14:textId="72E637FC"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Giovannini</w:t>
      </w:r>
      <w:proofErr w:type="spellEnd"/>
      <w:r w:rsidRPr="3FBB2051">
        <w:rPr>
          <w:rFonts w:ascii="Times New Roman" w:eastAsia="Times New Roman" w:hAnsi="Times New Roman" w:cs="Times New Roman"/>
          <w:color w:val="222222"/>
          <w:sz w:val="24"/>
          <w:szCs w:val="24"/>
        </w:rPr>
        <w:t xml:space="preserve">, M. (2004). What gets measured gets done: Achieving results through diversity and inclusion. </w:t>
      </w:r>
      <w:r w:rsidRPr="3FBB2051">
        <w:rPr>
          <w:rFonts w:ascii="Times New Roman" w:eastAsia="Times New Roman" w:hAnsi="Times New Roman" w:cs="Times New Roman"/>
          <w:i/>
          <w:iCs/>
          <w:color w:val="222222"/>
          <w:sz w:val="24"/>
          <w:szCs w:val="24"/>
        </w:rPr>
        <w:t>The journal for quality and participation</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27</w:t>
      </w:r>
      <w:r w:rsidRPr="3FBB2051">
        <w:rPr>
          <w:rFonts w:ascii="Times New Roman" w:eastAsia="Times New Roman" w:hAnsi="Times New Roman" w:cs="Times New Roman"/>
          <w:color w:val="222222"/>
          <w:sz w:val="24"/>
          <w:szCs w:val="24"/>
        </w:rPr>
        <w:t xml:space="preserve">(4), 21. </w:t>
      </w:r>
    </w:p>
    <w:p w14:paraId="71980C45" w14:textId="23B9FA03"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Gleeson, H., Duke, K., &amp; Thom, B. (2019). Challenges to providing culturally sensitive drug interventions for black and Asian minority ethnic (BAME) groups within UK youth justice systems. </w:t>
      </w:r>
      <w:r w:rsidRPr="3FBB2051">
        <w:rPr>
          <w:rFonts w:ascii="Times New Roman" w:eastAsia="Times New Roman" w:hAnsi="Times New Roman" w:cs="Times New Roman"/>
          <w:i/>
          <w:iCs/>
          <w:color w:val="222222"/>
          <w:sz w:val="24"/>
          <w:szCs w:val="24"/>
        </w:rPr>
        <w:t>Drugs and Alcohol Today</w:t>
      </w:r>
      <w:r w:rsidRPr="3FBB2051">
        <w:rPr>
          <w:rFonts w:ascii="Times New Roman" w:eastAsia="Times New Roman" w:hAnsi="Times New Roman" w:cs="Times New Roman"/>
          <w:color w:val="222222"/>
          <w:sz w:val="24"/>
          <w:szCs w:val="24"/>
        </w:rPr>
        <w:t>.</w:t>
      </w:r>
      <w:r w:rsidRPr="3FBB2051">
        <w:rPr>
          <w:rFonts w:ascii="Times New Roman" w:eastAsia="Times New Roman" w:hAnsi="Times New Roman" w:cs="Times New Roman"/>
          <w:color w:val="000000" w:themeColor="text1"/>
          <w:sz w:val="24"/>
          <w:szCs w:val="24"/>
        </w:rPr>
        <w:t xml:space="preserve"> </w:t>
      </w:r>
    </w:p>
    <w:p w14:paraId="2005473A" w14:textId="0B6D1A83"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000000" w:themeColor="text1"/>
          <w:sz w:val="24"/>
          <w:szCs w:val="24"/>
        </w:rPr>
        <w:t>Goldhammer</w:t>
      </w:r>
      <w:proofErr w:type="spellEnd"/>
      <w:r w:rsidRPr="3FBB2051">
        <w:rPr>
          <w:rFonts w:ascii="Times New Roman" w:eastAsia="Times New Roman" w:hAnsi="Times New Roman" w:cs="Times New Roman"/>
          <w:color w:val="000000" w:themeColor="text1"/>
          <w:sz w:val="24"/>
          <w:szCs w:val="24"/>
        </w:rPr>
        <w:t xml:space="preserve">, H., </w:t>
      </w:r>
      <w:proofErr w:type="spellStart"/>
      <w:r w:rsidRPr="3FBB2051">
        <w:rPr>
          <w:rFonts w:ascii="Times New Roman" w:eastAsia="Times New Roman" w:hAnsi="Times New Roman" w:cs="Times New Roman"/>
          <w:color w:val="000000" w:themeColor="text1"/>
          <w:sz w:val="24"/>
          <w:szCs w:val="24"/>
        </w:rPr>
        <w:t>Krinsky</w:t>
      </w:r>
      <w:proofErr w:type="spellEnd"/>
      <w:r w:rsidRPr="3FBB2051">
        <w:rPr>
          <w:rFonts w:ascii="Times New Roman" w:eastAsia="Times New Roman" w:hAnsi="Times New Roman" w:cs="Times New Roman"/>
          <w:color w:val="000000" w:themeColor="text1"/>
          <w:sz w:val="24"/>
          <w:szCs w:val="24"/>
        </w:rPr>
        <w:t xml:space="preserve">, L., &amp; </w:t>
      </w:r>
      <w:proofErr w:type="spellStart"/>
      <w:r w:rsidRPr="3FBB2051">
        <w:rPr>
          <w:rFonts w:ascii="Times New Roman" w:eastAsia="Times New Roman" w:hAnsi="Times New Roman" w:cs="Times New Roman"/>
          <w:color w:val="000000" w:themeColor="text1"/>
          <w:sz w:val="24"/>
          <w:szCs w:val="24"/>
        </w:rPr>
        <w:t>Keuroghlian</w:t>
      </w:r>
      <w:proofErr w:type="spellEnd"/>
      <w:r w:rsidRPr="3FBB2051">
        <w:rPr>
          <w:rFonts w:ascii="Times New Roman" w:eastAsia="Times New Roman" w:hAnsi="Times New Roman" w:cs="Times New Roman"/>
          <w:color w:val="000000" w:themeColor="text1"/>
          <w:sz w:val="24"/>
          <w:szCs w:val="24"/>
        </w:rPr>
        <w:t>, A. S. (2019). </w:t>
      </w:r>
      <w:r w:rsidRPr="3FBB2051">
        <w:rPr>
          <w:rFonts w:ascii="Times New Roman" w:eastAsia="Times New Roman" w:hAnsi="Times New Roman" w:cs="Times New Roman"/>
          <w:i/>
          <w:iCs/>
          <w:color w:val="000000" w:themeColor="text1"/>
          <w:sz w:val="24"/>
          <w:szCs w:val="24"/>
        </w:rPr>
        <w:t>Meeting the Behavioral Health Needs of LGBT Older Adults. Journal of the American Geriatrics Society.</w:t>
      </w:r>
      <w:r w:rsidRPr="3FBB2051">
        <w:rPr>
          <w:rFonts w:ascii="Times New Roman" w:eastAsia="Times New Roman" w:hAnsi="Times New Roman" w:cs="Times New Roman"/>
          <w:color w:val="000000" w:themeColor="text1"/>
          <w:sz w:val="24"/>
          <w:szCs w:val="24"/>
        </w:rPr>
        <w:t> </w:t>
      </w:r>
    </w:p>
    <w:p w14:paraId="7A0D165D" w14:textId="44DA22E9"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Gore, A. (2000). Best practices in achieving workforce diversity. </w:t>
      </w:r>
      <w:r w:rsidRPr="3FBB2051">
        <w:rPr>
          <w:rFonts w:ascii="Times New Roman" w:eastAsia="Times New Roman" w:hAnsi="Times New Roman" w:cs="Times New Roman"/>
          <w:i/>
          <w:iCs/>
          <w:color w:val="222222"/>
          <w:sz w:val="24"/>
          <w:szCs w:val="24"/>
        </w:rPr>
        <w:t>Washington, DC: US Department of Commerce and Vice President Al Gore’s National Partnership for Reinventing Government Benchmark Study</w:t>
      </w:r>
      <w:r w:rsidRPr="3FBB2051">
        <w:rPr>
          <w:rFonts w:ascii="Times New Roman" w:eastAsia="Times New Roman" w:hAnsi="Times New Roman" w:cs="Times New Roman"/>
          <w:color w:val="222222"/>
          <w:sz w:val="24"/>
          <w:szCs w:val="24"/>
        </w:rPr>
        <w:t xml:space="preserve">. </w:t>
      </w:r>
    </w:p>
    <w:p w14:paraId="06E1E089" w14:textId="36C22EDB"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Grogan, S., &amp; Eshelman, B. (1998). Staffing strategies for a more diverse workforce: Case examples in Cornell Cooperative Extension. </w:t>
      </w:r>
      <w:r w:rsidRPr="3FBB2051">
        <w:rPr>
          <w:rFonts w:ascii="Times New Roman" w:eastAsia="Times New Roman" w:hAnsi="Times New Roman" w:cs="Times New Roman"/>
          <w:i/>
          <w:iCs/>
          <w:color w:val="222222"/>
          <w:sz w:val="24"/>
          <w:szCs w:val="24"/>
        </w:rPr>
        <w:t>Journal of Extension</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36</w:t>
      </w:r>
      <w:r w:rsidRPr="3FBB2051">
        <w:rPr>
          <w:rFonts w:ascii="Times New Roman" w:eastAsia="Times New Roman" w:hAnsi="Times New Roman" w:cs="Times New Roman"/>
          <w:color w:val="222222"/>
          <w:sz w:val="24"/>
          <w:szCs w:val="24"/>
        </w:rPr>
        <w:t>(1), 8-16.</w:t>
      </w:r>
      <w:r w:rsidRPr="3FBB2051">
        <w:rPr>
          <w:rFonts w:ascii="Times New Roman" w:eastAsia="Times New Roman" w:hAnsi="Times New Roman" w:cs="Times New Roman"/>
          <w:color w:val="000000" w:themeColor="text1"/>
          <w:sz w:val="24"/>
          <w:szCs w:val="24"/>
        </w:rPr>
        <w:t xml:space="preserve"> </w:t>
      </w:r>
    </w:p>
    <w:p w14:paraId="29CDC7E0" w14:textId="16ACF466" w:rsidR="229EED8F" w:rsidRDefault="3FBB2051" w:rsidP="3FBB2051">
      <w:pPr>
        <w:spacing w:line="360" w:lineRule="auto"/>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000000" w:themeColor="text1"/>
          <w:sz w:val="24"/>
          <w:szCs w:val="24"/>
        </w:rPr>
        <w:t>Hassett</w:t>
      </w:r>
      <w:proofErr w:type="spellEnd"/>
      <w:r w:rsidRPr="3FBB2051">
        <w:rPr>
          <w:rFonts w:ascii="Times New Roman" w:eastAsia="Times New Roman" w:hAnsi="Times New Roman" w:cs="Times New Roman"/>
          <w:color w:val="000000" w:themeColor="text1"/>
          <w:sz w:val="24"/>
          <w:szCs w:val="24"/>
        </w:rPr>
        <w:t>, P. (2005). Taking on racial and ethnic disparities in health care: the experience at Aetna. Health Affairs, 24(2), 417-420.</w:t>
      </w:r>
      <w:r w:rsidRPr="3FBB2051">
        <w:rPr>
          <w:rFonts w:ascii="Times New Roman" w:eastAsia="Times New Roman" w:hAnsi="Times New Roman" w:cs="Times New Roman"/>
          <w:color w:val="222222"/>
          <w:sz w:val="24"/>
          <w:szCs w:val="24"/>
        </w:rPr>
        <w:t xml:space="preserve"> </w:t>
      </w:r>
    </w:p>
    <w:p w14:paraId="6312E2A6" w14:textId="5FC7C8FC"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Hillenburg</w:t>
      </w:r>
      <w:proofErr w:type="spellEnd"/>
      <w:r w:rsidRPr="3FBB2051">
        <w:rPr>
          <w:rFonts w:ascii="Times New Roman" w:eastAsia="Times New Roman" w:hAnsi="Times New Roman" w:cs="Times New Roman"/>
          <w:color w:val="222222"/>
          <w:sz w:val="24"/>
          <w:szCs w:val="24"/>
        </w:rPr>
        <w:t xml:space="preserve">, K. L., Murdoch-Kinch, C. A., Kinney, J. S., Temple, H., &amp; Inglehart, M. R. (2016). LGBT coverage in US dental schools and dental hygiene programs: results of a national survey. </w:t>
      </w:r>
      <w:r w:rsidRPr="3FBB2051">
        <w:rPr>
          <w:rFonts w:ascii="Times New Roman" w:eastAsia="Times New Roman" w:hAnsi="Times New Roman" w:cs="Times New Roman"/>
          <w:i/>
          <w:iCs/>
          <w:color w:val="222222"/>
          <w:sz w:val="24"/>
          <w:szCs w:val="24"/>
        </w:rPr>
        <w:t>Journal of dental education</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80</w:t>
      </w:r>
      <w:r w:rsidRPr="3FBB2051">
        <w:rPr>
          <w:rFonts w:ascii="Times New Roman" w:eastAsia="Times New Roman" w:hAnsi="Times New Roman" w:cs="Times New Roman"/>
          <w:color w:val="222222"/>
          <w:sz w:val="24"/>
          <w:szCs w:val="24"/>
        </w:rPr>
        <w:t>(12), 1440-1449.</w:t>
      </w:r>
    </w:p>
    <w:p w14:paraId="29F3776D" w14:textId="49A53FBC"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Hiltrop, J. M. (1999). The quest for the best: human resource practices to attract and retain talent. </w:t>
      </w:r>
      <w:r w:rsidRPr="3FBB2051">
        <w:rPr>
          <w:rFonts w:ascii="Times New Roman" w:eastAsia="Times New Roman" w:hAnsi="Times New Roman" w:cs="Times New Roman"/>
          <w:i/>
          <w:iCs/>
          <w:color w:val="222222"/>
          <w:sz w:val="24"/>
          <w:szCs w:val="24"/>
        </w:rPr>
        <w:t>European Management Journal</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17</w:t>
      </w:r>
      <w:r w:rsidRPr="3FBB2051">
        <w:rPr>
          <w:rFonts w:ascii="Times New Roman" w:eastAsia="Times New Roman" w:hAnsi="Times New Roman" w:cs="Times New Roman"/>
          <w:color w:val="222222"/>
          <w:sz w:val="24"/>
          <w:szCs w:val="24"/>
        </w:rPr>
        <w:t>(4), 422-430.</w:t>
      </w:r>
    </w:p>
    <w:p w14:paraId="3D045119" w14:textId="0ED6B8D2"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lastRenderedPageBreak/>
        <w:t>Holck</w:t>
      </w:r>
      <w:proofErr w:type="spellEnd"/>
      <w:r w:rsidRPr="3FBB2051">
        <w:rPr>
          <w:rFonts w:ascii="Times New Roman" w:eastAsia="Times New Roman" w:hAnsi="Times New Roman" w:cs="Times New Roman"/>
          <w:color w:val="222222"/>
          <w:sz w:val="24"/>
          <w:szCs w:val="24"/>
        </w:rPr>
        <w:t xml:space="preserve">, L. (2018). Unequal by structure: Exploring the structural embeddedness of organizational diversity. </w:t>
      </w:r>
      <w:r w:rsidRPr="3FBB2051">
        <w:rPr>
          <w:rFonts w:ascii="Times New Roman" w:eastAsia="Times New Roman" w:hAnsi="Times New Roman" w:cs="Times New Roman"/>
          <w:i/>
          <w:iCs/>
          <w:color w:val="222222"/>
          <w:sz w:val="24"/>
          <w:szCs w:val="24"/>
        </w:rPr>
        <w:t>Organization</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25</w:t>
      </w:r>
      <w:r w:rsidRPr="3FBB2051">
        <w:rPr>
          <w:rFonts w:ascii="Times New Roman" w:eastAsia="Times New Roman" w:hAnsi="Times New Roman" w:cs="Times New Roman"/>
          <w:color w:val="222222"/>
          <w:sz w:val="24"/>
          <w:szCs w:val="24"/>
        </w:rPr>
        <w:t>(2), 242-259.</w:t>
      </w:r>
    </w:p>
    <w:p w14:paraId="76CC2C1D" w14:textId="524B7449" w:rsidR="229EED8F" w:rsidRDefault="3FBB2051" w:rsidP="3FBB2051">
      <w:pPr>
        <w:spacing w:line="360" w:lineRule="auto"/>
        <w:jc w:val="both"/>
        <w:rPr>
          <w:rFonts w:ascii="Calibri" w:eastAsia="Calibri" w:hAnsi="Calibri" w:cs="Calibri"/>
          <w:color w:val="000000" w:themeColor="text1"/>
        </w:rPr>
      </w:pPr>
      <w:r w:rsidRPr="3FBB2051">
        <w:rPr>
          <w:rFonts w:ascii="Times New Roman" w:eastAsia="Times New Roman" w:hAnsi="Times New Roman" w:cs="Times New Roman"/>
          <w:color w:val="000000" w:themeColor="text1"/>
          <w:sz w:val="24"/>
          <w:szCs w:val="24"/>
        </w:rPr>
        <w:t xml:space="preserve">Human Rights Campaign. (2017, November 6). </w:t>
      </w:r>
      <w:r w:rsidRPr="3FBB2051">
        <w:rPr>
          <w:rFonts w:ascii="Times New Roman" w:eastAsia="Times New Roman" w:hAnsi="Times New Roman" w:cs="Times New Roman"/>
          <w:i/>
          <w:iCs/>
          <w:color w:val="000000" w:themeColor="text1"/>
          <w:sz w:val="24"/>
          <w:szCs w:val="24"/>
        </w:rPr>
        <w:t>Best Places to Work 2018 | Human Rights Campaign.</w:t>
      </w:r>
      <w:r w:rsidRPr="3FBB2051">
        <w:rPr>
          <w:rFonts w:ascii="Times New Roman" w:eastAsia="Times New Roman" w:hAnsi="Times New Roman" w:cs="Times New Roman"/>
          <w:color w:val="000000" w:themeColor="text1"/>
          <w:sz w:val="24"/>
          <w:szCs w:val="24"/>
        </w:rPr>
        <w:t xml:space="preserve"> Retrieved December 15, 2019, from Human Rights Campaign website: </w:t>
      </w:r>
      <w:hyperlink r:id="rId25">
        <w:r w:rsidRPr="3FBB2051">
          <w:rPr>
            <w:rStyle w:val="Hyperlink"/>
            <w:rFonts w:ascii="Times New Roman" w:eastAsia="Times New Roman" w:hAnsi="Times New Roman" w:cs="Times New Roman"/>
            <w:color w:val="000000" w:themeColor="text1"/>
            <w:sz w:val="24"/>
            <w:szCs w:val="24"/>
          </w:rPr>
          <w:t>https://www.hrc.org/resources/best-places-to-work-2018</w:t>
        </w:r>
      </w:hyperlink>
    </w:p>
    <w:p w14:paraId="6CDA0611" w14:textId="6CEE17E7"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w:t>
      </w:r>
      <w:r w:rsidRPr="3FBB2051">
        <w:rPr>
          <w:rFonts w:ascii="Times New Roman" w:eastAsia="Times New Roman" w:hAnsi="Times New Roman" w:cs="Times New Roman"/>
          <w:color w:val="222222"/>
          <w:sz w:val="24"/>
          <w:szCs w:val="24"/>
        </w:rPr>
        <w:t xml:space="preserve">Hunt, V., Layton, D., &amp; Prince, S. (2015). Diversity matters. </w:t>
      </w:r>
      <w:r w:rsidRPr="3FBB2051">
        <w:rPr>
          <w:rFonts w:ascii="Times New Roman" w:eastAsia="Times New Roman" w:hAnsi="Times New Roman" w:cs="Times New Roman"/>
          <w:i/>
          <w:iCs/>
          <w:color w:val="222222"/>
          <w:sz w:val="24"/>
          <w:szCs w:val="24"/>
        </w:rPr>
        <w:t>McKinsey &amp; Company</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1</w:t>
      </w:r>
      <w:r w:rsidRPr="3FBB2051">
        <w:rPr>
          <w:rFonts w:ascii="Times New Roman" w:eastAsia="Times New Roman" w:hAnsi="Times New Roman" w:cs="Times New Roman"/>
          <w:color w:val="222222"/>
          <w:sz w:val="24"/>
          <w:szCs w:val="24"/>
        </w:rPr>
        <w:t>, 15-29.</w:t>
      </w:r>
      <w:r w:rsidRPr="3FBB2051">
        <w:rPr>
          <w:rFonts w:ascii="Times New Roman" w:eastAsia="Times New Roman" w:hAnsi="Times New Roman" w:cs="Times New Roman"/>
          <w:color w:val="000000" w:themeColor="text1"/>
          <w:sz w:val="24"/>
          <w:szCs w:val="24"/>
        </w:rPr>
        <w:t xml:space="preserve"> </w:t>
      </w:r>
    </w:p>
    <w:p w14:paraId="3E9D6D62" w14:textId="05439289" w:rsidR="229EED8F" w:rsidRDefault="3FBB2051" w:rsidP="3FBB2051">
      <w:pPr>
        <w:spacing w:line="360" w:lineRule="auto"/>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000000" w:themeColor="text1"/>
          <w:sz w:val="24"/>
          <w:szCs w:val="24"/>
        </w:rPr>
        <w:t>Hur</w:t>
      </w:r>
      <w:proofErr w:type="spellEnd"/>
      <w:r w:rsidRPr="3FBB2051">
        <w:rPr>
          <w:rFonts w:ascii="Times New Roman" w:eastAsia="Times New Roman" w:hAnsi="Times New Roman" w:cs="Times New Roman"/>
          <w:color w:val="000000" w:themeColor="text1"/>
          <w:sz w:val="24"/>
          <w:szCs w:val="24"/>
        </w:rPr>
        <w:t xml:space="preserve">, H. (2019). The role of inclusive work environment practices in promoting LGBT employee job satisfaction and commitment. </w:t>
      </w:r>
      <w:r w:rsidRPr="3FBB2051">
        <w:rPr>
          <w:rFonts w:ascii="Times New Roman" w:eastAsia="Times New Roman" w:hAnsi="Times New Roman" w:cs="Times New Roman"/>
          <w:i/>
          <w:iCs/>
          <w:color w:val="000000" w:themeColor="text1"/>
          <w:sz w:val="24"/>
          <w:szCs w:val="24"/>
        </w:rPr>
        <w:t>Public Money &amp; Management,</w:t>
      </w:r>
      <w:r w:rsidRPr="3FBB2051">
        <w:rPr>
          <w:rFonts w:ascii="Times New Roman" w:eastAsia="Times New Roman" w:hAnsi="Times New Roman" w:cs="Times New Roman"/>
          <w:color w:val="000000" w:themeColor="text1"/>
          <w:sz w:val="24"/>
          <w:szCs w:val="24"/>
        </w:rPr>
        <w:t xml:space="preserve"> 1-11. </w:t>
      </w:r>
    </w:p>
    <w:p w14:paraId="0CD88A4B" w14:textId="4B7688BC"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Investor Conference. (2014). In </w:t>
      </w:r>
      <w:r w:rsidRPr="3FBB2051">
        <w:rPr>
          <w:rFonts w:ascii="Times New Roman" w:eastAsia="Times New Roman" w:hAnsi="Times New Roman" w:cs="Times New Roman"/>
          <w:i/>
          <w:iCs/>
          <w:color w:val="000000" w:themeColor="text1"/>
          <w:sz w:val="24"/>
          <w:szCs w:val="24"/>
        </w:rPr>
        <w:t>© Aetna Inc.</w:t>
      </w:r>
      <w:r w:rsidRPr="3FBB2051">
        <w:rPr>
          <w:rFonts w:ascii="Times New Roman" w:eastAsia="Times New Roman" w:hAnsi="Times New Roman" w:cs="Times New Roman"/>
          <w:color w:val="000000" w:themeColor="text1"/>
          <w:sz w:val="24"/>
          <w:szCs w:val="24"/>
        </w:rPr>
        <w:t xml:space="preserve"> Retrieved from </w:t>
      </w:r>
      <w:hyperlink r:id="rId26">
        <w:r w:rsidRPr="3FBB2051">
          <w:rPr>
            <w:rStyle w:val="Hyperlink"/>
            <w:rFonts w:ascii="Times New Roman" w:eastAsia="Times New Roman" w:hAnsi="Times New Roman" w:cs="Times New Roman"/>
            <w:color w:val="000000" w:themeColor="text1"/>
            <w:sz w:val="24"/>
            <w:szCs w:val="24"/>
          </w:rPr>
          <w:t>http://www.aetna.com/investors-aetna/assets/documents/2014-investor-conference/2014InvestorConferencePresentation.pdf</w:t>
        </w:r>
      </w:hyperlink>
    </w:p>
    <w:p w14:paraId="28D85EEB" w14:textId="757C205C"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000000" w:themeColor="text1"/>
          <w:sz w:val="24"/>
          <w:szCs w:val="24"/>
        </w:rPr>
        <w:t>Iovannone</w:t>
      </w:r>
      <w:proofErr w:type="spellEnd"/>
      <w:r w:rsidRPr="3FBB2051">
        <w:rPr>
          <w:rFonts w:ascii="Times New Roman" w:eastAsia="Times New Roman" w:hAnsi="Times New Roman" w:cs="Times New Roman"/>
          <w:color w:val="000000" w:themeColor="text1"/>
          <w:sz w:val="24"/>
          <w:szCs w:val="24"/>
        </w:rPr>
        <w:t xml:space="preserve">, J.J. (2018). </w:t>
      </w:r>
      <w:r w:rsidRPr="3FBB2051">
        <w:rPr>
          <w:rFonts w:ascii="Times New Roman" w:eastAsia="Times New Roman" w:hAnsi="Times New Roman" w:cs="Times New Roman"/>
          <w:i/>
          <w:iCs/>
          <w:color w:val="000000" w:themeColor="text1"/>
          <w:sz w:val="24"/>
          <w:szCs w:val="24"/>
        </w:rPr>
        <w:t>A Brief History of the LGBTQ Initialism</w:t>
      </w:r>
      <w:r w:rsidRPr="3FBB2051">
        <w:rPr>
          <w:rFonts w:ascii="Times New Roman" w:eastAsia="Times New Roman" w:hAnsi="Times New Roman" w:cs="Times New Roman"/>
          <w:color w:val="000000" w:themeColor="text1"/>
          <w:sz w:val="24"/>
          <w:szCs w:val="24"/>
        </w:rPr>
        <w:t>.</w:t>
      </w:r>
    </w:p>
    <w:p w14:paraId="0148F4A4" w14:textId="392FFCF1"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Jones, K. P., Arena, D. F., </w:t>
      </w:r>
      <w:proofErr w:type="spellStart"/>
      <w:r w:rsidRPr="3FBB2051">
        <w:rPr>
          <w:rFonts w:ascii="Times New Roman" w:eastAsia="Times New Roman" w:hAnsi="Times New Roman" w:cs="Times New Roman"/>
          <w:color w:val="222222"/>
          <w:sz w:val="24"/>
          <w:szCs w:val="24"/>
        </w:rPr>
        <w:t>Nittrouer</w:t>
      </w:r>
      <w:proofErr w:type="spellEnd"/>
      <w:r w:rsidRPr="3FBB2051">
        <w:rPr>
          <w:rFonts w:ascii="Times New Roman" w:eastAsia="Times New Roman" w:hAnsi="Times New Roman" w:cs="Times New Roman"/>
          <w:color w:val="222222"/>
          <w:sz w:val="24"/>
          <w:szCs w:val="24"/>
        </w:rPr>
        <w:t xml:space="preserve">, C. L., Alonso, N. M., &amp; Lindsey, A. P. (2017). Subtle discrimination in the workplace: A vicious cycle. </w:t>
      </w:r>
      <w:r w:rsidRPr="3FBB2051">
        <w:rPr>
          <w:rFonts w:ascii="Times New Roman" w:eastAsia="Times New Roman" w:hAnsi="Times New Roman" w:cs="Times New Roman"/>
          <w:i/>
          <w:iCs/>
          <w:color w:val="222222"/>
          <w:sz w:val="24"/>
          <w:szCs w:val="24"/>
        </w:rPr>
        <w:t>Industrial and organizational psychology</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10</w:t>
      </w:r>
      <w:r w:rsidRPr="3FBB2051">
        <w:rPr>
          <w:rFonts w:ascii="Times New Roman" w:eastAsia="Times New Roman" w:hAnsi="Times New Roman" w:cs="Times New Roman"/>
          <w:color w:val="222222"/>
          <w:sz w:val="24"/>
          <w:szCs w:val="24"/>
        </w:rPr>
        <w:t>(1), 51-76.</w:t>
      </w:r>
    </w:p>
    <w:p w14:paraId="4034DD56" w14:textId="65D5D788"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Katzenbach, J. R. &amp; D. K. Smith (2006). </w:t>
      </w:r>
      <w:r w:rsidRPr="3FBB2051">
        <w:rPr>
          <w:rFonts w:ascii="Times New Roman" w:eastAsia="Times New Roman" w:hAnsi="Times New Roman" w:cs="Times New Roman"/>
          <w:i/>
          <w:iCs/>
          <w:color w:val="000000" w:themeColor="text1"/>
          <w:sz w:val="24"/>
          <w:szCs w:val="24"/>
        </w:rPr>
        <w:t xml:space="preserve">The wisdom of teams: Creating the high-performance organization </w:t>
      </w:r>
      <w:r w:rsidRPr="3FBB2051">
        <w:rPr>
          <w:rFonts w:ascii="Times New Roman" w:eastAsia="Times New Roman" w:hAnsi="Times New Roman" w:cs="Times New Roman"/>
          <w:color w:val="000000" w:themeColor="text1"/>
          <w:sz w:val="24"/>
          <w:szCs w:val="24"/>
        </w:rPr>
        <w:t>(Collins Business Essentials)</w:t>
      </w:r>
      <w:r w:rsidRPr="3FBB2051">
        <w:rPr>
          <w:rFonts w:ascii="Times New Roman" w:eastAsia="Times New Roman" w:hAnsi="Times New Roman" w:cs="Times New Roman"/>
          <w:i/>
          <w:iCs/>
          <w:color w:val="000000" w:themeColor="text1"/>
          <w:sz w:val="24"/>
          <w:szCs w:val="24"/>
        </w:rPr>
        <w:t xml:space="preserve">. </w:t>
      </w:r>
      <w:r w:rsidRPr="3FBB2051">
        <w:rPr>
          <w:rFonts w:ascii="Times New Roman" w:eastAsia="Times New Roman" w:hAnsi="Times New Roman" w:cs="Times New Roman"/>
          <w:color w:val="000000" w:themeColor="text1"/>
          <w:sz w:val="24"/>
          <w:szCs w:val="24"/>
        </w:rPr>
        <w:t>New York: HarperCollins. ‌</w:t>
      </w:r>
    </w:p>
    <w:p w14:paraId="18AB68D7" w14:textId="54F63595"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000000" w:themeColor="text1"/>
          <w:sz w:val="24"/>
          <w:szCs w:val="24"/>
        </w:rPr>
        <w:t>Kezar</w:t>
      </w:r>
      <w:proofErr w:type="spellEnd"/>
      <w:r w:rsidRPr="3FBB2051">
        <w:rPr>
          <w:rFonts w:ascii="Times New Roman" w:eastAsia="Times New Roman" w:hAnsi="Times New Roman" w:cs="Times New Roman"/>
          <w:color w:val="000000" w:themeColor="text1"/>
          <w:sz w:val="24"/>
          <w:szCs w:val="24"/>
        </w:rPr>
        <w:t>, A., &amp; Moriarty, D. (2000). Expanding our understanding of student leadership development: A study exploring gender and ethnic identity. Journal of College Student Development, 41, 55-68.</w:t>
      </w:r>
    </w:p>
    <w:p w14:paraId="73FA2F34" w14:textId="65045F0F"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Komives</w:t>
      </w:r>
      <w:proofErr w:type="spellEnd"/>
      <w:r w:rsidRPr="3FBB2051">
        <w:rPr>
          <w:rFonts w:ascii="Times New Roman" w:eastAsia="Times New Roman" w:hAnsi="Times New Roman" w:cs="Times New Roman"/>
          <w:color w:val="222222"/>
          <w:sz w:val="24"/>
          <w:szCs w:val="24"/>
        </w:rPr>
        <w:t xml:space="preserve">, S. R., </w:t>
      </w:r>
      <w:proofErr w:type="spellStart"/>
      <w:r w:rsidRPr="3FBB2051">
        <w:rPr>
          <w:rFonts w:ascii="Times New Roman" w:eastAsia="Times New Roman" w:hAnsi="Times New Roman" w:cs="Times New Roman"/>
          <w:color w:val="222222"/>
          <w:sz w:val="24"/>
          <w:szCs w:val="24"/>
        </w:rPr>
        <w:t>Longerbeam</w:t>
      </w:r>
      <w:proofErr w:type="spellEnd"/>
      <w:r w:rsidRPr="3FBB2051">
        <w:rPr>
          <w:rFonts w:ascii="Times New Roman" w:eastAsia="Times New Roman" w:hAnsi="Times New Roman" w:cs="Times New Roman"/>
          <w:color w:val="222222"/>
          <w:sz w:val="24"/>
          <w:szCs w:val="24"/>
        </w:rPr>
        <w:t xml:space="preserve">, S. D., </w:t>
      </w:r>
      <w:proofErr w:type="spellStart"/>
      <w:r w:rsidRPr="3FBB2051">
        <w:rPr>
          <w:rFonts w:ascii="Times New Roman" w:eastAsia="Times New Roman" w:hAnsi="Times New Roman" w:cs="Times New Roman"/>
          <w:color w:val="222222"/>
          <w:sz w:val="24"/>
          <w:szCs w:val="24"/>
        </w:rPr>
        <w:t>Mainella</w:t>
      </w:r>
      <w:proofErr w:type="spellEnd"/>
      <w:r w:rsidRPr="3FBB2051">
        <w:rPr>
          <w:rFonts w:ascii="Times New Roman" w:eastAsia="Times New Roman" w:hAnsi="Times New Roman" w:cs="Times New Roman"/>
          <w:color w:val="222222"/>
          <w:sz w:val="24"/>
          <w:szCs w:val="24"/>
        </w:rPr>
        <w:t xml:space="preserve">, F., Osteen, L., Owen, J. E., &amp; Wagner, W. (2009). Leadership identity development: Challenges in applying a developmental model. </w:t>
      </w:r>
      <w:r w:rsidRPr="3FBB2051">
        <w:rPr>
          <w:rFonts w:ascii="Times New Roman" w:eastAsia="Times New Roman" w:hAnsi="Times New Roman" w:cs="Times New Roman"/>
          <w:i/>
          <w:iCs/>
          <w:color w:val="222222"/>
          <w:sz w:val="24"/>
          <w:szCs w:val="24"/>
        </w:rPr>
        <w:t>Journal of Leadership Education</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8</w:t>
      </w:r>
      <w:r w:rsidRPr="3FBB2051">
        <w:rPr>
          <w:rFonts w:ascii="Times New Roman" w:eastAsia="Times New Roman" w:hAnsi="Times New Roman" w:cs="Times New Roman"/>
          <w:color w:val="222222"/>
          <w:sz w:val="24"/>
          <w:szCs w:val="24"/>
        </w:rPr>
        <w:t>(1), 11-47.</w:t>
      </w:r>
    </w:p>
    <w:p w14:paraId="299E6954" w14:textId="20B88989"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000000" w:themeColor="text1"/>
          <w:sz w:val="24"/>
          <w:szCs w:val="24"/>
        </w:rPr>
        <w:t>Krehely</w:t>
      </w:r>
      <w:proofErr w:type="spellEnd"/>
      <w:r w:rsidRPr="3FBB2051">
        <w:rPr>
          <w:rFonts w:ascii="Times New Roman" w:eastAsia="Times New Roman" w:hAnsi="Times New Roman" w:cs="Times New Roman"/>
          <w:color w:val="000000" w:themeColor="text1"/>
          <w:sz w:val="24"/>
          <w:szCs w:val="24"/>
        </w:rPr>
        <w:t>, J., &amp; Hunt, J. (2011). Helping all of our homeless: Developing a gay- and transgender inclusive federal plan to end homelessness. Center for American Progress.</w:t>
      </w:r>
    </w:p>
    <w:p w14:paraId="09252E49" w14:textId="70791C79"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Mehrotra, G. (2010). Toward a continuum of intersectionality theorizing for feminist social work scholarship. </w:t>
      </w:r>
      <w:proofErr w:type="spellStart"/>
      <w:r w:rsidRPr="3FBB2051">
        <w:rPr>
          <w:rFonts w:ascii="Times New Roman" w:eastAsia="Times New Roman" w:hAnsi="Times New Roman" w:cs="Times New Roman"/>
          <w:color w:val="000000" w:themeColor="text1"/>
          <w:sz w:val="24"/>
          <w:szCs w:val="24"/>
        </w:rPr>
        <w:t>Affilia</w:t>
      </w:r>
      <w:proofErr w:type="spellEnd"/>
      <w:r w:rsidRPr="3FBB2051">
        <w:rPr>
          <w:rFonts w:ascii="Times New Roman" w:eastAsia="Times New Roman" w:hAnsi="Times New Roman" w:cs="Times New Roman"/>
          <w:color w:val="000000" w:themeColor="text1"/>
          <w:sz w:val="24"/>
          <w:szCs w:val="24"/>
        </w:rPr>
        <w:t>, 25(4), 417–430.</w:t>
      </w:r>
    </w:p>
    <w:p w14:paraId="61B208ED" w14:textId="18699BEA"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lastRenderedPageBreak/>
        <w:t xml:space="preserve">Meissner, F., &amp; </w:t>
      </w:r>
      <w:proofErr w:type="spellStart"/>
      <w:r w:rsidRPr="3FBB2051">
        <w:rPr>
          <w:rFonts w:ascii="Times New Roman" w:eastAsia="Times New Roman" w:hAnsi="Times New Roman" w:cs="Times New Roman"/>
          <w:color w:val="222222"/>
          <w:sz w:val="24"/>
          <w:szCs w:val="24"/>
        </w:rPr>
        <w:t>Vertovec</w:t>
      </w:r>
      <w:proofErr w:type="spellEnd"/>
      <w:r w:rsidRPr="3FBB2051">
        <w:rPr>
          <w:rFonts w:ascii="Times New Roman" w:eastAsia="Times New Roman" w:hAnsi="Times New Roman" w:cs="Times New Roman"/>
          <w:color w:val="222222"/>
          <w:sz w:val="24"/>
          <w:szCs w:val="24"/>
        </w:rPr>
        <w:t xml:space="preserve">, S. (2015). Comparing super-diversity. </w:t>
      </w:r>
      <w:r w:rsidRPr="3FBB2051">
        <w:rPr>
          <w:rFonts w:ascii="Times New Roman" w:eastAsia="Times New Roman" w:hAnsi="Times New Roman" w:cs="Times New Roman"/>
          <w:i/>
          <w:iCs/>
          <w:color w:val="222222"/>
          <w:sz w:val="24"/>
          <w:szCs w:val="24"/>
        </w:rPr>
        <w:t>Ethnic and racial studies</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38</w:t>
      </w:r>
      <w:r w:rsidRPr="3FBB2051">
        <w:rPr>
          <w:rFonts w:ascii="Times New Roman" w:eastAsia="Times New Roman" w:hAnsi="Times New Roman" w:cs="Times New Roman"/>
          <w:color w:val="222222"/>
          <w:sz w:val="24"/>
          <w:szCs w:val="24"/>
        </w:rPr>
        <w:t>(4), 541-555.</w:t>
      </w:r>
    </w:p>
    <w:p w14:paraId="532DD729" w14:textId="655AD3D9"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Matthews, P., &amp; </w:t>
      </w:r>
      <w:proofErr w:type="spellStart"/>
      <w:r w:rsidRPr="3FBB2051">
        <w:rPr>
          <w:rFonts w:ascii="Times New Roman" w:eastAsia="Times New Roman" w:hAnsi="Times New Roman" w:cs="Times New Roman"/>
          <w:color w:val="222222"/>
          <w:sz w:val="24"/>
          <w:szCs w:val="24"/>
        </w:rPr>
        <w:t>Besemer</w:t>
      </w:r>
      <w:proofErr w:type="spellEnd"/>
      <w:r w:rsidRPr="3FBB2051">
        <w:rPr>
          <w:rFonts w:ascii="Times New Roman" w:eastAsia="Times New Roman" w:hAnsi="Times New Roman" w:cs="Times New Roman"/>
          <w:color w:val="222222"/>
          <w:sz w:val="24"/>
          <w:szCs w:val="24"/>
        </w:rPr>
        <w:t>, K. (2015). The “Pink Pound” in the “</w:t>
      </w:r>
      <w:proofErr w:type="spellStart"/>
      <w:r w:rsidRPr="3FBB2051">
        <w:rPr>
          <w:rFonts w:ascii="Times New Roman" w:eastAsia="Times New Roman" w:hAnsi="Times New Roman" w:cs="Times New Roman"/>
          <w:color w:val="222222"/>
          <w:sz w:val="24"/>
          <w:szCs w:val="24"/>
        </w:rPr>
        <w:t>Gaybourhood</w:t>
      </w:r>
      <w:proofErr w:type="spellEnd"/>
      <w:r w:rsidRPr="3FBB2051">
        <w:rPr>
          <w:rFonts w:ascii="Times New Roman" w:eastAsia="Times New Roman" w:hAnsi="Times New Roman" w:cs="Times New Roman"/>
          <w:color w:val="222222"/>
          <w:sz w:val="24"/>
          <w:szCs w:val="24"/>
        </w:rPr>
        <w:t xml:space="preserve">”? neighborhood deprivation and sexual orientation in Scotland. </w:t>
      </w:r>
      <w:r w:rsidRPr="3FBB2051">
        <w:rPr>
          <w:rFonts w:ascii="Times New Roman" w:eastAsia="Times New Roman" w:hAnsi="Times New Roman" w:cs="Times New Roman"/>
          <w:i/>
          <w:iCs/>
          <w:color w:val="222222"/>
          <w:sz w:val="24"/>
          <w:szCs w:val="24"/>
        </w:rPr>
        <w:t>Housing, Theory and Society</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32</w:t>
      </w:r>
      <w:r w:rsidRPr="3FBB2051">
        <w:rPr>
          <w:rFonts w:ascii="Times New Roman" w:eastAsia="Times New Roman" w:hAnsi="Times New Roman" w:cs="Times New Roman"/>
          <w:color w:val="222222"/>
          <w:sz w:val="24"/>
          <w:szCs w:val="24"/>
        </w:rPr>
        <w:t>(1), 94-111.</w:t>
      </w:r>
      <w:r w:rsidRPr="3FBB2051">
        <w:rPr>
          <w:rFonts w:ascii="Times New Roman" w:eastAsia="Times New Roman" w:hAnsi="Times New Roman" w:cs="Times New Roman"/>
          <w:color w:val="000000" w:themeColor="text1"/>
          <w:sz w:val="24"/>
          <w:szCs w:val="24"/>
        </w:rPr>
        <w:t xml:space="preserve"> </w:t>
      </w:r>
    </w:p>
    <w:p w14:paraId="78B1C24B" w14:textId="573C9A67"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Newport, F. (2018). </w:t>
      </w:r>
      <w:r w:rsidRPr="3FBB2051">
        <w:rPr>
          <w:rFonts w:ascii="Times New Roman" w:eastAsia="Times New Roman" w:hAnsi="Times New Roman" w:cs="Times New Roman"/>
          <w:i/>
          <w:iCs/>
          <w:color w:val="000000" w:themeColor="text1"/>
          <w:sz w:val="24"/>
          <w:szCs w:val="24"/>
        </w:rPr>
        <w:t>In U.S., Estimate of LGBT Population Rises to 4.5%</w:t>
      </w:r>
      <w:r w:rsidRPr="3FBB2051">
        <w:rPr>
          <w:rFonts w:ascii="Times New Roman" w:eastAsia="Times New Roman" w:hAnsi="Times New Roman" w:cs="Times New Roman"/>
          <w:color w:val="000000" w:themeColor="text1"/>
          <w:sz w:val="24"/>
          <w:szCs w:val="24"/>
        </w:rPr>
        <w:t>.</w:t>
      </w:r>
    </w:p>
    <w:p w14:paraId="1E50A1DB" w14:textId="6D86EB28"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Ng, E., &amp; Rumens, N. (2017). Diversity and inclusion for LGBT workers: Current issues and new horizons for research. </w:t>
      </w:r>
      <w:r w:rsidRPr="3FBB2051">
        <w:rPr>
          <w:rFonts w:ascii="Times New Roman" w:eastAsia="Times New Roman" w:hAnsi="Times New Roman" w:cs="Times New Roman"/>
          <w:i/>
          <w:iCs/>
          <w:color w:val="222222"/>
          <w:sz w:val="24"/>
          <w:szCs w:val="24"/>
        </w:rPr>
        <w:t>Canadian Journal of Administrative Sciences</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34</w:t>
      </w:r>
      <w:r w:rsidRPr="3FBB2051">
        <w:rPr>
          <w:rFonts w:ascii="Times New Roman" w:eastAsia="Times New Roman" w:hAnsi="Times New Roman" w:cs="Times New Roman"/>
          <w:color w:val="222222"/>
          <w:sz w:val="24"/>
          <w:szCs w:val="24"/>
        </w:rPr>
        <w:t>(2), 109-120.</w:t>
      </w:r>
    </w:p>
    <w:p w14:paraId="77A73B92" w14:textId="2FC75ED2"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Ntim</w:t>
      </w:r>
      <w:proofErr w:type="spellEnd"/>
      <w:r w:rsidRPr="3FBB2051">
        <w:rPr>
          <w:rFonts w:ascii="Times New Roman" w:eastAsia="Times New Roman" w:hAnsi="Times New Roman" w:cs="Times New Roman"/>
          <w:color w:val="222222"/>
          <w:sz w:val="24"/>
          <w:szCs w:val="24"/>
        </w:rPr>
        <w:t xml:space="preserve">, C. G. (2015). Board diversity and organizational valuation: unravelling the effects of ethnicity and gender. </w:t>
      </w:r>
      <w:r w:rsidRPr="3FBB2051">
        <w:rPr>
          <w:rFonts w:ascii="Times New Roman" w:eastAsia="Times New Roman" w:hAnsi="Times New Roman" w:cs="Times New Roman"/>
          <w:i/>
          <w:iCs/>
          <w:color w:val="222222"/>
          <w:sz w:val="24"/>
          <w:szCs w:val="24"/>
        </w:rPr>
        <w:t>Journal of Management &amp; Governance</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19</w:t>
      </w:r>
      <w:r w:rsidRPr="3FBB2051">
        <w:rPr>
          <w:rFonts w:ascii="Times New Roman" w:eastAsia="Times New Roman" w:hAnsi="Times New Roman" w:cs="Times New Roman"/>
          <w:color w:val="222222"/>
          <w:sz w:val="24"/>
          <w:szCs w:val="24"/>
        </w:rPr>
        <w:t>(1), 167-195.</w:t>
      </w:r>
    </w:p>
    <w:p w14:paraId="448CDDCB" w14:textId="139EA9B4"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Phillips, K. A., Mayer, M. L., &amp; </w:t>
      </w:r>
      <w:proofErr w:type="spellStart"/>
      <w:r w:rsidRPr="3FBB2051">
        <w:rPr>
          <w:rFonts w:ascii="Times New Roman" w:eastAsia="Times New Roman" w:hAnsi="Times New Roman" w:cs="Times New Roman"/>
          <w:color w:val="222222"/>
          <w:sz w:val="24"/>
          <w:szCs w:val="24"/>
        </w:rPr>
        <w:t>Aday</w:t>
      </w:r>
      <w:proofErr w:type="spellEnd"/>
      <w:r w:rsidRPr="3FBB2051">
        <w:rPr>
          <w:rFonts w:ascii="Times New Roman" w:eastAsia="Times New Roman" w:hAnsi="Times New Roman" w:cs="Times New Roman"/>
          <w:color w:val="222222"/>
          <w:sz w:val="24"/>
          <w:szCs w:val="24"/>
        </w:rPr>
        <w:t xml:space="preserve">, L. A. (2000). Barriers </w:t>
      </w:r>
      <w:proofErr w:type="gramStart"/>
      <w:r w:rsidRPr="3FBB2051">
        <w:rPr>
          <w:rFonts w:ascii="Times New Roman" w:eastAsia="Times New Roman" w:hAnsi="Times New Roman" w:cs="Times New Roman"/>
          <w:color w:val="222222"/>
          <w:sz w:val="24"/>
          <w:szCs w:val="24"/>
        </w:rPr>
        <w:t>To</w:t>
      </w:r>
      <w:proofErr w:type="gramEnd"/>
      <w:r w:rsidRPr="3FBB2051">
        <w:rPr>
          <w:rFonts w:ascii="Times New Roman" w:eastAsia="Times New Roman" w:hAnsi="Times New Roman" w:cs="Times New Roman"/>
          <w:color w:val="222222"/>
          <w:sz w:val="24"/>
          <w:szCs w:val="24"/>
        </w:rPr>
        <w:t xml:space="preserve"> Care Among Racial/Ethnic Groups Under Managed Care: Ethnic minorities continue to encounter barriers to care in the current managed care–dominated US health care system. </w:t>
      </w:r>
      <w:r w:rsidRPr="3FBB2051">
        <w:rPr>
          <w:rFonts w:ascii="Times New Roman" w:eastAsia="Times New Roman" w:hAnsi="Times New Roman" w:cs="Times New Roman"/>
          <w:i/>
          <w:iCs/>
          <w:color w:val="222222"/>
          <w:sz w:val="24"/>
          <w:szCs w:val="24"/>
        </w:rPr>
        <w:t>Health Affairs</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19</w:t>
      </w:r>
      <w:r w:rsidRPr="3FBB2051">
        <w:rPr>
          <w:rFonts w:ascii="Times New Roman" w:eastAsia="Times New Roman" w:hAnsi="Times New Roman" w:cs="Times New Roman"/>
          <w:color w:val="222222"/>
          <w:sz w:val="24"/>
          <w:szCs w:val="24"/>
        </w:rPr>
        <w:t>(4), 65-75.</w:t>
      </w:r>
    </w:p>
    <w:p w14:paraId="1BBC1263" w14:textId="6851404A" w:rsidR="229EED8F" w:rsidRDefault="3FBB2051" w:rsidP="3FBB2051">
      <w:pPr>
        <w:spacing w:line="360" w:lineRule="auto"/>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Pless</w:t>
      </w:r>
      <w:proofErr w:type="spellEnd"/>
      <w:r w:rsidRPr="3FBB2051">
        <w:rPr>
          <w:rFonts w:ascii="Times New Roman" w:eastAsia="Times New Roman" w:hAnsi="Times New Roman" w:cs="Times New Roman"/>
          <w:color w:val="222222"/>
          <w:sz w:val="24"/>
          <w:szCs w:val="24"/>
        </w:rPr>
        <w:t xml:space="preserve">, N., &amp; </w:t>
      </w:r>
      <w:proofErr w:type="spellStart"/>
      <w:r w:rsidRPr="3FBB2051">
        <w:rPr>
          <w:rFonts w:ascii="Times New Roman" w:eastAsia="Times New Roman" w:hAnsi="Times New Roman" w:cs="Times New Roman"/>
          <w:color w:val="222222"/>
          <w:sz w:val="24"/>
          <w:szCs w:val="24"/>
        </w:rPr>
        <w:t>Maak</w:t>
      </w:r>
      <w:proofErr w:type="spellEnd"/>
      <w:r w:rsidRPr="3FBB2051">
        <w:rPr>
          <w:rFonts w:ascii="Times New Roman" w:eastAsia="Times New Roman" w:hAnsi="Times New Roman" w:cs="Times New Roman"/>
          <w:color w:val="222222"/>
          <w:sz w:val="24"/>
          <w:szCs w:val="24"/>
        </w:rPr>
        <w:t xml:space="preserve">, T. (2004). Building an inclusive diversity culture: Principles, processes and practice. </w:t>
      </w:r>
      <w:r w:rsidRPr="3FBB2051">
        <w:rPr>
          <w:rFonts w:ascii="Times New Roman" w:eastAsia="Times New Roman" w:hAnsi="Times New Roman" w:cs="Times New Roman"/>
          <w:i/>
          <w:iCs/>
          <w:color w:val="222222"/>
          <w:sz w:val="24"/>
          <w:szCs w:val="24"/>
        </w:rPr>
        <w:t>Journal of business ethics</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54</w:t>
      </w:r>
      <w:r w:rsidRPr="3FBB2051">
        <w:rPr>
          <w:rFonts w:ascii="Times New Roman" w:eastAsia="Times New Roman" w:hAnsi="Times New Roman" w:cs="Times New Roman"/>
          <w:color w:val="222222"/>
          <w:sz w:val="24"/>
          <w:szCs w:val="24"/>
        </w:rPr>
        <w:t>(2), 129-147.</w:t>
      </w:r>
    </w:p>
    <w:p w14:paraId="48CCD691" w14:textId="5922801F"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Rao, K., &amp; Tilt, C. (2016). Board composition and corporate social responsibility: The role of diversity, gender, strategy and decision making. </w:t>
      </w:r>
      <w:r w:rsidRPr="3FBB2051">
        <w:rPr>
          <w:rFonts w:ascii="Times New Roman" w:eastAsia="Times New Roman" w:hAnsi="Times New Roman" w:cs="Times New Roman"/>
          <w:i/>
          <w:iCs/>
          <w:color w:val="000000" w:themeColor="text1"/>
          <w:sz w:val="24"/>
          <w:szCs w:val="24"/>
        </w:rPr>
        <w:t>Journal of Business Ethics</w:t>
      </w:r>
      <w:r w:rsidRPr="3FBB2051">
        <w:rPr>
          <w:rFonts w:ascii="Times New Roman" w:eastAsia="Times New Roman" w:hAnsi="Times New Roman" w:cs="Times New Roman"/>
          <w:color w:val="000000" w:themeColor="text1"/>
          <w:sz w:val="24"/>
          <w:szCs w:val="24"/>
        </w:rPr>
        <w:t xml:space="preserve">, </w:t>
      </w:r>
      <w:r w:rsidRPr="3FBB2051">
        <w:rPr>
          <w:rFonts w:ascii="Times New Roman" w:eastAsia="Times New Roman" w:hAnsi="Times New Roman" w:cs="Times New Roman"/>
          <w:i/>
          <w:iCs/>
          <w:color w:val="000000" w:themeColor="text1"/>
          <w:sz w:val="24"/>
          <w:szCs w:val="24"/>
        </w:rPr>
        <w:t>138</w:t>
      </w:r>
      <w:r w:rsidRPr="3FBB2051">
        <w:rPr>
          <w:rFonts w:ascii="Times New Roman" w:eastAsia="Times New Roman" w:hAnsi="Times New Roman" w:cs="Times New Roman"/>
          <w:color w:val="000000" w:themeColor="text1"/>
          <w:sz w:val="24"/>
          <w:szCs w:val="24"/>
        </w:rPr>
        <w:t>(2), 327-347.</w:t>
      </w:r>
    </w:p>
    <w:p w14:paraId="6A710E2D" w14:textId="72741311"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Redman, L. F. (2010). Outing the invisible poor: Why economic justice and access to health care is an LGBT issue</w:t>
      </w:r>
      <w:r w:rsidRPr="3FBB2051">
        <w:rPr>
          <w:rFonts w:ascii="Times New Roman" w:eastAsia="Times New Roman" w:hAnsi="Times New Roman" w:cs="Times New Roman"/>
          <w:i/>
          <w:iCs/>
          <w:color w:val="000000" w:themeColor="text1"/>
          <w:sz w:val="24"/>
          <w:szCs w:val="24"/>
        </w:rPr>
        <w:t>. Georgetown Journal on Poverty Law &amp; Policy,</w:t>
      </w:r>
      <w:r w:rsidRPr="3FBB2051">
        <w:rPr>
          <w:rFonts w:ascii="Times New Roman" w:eastAsia="Times New Roman" w:hAnsi="Times New Roman" w:cs="Times New Roman"/>
          <w:color w:val="000000" w:themeColor="text1"/>
          <w:sz w:val="24"/>
          <w:szCs w:val="24"/>
        </w:rPr>
        <w:t xml:space="preserve"> 17, 451. </w:t>
      </w:r>
    </w:p>
    <w:p w14:paraId="04D3B52E" w14:textId="4348C4C6"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000000" w:themeColor="text1"/>
          <w:sz w:val="24"/>
          <w:szCs w:val="24"/>
        </w:rPr>
        <w:t>Rengers</w:t>
      </w:r>
      <w:proofErr w:type="spellEnd"/>
      <w:r w:rsidRPr="3FBB2051">
        <w:rPr>
          <w:rFonts w:ascii="Times New Roman" w:eastAsia="Times New Roman" w:hAnsi="Times New Roman" w:cs="Times New Roman"/>
          <w:color w:val="000000" w:themeColor="text1"/>
          <w:sz w:val="24"/>
          <w:szCs w:val="24"/>
        </w:rPr>
        <w:t xml:space="preserve">, J. M., Heyse, L., </w:t>
      </w:r>
      <w:proofErr w:type="spellStart"/>
      <w:r w:rsidRPr="3FBB2051">
        <w:rPr>
          <w:rFonts w:ascii="Times New Roman" w:eastAsia="Times New Roman" w:hAnsi="Times New Roman" w:cs="Times New Roman"/>
          <w:color w:val="000000" w:themeColor="text1"/>
          <w:sz w:val="24"/>
          <w:szCs w:val="24"/>
        </w:rPr>
        <w:t>Otten</w:t>
      </w:r>
      <w:proofErr w:type="spellEnd"/>
      <w:r w:rsidRPr="3FBB2051">
        <w:rPr>
          <w:rFonts w:ascii="Times New Roman" w:eastAsia="Times New Roman" w:hAnsi="Times New Roman" w:cs="Times New Roman"/>
          <w:color w:val="000000" w:themeColor="text1"/>
          <w:sz w:val="24"/>
          <w:szCs w:val="24"/>
        </w:rPr>
        <w:t xml:space="preserve">, S., &amp; </w:t>
      </w:r>
      <w:proofErr w:type="spellStart"/>
      <w:r w:rsidRPr="3FBB2051">
        <w:rPr>
          <w:rFonts w:ascii="Times New Roman" w:eastAsia="Times New Roman" w:hAnsi="Times New Roman" w:cs="Times New Roman"/>
          <w:color w:val="000000" w:themeColor="text1"/>
          <w:sz w:val="24"/>
          <w:szCs w:val="24"/>
        </w:rPr>
        <w:t>Wittek</w:t>
      </w:r>
      <w:proofErr w:type="spellEnd"/>
      <w:r w:rsidRPr="3FBB2051">
        <w:rPr>
          <w:rFonts w:ascii="Times New Roman" w:eastAsia="Times New Roman" w:hAnsi="Times New Roman" w:cs="Times New Roman"/>
          <w:color w:val="000000" w:themeColor="text1"/>
          <w:sz w:val="24"/>
          <w:szCs w:val="24"/>
        </w:rPr>
        <w:t>, R. P. (2019). “It’s not always possible to live your life openly or honestly in the same way”–Workplace inclusion of lesbian and gay humanitarian aid workers in Doctors without Borders.</w:t>
      </w:r>
      <w:r w:rsidRPr="3FBB2051">
        <w:rPr>
          <w:rFonts w:ascii="Times New Roman" w:eastAsia="Times New Roman" w:hAnsi="Times New Roman" w:cs="Times New Roman"/>
          <w:i/>
          <w:iCs/>
          <w:color w:val="000000" w:themeColor="text1"/>
          <w:sz w:val="24"/>
          <w:szCs w:val="24"/>
        </w:rPr>
        <w:t xml:space="preserve"> Frontiers in Psychology</w:t>
      </w:r>
      <w:r w:rsidRPr="3FBB2051">
        <w:rPr>
          <w:rFonts w:ascii="Times New Roman" w:eastAsia="Times New Roman" w:hAnsi="Times New Roman" w:cs="Times New Roman"/>
          <w:color w:val="000000" w:themeColor="text1"/>
          <w:sz w:val="24"/>
          <w:szCs w:val="24"/>
        </w:rPr>
        <w:t>, 10, 320.</w:t>
      </w:r>
      <w:r w:rsidRPr="3FBB2051">
        <w:rPr>
          <w:rFonts w:ascii="Times New Roman" w:eastAsia="Times New Roman" w:hAnsi="Times New Roman" w:cs="Times New Roman"/>
          <w:color w:val="222222"/>
          <w:sz w:val="24"/>
          <w:szCs w:val="24"/>
        </w:rPr>
        <w:t xml:space="preserve"> </w:t>
      </w:r>
    </w:p>
    <w:p w14:paraId="63B02313" w14:textId="3AD2DB49"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Sharma, A. (2016). Managing diversity and equality in the workplace. </w:t>
      </w:r>
      <w:r w:rsidRPr="3FBB2051">
        <w:rPr>
          <w:rFonts w:ascii="Times New Roman" w:eastAsia="Times New Roman" w:hAnsi="Times New Roman" w:cs="Times New Roman"/>
          <w:i/>
          <w:iCs/>
          <w:color w:val="222222"/>
          <w:sz w:val="24"/>
          <w:szCs w:val="24"/>
        </w:rPr>
        <w:t>Cogent Business &amp; Management</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3</w:t>
      </w:r>
      <w:r w:rsidRPr="3FBB2051">
        <w:rPr>
          <w:rFonts w:ascii="Times New Roman" w:eastAsia="Times New Roman" w:hAnsi="Times New Roman" w:cs="Times New Roman"/>
          <w:color w:val="222222"/>
          <w:sz w:val="24"/>
          <w:szCs w:val="24"/>
        </w:rPr>
        <w:t xml:space="preserve">(1), 1212682. </w:t>
      </w:r>
    </w:p>
    <w:p w14:paraId="1F6668F8" w14:textId="7C4EEF92"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Scroggins, W. A., &amp; Benson, P. G. (2010). International human resource management: diversity, issues and challenges. </w:t>
      </w:r>
      <w:r w:rsidRPr="3FBB2051">
        <w:rPr>
          <w:rFonts w:ascii="Times New Roman" w:eastAsia="Times New Roman" w:hAnsi="Times New Roman" w:cs="Times New Roman"/>
          <w:i/>
          <w:iCs/>
          <w:color w:val="222222"/>
          <w:sz w:val="24"/>
          <w:szCs w:val="24"/>
        </w:rPr>
        <w:t>Personnel Review</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39</w:t>
      </w:r>
      <w:r w:rsidRPr="3FBB2051">
        <w:rPr>
          <w:rFonts w:ascii="Times New Roman" w:eastAsia="Times New Roman" w:hAnsi="Times New Roman" w:cs="Times New Roman"/>
          <w:color w:val="222222"/>
          <w:sz w:val="24"/>
          <w:szCs w:val="24"/>
        </w:rPr>
        <w:t xml:space="preserve">(4), 409-413. </w:t>
      </w:r>
    </w:p>
    <w:p w14:paraId="3C2A448D" w14:textId="5FE9BFDD" w:rsidR="229EED8F" w:rsidRDefault="3FBB2051" w:rsidP="3FBB2051">
      <w:pPr>
        <w:spacing w:line="360" w:lineRule="auto"/>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lastRenderedPageBreak/>
        <w:t xml:space="preserve">Snell, A. C. (2018). </w:t>
      </w:r>
      <w:r w:rsidRPr="3FBB2051">
        <w:rPr>
          <w:rFonts w:ascii="Times New Roman" w:eastAsia="Times New Roman" w:hAnsi="Times New Roman" w:cs="Times New Roman"/>
          <w:i/>
          <w:iCs/>
          <w:color w:val="222222"/>
          <w:sz w:val="24"/>
          <w:szCs w:val="24"/>
        </w:rPr>
        <w:t>Moving Beyond Gay-friendly Workplaces: The Relationship Between Gender Nonconformity and Employee and Organizational Outcomes</w:t>
      </w:r>
      <w:r w:rsidRPr="3FBB2051">
        <w:rPr>
          <w:rFonts w:ascii="Times New Roman" w:eastAsia="Times New Roman" w:hAnsi="Times New Roman" w:cs="Times New Roman"/>
          <w:color w:val="222222"/>
          <w:sz w:val="24"/>
          <w:szCs w:val="24"/>
        </w:rPr>
        <w:t xml:space="preserve"> (Doctoral dissertation, Saint Louis University). </w:t>
      </w:r>
    </w:p>
    <w:p w14:paraId="2E797168" w14:textId="472AC337" w:rsidR="229EED8F" w:rsidRDefault="3FBB2051" w:rsidP="3FBB2051">
      <w:pPr>
        <w:spacing w:line="360" w:lineRule="auto"/>
        <w:jc w:val="both"/>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Takács</w:t>
      </w:r>
      <w:proofErr w:type="spellEnd"/>
      <w:r w:rsidRPr="3FBB2051">
        <w:rPr>
          <w:rFonts w:ascii="Times New Roman" w:eastAsia="Times New Roman" w:hAnsi="Times New Roman" w:cs="Times New Roman"/>
          <w:color w:val="222222"/>
          <w:sz w:val="24"/>
          <w:szCs w:val="24"/>
        </w:rPr>
        <w:t xml:space="preserve">, J. (2006). </w:t>
      </w:r>
      <w:r w:rsidRPr="3FBB2051">
        <w:rPr>
          <w:rFonts w:ascii="Times New Roman" w:eastAsia="Times New Roman" w:hAnsi="Times New Roman" w:cs="Times New Roman"/>
          <w:i/>
          <w:iCs/>
          <w:color w:val="222222"/>
          <w:sz w:val="24"/>
          <w:szCs w:val="24"/>
        </w:rPr>
        <w:t>Social exclusion of young lesbian, gay, bisexual and transgender (LGBT) people in Europe</w:t>
      </w:r>
      <w:r w:rsidRPr="3FBB2051">
        <w:rPr>
          <w:rFonts w:ascii="Times New Roman" w:eastAsia="Times New Roman" w:hAnsi="Times New Roman" w:cs="Times New Roman"/>
          <w:color w:val="222222"/>
          <w:sz w:val="24"/>
          <w:szCs w:val="24"/>
        </w:rPr>
        <w:t>. Brussels, Belgium: ILGA Europe.</w:t>
      </w:r>
    </w:p>
    <w:p w14:paraId="0F0282F4" w14:textId="03EBAA46"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 xml:space="preserve">The Pink Pound. (2019). BBC News. </w:t>
      </w:r>
      <w:r w:rsidRPr="3FBB2051">
        <w:rPr>
          <w:rFonts w:ascii="Times New Roman" w:eastAsia="Times New Roman" w:hAnsi="Times New Roman" w:cs="Times New Roman"/>
          <w:i/>
          <w:iCs/>
          <w:color w:val="000000" w:themeColor="text1"/>
          <w:sz w:val="24"/>
          <w:szCs w:val="24"/>
        </w:rPr>
        <w:t>The Economy</w:t>
      </w:r>
      <w:r w:rsidRPr="3FBB2051">
        <w:rPr>
          <w:rFonts w:ascii="Times New Roman" w:eastAsia="Times New Roman" w:hAnsi="Times New Roman" w:cs="Times New Roman"/>
          <w:color w:val="000000" w:themeColor="text1"/>
          <w:sz w:val="24"/>
          <w:szCs w:val="24"/>
        </w:rPr>
        <w:t xml:space="preserve">. Retrieved December 16, 2019, from Bbc.co.uk website: </w:t>
      </w:r>
      <w:hyperlink r:id="rId27">
        <w:r w:rsidRPr="3FBB2051">
          <w:rPr>
            <w:rStyle w:val="Hyperlink"/>
            <w:rFonts w:ascii="Times New Roman" w:eastAsia="Times New Roman" w:hAnsi="Times New Roman" w:cs="Times New Roman"/>
            <w:color w:val="000000" w:themeColor="text1"/>
            <w:sz w:val="24"/>
            <w:szCs w:val="24"/>
          </w:rPr>
          <w:t>http://news.bbc.co.uk/2/hi/business/142998.stm</w:t>
        </w:r>
      </w:hyperlink>
      <w:r w:rsidRPr="3FBB2051">
        <w:rPr>
          <w:rFonts w:ascii="Times New Roman" w:eastAsia="Times New Roman" w:hAnsi="Times New Roman" w:cs="Times New Roman"/>
          <w:color w:val="000000" w:themeColor="text1"/>
          <w:sz w:val="24"/>
          <w:szCs w:val="24"/>
          <w:u w:val="single"/>
        </w:rPr>
        <w:t xml:space="preserve"> </w:t>
      </w:r>
    </w:p>
    <w:p w14:paraId="7E24CAA6" w14:textId="558333E2" w:rsidR="229EED8F" w:rsidRDefault="3FBB2051" w:rsidP="3FBB2051">
      <w:pPr>
        <w:spacing w:line="360" w:lineRule="auto"/>
        <w:rPr>
          <w:rFonts w:ascii="Times New Roman" w:eastAsia="Times New Roman" w:hAnsi="Times New Roman" w:cs="Times New Roman"/>
          <w:color w:val="000000" w:themeColor="text1"/>
          <w:sz w:val="24"/>
          <w:szCs w:val="24"/>
        </w:rPr>
      </w:pPr>
      <w:proofErr w:type="spellStart"/>
      <w:r w:rsidRPr="3FBB2051">
        <w:rPr>
          <w:rFonts w:ascii="Times New Roman" w:eastAsia="Times New Roman" w:hAnsi="Times New Roman" w:cs="Times New Roman"/>
          <w:color w:val="222222"/>
          <w:sz w:val="24"/>
          <w:szCs w:val="24"/>
        </w:rPr>
        <w:t>Utamsingh</w:t>
      </w:r>
      <w:proofErr w:type="spellEnd"/>
      <w:r w:rsidRPr="3FBB2051">
        <w:rPr>
          <w:rFonts w:ascii="Times New Roman" w:eastAsia="Times New Roman" w:hAnsi="Times New Roman" w:cs="Times New Roman"/>
          <w:color w:val="222222"/>
          <w:sz w:val="24"/>
          <w:szCs w:val="24"/>
        </w:rPr>
        <w:t xml:space="preserve">, P. D., Kenya, S., Lebron, C. N., &amp; Carrasquillo, O. (2017). Beyond sensitivity. LGBT healthcare training in US Medical Schools: a review of the literature. </w:t>
      </w:r>
      <w:r w:rsidRPr="3FBB2051">
        <w:rPr>
          <w:rFonts w:ascii="Times New Roman" w:eastAsia="Times New Roman" w:hAnsi="Times New Roman" w:cs="Times New Roman"/>
          <w:i/>
          <w:iCs/>
          <w:color w:val="222222"/>
          <w:sz w:val="24"/>
          <w:szCs w:val="24"/>
        </w:rPr>
        <w:t>American Journal of Sexuality Education</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12</w:t>
      </w:r>
      <w:r w:rsidRPr="3FBB2051">
        <w:rPr>
          <w:rFonts w:ascii="Times New Roman" w:eastAsia="Times New Roman" w:hAnsi="Times New Roman" w:cs="Times New Roman"/>
          <w:color w:val="222222"/>
          <w:sz w:val="24"/>
          <w:szCs w:val="24"/>
        </w:rPr>
        <w:t>(2), 148-169.</w:t>
      </w:r>
    </w:p>
    <w:p w14:paraId="5684014D" w14:textId="39FCE1E1" w:rsidR="229EED8F" w:rsidRDefault="3FBB2051" w:rsidP="3FBB2051">
      <w:pPr>
        <w:spacing w:line="360" w:lineRule="auto"/>
        <w:jc w:val="both"/>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222222"/>
          <w:sz w:val="24"/>
          <w:szCs w:val="24"/>
        </w:rPr>
        <w:t xml:space="preserve">Wilson, B. M., &amp; </w:t>
      </w:r>
      <w:proofErr w:type="spellStart"/>
      <w:r w:rsidRPr="3FBB2051">
        <w:rPr>
          <w:rFonts w:ascii="Times New Roman" w:eastAsia="Times New Roman" w:hAnsi="Times New Roman" w:cs="Times New Roman"/>
          <w:color w:val="222222"/>
          <w:sz w:val="24"/>
          <w:szCs w:val="24"/>
        </w:rPr>
        <w:t>Gianella-Malca</w:t>
      </w:r>
      <w:proofErr w:type="spellEnd"/>
      <w:r w:rsidRPr="3FBB2051">
        <w:rPr>
          <w:rFonts w:ascii="Times New Roman" w:eastAsia="Times New Roman" w:hAnsi="Times New Roman" w:cs="Times New Roman"/>
          <w:color w:val="222222"/>
          <w:sz w:val="24"/>
          <w:szCs w:val="24"/>
        </w:rPr>
        <w:t xml:space="preserve">, C. (2019). Overcoming the Limits of Legal Opportunity Structures: LGBT Rights’ Divergent Paths in Costa Rica and Colombia. </w:t>
      </w:r>
      <w:r w:rsidRPr="3FBB2051">
        <w:rPr>
          <w:rFonts w:ascii="Times New Roman" w:eastAsia="Times New Roman" w:hAnsi="Times New Roman" w:cs="Times New Roman"/>
          <w:i/>
          <w:iCs/>
          <w:color w:val="222222"/>
          <w:sz w:val="24"/>
          <w:szCs w:val="24"/>
        </w:rPr>
        <w:t>Latin American Politics and Society</w:t>
      </w:r>
      <w:r w:rsidRPr="3FBB2051">
        <w:rPr>
          <w:rFonts w:ascii="Times New Roman" w:eastAsia="Times New Roman" w:hAnsi="Times New Roman" w:cs="Times New Roman"/>
          <w:color w:val="222222"/>
          <w:sz w:val="24"/>
          <w:szCs w:val="24"/>
        </w:rPr>
        <w:t xml:space="preserve">, </w:t>
      </w:r>
      <w:r w:rsidRPr="3FBB2051">
        <w:rPr>
          <w:rFonts w:ascii="Times New Roman" w:eastAsia="Times New Roman" w:hAnsi="Times New Roman" w:cs="Times New Roman"/>
          <w:i/>
          <w:iCs/>
          <w:color w:val="222222"/>
          <w:sz w:val="24"/>
          <w:szCs w:val="24"/>
        </w:rPr>
        <w:t>61</w:t>
      </w:r>
      <w:r w:rsidRPr="3FBB2051">
        <w:rPr>
          <w:rFonts w:ascii="Times New Roman" w:eastAsia="Times New Roman" w:hAnsi="Times New Roman" w:cs="Times New Roman"/>
          <w:color w:val="222222"/>
          <w:sz w:val="24"/>
          <w:szCs w:val="24"/>
        </w:rPr>
        <w:t>(2), 138-163.</w:t>
      </w:r>
    </w:p>
    <w:p w14:paraId="743857DF" w14:textId="4B35D0C9" w:rsidR="229EED8F" w:rsidRDefault="229EED8F" w:rsidP="3FBB2051">
      <w:pPr>
        <w:spacing w:line="360" w:lineRule="auto"/>
        <w:jc w:val="both"/>
        <w:rPr>
          <w:rFonts w:ascii="Calibri" w:eastAsia="Calibri" w:hAnsi="Calibri" w:cs="Calibri"/>
          <w:sz w:val="24"/>
          <w:szCs w:val="24"/>
        </w:rPr>
      </w:pPr>
    </w:p>
    <w:p w14:paraId="1E2DD4EA" w14:textId="67EBA32F" w:rsidR="6D88E91F" w:rsidRDefault="6D88E91F" w:rsidP="3FBB2051">
      <w:pPr>
        <w:spacing w:line="360" w:lineRule="auto"/>
        <w:jc w:val="both"/>
        <w:rPr>
          <w:rFonts w:ascii="Calibri" w:eastAsia="Calibri" w:hAnsi="Calibri" w:cs="Calibri"/>
          <w:color w:val="000000" w:themeColor="text1"/>
          <w:sz w:val="24"/>
          <w:szCs w:val="24"/>
        </w:rPr>
      </w:pPr>
    </w:p>
    <w:p w14:paraId="31A5F251" w14:textId="1EEDB652" w:rsidR="0543BB04" w:rsidRDefault="3FBB2051" w:rsidP="3FBB2051">
      <w:pPr>
        <w:spacing w:line="360" w:lineRule="auto"/>
        <w:rPr>
          <w:rFonts w:ascii="Times New Roman" w:eastAsia="Times New Roman" w:hAnsi="Times New Roman" w:cs="Times New Roman"/>
          <w:color w:val="000000" w:themeColor="text1"/>
          <w:sz w:val="24"/>
          <w:szCs w:val="24"/>
        </w:rPr>
      </w:pPr>
      <w:r w:rsidRPr="3FBB2051">
        <w:rPr>
          <w:rFonts w:ascii="Times New Roman" w:eastAsia="Times New Roman" w:hAnsi="Times New Roman" w:cs="Times New Roman"/>
          <w:color w:val="000000" w:themeColor="text1"/>
          <w:sz w:val="24"/>
          <w:szCs w:val="24"/>
        </w:rPr>
        <w:t>‌</w:t>
      </w:r>
    </w:p>
    <w:p w14:paraId="3D5A761C" w14:textId="65EB6B97" w:rsidR="0543BB04" w:rsidRDefault="0543BB04" w:rsidP="3FBB2051">
      <w:pPr>
        <w:spacing w:line="360" w:lineRule="auto"/>
      </w:pPr>
    </w:p>
    <w:sectPr w:rsidR="0543BB04" w:rsidSect="003C76B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Helvetica Neue">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16216"/>
    <w:multiLevelType w:val="hybridMultilevel"/>
    <w:tmpl w:val="67F6D708"/>
    <w:lvl w:ilvl="0" w:tplc="F5A8BE24">
      <w:start w:val="1"/>
      <w:numFmt w:val="decimal"/>
      <w:lvlText w:val="%1."/>
      <w:lvlJc w:val="left"/>
      <w:pPr>
        <w:ind w:left="720" w:hanging="360"/>
      </w:pPr>
    </w:lvl>
    <w:lvl w:ilvl="1" w:tplc="FA240076">
      <w:start w:val="1"/>
      <w:numFmt w:val="lowerLetter"/>
      <w:lvlText w:val="%2."/>
      <w:lvlJc w:val="left"/>
      <w:pPr>
        <w:ind w:left="1440" w:hanging="360"/>
      </w:pPr>
    </w:lvl>
    <w:lvl w:ilvl="2" w:tplc="02F821DA">
      <w:start w:val="1"/>
      <w:numFmt w:val="lowerRoman"/>
      <w:lvlText w:val="%3."/>
      <w:lvlJc w:val="right"/>
      <w:pPr>
        <w:ind w:left="2160" w:hanging="180"/>
      </w:pPr>
    </w:lvl>
    <w:lvl w:ilvl="3" w:tplc="341C6A0C">
      <w:start w:val="1"/>
      <w:numFmt w:val="decimal"/>
      <w:lvlText w:val="%4."/>
      <w:lvlJc w:val="left"/>
      <w:pPr>
        <w:ind w:left="2880" w:hanging="360"/>
      </w:pPr>
    </w:lvl>
    <w:lvl w:ilvl="4" w:tplc="ED463502">
      <w:start w:val="1"/>
      <w:numFmt w:val="lowerLetter"/>
      <w:lvlText w:val="%5."/>
      <w:lvlJc w:val="left"/>
      <w:pPr>
        <w:ind w:left="3600" w:hanging="360"/>
      </w:pPr>
    </w:lvl>
    <w:lvl w:ilvl="5" w:tplc="DB90A3C2">
      <w:start w:val="1"/>
      <w:numFmt w:val="lowerRoman"/>
      <w:lvlText w:val="%6."/>
      <w:lvlJc w:val="right"/>
      <w:pPr>
        <w:ind w:left="4320" w:hanging="180"/>
      </w:pPr>
    </w:lvl>
    <w:lvl w:ilvl="6" w:tplc="C20E496A">
      <w:start w:val="1"/>
      <w:numFmt w:val="decimal"/>
      <w:lvlText w:val="%7."/>
      <w:lvlJc w:val="left"/>
      <w:pPr>
        <w:ind w:left="5040" w:hanging="360"/>
      </w:pPr>
    </w:lvl>
    <w:lvl w:ilvl="7" w:tplc="FC48F396">
      <w:start w:val="1"/>
      <w:numFmt w:val="lowerLetter"/>
      <w:lvlText w:val="%8."/>
      <w:lvlJc w:val="left"/>
      <w:pPr>
        <w:ind w:left="5760" w:hanging="360"/>
      </w:pPr>
    </w:lvl>
    <w:lvl w:ilvl="8" w:tplc="65140D90">
      <w:start w:val="1"/>
      <w:numFmt w:val="lowerRoman"/>
      <w:lvlText w:val="%9."/>
      <w:lvlJc w:val="right"/>
      <w:pPr>
        <w:ind w:left="6480" w:hanging="180"/>
      </w:pPr>
    </w:lvl>
  </w:abstractNum>
  <w:abstractNum w:abstractNumId="1" w15:restartNumberingAfterBreak="0">
    <w:nsid w:val="052E56E4"/>
    <w:multiLevelType w:val="hybridMultilevel"/>
    <w:tmpl w:val="4C0A7756"/>
    <w:lvl w:ilvl="0" w:tplc="897E4C3E">
      <w:start w:val="1"/>
      <w:numFmt w:val="upperLetter"/>
      <w:lvlText w:val="%1."/>
      <w:lvlJc w:val="left"/>
      <w:pPr>
        <w:ind w:left="720" w:hanging="360"/>
      </w:pPr>
    </w:lvl>
    <w:lvl w:ilvl="1" w:tplc="6C22C4D4">
      <w:start w:val="1"/>
      <w:numFmt w:val="lowerLetter"/>
      <w:lvlText w:val="%2."/>
      <w:lvlJc w:val="left"/>
      <w:pPr>
        <w:ind w:left="1440" w:hanging="360"/>
      </w:pPr>
    </w:lvl>
    <w:lvl w:ilvl="2" w:tplc="9FE81890">
      <w:start w:val="1"/>
      <w:numFmt w:val="lowerRoman"/>
      <w:lvlText w:val="%3."/>
      <w:lvlJc w:val="right"/>
      <w:pPr>
        <w:ind w:left="2160" w:hanging="180"/>
      </w:pPr>
    </w:lvl>
    <w:lvl w:ilvl="3" w:tplc="BB5C2754">
      <w:start w:val="1"/>
      <w:numFmt w:val="decimal"/>
      <w:lvlText w:val="%4."/>
      <w:lvlJc w:val="left"/>
      <w:pPr>
        <w:ind w:left="2880" w:hanging="360"/>
      </w:pPr>
    </w:lvl>
    <w:lvl w:ilvl="4" w:tplc="2BCA6574">
      <w:start w:val="1"/>
      <w:numFmt w:val="lowerLetter"/>
      <w:lvlText w:val="%5."/>
      <w:lvlJc w:val="left"/>
      <w:pPr>
        <w:ind w:left="3600" w:hanging="360"/>
      </w:pPr>
    </w:lvl>
    <w:lvl w:ilvl="5" w:tplc="77A0B1AC">
      <w:start w:val="1"/>
      <w:numFmt w:val="lowerRoman"/>
      <w:lvlText w:val="%6."/>
      <w:lvlJc w:val="right"/>
      <w:pPr>
        <w:ind w:left="4320" w:hanging="180"/>
      </w:pPr>
    </w:lvl>
    <w:lvl w:ilvl="6" w:tplc="B66E4BEC">
      <w:start w:val="1"/>
      <w:numFmt w:val="decimal"/>
      <w:lvlText w:val="%7."/>
      <w:lvlJc w:val="left"/>
      <w:pPr>
        <w:ind w:left="5040" w:hanging="360"/>
      </w:pPr>
    </w:lvl>
    <w:lvl w:ilvl="7" w:tplc="038A01F2">
      <w:start w:val="1"/>
      <w:numFmt w:val="lowerLetter"/>
      <w:lvlText w:val="%8."/>
      <w:lvlJc w:val="left"/>
      <w:pPr>
        <w:ind w:left="5760" w:hanging="360"/>
      </w:pPr>
    </w:lvl>
    <w:lvl w:ilvl="8" w:tplc="0F2C8B76">
      <w:start w:val="1"/>
      <w:numFmt w:val="lowerRoman"/>
      <w:lvlText w:val="%9."/>
      <w:lvlJc w:val="right"/>
      <w:pPr>
        <w:ind w:left="6480" w:hanging="180"/>
      </w:pPr>
    </w:lvl>
  </w:abstractNum>
  <w:abstractNum w:abstractNumId="2" w15:restartNumberingAfterBreak="0">
    <w:nsid w:val="05900C47"/>
    <w:multiLevelType w:val="hybridMultilevel"/>
    <w:tmpl w:val="7A36DBFC"/>
    <w:lvl w:ilvl="0" w:tplc="E2F42DBA">
      <w:start w:val="1"/>
      <w:numFmt w:val="bullet"/>
      <w:lvlText w:val=""/>
      <w:lvlJc w:val="left"/>
      <w:pPr>
        <w:ind w:left="720" w:hanging="360"/>
      </w:pPr>
      <w:rPr>
        <w:rFonts w:ascii="Symbol" w:hAnsi="Symbol" w:hint="default"/>
      </w:rPr>
    </w:lvl>
    <w:lvl w:ilvl="1" w:tplc="93328192">
      <w:start w:val="1"/>
      <w:numFmt w:val="bullet"/>
      <w:lvlText w:val="o"/>
      <w:lvlJc w:val="left"/>
      <w:pPr>
        <w:ind w:left="1440" w:hanging="360"/>
      </w:pPr>
      <w:rPr>
        <w:rFonts w:ascii="Courier New" w:hAnsi="Courier New" w:hint="default"/>
      </w:rPr>
    </w:lvl>
    <w:lvl w:ilvl="2" w:tplc="56964418">
      <w:start w:val="1"/>
      <w:numFmt w:val="bullet"/>
      <w:lvlText w:val=""/>
      <w:lvlJc w:val="left"/>
      <w:pPr>
        <w:ind w:left="2160" w:hanging="360"/>
      </w:pPr>
      <w:rPr>
        <w:rFonts w:ascii="Wingdings" w:hAnsi="Wingdings" w:hint="default"/>
      </w:rPr>
    </w:lvl>
    <w:lvl w:ilvl="3" w:tplc="DCC2B4D4">
      <w:start w:val="1"/>
      <w:numFmt w:val="bullet"/>
      <w:lvlText w:val=""/>
      <w:lvlJc w:val="left"/>
      <w:pPr>
        <w:ind w:left="2880" w:hanging="360"/>
      </w:pPr>
      <w:rPr>
        <w:rFonts w:ascii="Symbol" w:hAnsi="Symbol" w:hint="default"/>
      </w:rPr>
    </w:lvl>
    <w:lvl w:ilvl="4" w:tplc="D788062A">
      <w:start w:val="1"/>
      <w:numFmt w:val="bullet"/>
      <w:lvlText w:val="o"/>
      <w:lvlJc w:val="left"/>
      <w:pPr>
        <w:ind w:left="3600" w:hanging="360"/>
      </w:pPr>
      <w:rPr>
        <w:rFonts w:ascii="Courier New" w:hAnsi="Courier New" w:hint="default"/>
      </w:rPr>
    </w:lvl>
    <w:lvl w:ilvl="5" w:tplc="F9642356">
      <w:start w:val="1"/>
      <w:numFmt w:val="bullet"/>
      <w:lvlText w:val=""/>
      <w:lvlJc w:val="left"/>
      <w:pPr>
        <w:ind w:left="4320" w:hanging="360"/>
      </w:pPr>
      <w:rPr>
        <w:rFonts w:ascii="Wingdings" w:hAnsi="Wingdings" w:hint="default"/>
      </w:rPr>
    </w:lvl>
    <w:lvl w:ilvl="6" w:tplc="0D40938E">
      <w:start w:val="1"/>
      <w:numFmt w:val="bullet"/>
      <w:lvlText w:val=""/>
      <w:lvlJc w:val="left"/>
      <w:pPr>
        <w:ind w:left="5040" w:hanging="360"/>
      </w:pPr>
      <w:rPr>
        <w:rFonts w:ascii="Symbol" w:hAnsi="Symbol" w:hint="default"/>
      </w:rPr>
    </w:lvl>
    <w:lvl w:ilvl="7" w:tplc="413ACEE4">
      <w:start w:val="1"/>
      <w:numFmt w:val="bullet"/>
      <w:lvlText w:val="o"/>
      <w:lvlJc w:val="left"/>
      <w:pPr>
        <w:ind w:left="5760" w:hanging="360"/>
      </w:pPr>
      <w:rPr>
        <w:rFonts w:ascii="Courier New" w:hAnsi="Courier New" w:hint="default"/>
      </w:rPr>
    </w:lvl>
    <w:lvl w:ilvl="8" w:tplc="84FC18D2">
      <w:start w:val="1"/>
      <w:numFmt w:val="bullet"/>
      <w:lvlText w:val=""/>
      <w:lvlJc w:val="left"/>
      <w:pPr>
        <w:ind w:left="6480" w:hanging="360"/>
      </w:pPr>
      <w:rPr>
        <w:rFonts w:ascii="Wingdings" w:hAnsi="Wingdings" w:hint="default"/>
      </w:rPr>
    </w:lvl>
  </w:abstractNum>
  <w:abstractNum w:abstractNumId="3" w15:restartNumberingAfterBreak="0">
    <w:nsid w:val="1318330B"/>
    <w:multiLevelType w:val="hybridMultilevel"/>
    <w:tmpl w:val="C88A131C"/>
    <w:lvl w:ilvl="0" w:tplc="802E087A">
      <w:start w:val="1"/>
      <w:numFmt w:val="bullet"/>
      <w:lvlText w:val=""/>
      <w:lvlJc w:val="left"/>
      <w:pPr>
        <w:ind w:left="720" w:hanging="360"/>
      </w:pPr>
      <w:rPr>
        <w:rFonts w:ascii="Wingdings" w:hAnsi="Wingdings" w:hint="default"/>
      </w:rPr>
    </w:lvl>
    <w:lvl w:ilvl="1" w:tplc="8FDC780C">
      <w:start w:val="1"/>
      <w:numFmt w:val="bullet"/>
      <w:lvlText w:val="o"/>
      <w:lvlJc w:val="left"/>
      <w:pPr>
        <w:ind w:left="1440" w:hanging="360"/>
      </w:pPr>
      <w:rPr>
        <w:rFonts w:ascii="Courier New" w:hAnsi="Courier New" w:hint="default"/>
      </w:rPr>
    </w:lvl>
    <w:lvl w:ilvl="2" w:tplc="DBBEA080">
      <w:start w:val="1"/>
      <w:numFmt w:val="bullet"/>
      <w:lvlText w:val=""/>
      <w:lvlJc w:val="left"/>
      <w:pPr>
        <w:ind w:left="2160" w:hanging="360"/>
      </w:pPr>
      <w:rPr>
        <w:rFonts w:ascii="Wingdings" w:hAnsi="Wingdings" w:hint="default"/>
      </w:rPr>
    </w:lvl>
    <w:lvl w:ilvl="3" w:tplc="FFF2AB58">
      <w:start w:val="1"/>
      <w:numFmt w:val="bullet"/>
      <w:lvlText w:val=""/>
      <w:lvlJc w:val="left"/>
      <w:pPr>
        <w:ind w:left="2880" w:hanging="360"/>
      </w:pPr>
      <w:rPr>
        <w:rFonts w:ascii="Symbol" w:hAnsi="Symbol" w:hint="default"/>
      </w:rPr>
    </w:lvl>
    <w:lvl w:ilvl="4" w:tplc="036C9FD6">
      <w:start w:val="1"/>
      <w:numFmt w:val="bullet"/>
      <w:lvlText w:val="o"/>
      <w:lvlJc w:val="left"/>
      <w:pPr>
        <w:ind w:left="3600" w:hanging="360"/>
      </w:pPr>
      <w:rPr>
        <w:rFonts w:ascii="Courier New" w:hAnsi="Courier New" w:hint="default"/>
      </w:rPr>
    </w:lvl>
    <w:lvl w:ilvl="5" w:tplc="6DF4B304">
      <w:start w:val="1"/>
      <w:numFmt w:val="bullet"/>
      <w:lvlText w:val=""/>
      <w:lvlJc w:val="left"/>
      <w:pPr>
        <w:ind w:left="4320" w:hanging="360"/>
      </w:pPr>
      <w:rPr>
        <w:rFonts w:ascii="Wingdings" w:hAnsi="Wingdings" w:hint="default"/>
      </w:rPr>
    </w:lvl>
    <w:lvl w:ilvl="6" w:tplc="51848E8C">
      <w:start w:val="1"/>
      <w:numFmt w:val="bullet"/>
      <w:lvlText w:val=""/>
      <w:lvlJc w:val="left"/>
      <w:pPr>
        <w:ind w:left="5040" w:hanging="360"/>
      </w:pPr>
      <w:rPr>
        <w:rFonts w:ascii="Symbol" w:hAnsi="Symbol" w:hint="default"/>
      </w:rPr>
    </w:lvl>
    <w:lvl w:ilvl="7" w:tplc="139C9FAA">
      <w:start w:val="1"/>
      <w:numFmt w:val="bullet"/>
      <w:lvlText w:val="o"/>
      <w:lvlJc w:val="left"/>
      <w:pPr>
        <w:ind w:left="5760" w:hanging="360"/>
      </w:pPr>
      <w:rPr>
        <w:rFonts w:ascii="Courier New" w:hAnsi="Courier New" w:hint="default"/>
      </w:rPr>
    </w:lvl>
    <w:lvl w:ilvl="8" w:tplc="E4CE439A">
      <w:start w:val="1"/>
      <w:numFmt w:val="bullet"/>
      <w:lvlText w:val=""/>
      <w:lvlJc w:val="left"/>
      <w:pPr>
        <w:ind w:left="6480" w:hanging="360"/>
      </w:pPr>
      <w:rPr>
        <w:rFonts w:ascii="Wingdings" w:hAnsi="Wingdings" w:hint="default"/>
      </w:rPr>
    </w:lvl>
  </w:abstractNum>
  <w:abstractNum w:abstractNumId="4" w15:restartNumberingAfterBreak="0">
    <w:nsid w:val="14262EF5"/>
    <w:multiLevelType w:val="hybridMultilevel"/>
    <w:tmpl w:val="31FAB9AC"/>
    <w:lvl w:ilvl="0" w:tplc="870C4C42">
      <w:start w:val="1"/>
      <w:numFmt w:val="bullet"/>
      <w:lvlText w:val=""/>
      <w:lvlJc w:val="left"/>
      <w:pPr>
        <w:ind w:left="720" w:hanging="360"/>
      </w:pPr>
      <w:rPr>
        <w:rFonts w:ascii="Symbol" w:hAnsi="Symbol" w:hint="default"/>
      </w:rPr>
    </w:lvl>
    <w:lvl w:ilvl="1" w:tplc="D5B644DA">
      <w:start w:val="1"/>
      <w:numFmt w:val="bullet"/>
      <w:lvlText w:val="o"/>
      <w:lvlJc w:val="left"/>
      <w:pPr>
        <w:ind w:left="1440" w:hanging="360"/>
      </w:pPr>
      <w:rPr>
        <w:rFonts w:ascii="Courier New" w:hAnsi="Courier New" w:hint="default"/>
      </w:rPr>
    </w:lvl>
    <w:lvl w:ilvl="2" w:tplc="B04277AE">
      <w:start w:val="1"/>
      <w:numFmt w:val="bullet"/>
      <w:lvlText w:val=""/>
      <w:lvlJc w:val="left"/>
      <w:pPr>
        <w:ind w:left="2160" w:hanging="360"/>
      </w:pPr>
      <w:rPr>
        <w:rFonts w:ascii="Wingdings" w:hAnsi="Wingdings" w:hint="default"/>
      </w:rPr>
    </w:lvl>
    <w:lvl w:ilvl="3" w:tplc="D00E68F0">
      <w:start w:val="1"/>
      <w:numFmt w:val="bullet"/>
      <w:lvlText w:val=""/>
      <w:lvlJc w:val="left"/>
      <w:pPr>
        <w:ind w:left="2880" w:hanging="360"/>
      </w:pPr>
      <w:rPr>
        <w:rFonts w:ascii="Symbol" w:hAnsi="Symbol" w:hint="default"/>
      </w:rPr>
    </w:lvl>
    <w:lvl w:ilvl="4" w:tplc="41328D2A">
      <w:start w:val="1"/>
      <w:numFmt w:val="bullet"/>
      <w:lvlText w:val="o"/>
      <w:lvlJc w:val="left"/>
      <w:pPr>
        <w:ind w:left="3600" w:hanging="360"/>
      </w:pPr>
      <w:rPr>
        <w:rFonts w:ascii="Courier New" w:hAnsi="Courier New" w:hint="default"/>
      </w:rPr>
    </w:lvl>
    <w:lvl w:ilvl="5" w:tplc="19DC739E">
      <w:start w:val="1"/>
      <w:numFmt w:val="bullet"/>
      <w:lvlText w:val=""/>
      <w:lvlJc w:val="left"/>
      <w:pPr>
        <w:ind w:left="4320" w:hanging="360"/>
      </w:pPr>
      <w:rPr>
        <w:rFonts w:ascii="Wingdings" w:hAnsi="Wingdings" w:hint="default"/>
      </w:rPr>
    </w:lvl>
    <w:lvl w:ilvl="6" w:tplc="CD3E5AB2">
      <w:start w:val="1"/>
      <w:numFmt w:val="bullet"/>
      <w:lvlText w:val=""/>
      <w:lvlJc w:val="left"/>
      <w:pPr>
        <w:ind w:left="5040" w:hanging="360"/>
      </w:pPr>
      <w:rPr>
        <w:rFonts w:ascii="Symbol" w:hAnsi="Symbol" w:hint="default"/>
      </w:rPr>
    </w:lvl>
    <w:lvl w:ilvl="7" w:tplc="EF226B56">
      <w:start w:val="1"/>
      <w:numFmt w:val="bullet"/>
      <w:lvlText w:val="o"/>
      <w:lvlJc w:val="left"/>
      <w:pPr>
        <w:ind w:left="5760" w:hanging="360"/>
      </w:pPr>
      <w:rPr>
        <w:rFonts w:ascii="Courier New" w:hAnsi="Courier New" w:hint="default"/>
      </w:rPr>
    </w:lvl>
    <w:lvl w:ilvl="8" w:tplc="60E6E5C6">
      <w:start w:val="1"/>
      <w:numFmt w:val="bullet"/>
      <w:lvlText w:val=""/>
      <w:lvlJc w:val="left"/>
      <w:pPr>
        <w:ind w:left="6480" w:hanging="360"/>
      </w:pPr>
      <w:rPr>
        <w:rFonts w:ascii="Wingdings" w:hAnsi="Wingdings" w:hint="default"/>
      </w:rPr>
    </w:lvl>
  </w:abstractNum>
  <w:abstractNum w:abstractNumId="5" w15:restartNumberingAfterBreak="0">
    <w:nsid w:val="19E1065B"/>
    <w:multiLevelType w:val="hybridMultilevel"/>
    <w:tmpl w:val="09D2202A"/>
    <w:lvl w:ilvl="0" w:tplc="655ABC54">
      <w:start w:val="1"/>
      <w:numFmt w:val="bullet"/>
      <w:lvlText w:val=""/>
      <w:lvlJc w:val="left"/>
      <w:pPr>
        <w:ind w:left="720" w:hanging="360"/>
      </w:pPr>
      <w:rPr>
        <w:rFonts w:ascii="Wingdings" w:hAnsi="Wingdings" w:hint="default"/>
      </w:rPr>
    </w:lvl>
    <w:lvl w:ilvl="1" w:tplc="97E250B4">
      <w:start w:val="1"/>
      <w:numFmt w:val="bullet"/>
      <w:lvlText w:val="o"/>
      <w:lvlJc w:val="left"/>
      <w:pPr>
        <w:ind w:left="1440" w:hanging="360"/>
      </w:pPr>
      <w:rPr>
        <w:rFonts w:ascii="Courier New" w:hAnsi="Courier New" w:hint="default"/>
      </w:rPr>
    </w:lvl>
    <w:lvl w:ilvl="2" w:tplc="92680214">
      <w:start w:val="1"/>
      <w:numFmt w:val="bullet"/>
      <w:lvlText w:val=""/>
      <w:lvlJc w:val="left"/>
      <w:pPr>
        <w:ind w:left="2160" w:hanging="360"/>
      </w:pPr>
      <w:rPr>
        <w:rFonts w:ascii="Wingdings" w:hAnsi="Wingdings" w:hint="default"/>
      </w:rPr>
    </w:lvl>
    <w:lvl w:ilvl="3" w:tplc="162288B0">
      <w:start w:val="1"/>
      <w:numFmt w:val="bullet"/>
      <w:lvlText w:val=""/>
      <w:lvlJc w:val="left"/>
      <w:pPr>
        <w:ind w:left="2880" w:hanging="360"/>
      </w:pPr>
      <w:rPr>
        <w:rFonts w:ascii="Symbol" w:hAnsi="Symbol" w:hint="default"/>
      </w:rPr>
    </w:lvl>
    <w:lvl w:ilvl="4" w:tplc="70A6323E">
      <w:start w:val="1"/>
      <w:numFmt w:val="bullet"/>
      <w:lvlText w:val="o"/>
      <w:lvlJc w:val="left"/>
      <w:pPr>
        <w:ind w:left="3600" w:hanging="360"/>
      </w:pPr>
      <w:rPr>
        <w:rFonts w:ascii="Courier New" w:hAnsi="Courier New" w:hint="default"/>
      </w:rPr>
    </w:lvl>
    <w:lvl w:ilvl="5" w:tplc="D2C08C92">
      <w:start w:val="1"/>
      <w:numFmt w:val="bullet"/>
      <w:lvlText w:val=""/>
      <w:lvlJc w:val="left"/>
      <w:pPr>
        <w:ind w:left="4320" w:hanging="360"/>
      </w:pPr>
      <w:rPr>
        <w:rFonts w:ascii="Wingdings" w:hAnsi="Wingdings" w:hint="default"/>
      </w:rPr>
    </w:lvl>
    <w:lvl w:ilvl="6" w:tplc="1E1A3FD2">
      <w:start w:val="1"/>
      <w:numFmt w:val="bullet"/>
      <w:lvlText w:val=""/>
      <w:lvlJc w:val="left"/>
      <w:pPr>
        <w:ind w:left="5040" w:hanging="360"/>
      </w:pPr>
      <w:rPr>
        <w:rFonts w:ascii="Symbol" w:hAnsi="Symbol" w:hint="default"/>
      </w:rPr>
    </w:lvl>
    <w:lvl w:ilvl="7" w:tplc="DB5041FC">
      <w:start w:val="1"/>
      <w:numFmt w:val="bullet"/>
      <w:lvlText w:val="o"/>
      <w:lvlJc w:val="left"/>
      <w:pPr>
        <w:ind w:left="5760" w:hanging="360"/>
      </w:pPr>
      <w:rPr>
        <w:rFonts w:ascii="Courier New" w:hAnsi="Courier New" w:hint="default"/>
      </w:rPr>
    </w:lvl>
    <w:lvl w:ilvl="8" w:tplc="EC8C3D36">
      <w:start w:val="1"/>
      <w:numFmt w:val="bullet"/>
      <w:lvlText w:val=""/>
      <w:lvlJc w:val="left"/>
      <w:pPr>
        <w:ind w:left="6480" w:hanging="360"/>
      </w:pPr>
      <w:rPr>
        <w:rFonts w:ascii="Wingdings" w:hAnsi="Wingdings" w:hint="default"/>
      </w:rPr>
    </w:lvl>
  </w:abstractNum>
  <w:abstractNum w:abstractNumId="6" w15:restartNumberingAfterBreak="0">
    <w:nsid w:val="20EC4456"/>
    <w:multiLevelType w:val="hybridMultilevel"/>
    <w:tmpl w:val="A274D9C0"/>
    <w:lvl w:ilvl="0" w:tplc="1DC2DEAE">
      <w:start w:val="1"/>
      <w:numFmt w:val="bullet"/>
      <w:lvlText w:val=""/>
      <w:lvlJc w:val="left"/>
      <w:pPr>
        <w:ind w:left="720" w:hanging="360"/>
      </w:pPr>
      <w:rPr>
        <w:rFonts w:ascii="Symbol" w:hAnsi="Symbol" w:hint="default"/>
      </w:rPr>
    </w:lvl>
    <w:lvl w:ilvl="1" w:tplc="4EE28E2A">
      <w:start w:val="1"/>
      <w:numFmt w:val="bullet"/>
      <w:lvlText w:val="o"/>
      <w:lvlJc w:val="left"/>
      <w:pPr>
        <w:ind w:left="1440" w:hanging="360"/>
      </w:pPr>
      <w:rPr>
        <w:rFonts w:ascii="Courier New" w:hAnsi="Courier New" w:hint="default"/>
      </w:rPr>
    </w:lvl>
    <w:lvl w:ilvl="2" w:tplc="56F08BFA">
      <w:start w:val="1"/>
      <w:numFmt w:val="bullet"/>
      <w:lvlText w:val=""/>
      <w:lvlJc w:val="left"/>
      <w:pPr>
        <w:ind w:left="2160" w:hanging="360"/>
      </w:pPr>
      <w:rPr>
        <w:rFonts w:ascii="Wingdings" w:hAnsi="Wingdings" w:hint="default"/>
      </w:rPr>
    </w:lvl>
    <w:lvl w:ilvl="3" w:tplc="93AE20A6">
      <w:start w:val="1"/>
      <w:numFmt w:val="bullet"/>
      <w:lvlText w:val=""/>
      <w:lvlJc w:val="left"/>
      <w:pPr>
        <w:ind w:left="2880" w:hanging="360"/>
      </w:pPr>
      <w:rPr>
        <w:rFonts w:ascii="Symbol" w:hAnsi="Symbol" w:hint="default"/>
      </w:rPr>
    </w:lvl>
    <w:lvl w:ilvl="4" w:tplc="DE1098EA">
      <w:start w:val="1"/>
      <w:numFmt w:val="bullet"/>
      <w:lvlText w:val="o"/>
      <w:lvlJc w:val="left"/>
      <w:pPr>
        <w:ind w:left="3600" w:hanging="360"/>
      </w:pPr>
      <w:rPr>
        <w:rFonts w:ascii="Courier New" w:hAnsi="Courier New" w:hint="default"/>
      </w:rPr>
    </w:lvl>
    <w:lvl w:ilvl="5" w:tplc="AF5266DE">
      <w:start w:val="1"/>
      <w:numFmt w:val="bullet"/>
      <w:lvlText w:val=""/>
      <w:lvlJc w:val="left"/>
      <w:pPr>
        <w:ind w:left="4320" w:hanging="360"/>
      </w:pPr>
      <w:rPr>
        <w:rFonts w:ascii="Wingdings" w:hAnsi="Wingdings" w:hint="default"/>
      </w:rPr>
    </w:lvl>
    <w:lvl w:ilvl="6" w:tplc="F0D02534">
      <w:start w:val="1"/>
      <w:numFmt w:val="bullet"/>
      <w:lvlText w:val=""/>
      <w:lvlJc w:val="left"/>
      <w:pPr>
        <w:ind w:left="5040" w:hanging="360"/>
      </w:pPr>
      <w:rPr>
        <w:rFonts w:ascii="Symbol" w:hAnsi="Symbol" w:hint="default"/>
      </w:rPr>
    </w:lvl>
    <w:lvl w:ilvl="7" w:tplc="9B20BB7A">
      <w:start w:val="1"/>
      <w:numFmt w:val="bullet"/>
      <w:lvlText w:val="o"/>
      <w:lvlJc w:val="left"/>
      <w:pPr>
        <w:ind w:left="5760" w:hanging="360"/>
      </w:pPr>
      <w:rPr>
        <w:rFonts w:ascii="Courier New" w:hAnsi="Courier New" w:hint="default"/>
      </w:rPr>
    </w:lvl>
    <w:lvl w:ilvl="8" w:tplc="AE543E48">
      <w:start w:val="1"/>
      <w:numFmt w:val="bullet"/>
      <w:lvlText w:val=""/>
      <w:lvlJc w:val="left"/>
      <w:pPr>
        <w:ind w:left="6480" w:hanging="360"/>
      </w:pPr>
      <w:rPr>
        <w:rFonts w:ascii="Wingdings" w:hAnsi="Wingdings" w:hint="default"/>
      </w:rPr>
    </w:lvl>
  </w:abstractNum>
  <w:abstractNum w:abstractNumId="7" w15:restartNumberingAfterBreak="0">
    <w:nsid w:val="21F61DDA"/>
    <w:multiLevelType w:val="hybridMultilevel"/>
    <w:tmpl w:val="C888AA1C"/>
    <w:lvl w:ilvl="0" w:tplc="647ED336">
      <w:start w:val="1"/>
      <w:numFmt w:val="bullet"/>
      <w:lvlText w:val=""/>
      <w:lvlJc w:val="left"/>
      <w:pPr>
        <w:ind w:left="720" w:hanging="360"/>
      </w:pPr>
      <w:rPr>
        <w:rFonts w:ascii="Symbol" w:hAnsi="Symbol" w:hint="default"/>
      </w:rPr>
    </w:lvl>
    <w:lvl w:ilvl="1" w:tplc="44F86616">
      <w:start w:val="1"/>
      <w:numFmt w:val="bullet"/>
      <w:lvlText w:val="o"/>
      <w:lvlJc w:val="left"/>
      <w:pPr>
        <w:ind w:left="1440" w:hanging="360"/>
      </w:pPr>
      <w:rPr>
        <w:rFonts w:ascii="Courier New" w:hAnsi="Courier New" w:hint="default"/>
      </w:rPr>
    </w:lvl>
    <w:lvl w:ilvl="2" w:tplc="DAA23946">
      <w:start w:val="1"/>
      <w:numFmt w:val="bullet"/>
      <w:lvlText w:val=""/>
      <w:lvlJc w:val="left"/>
      <w:pPr>
        <w:ind w:left="2160" w:hanging="360"/>
      </w:pPr>
      <w:rPr>
        <w:rFonts w:ascii="Wingdings" w:hAnsi="Wingdings" w:hint="default"/>
      </w:rPr>
    </w:lvl>
    <w:lvl w:ilvl="3" w:tplc="C120880E">
      <w:start w:val="1"/>
      <w:numFmt w:val="bullet"/>
      <w:lvlText w:val=""/>
      <w:lvlJc w:val="left"/>
      <w:pPr>
        <w:ind w:left="2880" w:hanging="360"/>
      </w:pPr>
      <w:rPr>
        <w:rFonts w:ascii="Symbol" w:hAnsi="Symbol" w:hint="default"/>
      </w:rPr>
    </w:lvl>
    <w:lvl w:ilvl="4" w:tplc="26ECA376">
      <w:start w:val="1"/>
      <w:numFmt w:val="bullet"/>
      <w:lvlText w:val="o"/>
      <w:lvlJc w:val="left"/>
      <w:pPr>
        <w:ind w:left="3600" w:hanging="360"/>
      </w:pPr>
      <w:rPr>
        <w:rFonts w:ascii="Courier New" w:hAnsi="Courier New" w:hint="default"/>
      </w:rPr>
    </w:lvl>
    <w:lvl w:ilvl="5" w:tplc="51CA086E">
      <w:start w:val="1"/>
      <w:numFmt w:val="bullet"/>
      <w:lvlText w:val=""/>
      <w:lvlJc w:val="left"/>
      <w:pPr>
        <w:ind w:left="4320" w:hanging="360"/>
      </w:pPr>
      <w:rPr>
        <w:rFonts w:ascii="Wingdings" w:hAnsi="Wingdings" w:hint="default"/>
      </w:rPr>
    </w:lvl>
    <w:lvl w:ilvl="6" w:tplc="E7BA6BC0">
      <w:start w:val="1"/>
      <w:numFmt w:val="bullet"/>
      <w:lvlText w:val=""/>
      <w:lvlJc w:val="left"/>
      <w:pPr>
        <w:ind w:left="5040" w:hanging="360"/>
      </w:pPr>
      <w:rPr>
        <w:rFonts w:ascii="Symbol" w:hAnsi="Symbol" w:hint="default"/>
      </w:rPr>
    </w:lvl>
    <w:lvl w:ilvl="7" w:tplc="413C060E">
      <w:start w:val="1"/>
      <w:numFmt w:val="bullet"/>
      <w:lvlText w:val="o"/>
      <w:lvlJc w:val="left"/>
      <w:pPr>
        <w:ind w:left="5760" w:hanging="360"/>
      </w:pPr>
      <w:rPr>
        <w:rFonts w:ascii="Courier New" w:hAnsi="Courier New" w:hint="default"/>
      </w:rPr>
    </w:lvl>
    <w:lvl w:ilvl="8" w:tplc="903E27DA">
      <w:start w:val="1"/>
      <w:numFmt w:val="bullet"/>
      <w:lvlText w:val=""/>
      <w:lvlJc w:val="left"/>
      <w:pPr>
        <w:ind w:left="6480" w:hanging="360"/>
      </w:pPr>
      <w:rPr>
        <w:rFonts w:ascii="Wingdings" w:hAnsi="Wingdings" w:hint="default"/>
      </w:rPr>
    </w:lvl>
  </w:abstractNum>
  <w:abstractNum w:abstractNumId="8" w15:restartNumberingAfterBreak="0">
    <w:nsid w:val="24004672"/>
    <w:multiLevelType w:val="hybridMultilevel"/>
    <w:tmpl w:val="A6964B50"/>
    <w:lvl w:ilvl="0" w:tplc="B74EC3E4">
      <w:start w:val="1"/>
      <w:numFmt w:val="bullet"/>
      <w:lvlText w:val=""/>
      <w:lvlJc w:val="left"/>
      <w:pPr>
        <w:ind w:left="720" w:hanging="360"/>
      </w:pPr>
      <w:rPr>
        <w:rFonts w:ascii="Symbol" w:hAnsi="Symbol" w:hint="default"/>
      </w:rPr>
    </w:lvl>
    <w:lvl w:ilvl="1" w:tplc="A8462288">
      <w:start w:val="1"/>
      <w:numFmt w:val="bullet"/>
      <w:lvlText w:val="o"/>
      <w:lvlJc w:val="left"/>
      <w:pPr>
        <w:ind w:left="1440" w:hanging="360"/>
      </w:pPr>
      <w:rPr>
        <w:rFonts w:ascii="Courier New" w:hAnsi="Courier New" w:hint="default"/>
      </w:rPr>
    </w:lvl>
    <w:lvl w:ilvl="2" w:tplc="0CFC79E4">
      <w:start w:val="1"/>
      <w:numFmt w:val="bullet"/>
      <w:lvlText w:val=""/>
      <w:lvlJc w:val="left"/>
      <w:pPr>
        <w:ind w:left="2160" w:hanging="360"/>
      </w:pPr>
      <w:rPr>
        <w:rFonts w:ascii="Wingdings" w:hAnsi="Wingdings" w:hint="default"/>
      </w:rPr>
    </w:lvl>
    <w:lvl w:ilvl="3" w:tplc="AA147064">
      <w:start w:val="1"/>
      <w:numFmt w:val="bullet"/>
      <w:lvlText w:val=""/>
      <w:lvlJc w:val="left"/>
      <w:pPr>
        <w:ind w:left="2880" w:hanging="360"/>
      </w:pPr>
      <w:rPr>
        <w:rFonts w:ascii="Symbol" w:hAnsi="Symbol" w:hint="default"/>
      </w:rPr>
    </w:lvl>
    <w:lvl w:ilvl="4" w:tplc="0E24E9A4">
      <w:start w:val="1"/>
      <w:numFmt w:val="bullet"/>
      <w:lvlText w:val="o"/>
      <w:lvlJc w:val="left"/>
      <w:pPr>
        <w:ind w:left="3600" w:hanging="360"/>
      </w:pPr>
      <w:rPr>
        <w:rFonts w:ascii="Courier New" w:hAnsi="Courier New" w:hint="default"/>
      </w:rPr>
    </w:lvl>
    <w:lvl w:ilvl="5" w:tplc="E3944B40">
      <w:start w:val="1"/>
      <w:numFmt w:val="bullet"/>
      <w:lvlText w:val=""/>
      <w:lvlJc w:val="left"/>
      <w:pPr>
        <w:ind w:left="4320" w:hanging="360"/>
      </w:pPr>
      <w:rPr>
        <w:rFonts w:ascii="Wingdings" w:hAnsi="Wingdings" w:hint="default"/>
      </w:rPr>
    </w:lvl>
    <w:lvl w:ilvl="6" w:tplc="50C4D5BE">
      <w:start w:val="1"/>
      <w:numFmt w:val="bullet"/>
      <w:lvlText w:val=""/>
      <w:lvlJc w:val="left"/>
      <w:pPr>
        <w:ind w:left="5040" w:hanging="360"/>
      </w:pPr>
      <w:rPr>
        <w:rFonts w:ascii="Symbol" w:hAnsi="Symbol" w:hint="default"/>
      </w:rPr>
    </w:lvl>
    <w:lvl w:ilvl="7" w:tplc="81D42586">
      <w:start w:val="1"/>
      <w:numFmt w:val="bullet"/>
      <w:lvlText w:val="o"/>
      <w:lvlJc w:val="left"/>
      <w:pPr>
        <w:ind w:left="5760" w:hanging="360"/>
      </w:pPr>
      <w:rPr>
        <w:rFonts w:ascii="Courier New" w:hAnsi="Courier New" w:hint="default"/>
      </w:rPr>
    </w:lvl>
    <w:lvl w:ilvl="8" w:tplc="076C16AA">
      <w:start w:val="1"/>
      <w:numFmt w:val="bullet"/>
      <w:lvlText w:val=""/>
      <w:lvlJc w:val="left"/>
      <w:pPr>
        <w:ind w:left="6480" w:hanging="360"/>
      </w:pPr>
      <w:rPr>
        <w:rFonts w:ascii="Wingdings" w:hAnsi="Wingdings" w:hint="default"/>
      </w:rPr>
    </w:lvl>
  </w:abstractNum>
  <w:abstractNum w:abstractNumId="9" w15:restartNumberingAfterBreak="0">
    <w:nsid w:val="2C4D44F4"/>
    <w:multiLevelType w:val="hybridMultilevel"/>
    <w:tmpl w:val="22EC2124"/>
    <w:lvl w:ilvl="0" w:tplc="A5C88EA6">
      <w:start w:val="1"/>
      <w:numFmt w:val="bullet"/>
      <w:lvlText w:val=""/>
      <w:lvlJc w:val="left"/>
      <w:pPr>
        <w:ind w:left="720" w:hanging="360"/>
      </w:pPr>
      <w:rPr>
        <w:rFonts w:ascii="Wingdings" w:hAnsi="Wingdings" w:hint="default"/>
      </w:rPr>
    </w:lvl>
    <w:lvl w:ilvl="1" w:tplc="223242DC">
      <w:start w:val="1"/>
      <w:numFmt w:val="bullet"/>
      <w:lvlText w:val="o"/>
      <w:lvlJc w:val="left"/>
      <w:pPr>
        <w:ind w:left="1440" w:hanging="360"/>
      </w:pPr>
      <w:rPr>
        <w:rFonts w:ascii="Courier New" w:hAnsi="Courier New" w:hint="default"/>
      </w:rPr>
    </w:lvl>
    <w:lvl w:ilvl="2" w:tplc="5F829178">
      <w:start w:val="1"/>
      <w:numFmt w:val="bullet"/>
      <w:lvlText w:val=""/>
      <w:lvlJc w:val="left"/>
      <w:pPr>
        <w:ind w:left="2160" w:hanging="360"/>
      </w:pPr>
      <w:rPr>
        <w:rFonts w:ascii="Wingdings" w:hAnsi="Wingdings" w:hint="default"/>
      </w:rPr>
    </w:lvl>
    <w:lvl w:ilvl="3" w:tplc="4816F11E">
      <w:start w:val="1"/>
      <w:numFmt w:val="bullet"/>
      <w:lvlText w:val=""/>
      <w:lvlJc w:val="left"/>
      <w:pPr>
        <w:ind w:left="2880" w:hanging="360"/>
      </w:pPr>
      <w:rPr>
        <w:rFonts w:ascii="Symbol" w:hAnsi="Symbol" w:hint="default"/>
      </w:rPr>
    </w:lvl>
    <w:lvl w:ilvl="4" w:tplc="8BE66098">
      <w:start w:val="1"/>
      <w:numFmt w:val="bullet"/>
      <w:lvlText w:val="o"/>
      <w:lvlJc w:val="left"/>
      <w:pPr>
        <w:ind w:left="3600" w:hanging="360"/>
      </w:pPr>
      <w:rPr>
        <w:rFonts w:ascii="Courier New" w:hAnsi="Courier New" w:hint="default"/>
      </w:rPr>
    </w:lvl>
    <w:lvl w:ilvl="5" w:tplc="0DA264AE">
      <w:start w:val="1"/>
      <w:numFmt w:val="bullet"/>
      <w:lvlText w:val=""/>
      <w:lvlJc w:val="left"/>
      <w:pPr>
        <w:ind w:left="4320" w:hanging="360"/>
      </w:pPr>
      <w:rPr>
        <w:rFonts w:ascii="Wingdings" w:hAnsi="Wingdings" w:hint="default"/>
      </w:rPr>
    </w:lvl>
    <w:lvl w:ilvl="6" w:tplc="F41EDDE0">
      <w:start w:val="1"/>
      <w:numFmt w:val="bullet"/>
      <w:lvlText w:val=""/>
      <w:lvlJc w:val="left"/>
      <w:pPr>
        <w:ind w:left="5040" w:hanging="360"/>
      </w:pPr>
      <w:rPr>
        <w:rFonts w:ascii="Symbol" w:hAnsi="Symbol" w:hint="default"/>
      </w:rPr>
    </w:lvl>
    <w:lvl w:ilvl="7" w:tplc="5A7CDABA">
      <w:start w:val="1"/>
      <w:numFmt w:val="bullet"/>
      <w:lvlText w:val="o"/>
      <w:lvlJc w:val="left"/>
      <w:pPr>
        <w:ind w:left="5760" w:hanging="360"/>
      </w:pPr>
      <w:rPr>
        <w:rFonts w:ascii="Courier New" w:hAnsi="Courier New" w:hint="default"/>
      </w:rPr>
    </w:lvl>
    <w:lvl w:ilvl="8" w:tplc="C696DAE2">
      <w:start w:val="1"/>
      <w:numFmt w:val="bullet"/>
      <w:lvlText w:val=""/>
      <w:lvlJc w:val="left"/>
      <w:pPr>
        <w:ind w:left="6480" w:hanging="360"/>
      </w:pPr>
      <w:rPr>
        <w:rFonts w:ascii="Wingdings" w:hAnsi="Wingdings" w:hint="default"/>
      </w:rPr>
    </w:lvl>
  </w:abstractNum>
  <w:abstractNum w:abstractNumId="10" w15:restartNumberingAfterBreak="0">
    <w:nsid w:val="32B9250E"/>
    <w:multiLevelType w:val="hybridMultilevel"/>
    <w:tmpl w:val="71B46D9E"/>
    <w:lvl w:ilvl="0" w:tplc="A57E4C8C">
      <w:start w:val="1"/>
      <w:numFmt w:val="bullet"/>
      <w:lvlText w:val=""/>
      <w:lvlJc w:val="left"/>
      <w:pPr>
        <w:ind w:left="720" w:hanging="360"/>
      </w:pPr>
      <w:rPr>
        <w:rFonts w:ascii="Symbol" w:hAnsi="Symbol" w:hint="default"/>
      </w:rPr>
    </w:lvl>
    <w:lvl w:ilvl="1" w:tplc="003691E0">
      <w:start w:val="1"/>
      <w:numFmt w:val="bullet"/>
      <w:lvlText w:val="o"/>
      <w:lvlJc w:val="left"/>
      <w:pPr>
        <w:ind w:left="1440" w:hanging="360"/>
      </w:pPr>
      <w:rPr>
        <w:rFonts w:ascii="Courier New" w:hAnsi="Courier New" w:hint="default"/>
      </w:rPr>
    </w:lvl>
    <w:lvl w:ilvl="2" w:tplc="CEA2D952">
      <w:start w:val="1"/>
      <w:numFmt w:val="bullet"/>
      <w:lvlText w:val=""/>
      <w:lvlJc w:val="left"/>
      <w:pPr>
        <w:ind w:left="2160" w:hanging="360"/>
      </w:pPr>
      <w:rPr>
        <w:rFonts w:ascii="Wingdings" w:hAnsi="Wingdings" w:hint="default"/>
      </w:rPr>
    </w:lvl>
    <w:lvl w:ilvl="3" w:tplc="A4525B6E">
      <w:start w:val="1"/>
      <w:numFmt w:val="bullet"/>
      <w:lvlText w:val=""/>
      <w:lvlJc w:val="left"/>
      <w:pPr>
        <w:ind w:left="2880" w:hanging="360"/>
      </w:pPr>
      <w:rPr>
        <w:rFonts w:ascii="Symbol" w:hAnsi="Symbol" w:hint="default"/>
      </w:rPr>
    </w:lvl>
    <w:lvl w:ilvl="4" w:tplc="08C6CEAC">
      <w:start w:val="1"/>
      <w:numFmt w:val="bullet"/>
      <w:lvlText w:val="o"/>
      <w:lvlJc w:val="left"/>
      <w:pPr>
        <w:ind w:left="3600" w:hanging="360"/>
      </w:pPr>
      <w:rPr>
        <w:rFonts w:ascii="Courier New" w:hAnsi="Courier New" w:hint="default"/>
      </w:rPr>
    </w:lvl>
    <w:lvl w:ilvl="5" w:tplc="305CBD2A">
      <w:start w:val="1"/>
      <w:numFmt w:val="bullet"/>
      <w:lvlText w:val=""/>
      <w:lvlJc w:val="left"/>
      <w:pPr>
        <w:ind w:left="4320" w:hanging="360"/>
      </w:pPr>
      <w:rPr>
        <w:rFonts w:ascii="Wingdings" w:hAnsi="Wingdings" w:hint="default"/>
      </w:rPr>
    </w:lvl>
    <w:lvl w:ilvl="6" w:tplc="803C12FE">
      <w:start w:val="1"/>
      <w:numFmt w:val="bullet"/>
      <w:lvlText w:val=""/>
      <w:lvlJc w:val="left"/>
      <w:pPr>
        <w:ind w:left="5040" w:hanging="360"/>
      </w:pPr>
      <w:rPr>
        <w:rFonts w:ascii="Symbol" w:hAnsi="Symbol" w:hint="default"/>
      </w:rPr>
    </w:lvl>
    <w:lvl w:ilvl="7" w:tplc="F384A582">
      <w:start w:val="1"/>
      <w:numFmt w:val="bullet"/>
      <w:lvlText w:val="o"/>
      <w:lvlJc w:val="left"/>
      <w:pPr>
        <w:ind w:left="5760" w:hanging="360"/>
      </w:pPr>
      <w:rPr>
        <w:rFonts w:ascii="Courier New" w:hAnsi="Courier New" w:hint="default"/>
      </w:rPr>
    </w:lvl>
    <w:lvl w:ilvl="8" w:tplc="DF0427B0">
      <w:start w:val="1"/>
      <w:numFmt w:val="bullet"/>
      <w:lvlText w:val=""/>
      <w:lvlJc w:val="left"/>
      <w:pPr>
        <w:ind w:left="6480" w:hanging="360"/>
      </w:pPr>
      <w:rPr>
        <w:rFonts w:ascii="Wingdings" w:hAnsi="Wingdings" w:hint="default"/>
      </w:rPr>
    </w:lvl>
  </w:abstractNum>
  <w:abstractNum w:abstractNumId="11" w15:restartNumberingAfterBreak="0">
    <w:nsid w:val="350F4C81"/>
    <w:multiLevelType w:val="hybridMultilevel"/>
    <w:tmpl w:val="63AAF710"/>
    <w:lvl w:ilvl="0" w:tplc="EC46F0CA">
      <w:start w:val="1"/>
      <w:numFmt w:val="bullet"/>
      <w:lvlText w:val=""/>
      <w:lvlJc w:val="left"/>
      <w:pPr>
        <w:ind w:left="720" w:hanging="360"/>
      </w:pPr>
      <w:rPr>
        <w:rFonts w:ascii="Symbol" w:hAnsi="Symbol" w:hint="default"/>
      </w:rPr>
    </w:lvl>
    <w:lvl w:ilvl="1" w:tplc="0B8C71E8">
      <w:start w:val="1"/>
      <w:numFmt w:val="bullet"/>
      <w:lvlText w:val="o"/>
      <w:lvlJc w:val="left"/>
      <w:pPr>
        <w:ind w:left="1440" w:hanging="360"/>
      </w:pPr>
      <w:rPr>
        <w:rFonts w:ascii="Courier New" w:hAnsi="Courier New" w:hint="default"/>
      </w:rPr>
    </w:lvl>
    <w:lvl w:ilvl="2" w:tplc="44143F5C">
      <w:start w:val="1"/>
      <w:numFmt w:val="bullet"/>
      <w:lvlText w:val=""/>
      <w:lvlJc w:val="left"/>
      <w:pPr>
        <w:ind w:left="2160" w:hanging="360"/>
      </w:pPr>
      <w:rPr>
        <w:rFonts w:ascii="Wingdings" w:hAnsi="Wingdings" w:hint="default"/>
      </w:rPr>
    </w:lvl>
    <w:lvl w:ilvl="3" w:tplc="32C04E54">
      <w:start w:val="1"/>
      <w:numFmt w:val="bullet"/>
      <w:lvlText w:val=""/>
      <w:lvlJc w:val="left"/>
      <w:pPr>
        <w:ind w:left="2880" w:hanging="360"/>
      </w:pPr>
      <w:rPr>
        <w:rFonts w:ascii="Symbol" w:hAnsi="Symbol" w:hint="default"/>
      </w:rPr>
    </w:lvl>
    <w:lvl w:ilvl="4" w:tplc="62642FE4">
      <w:start w:val="1"/>
      <w:numFmt w:val="bullet"/>
      <w:lvlText w:val="o"/>
      <w:lvlJc w:val="left"/>
      <w:pPr>
        <w:ind w:left="3600" w:hanging="360"/>
      </w:pPr>
      <w:rPr>
        <w:rFonts w:ascii="Courier New" w:hAnsi="Courier New" w:hint="default"/>
      </w:rPr>
    </w:lvl>
    <w:lvl w:ilvl="5" w:tplc="835259A6">
      <w:start w:val="1"/>
      <w:numFmt w:val="bullet"/>
      <w:lvlText w:val=""/>
      <w:lvlJc w:val="left"/>
      <w:pPr>
        <w:ind w:left="4320" w:hanging="360"/>
      </w:pPr>
      <w:rPr>
        <w:rFonts w:ascii="Wingdings" w:hAnsi="Wingdings" w:hint="default"/>
      </w:rPr>
    </w:lvl>
    <w:lvl w:ilvl="6" w:tplc="A6E093AC">
      <w:start w:val="1"/>
      <w:numFmt w:val="bullet"/>
      <w:lvlText w:val=""/>
      <w:lvlJc w:val="left"/>
      <w:pPr>
        <w:ind w:left="5040" w:hanging="360"/>
      </w:pPr>
      <w:rPr>
        <w:rFonts w:ascii="Symbol" w:hAnsi="Symbol" w:hint="default"/>
      </w:rPr>
    </w:lvl>
    <w:lvl w:ilvl="7" w:tplc="B9B4D1AC">
      <w:start w:val="1"/>
      <w:numFmt w:val="bullet"/>
      <w:lvlText w:val="o"/>
      <w:lvlJc w:val="left"/>
      <w:pPr>
        <w:ind w:left="5760" w:hanging="360"/>
      </w:pPr>
      <w:rPr>
        <w:rFonts w:ascii="Courier New" w:hAnsi="Courier New" w:hint="default"/>
      </w:rPr>
    </w:lvl>
    <w:lvl w:ilvl="8" w:tplc="2D8247BA">
      <w:start w:val="1"/>
      <w:numFmt w:val="bullet"/>
      <w:lvlText w:val=""/>
      <w:lvlJc w:val="left"/>
      <w:pPr>
        <w:ind w:left="6480" w:hanging="360"/>
      </w:pPr>
      <w:rPr>
        <w:rFonts w:ascii="Wingdings" w:hAnsi="Wingdings" w:hint="default"/>
      </w:rPr>
    </w:lvl>
  </w:abstractNum>
  <w:abstractNum w:abstractNumId="12" w15:restartNumberingAfterBreak="0">
    <w:nsid w:val="37B4282F"/>
    <w:multiLevelType w:val="hybridMultilevel"/>
    <w:tmpl w:val="C05AF1E2"/>
    <w:lvl w:ilvl="0" w:tplc="EA266CC8">
      <w:start w:val="1"/>
      <w:numFmt w:val="bullet"/>
      <w:lvlText w:val=""/>
      <w:lvlJc w:val="left"/>
      <w:pPr>
        <w:ind w:left="720" w:hanging="360"/>
      </w:pPr>
      <w:rPr>
        <w:rFonts w:ascii="Symbol" w:hAnsi="Symbol" w:hint="default"/>
      </w:rPr>
    </w:lvl>
    <w:lvl w:ilvl="1" w:tplc="C4F81766">
      <w:start w:val="1"/>
      <w:numFmt w:val="bullet"/>
      <w:lvlText w:val="o"/>
      <w:lvlJc w:val="left"/>
      <w:pPr>
        <w:ind w:left="1440" w:hanging="360"/>
      </w:pPr>
      <w:rPr>
        <w:rFonts w:ascii="Courier New" w:hAnsi="Courier New" w:hint="default"/>
      </w:rPr>
    </w:lvl>
    <w:lvl w:ilvl="2" w:tplc="E15299D0">
      <w:start w:val="1"/>
      <w:numFmt w:val="bullet"/>
      <w:lvlText w:val=""/>
      <w:lvlJc w:val="left"/>
      <w:pPr>
        <w:ind w:left="2160" w:hanging="360"/>
      </w:pPr>
      <w:rPr>
        <w:rFonts w:ascii="Wingdings" w:hAnsi="Wingdings" w:hint="default"/>
      </w:rPr>
    </w:lvl>
    <w:lvl w:ilvl="3" w:tplc="460CA736">
      <w:start w:val="1"/>
      <w:numFmt w:val="bullet"/>
      <w:lvlText w:val=""/>
      <w:lvlJc w:val="left"/>
      <w:pPr>
        <w:ind w:left="2880" w:hanging="360"/>
      </w:pPr>
      <w:rPr>
        <w:rFonts w:ascii="Symbol" w:hAnsi="Symbol" w:hint="default"/>
      </w:rPr>
    </w:lvl>
    <w:lvl w:ilvl="4" w:tplc="6F127908">
      <w:start w:val="1"/>
      <w:numFmt w:val="bullet"/>
      <w:lvlText w:val="o"/>
      <w:lvlJc w:val="left"/>
      <w:pPr>
        <w:ind w:left="3600" w:hanging="360"/>
      </w:pPr>
      <w:rPr>
        <w:rFonts w:ascii="Courier New" w:hAnsi="Courier New" w:hint="default"/>
      </w:rPr>
    </w:lvl>
    <w:lvl w:ilvl="5" w:tplc="A16A1060">
      <w:start w:val="1"/>
      <w:numFmt w:val="bullet"/>
      <w:lvlText w:val=""/>
      <w:lvlJc w:val="left"/>
      <w:pPr>
        <w:ind w:left="4320" w:hanging="360"/>
      </w:pPr>
      <w:rPr>
        <w:rFonts w:ascii="Wingdings" w:hAnsi="Wingdings" w:hint="default"/>
      </w:rPr>
    </w:lvl>
    <w:lvl w:ilvl="6" w:tplc="8C8AF1E6">
      <w:start w:val="1"/>
      <w:numFmt w:val="bullet"/>
      <w:lvlText w:val=""/>
      <w:lvlJc w:val="left"/>
      <w:pPr>
        <w:ind w:left="5040" w:hanging="360"/>
      </w:pPr>
      <w:rPr>
        <w:rFonts w:ascii="Symbol" w:hAnsi="Symbol" w:hint="default"/>
      </w:rPr>
    </w:lvl>
    <w:lvl w:ilvl="7" w:tplc="888492DC">
      <w:start w:val="1"/>
      <w:numFmt w:val="bullet"/>
      <w:lvlText w:val="o"/>
      <w:lvlJc w:val="left"/>
      <w:pPr>
        <w:ind w:left="5760" w:hanging="360"/>
      </w:pPr>
      <w:rPr>
        <w:rFonts w:ascii="Courier New" w:hAnsi="Courier New" w:hint="default"/>
      </w:rPr>
    </w:lvl>
    <w:lvl w:ilvl="8" w:tplc="9E802888">
      <w:start w:val="1"/>
      <w:numFmt w:val="bullet"/>
      <w:lvlText w:val=""/>
      <w:lvlJc w:val="left"/>
      <w:pPr>
        <w:ind w:left="6480" w:hanging="360"/>
      </w:pPr>
      <w:rPr>
        <w:rFonts w:ascii="Wingdings" w:hAnsi="Wingdings" w:hint="default"/>
      </w:rPr>
    </w:lvl>
  </w:abstractNum>
  <w:abstractNum w:abstractNumId="13" w15:restartNumberingAfterBreak="0">
    <w:nsid w:val="3A5209C3"/>
    <w:multiLevelType w:val="hybridMultilevel"/>
    <w:tmpl w:val="56206BC0"/>
    <w:lvl w:ilvl="0" w:tplc="4794501C">
      <w:start w:val="1"/>
      <w:numFmt w:val="bullet"/>
      <w:lvlText w:val=""/>
      <w:lvlJc w:val="left"/>
      <w:pPr>
        <w:ind w:left="720" w:hanging="360"/>
      </w:pPr>
      <w:rPr>
        <w:rFonts w:ascii="Symbol" w:hAnsi="Symbol" w:hint="default"/>
      </w:rPr>
    </w:lvl>
    <w:lvl w:ilvl="1" w:tplc="C9D48016">
      <w:start w:val="1"/>
      <w:numFmt w:val="bullet"/>
      <w:lvlText w:val="o"/>
      <w:lvlJc w:val="left"/>
      <w:pPr>
        <w:ind w:left="1440" w:hanging="360"/>
      </w:pPr>
      <w:rPr>
        <w:rFonts w:ascii="Courier New" w:hAnsi="Courier New" w:hint="default"/>
      </w:rPr>
    </w:lvl>
    <w:lvl w:ilvl="2" w:tplc="3756301A">
      <w:start w:val="1"/>
      <w:numFmt w:val="bullet"/>
      <w:lvlText w:val=""/>
      <w:lvlJc w:val="left"/>
      <w:pPr>
        <w:ind w:left="2160" w:hanging="360"/>
      </w:pPr>
      <w:rPr>
        <w:rFonts w:ascii="Wingdings" w:hAnsi="Wingdings" w:hint="default"/>
      </w:rPr>
    </w:lvl>
    <w:lvl w:ilvl="3" w:tplc="C1A6A172">
      <w:start w:val="1"/>
      <w:numFmt w:val="bullet"/>
      <w:lvlText w:val=""/>
      <w:lvlJc w:val="left"/>
      <w:pPr>
        <w:ind w:left="2880" w:hanging="360"/>
      </w:pPr>
      <w:rPr>
        <w:rFonts w:ascii="Symbol" w:hAnsi="Symbol" w:hint="default"/>
      </w:rPr>
    </w:lvl>
    <w:lvl w:ilvl="4" w:tplc="01A807BC">
      <w:start w:val="1"/>
      <w:numFmt w:val="bullet"/>
      <w:lvlText w:val="o"/>
      <w:lvlJc w:val="left"/>
      <w:pPr>
        <w:ind w:left="3600" w:hanging="360"/>
      </w:pPr>
      <w:rPr>
        <w:rFonts w:ascii="Courier New" w:hAnsi="Courier New" w:hint="default"/>
      </w:rPr>
    </w:lvl>
    <w:lvl w:ilvl="5" w:tplc="3614E512">
      <w:start w:val="1"/>
      <w:numFmt w:val="bullet"/>
      <w:lvlText w:val=""/>
      <w:lvlJc w:val="left"/>
      <w:pPr>
        <w:ind w:left="4320" w:hanging="360"/>
      </w:pPr>
      <w:rPr>
        <w:rFonts w:ascii="Wingdings" w:hAnsi="Wingdings" w:hint="default"/>
      </w:rPr>
    </w:lvl>
    <w:lvl w:ilvl="6" w:tplc="62861E5E">
      <w:start w:val="1"/>
      <w:numFmt w:val="bullet"/>
      <w:lvlText w:val=""/>
      <w:lvlJc w:val="left"/>
      <w:pPr>
        <w:ind w:left="5040" w:hanging="360"/>
      </w:pPr>
      <w:rPr>
        <w:rFonts w:ascii="Symbol" w:hAnsi="Symbol" w:hint="default"/>
      </w:rPr>
    </w:lvl>
    <w:lvl w:ilvl="7" w:tplc="678CCA2C">
      <w:start w:val="1"/>
      <w:numFmt w:val="bullet"/>
      <w:lvlText w:val="o"/>
      <w:lvlJc w:val="left"/>
      <w:pPr>
        <w:ind w:left="5760" w:hanging="360"/>
      </w:pPr>
      <w:rPr>
        <w:rFonts w:ascii="Courier New" w:hAnsi="Courier New" w:hint="default"/>
      </w:rPr>
    </w:lvl>
    <w:lvl w:ilvl="8" w:tplc="79983AF6">
      <w:start w:val="1"/>
      <w:numFmt w:val="bullet"/>
      <w:lvlText w:val=""/>
      <w:lvlJc w:val="left"/>
      <w:pPr>
        <w:ind w:left="6480" w:hanging="360"/>
      </w:pPr>
      <w:rPr>
        <w:rFonts w:ascii="Wingdings" w:hAnsi="Wingdings" w:hint="default"/>
      </w:rPr>
    </w:lvl>
  </w:abstractNum>
  <w:abstractNum w:abstractNumId="14" w15:restartNumberingAfterBreak="0">
    <w:nsid w:val="43AB3F14"/>
    <w:multiLevelType w:val="hybridMultilevel"/>
    <w:tmpl w:val="5FAA5CE4"/>
    <w:lvl w:ilvl="0" w:tplc="176879EE">
      <w:start w:val="1"/>
      <w:numFmt w:val="decimal"/>
      <w:lvlText w:val="%1."/>
      <w:lvlJc w:val="left"/>
      <w:pPr>
        <w:ind w:left="720" w:hanging="360"/>
      </w:pPr>
    </w:lvl>
    <w:lvl w:ilvl="1" w:tplc="4548391C">
      <w:start w:val="1"/>
      <w:numFmt w:val="lowerLetter"/>
      <w:lvlText w:val="%2."/>
      <w:lvlJc w:val="left"/>
      <w:pPr>
        <w:ind w:left="1440" w:hanging="360"/>
      </w:pPr>
    </w:lvl>
    <w:lvl w:ilvl="2" w:tplc="38C2FC0C">
      <w:start w:val="1"/>
      <w:numFmt w:val="lowerRoman"/>
      <w:lvlText w:val="%3."/>
      <w:lvlJc w:val="right"/>
      <w:pPr>
        <w:ind w:left="2160" w:hanging="180"/>
      </w:pPr>
    </w:lvl>
    <w:lvl w:ilvl="3" w:tplc="0B68D278">
      <w:start w:val="1"/>
      <w:numFmt w:val="decimal"/>
      <w:lvlText w:val="%4."/>
      <w:lvlJc w:val="left"/>
      <w:pPr>
        <w:ind w:left="2880" w:hanging="360"/>
      </w:pPr>
    </w:lvl>
    <w:lvl w:ilvl="4" w:tplc="ECC6F488">
      <w:start w:val="1"/>
      <w:numFmt w:val="lowerLetter"/>
      <w:lvlText w:val="%5."/>
      <w:lvlJc w:val="left"/>
      <w:pPr>
        <w:ind w:left="3600" w:hanging="360"/>
      </w:pPr>
    </w:lvl>
    <w:lvl w:ilvl="5" w:tplc="9A4E25F4">
      <w:start w:val="1"/>
      <w:numFmt w:val="lowerRoman"/>
      <w:lvlText w:val="%6."/>
      <w:lvlJc w:val="right"/>
      <w:pPr>
        <w:ind w:left="4320" w:hanging="180"/>
      </w:pPr>
    </w:lvl>
    <w:lvl w:ilvl="6" w:tplc="7C3099B6">
      <w:start w:val="1"/>
      <w:numFmt w:val="decimal"/>
      <w:lvlText w:val="%7."/>
      <w:lvlJc w:val="left"/>
      <w:pPr>
        <w:ind w:left="5040" w:hanging="360"/>
      </w:pPr>
    </w:lvl>
    <w:lvl w:ilvl="7" w:tplc="45B477A6">
      <w:start w:val="1"/>
      <w:numFmt w:val="lowerLetter"/>
      <w:lvlText w:val="%8."/>
      <w:lvlJc w:val="left"/>
      <w:pPr>
        <w:ind w:left="5760" w:hanging="360"/>
      </w:pPr>
    </w:lvl>
    <w:lvl w:ilvl="8" w:tplc="B21A1E96">
      <w:start w:val="1"/>
      <w:numFmt w:val="lowerRoman"/>
      <w:lvlText w:val="%9."/>
      <w:lvlJc w:val="right"/>
      <w:pPr>
        <w:ind w:left="6480" w:hanging="180"/>
      </w:pPr>
    </w:lvl>
  </w:abstractNum>
  <w:abstractNum w:abstractNumId="15" w15:restartNumberingAfterBreak="0">
    <w:nsid w:val="43AB4787"/>
    <w:multiLevelType w:val="hybridMultilevel"/>
    <w:tmpl w:val="759EB7CC"/>
    <w:lvl w:ilvl="0" w:tplc="9A6C97B0">
      <w:start w:val="1"/>
      <w:numFmt w:val="upperRoman"/>
      <w:lvlText w:val="%1."/>
      <w:lvlJc w:val="right"/>
      <w:pPr>
        <w:ind w:left="720" w:hanging="360"/>
      </w:pPr>
    </w:lvl>
    <w:lvl w:ilvl="1" w:tplc="D146E774">
      <w:start w:val="1"/>
      <w:numFmt w:val="lowerLetter"/>
      <w:lvlText w:val="%2."/>
      <w:lvlJc w:val="left"/>
      <w:pPr>
        <w:ind w:left="1440" w:hanging="360"/>
      </w:pPr>
    </w:lvl>
    <w:lvl w:ilvl="2" w:tplc="E96EA222">
      <w:start w:val="1"/>
      <w:numFmt w:val="lowerRoman"/>
      <w:lvlText w:val="%3."/>
      <w:lvlJc w:val="right"/>
      <w:pPr>
        <w:ind w:left="2160" w:hanging="180"/>
      </w:pPr>
    </w:lvl>
    <w:lvl w:ilvl="3" w:tplc="6450E17E">
      <w:start w:val="1"/>
      <w:numFmt w:val="decimal"/>
      <w:lvlText w:val="%4."/>
      <w:lvlJc w:val="left"/>
      <w:pPr>
        <w:ind w:left="2880" w:hanging="360"/>
      </w:pPr>
    </w:lvl>
    <w:lvl w:ilvl="4" w:tplc="484E6936">
      <w:start w:val="1"/>
      <w:numFmt w:val="lowerLetter"/>
      <w:lvlText w:val="%5."/>
      <w:lvlJc w:val="left"/>
      <w:pPr>
        <w:ind w:left="3600" w:hanging="360"/>
      </w:pPr>
    </w:lvl>
    <w:lvl w:ilvl="5" w:tplc="D1DEAB78">
      <w:start w:val="1"/>
      <w:numFmt w:val="lowerRoman"/>
      <w:lvlText w:val="%6."/>
      <w:lvlJc w:val="right"/>
      <w:pPr>
        <w:ind w:left="4320" w:hanging="180"/>
      </w:pPr>
    </w:lvl>
    <w:lvl w:ilvl="6" w:tplc="C8F046DE">
      <w:start w:val="1"/>
      <w:numFmt w:val="decimal"/>
      <w:lvlText w:val="%7."/>
      <w:lvlJc w:val="left"/>
      <w:pPr>
        <w:ind w:left="5040" w:hanging="360"/>
      </w:pPr>
    </w:lvl>
    <w:lvl w:ilvl="7" w:tplc="06961220">
      <w:start w:val="1"/>
      <w:numFmt w:val="lowerLetter"/>
      <w:lvlText w:val="%8."/>
      <w:lvlJc w:val="left"/>
      <w:pPr>
        <w:ind w:left="5760" w:hanging="360"/>
      </w:pPr>
    </w:lvl>
    <w:lvl w:ilvl="8" w:tplc="C5725B0A">
      <w:start w:val="1"/>
      <w:numFmt w:val="lowerRoman"/>
      <w:lvlText w:val="%9."/>
      <w:lvlJc w:val="right"/>
      <w:pPr>
        <w:ind w:left="6480" w:hanging="180"/>
      </w:pPr>
    </w:lvl>
  </w:abstractNum>
  <w:abstractNum w:abstractNumId="16" w15:restartNumberingAfterBreak="0">
    <w:nsid w:val="45516F05"/>
    <w:multiLevelType w:val="hybridMultilevel"/>
    <w:tmpl w:val="BF90A69E"/>
    <w:lvl w:ilvl="0" w:tplc="741E3AA6">
      <w:start w:val="1"/>
      <w:numFmt w:val="bullet"/>
      <w:lvlText w:val=""/>
      <w:lvlJc w:val="left"/>
      <w:pPr>
        <w:ind w:left="720" w:hanging="360"/>
      </w:pPr>
      <w:rPr>
        <w:rFonts w:ascii="Symbol" w:hAnsi="Symbol" w:hint="default"/>
      </w:rPr>
    </w:lvl>
    <w:lvl w:ilvl="1" w:tplc="605650BC">
      <w:start w:val="1"/>
      <w:numFmt w:val="bullet"/>
      <w:lvlText w:val="o"/>
      <w:lvlJc w:val="left"/>
      <w:pPr>
        <w:ind w:left="1440" w:hanging="360"/>
      </w:pPr>
      <w:rPr>
        <w:rFonts w:ascii="Courier New" w:hAnsi="Courier New" w:hint="default"/>
      </w:rPr>
    </w:lvl>
    <w:lvl w:ilvl="2" w:tplc="B540D180">
      <w:start w:val="1"/>
      <w:numFmt w:val="bullet"/>
      <w:lvlText w:val=""/>
      <w:lvlJc w:val="left"/>
      <w:pPr>
        <w:ind w:left="2160" w:hanging="360"/>
      </w:pPr>
      <w:rPr>
        <w:rFonts w:ascii="Wingdings" w:hAnsi="Wingdings" w:hint="default"/>
      </w:rPr>
    </w:lvl>
    <w:lvl w:ilvl="3" w:tplc="A8B248A6">
      <w:start w:val="1"/>
      <w:numFmt w:val="bullet"/>
      <w:lvlText w:val=""/>
      <w:lvlJc w:val="left"/>
      <w:pPr>
        <w:ind w:left="2880" w:hanging="360"/>
      </w:pPr>
      <w:rPr>
        <w:rFonts w:ascii="Symbol" w:hAnsi="Symbol" w:hint="default"/>
      </w:rPr>
    </w:lvl>
    <w:lvl w:ilvl="4" w:tplc="9CC4B0E0">
      <w:start w:val="1"/>
      <w:numFmt w:val="bullet"/>
      <w:lvlText w:val="o"/>
      <w:lvlJc w:val="left"/>
      <w:pPr>
        <w:ind w:left="3600" w:hanging="360"/>
      </w:pPr>
      <w:rPr>
        <w:rFonts w:ascii="Courier New" w:hAnsi="Courier New" w:hint="default"/>
      </w:rPr>
    </w:lvl>
    <w:lvl w:ilvl="5" w:tplc="2362AF98">
      <w:start w:val="1"/>
      <w:numFmt w:val="bullet"/>
      <w:lvlText w:val=""/>
      <w:lvlJc w:val="left"/>
      <w:pPr>
        <w:ind w:left="4320" w:hanging="360"/>
      </w:pPr>
      <w:rPr>
        <w:rFonts w:ascii="Wingdings" w:hAnsi="Wingdings" w:hint="default"/>
      </w:rPr>
    </w:lvl>
    <w:lvl w:ilvl="6" w:tplc="F912D486">
      <w:start w:val="1"/>
      <w:numFmt w:val="bullet"/>
      <w:lvlText w:val=""/>
      <w:lvlJc w:val="left"/>
      <w:pPr>
        <w:ind w:left="5040" w:hanging="360"/>
      </w:pPr>
      <w:rPr>
        <w:rFonts w:ascii="Symbol" w:hAnsi="Symbol" w:hint="default"/>
      </w:rPr>
    </w:lvl>
    <w:lvl w:ilvl="7" w:tplc="A86603EC">
      <w:start w:val="1"/>
      <w:numFmt w:val="bullet"/>
      <w:lvlText w:val="o"/>
      <w:lvlJc w:val="left"/>
      <w:pPr>
        <w:ind w:left="5760" w:hanging="360"/>
      </w:pPr>
      <w:rPr>
        <w:rFonts w:ascii="Courier New" w:hAnsi="Courier New" w:hint="default"/>
      </w:rPr>
    </w:lvl>
    <w:lvl w:ilvl="8" w:tplc="F0F0D18E">
      <w:start w:val="1"/>
      <w:numFmt w:val="bullet"/>
      <w:lvlText w:val=""/>
      <w:lvlJc w:val="left"/>
      <w:pPr>
        <w:ind w:left="6480" w:hanging="360"/>
      </w:pPr>
      <w:rPr>
        <w:rFonts w:ascii="Wingdings" w:hAnsi="Wingdings" w:hint="default"/>
      </w:rPr>
    </w:lvl>
  </w:abstractNum>
  <w:abstractNum w:abstractNumId="17" w15:restartNumberingAfterBreak="0">
    <w:nsid w:val="46CF3717"/>
    <w:multiLevelType w:val="hybridMultilevel"/>
    <w:tmpl w:val="70BEA5FE"/>
    <w:lvl w:ilvl="0" w:tplc="7C3211AC">
      <w:start w:val="1"/>
      <w:numFmt w:val="upperLetter"/>
      <w:lvlText w:val="%1."/>
      <w:lvlJc w:val="left"/>
      <w:pPr>
        <w:ind w:left="720" w:hanging="360"/>
      </w:pPr>
    </w:lvl>
    <w:lvl w:ilvl="1" w:tplc="58AC3C1E">
      <w:start w:val="1"/>
      <w:numFmt w:val="lowerLetter"/>
      <w:lvlText w:val="%2."/>
      <w:lvlJc w:val="left"/>
      <w:pPr>
        <w:ind w:left="1440" w:hanging="360"/>
      </w:pPr>
    </w:lvl>
    <w:lvl w:ilvl="2" w:tplc="9864AD70">
      <w:start w:val="1"/>
      <w:numFmt w:val="lowerRoman"/>
      <w:lvlText w:val="%3."/>
      <w:lvlJc w:val="right"/>
      <w:pPr>
        <w:ind w:left="2160" w:hanging="180"/>
      </w:pPr>
    </w:lvl>
    <w:lvl w:ilvl="3" w:tplc="2C3677E4">
      <w:start w:val="1"/>
      <w:numFmt w:val="decimal"/>
      <w:lvlText w:val="%4."/>
      <w:lvlJc w:val="left"/>
      <w:pPr>
        <w:ind w:left="2880" w:hanging="360"/>
      </w:pPr>
    </w:lvl>
    <w:lvl w:ilvl="4" w:tplc="DCA89DB8">
      <w:start w:val="1"/>
      <w:numFmt w:val="lowerLetter"/>
      <w:lvlText w:val="%5."/>
      <w:lvlJc w:val="left"/>
      <w:pPr>
        <w:ind w:left="3600" w:hanging="360"/>
      </w:pPr>
    </w:lvl>
    <w:lvl w:ilvl="5" w:tplc="263E5C6E">
      <w:start w:val="1"/>
      <w:numFmt w:val="lowerRoman"/>
      <w:lvlText w:val="%6."/>
      <w:lvlJc w:val="right"/>
      <w:pPr>
        <w:ind w:left="4320" w:hanging="180"/>
      </w:pPr>
    </w:lvl>
    <w:lvl w:ilvl="6" w:tplc="493C13A6">
      <w:start w:val="1"/>
      <w:numFmt w:val="decimal"/>
      <w:lvlText w:val="%7."/>
      <w:lvlJc w:val="left"/>
      <w:pPr>
        <w:ind w:left="5040" w:hanging="360"/>
      </w:pPr>
    </w:lvl>
    <w:lvl w:ilvl="7" w:tplc="0E620A9C">
      <w:start w:val="1"/>
      <w:numFmt w:val="lowerLetter"/>
      <w:lvlText w:val="%8."/>
      <w:lvlJc w:val="left"/>
      <w:pPr>
        <w:ind w:left="5760" w:hanging="360"/>
      </w:pPr>
    </w:lvl>
    <w:lvl w:ilvl="8" w:tplc="80DCE132">
      <w:start w:val="1"/>
      <w:numFmt w:val="lowerRoman"/>
      <w:lvlText w:val="%9."/>
      <w:lvlJc w:val="right"/>
      <w:pPr>
        <w:ind w:left="6480" w:hanging="180"/>
      </w:pPr>
    </w:lvl>
  </w:abstractNum>
  <w:abstractNum w:abstractNumId="18" w15:restartNumberingAfterBreak="0">
    <w:nsid w:val="4AD47228"/>
    <w:multiLevelType w:val="hybridMultilevel"/>
    <w:tmpl w:val="7F06AD9C"/>
    <w:lvl w:ilvl="0" w:tplc="AC0E04CC">
      <w:start w:val="1"/>
      <w:numFmt w:val="bullet"/>
      <w:lvlText w:val=""/>
      <w:lvlJc w:val="left"/>
      <w:pPr>
        <w:ind w:left="720" w:hanging="360"/>
      </w:pPr>
      <w:rPr>
        <w:rFonts w:ascii="Wingdings" w:hAnsi="Wingdings" w:hint="default"/>
      </w:rPr>
    </w:lvl>
    <w:lvl w:ilvl="1" w:tplc="48A41F3A">
      <w:start w:val="1"/>
      <w:numFmt w:val="bullet"/>
      <w:lvlText w:val="o"/>
      <w:lvlJc w:val="left"/>
      <w:pPr>
        <w:ind w:left="1440" w:hanging="360"/>
      </w:pPr>
      <w:rPr>
        <w:rFonts w:ascii="Courier New" w:hAnsi="Courier New" w:hint="default"/>
      </w:rPr>
    </w:lvl>
    <w:lvl w:ilvl="2" w:tplc="6F92BDAA">
      <w:start w:val="1"/>
      <w:numFmt w:val="bullet"/>
      <w:lvlText w:val=""/>
      <w:lvlJc w:val="left"/>
      <w:pPr>
        <w:ind w:left="2160" w:hanging="360"/>
      </w:pPr>
      <w:rPr>
        <w:rFonts w:ascii="Wingdings" w:hAnsi="Wingdings" w:hint="default"/>
      </w:rPr>
    </w:lvl>
    <w:lvl w:ilvl="3" w:tplc="C970442E">
      <w:start w:val="1"/>
      <w:numFmt w:val="bullet"/>
      <w:lvlText w:val=""/>
      <w:lvlJc w:val="left"/>
      <w:pPr>
        <w:ind w:left="2880" w:hanging="360"/>
      </w:pPr>
      <w:rPr>
        <w:rFonts w:ascii="Symbol" w:hAnsi="Symbol" w:hint="default"/>
      </w:rPr>
    </w:lvl>
    <w:lvl w:ilvl="4" w:tplc="210AC4BC">
      <w:start w:val="1"/>
      <w:numFmt w:val="bullet"/>
      <w:lvlText w:val="o"/>
      <w:lvlJc w:val="left"/>
      <w:pPr>
        <w:ind w:left="3600" w:hanging="360"/>
      </w:pPr>
      <w:rPr>
        <w:rFonts w:ascii="Courier New" w:hAnsi="Courier New" w:hint="default"/>
      </w:rPr>
    </w:lvl>
    <w:lvl w:ilvl="5" w:tplc="FE8266C4">
      <w:start w:val="1"/>
      <w:numFmt w:val="bullet"/>
      <w:lvlText w:val=""/>
      <w:lvlJc w:val="left"/>
      <w:pPr>
        <w:ind w:left="4320" w:hanging="360"/>
      </w:pPr>
      <w:rPr>
        <w:rFonts w:ascii="Wingdings" w:hAnsi="Wingdings" w:hint="default"/>
      </w:rPr>
    </w:lvl>
    <w:lvl w:ilvl="6" w:tplc="C9147716">
      <w:start w:val="1"/>
      <w:numFmt w:val="bullet"/>
      <w:lvlText w:val=""/>
      <w:lvlJc w:val="left"/>
      <w:pPr>
        <w:ind w:left="5040" w:hanging="360"/>
      </w:pPr>
      <w:rPr>
        <w:rFonts w:ascii="Symbol" w:hAnsi="Symbol" w:hint="default"/>
      </w:rPr>
    </w:lvl>
    <w:lvl w:ilvl="7" w:tplc="E8047E18">
      <w:start w:val="1"/>
      <w:numFmt w:val="bullet"/>
      <w:lvlText w:val="o"/>
      <w:lvlJc w:val="left"/>
      <w:pPr>
        <w:ind w:left="5760" w:hanging="360"/>
      </w:pPr>
      <w:rPr>
        <w:rFonts w:ascii="Courier New" w:hAnsi="Courier New" w:hint="default"/>
      </w:rPr>
    </w:lvl>
    <w:lvl w:ilvl="8" w:tplc="DCC4DBE4">
      <w:start w:val="1"/>
      <w:numFmt w:val="bullet"/>
      <w:lvlText w:val=""/>
      <w:lvlJc w:val="left"/>
      <w:pPr>
        <w:ind w:left="6480" w:hanging="360"/>
      </w:pPr>
      <w:rPr>
        <w:rFonts w:ascii="Wingdings" w:hAnsi="Wingdings" w:hint="default"/>
      </w:rPr>
    </w:lvl>
  </w:abstractNum>
  <w:abstractNum w:abstractNumId="19" w15:restartNumberingAfterBreak="0">
    <w:nsid w:val="4CD8317B"/>
    <w:multiLevelType w:val="hybridMultilevel"/>
    <w:tmpl w:val="D3667966"/>
    <w:lvl w:ilvl="0" w:tplc="A6A20448">
      <w:start w:val="1"/>
      <w:numFmt w:val="bullet"/>
      <w:lvlText w:val=""/>
      <w:lvlJc w:val="left"/>
      <w:pPr>
        <w:ind w:left="720" w:hanging="360"/>
      </w:pPr>
      <w:rPr>
        <w:rFonts w:ascii="Wingdings" w:hAnsi="Wingdings" w:hint="default"/>
      </w:rPr>
    </w:lvl>
    <w:lvl w:ilvl="1" w:tplc="77846DAC">
      <w:start w:val="1"/>
      <w:numFmt w:val="bullet"/>
      <w:lvlText w:val="o"/>
      <w:lvlJc w:val="left"/>
      <w:pPr>
        <w:ind w:left="1440" w:hanging="360"/>
      </w:pPr>
      <w:rPr>
        <w:rFonts w:ascii="Courier New" w:hAnsi="Courier New" w:hint="default"/>
      </w:rPr>
    </w:lvl>
    <w:lvl w:ilvl="2" w:tplc="D40A0418">
      <w:start w:val="1"/>
      <w:numFmt w:val="bullet"/>
      <w:lvlText w:val=""/>
      <w:lvlJc w:val="left"/>
      <w:pPr>
        <w:ind w:left="2160" w:hanging="360"/>
      </w:pPr>
      <w:rPr>
        <w:rFonts w:ascii="Wingdings" w:hAnsi="Wingdings" w:hint="default"/>
      </w:rPr>
    </w:lvl>
    <w:lvl w:ilvl="3" w:tplc="82C2E478">
      <w:start w:val="1"/>
      <w:numFmt w:val="bullet"/>
      <w:lvlText w:val=""/>
      <w:lvlJc w:val="left"/>
      <w:pPr>
        <w:ind w:left="2880" w:hanging="360"/>
      </w:pPr>
      <w:rPr>
        <w:rFonts w:ascii="Symbol" w:hAnsi="Symbol" w:hint="default"/>
      </w:rPr>
    </w:lvl>
    <w:lvl w:ilvl="4" w:tplc="5B3C8A68">
      <w:start w:val="1"/>
      <w:numFmt w:val="bullet"/>
      <w:lvlText w:val="o"/>
      <w:lvlJc w:val="left"/>
      <w:pPr>
        <w:ind w:left="3600" w:hanging="360"/>
      </w:pPr>
      <w:rPr>
        <w:rFonts w:ascii="Courier New" w:hAnsi="Courier New" w:hint="default"/>
      </w:rPr>
    </w:lvl>
    <w:lvl w:ilvl="5" w:tplc="24205782">
      <w:start w:val="1"/>
      <w:numFmt w:val="bullet"/>
      <w:lvlText w:val=""/>
      <w:lvlJc w:val="left"/>
      <w:pPr>
        <w:ind w:left="4320" w:hanging="360"/>
      </w:pPr>
      <w:rPr>
        <w:rFonts w:ascii="Wingdings" w:hAnsi="Wingdings" w:hint="default"/>
      </w:rPr>
    </w:lvl>
    <w:lvl w:ilvl="6" w:tplc="7FECF5DC">
      <w:start w:val="1"/>
      <w:numFmt w:val="bullet"/>
      <w:lvlText w:val=""/>
      <w:lvlJc w:val="left"/>
      <w:pPr>
        <w:ind w:left="5040" w:hanging="360"/>
      </w:pPr>
      <w:rPr>
        <w:rFonts w:ascii="Symbol" w:hAnsi="Symbol" w:hint="default"/>
      </w:rPr>
    </w:lvl>
    <w:lvl w:ilvl="7" w:tplc="A9885C9C">
      <w:start w:val="1"/>
      <w:numFmt w:val="bullet"/>
      <w:lvlText w:val="o"/>
      <w:lvlJc w:val="left"/>
      <w:pPr>
        <w:ind w:left="5760" w:hanging="360"/>
      </w:pPr>
      <w:rPr>
        <w:rFonts w:ascii="Courier New" w:hAnsi="Courier New" w:hint="default"/>
      </w:rPr>
    </w:lvl>
    <w:lvl w:ilvl="8" w:tplc="3BDA6BF2">
      <w:start w:val="1"/>
      <w:numFmt w:val="bullet"/>
      <w:lvlText w:val=""/>
      <w:lvlJc w:val="left"/>
      <w:pPr>
        <w:ind w:left="6480" w:hanging="360"/>
      </w:pPr>
      <w:rPr>
        <w:rFonts w:ascii="Wingdings" w:hAnsi="Wingdings" w:hint="default"/>
      </w:rPr>
    </w:lvl>
  </w:abstractNum>
  <w:abstractNum w:abstractNumId="20" w15:restartNumberingAfterBreak="0">
    <w:nsid w:val="52A372DD"/>
    <w:multiLevelType w:val="hybridMultilevel"/>
    <w:tmpl w:val="BFF24C8A"/>
    <w:lvl w:ilvl="0" w:tplc="D4F2FA98">
      <w:start w:val="1"/>
      <w:numFmt w:val="bullet"/>
      <w:lvlText w:val=""/>
      <w:lvlJc w:val="left"/>
      <w:pPr>
        <w:ind w:left="720" w:hanging="360"/>
      </w:pPr>
      <w:rPr>
        <w:rFonts w:ascii="Wingdings" w:hAnsi="Wingdings" w:hint="default"/>
      </w:rPr>
    </w:lvl>
    <w:lvl w:ilvl="1" w:tplc="664E2D98">
      <w:start w:val="1"/>
      <w:numFmt w:val="bullet"/>
      <w:lvlText w:val="o"/>
      <w:lvlJc w:val="left"/>
      <w:pPr>
        <w:ind w:left="1440" w:hanging="360"/>
      </w:pPr>
      <w:rPr>
        <w:rFonts w:ascii="Courier New" w:hAnsi="Courier New" w:hint="default"/>
      </w:rPr>
    </w:lvl>
    <w:lvl w:ilvl="2" w:tplc="859E8E08">
      <w:start w:val="1"/>
      <w:numFmt w:val="bullet"/>
      <w:lvlText w:val=""/>
      <w:lvlJc w:val="left"/>
      <w:pPr>
        <w:ind w:left="2160" w:hanging="360"/>
      </w:pPr>
      <w:rPr>
        <w:rFonts w:ascii="Wingdings" w:hAnsi="Wingdings" w:hint="default"/>
      </w:rPr>
    </w:lvl>
    <w:lvl w:ilvl="3" w:tplc="4F6AFD4A">
      <w:start w:val="1"/>
      <w:numFmt w:val="bullet"/>
      <w:lvlText w:val=""/>
      <w:lvlJc w:val="left"/>
      <w:pPr>
        <w:ind w:left="2880" w:hanging="360"/>
      </w:pPr>
      <w:rPr>
        <w:rFonts w:ascii="Symbol" w:hAnsi="Symbol" w:hint="default"/>
      </w:rPr>
    </w:lvl>
    <w:lvl w:ilvl="4" w:tplc="C9C4F524">
      <w:start w:val="1"/>
      <w:numFmt w:val="bullet"/>
      <w:lvlText w:val="o"/>
      <w:lvlJc w:val="left"/>
      <w:pPr>
        <w:ind w:left="3600" w:hanging="360"/>
      </w:pPr>
      <w:rPr>
        <w:rFonts w:ascii="Courier New" w:hAnsi="Courier New" w:hint="default"/>
      </w:rPr>
    </w:lvl>
    <w:lvl w:ilvl="5" w:tplc="23C80596">
      <w:start w:val="1"/>
      <w:numFmt w:val="bullet"/>
      <w:lvlText w:val=""/>
      <w:lvlJc w:val="left"/>
      <w:pPr>
        <w:ind w:left="4320" w:hanging="360"/>
      </w:pPr>
      <w:rPr>
        <w:rFonts w:ascii="Wingdings" w:hAnsi="Wingdings" w:hint="default"/>
      </w:rPr>
    </w:lvl>
    <w:lvl w:ilvl="6" w:tplc="A1F22B32">
      <w:start w:val="1"/>
      <w:numFmt w:val="bullet"/>
      <w:lvlText w:val=""/>
      <w:lvlJc w:val="left"/>
      <w:pPr>
        <w:ind w:left="5040" w:hanging="360"/>
      </w:pPr>
      <w:rPr>
        <w:rFonts w:ascii="Symbol" w:hAnsi="Symbol" w:hint="default"/>
      </w:rPr>
    </w:lvl>
    <w:lvl w:ilvl="7" w:tplc="63F2A33E">
      <w:start w:val="1"/>
      <w:numFmt w:val="bullet"/>
      <w:lvlText w:val="o"/>
      <w:lvlJc w:val="left"/>
      <w:pPr>
        <w:ind w:left="5760" w:hanging="360"/>
      </w:pPr>
      <w:rPr>
        <w:rFonts w:ascii="Courier New" w:hAnsi="Courier New" w:hint="default"/>
      </w:rPr>
    </w:lvl>
    <w:lvl w:ilvl="8" w:tplc="0308AF62">
      <w:start w:val="1"/>
      <w:numFmt w:val="bullet"/>
      <w:lvlText w:val=""/>
      <w:lvlJc w:val="left"/>
      <w:pPr>
        <w:ind w:left="6480" w:hanging="360"/>
      </w:pPr>
      <w:rPr>
        <w:rFonts w:ascii="Wingdings" w:hAnsi="Wingdings" w:hint="default"/>
      </w:rPr>
    </w:lvl>
  </w:abstractNum>
  <w:abstractNum w:abstractNumId="21" w15:restartNumberingAfterBreak="0">
    <w:nsid w:val="547378D5"/>
    <w:multiLevelType w:val="hybridMultilevel"/>
    <w:tmpl w:val="BF3E51B0"/>
    <w:lvl w:ilvl="0" w:tplc="6308C9FA">
      <w:start w:val="1"/>
      <w:numFmt w:val="decimal"/>
      <w:lvlText w:val="%1."/>
      <w:lvlJc w:val="left"/>
      <w:pPr>
        <w:ind w:left="720" w:hanging="360"/>
      </w:pPr>
    </w:lvl>
    <w:lvl w:ilvl="1" w:tplc="159EA886">
      <w:start w:val="1"/>
      <w:numFmt w:val="lowerLetter"/>
      <w:lvlText w:val="%2."/>
      <w:lvlJc w:val="left"/>
      <w:pPr>
        <w:ind w:left="1440" w:hanging="360"/>
      </w:pPr>
    </w:lvl>
    <w:lvl w:ilvl="2" w:tplc="C5F04150">
      <w:start w:val="1"/>
      <w:numFmt w:val="lowerRoman"/>
      <w:lvlText w:val="%3."/>
      <w:lvlJc w:val="right"/>
      <w:pPr>
        <w:ind w:left="2160" w:hanging="180"/>
      </w:pPr>
    </w:lvl>
    <w:lvl w:ilvl="3" w:tplc="EC8084F0">
      <w:start w:val="1"/>
      <w:numFmt w:val="decimal"/>
      <w:lvlText w:val="%4."/>
      <w:lvlJc w:val="left"/>
      <w:pPr>
        <w:ind w:left="2880" w:hanging="360"/>
      </w:pPr>
    </w:lvl>
    <w:lvl w:ilvl="4" w:tplc="5E5441CC">
      <w:start w:val="1"/>
      <w:numFmt w:val="lowerLetter"/>
      <w:lvlText w:val="%5."/>
      <w:lvlJc w:val="left"/>
      <w:pPr>
        <w:ind w:left="3600" w:hanging="360"/>
      </w:pPr>
    </w:lvl>
    <w:lvl w:ilvl="5" w:tplc="A8BCB798">
      <w:start w:val="1"/>
      <w:numFmt w:val="lowerRoman"/>
      <w:lvlText w:val="%6."/>
      <w:lvlJc w:val="right"/>
      <w:pPr>
        <w:ind w:left="4320" w:hanging="180"/>
      </w:pPr>
    </w:lvl>
    <w:lvl w:ilvl="6" w:tplc="CC9AEEC2">
      <w:start w:val="1"/>
      <w:numFmt w:val="decimal"/>
      <w:lvlText w:val="%7."/>
      <w:lvlJc w:val="left"/>
      <w:pPr>
        <w:ind w:left="5040" w:hanging="360"/>
      </w:pPr>
    </w:lvl>
    <w:lvl w:ilvl="7" w:tplc="1E7848B0">
      <w:start w:val="1"/>
      <w:numFmt w:val="lowerLetter"/>
      <w:lvlText w:val="%8."/>
      <w:lvlJc w:val="left"/>
      <w:pPr>
        <w:ind w:left="5760" w:hanging="360"/>
      </w:pPr>
    </w:lvl>
    <w:lvl w:ilvl="8" w:tplc="15D62F82">
      <w:start w:val="1"/>
      <w:numFmt w:val="lowerRoman"/>
      <w:lvlText w:val="%9."/>
      <w:lvlJc w:val="right"/>
      <w:pPr>
        <w:ind w:left="6480" w:hanging="180"/>
      </w:pPr>
    </w:lvl>
  </w:abstractNum>
  <w:abstractNum w:abstractNumId="22" w15:restartNumberingAfterBreak="0">
    <w:nsid w:val="54CF4D29"/>
    <w:multiLevelType w:val="hybridMultilevel"/>
    <w:tmpl w:val="B8B8DDF8"/>
    <w:lvl w:ilvl="0" w:tplc="2534BAC6">
      <w:start w:val="1"/>
      <w:numFmt w:val="bullet"/>
      <w:lvlText w:val=""/>
      <w:lvlJc w:val="left"/>
      <w:pPr>
        <w:ind w:left="720" w:hanging="360"/>
      </w:pPr>
      <w:rPr>
        <w:rFonts w:ascii="Symbol" w:hAnsi="Symbol" w:hint="default"/>
      </w:rPr>
    </w:lvl>
    <w:lvl w:ilvl="1" w:tplc="D416FF44">
      <w:start w:val="1"/>
      <w:numFmt w:val="bullet"/>
      <w:lvlText w:val="o"/>
      <w:lvlJc w:val="left"/>
      <w:pPr>
        <w:ind w:left="1440" w:hanging="360"/>
      </w:pPr>
      <w:rPr>
        <w:rFonts w:ascii="Courier New" w:hAnsi="Courier New" w:hint="default"/>
      </w:rPr>
    </w:lvl>
    <w:lvl w:ilvl="2" w:tplc="9B8604FC">
      <w:start w:val="1"/>
      <w:numFmt w:val="bullet"/>
      <w:lvlText w:val=""/>
      <w:lvlJc w:val="left"/>
      <w:pPr>
        <w:ind w:left="2160" w:hanging="360"/>
      </w:pPr>
      <w:rPr>
        <w:rFonts w:ascii="Wingdings" w:hAnsi="Wingdings" w:hint="default"/>
      </w:rPr>
    </w:lvl>
    <w:lvl w:ilvl="3" w:tplc="ABE86E1E">
      <w:start w:val="1"/>
      <w:numFmt w:val="bullet"/>
      <w:lvlText w:val=""/>
      <w:lvlJc w:val="left"/>
      <w:pPr>
        <w:ind w:left="2880" w:hanging="360"/>
      </w:pPr>
      <w:rPr>
        <w:rFonts w:ascii="Symbol" w:hAnsi="Symbol" w:hint="default"/>
      </w:rPr>
    </w:lvl>
    <w:lvl w:ilvl="4" w:tplc="EE1EB4E6">
      <w:start w:val="1"/>
      <w:numFmt w:val="bullet"/>
      <w:lvlText w:val="o"/>
      <w:lvlJc w:val="left"/>
      <w:pPr>
        <w:ind w:left="3600" w:hanging="360"/>
      </w:pPr>
      <w:rPr>
        <w:rFonts w:ascii="Courier New" w:hAnsi="Courier New" w:hint="default"/>
      </w:rPr>
    </w:lvl>
    <w:lvl w:ilvl="5" w:tplc="83920506">
      <w:start w:val="1"/>
      <w:numFmt w:val="bullet"/>
      <w:lvlText w:val=""/>
      <w:lvlJc w:val="left"/>
      <w:pPr>
        <w:ind w:left="4320" w:hanging="360"/>
      </w:pPr>
      <w:rPr>
        <w:rFonts w:ascii="Wingdings" w:hAnsi="Wingdings" w:hint="default"/>
      </w:rPr>
    </w:lvl>
    <w:lvl w:ilvl="6" w:tplc="0D8E4768">
      <w:start w:val="1"/>
      <w:numFmt w:val="bullet"/>
      <w:lvlText w:val=""/>
      <w:lvlJc w:val="left"/>
      <w:pPr>
        <w:ind w:left="5040" w:hanging="360"/>
      </w:pPr>
      <w:rPr>
        <w:rFonts w:ascii="Symbol" w:hAnsi="Symbol" w:hint="default"/>
      </w:rPr>
    </w:lvl>
    <w:lvl w:ilvl="7" w:tplc="B5923898">
      <w:start w:val="1"/>
      <w:numFmt w:val="bullet"/>
      <w:lvlText w:val="o"/>
      <w:lvlJc w:val="left"/>
      <w:pPr>
        <w:ind w:left="5760" w:hanging="360"/>
      </w:pPr>
      <w:rPr>
        <w:rFonts w:ascii="Courier New" w:hAnsi="Courier New" w:hint="default"/>
      </w:rPr>
    </w:lvl>
    <w:lvl w:ilvl="8" w:tplc="A1F6FEC6">
      <w:start w:val="1"/>
      <w:numFmt w:val="bullet"/>
      <w:lvlText w:val=""/>
      <w:lvlJc w:val="left"/>
      <w:pPr>
        <w:ind w:left="6480" w:hanging="360"/>
      </w:pPr>
      <w:rPr>
        <w:rFonts w:ascii="Wingdings" w:hAnsi="Wingdings" w:hint="default"/>
      </w:rPr>
    </w:lvl>
  </w:abstractNum>
  <w:abstractNum w:abstractNumId="23" w15:restartNumberingAfterBreak="0">
    <w:nsid w:val="614B52F8"/>
    <w:multiLevelType w:val="hybridMultilevel"/>
    <w:tmpl w:val="53CE8A2C"/>
    <w:lvl w:ilvl="0" w:tplc="65D65694">
      <w:start w:val="1"/>
      <w:numFmt w:val="bullet"/>
      <w:lvlText w:val=""/>
      <w:lvlJc w:val="left"/>
      <w:pPr>
        <w:ind w:left="720" w:hanging="360"/>
      </w:pPr>
      <w:rPr>
        <w:rFonts w:ascii="Wingdings" w:hAnsi="Wingdings" w:hint="default"/>
      </w:rPr>
    </w:lvl>
    <w:lvl w:ilvl="1" w:tplc="DF72DD42">
      <w:start w:val="1"/>
      <w:numFmt w:val="bullet"/>
      <w:lvlText w:val="o"/>
      <w:lvlJc w:val="left"/>
      <w:pPr>
        <w:ind w:left="1440" w:hanging="360"/>
      </w:pPr>
      <w:rPr>
        <w:rFonts w:ascii="Courier New" w:hAnsi="Courier New" w:hint="default"/>
      </w:rPr>
    </w:lvl>
    <w:lvl w:ilvl="2" w:tplc="CB2618EC">
      <w:start w:val="1"/>
      <w:numFmt w:val="bullet"/>
      <w:lvlText w:val=""/>
      <w:lvlJc w:val="left"/>
      <w:pPr>
        <w:ind w:left="2160" w:hanging="360"/>
      </w:pPr>
      <w:rPr>
        <w:rFonts w:ascii="Wingdings" w:hAnsi="Wingdings" w:hint="default"/>
      </w:rPr>
    </w:lvl>
    <w:lvl w:ilvl="3" w:tplc="9D820EB6">
      <w:start w:val="1"/>
      <w:numFmt w:val="bullet"/>
      <w:lvlText w:val=""/>
      <w:lvlJc w:val="left"/>
      <w:pPr>
        <w:ind w:left="2880" w:hanging="360"/>
      </w:pPr>
      <w:rPr>
        <w:rFonts w:ascii="Symbol" w:hAnsi="Symbol" w:hint="default"/>
      </w:rPr>
    </w:lvl>
    <w:lvl w:ilvl="4" w:tplc="A80C4F3A">
      <w:start w:val="1"/>
      <w:numFmt w:val="bullet"/>
      <w:lvlText w:val="o"/>
      <w:lvlJc w:val="left"/>
      <w:pPr>
        <w:ind w:left="3600" w:hanging="360"/>
      </w:pPr>
      <w:rPr>
        <w:rFonts w:ascii="Courier New" w:hAnsi="Courier New" w:hint="default"/>
      </w:rPr>
    </w:lvl>
    <w:lvl w:ilvl="5" w:tplc="C14ADEBE">
      <w:start w:val="1"/>
      <w:numFmt w:val="bullet"/>
      <w:lvlText w:val=""/>
      <w:lvlJc w:val="left"/>
      <w:pPr>
        <w:ind w:left="4320" w:hanging="360"/>
      </w:pPr>
      <w:rPr>
        <w:rFonts w:ascii="Wingdings" w:hAnsi="Wingdings" w:hint="default"/>
      </w:rPr>
    </w:lvl>
    <w:lvl w:ilvl="6" w:tplc="CC3CD108">
      <w:start w:val="1"/>
      <w:numFmt w:val="bullet"/>
      <w:lvlText w:val=""/>
      <w:lvlJc w:val="left"/>
      <w:pPr>
        <w:ind w:left="5040" w:hanging="360"/>
      </w:pPr>
      <w:rPr>
        <w:rFonts w:ascii="Symbol" w:hAnsi="Symbol" w:hint="default"/>
      </w:rPr>
    </w:lvl>
    <w:lvl w:ilvl="7" w:tplc="CD8C18FA">
      <w:start w:val="1"/>
      <w:numFmt w:val="bullet"/>
      <w:lvlText w:val="o"/>
      <w:lvlJc w:val="left"/>
      <w:pPr>
        <w:ind w:left="5760" w:hanging="360"/>
      </w:pPr>
      <w:rPr>
        <w:rFonts w:ascii="Courier New" w:hAnsi="Courier New" w:hint="default"/>
      </w:rPr>
    </w:lvl>
    <w:lvl w:ilvl="8" w:tplc="A13AB988">
      <w:start w:val="1"/>
      <w:numFmt w:val="bullet"/>
      <w:lvlText w:val=""/>
      <w:lvlJc w:val="left"/>
      <w:pPr>
        <w:ind w:left="6480" w:hanging="360"/>
      </w:pPr>
      <w:rPr>
        <w:rFonts w:ascii="Wingdings" w:hAnsi="Wingdings" w:hint="default"/>
      </w:rPr>
    </w:lvl>
  </w:abstractNum>
  <w:abstractNum w:abstractNumId="24" w15:restartNumberingAfterBreak="0">
    <w:nsid w:val="631A2B2A"/>
    <w:multiLevelType w:val="hybridMultilevel"/>
    <w:tmpl w:val="663EDB42"/>
    <w:lvl w:ilvl="0" w:tplc="F8EC0DEE">
      <w:start w:val="1"/>
      <w:numFmt w:val="bullet"/>
      <w:lvlText w:val=""/>
      <w:lvlJc w:val="left"/>
      <w:pPr>
        <w:ind w:left="720" w:hanging="360"/>
      </w:pPr>
      <w:rPr>
        <w:rFonts w:ascii="Symbol" w:hAnsi="Symbol" w:hint="default"/>
      </w:rPr>
    </w:lvl>
    <w:lvl w:ilvl="1" w:tplc="A1EC76B4">
      <w:start w:val="1"/>
      <w:numFmt w:val="lowerLetter"/>
      <w:lvlText w:val="%2."/>
      <w:lvlJc w:val="left"/>
      <w:pPr>
        <w:ind w:left="1440" w:hanging="360"/>
      </w:pPr>
    </w:lvl>
    <w:lvl w:ilvl="2" w:tplc="345405DE">
      <w:start w:val="1"/>
      <w:numFmt w:val="lowerRoman"/>
      <w:lvlText w:val="%3."/>
      <w:lvlJc w:val="right"/>
      <w:pPr>
        <w:ind w:left="2160" w:hanging="180"/>
      </w:pPr>
    </w:lvl>
    <w:lvl w:ilvl="3" w:tplc="73D2C40E">
      <w:start w:val="1"/>
      <w:numFmt w:val="decimal"/>
      <w:lvlText w:val="%4."/>
      <w:lvlJc w:val="left"/>
      <w:pPr>
        <w:ind w:left="2880" w:hanging="360"/>
      </w:pPr>
    </w:lvl>
    <w:lvl w:ilvl="4" w:tplc="069E50BC">
      <w:start w:val="1"/>
      <w:numFmt w:val="lowerLetter"/>
      <w:lvlText w:val="%5."/>
      <w:lvlJc w:val="left"/>
      <w:pPr>
        <w:ind w:left="3600" w:hanging="360"/>
      </w:pPr>
    </w:lvl>
    <w:lvl w:ilvl="5" w:tplc="A3F6AD90">
      <w:start w:val="1"/>
      <w:numFmt w:val="lowerRoman"/>
      <w:lvlText w:val="%6."/>
      <w:lvlJc w:val="right"/>
      <w:pPr>
        <w:ind w:left="4320" w:hanging="180"/>
      </w:pPr>
    </w:lvl>
    <w:lvl w:ilvl="6" w:tplc="0D9C557A">
      <w:start w:val="1"/>
      <w:numFmt w:val="decimal"/>
      <w:lvlText w:val="%7."/>
      <w:lvlJc w:val="left"/>
      <w:pPr>
        <w:ind w:left="5040" w:hanging="360"/>
      </w:pPr>
    </w:lvl>
    <w:lvl w:ilvl="7" w:tplc="881877BE">
      <w:start w:val="1"/>
      <w:numFmt w:val="lowerLetter"/>
      <w:lvlText w:val="%8."/>
      <w:lvlJc w:val="left"/>
      <w:pPr>
        <w:ind w:left="5760" w:hanging="360"/>
      </w:pPr>
    </w:lvl>
    <w:lvl w:ilvl="8" w:tplc="2CECD9CA">
      <w:start w:val="1"/>
      <w:numFmt w:val="lowerRoman"/>
      <w:lvlText w:val="%9."/>
      <w:lvlJc w:val="right"/>
      <w:pPr>
        <w:ind w:left="6480" w:hanging="180"/>
      </w:pPr>
    </w:lvl>
  </w:abstractNum>
  <w:abstractNum w:abstractNumId="25" w15:restartNumberingAfterBreak="0">
    <w:nsid w:val="690941A2"/>
    <w:multiLevelType w:val="hybridMultilevel"/>
    <w:tmpl w:val="6E32FBCC"/>
    <w:lvl w:ilvl="0" w:tplc="6924EB5A">
      <w:start w:val="1"/>
      <w:numFmt w:val="decimal"/>
      <w:lvlText w:val="%1."/>
      <w:lvlJc w:val="left"/>
      <w:pPr>
        <w:ind w:left="720" w:hanging="360"/>
      </w:pPr>
    </w:lvl>
    <w:lvl w:ilvl="1" w:tplc="647657E4">
      <w:start w:val="1"/>
      <w:numFmt w:val="lowerLetter"/>
      <w:lvlText w:val="%2."/>
      <w:lvlJc w:val="left"/>
      <w:pPr>
        <w:ind w:left="1440" w:hanging="360"/>
      </w:pPr>
    </w:lvl>
    <w:lvl w:ilvl="2" w:tplc="5E9C0216">
      <w:start w:val="1"/>
      <w:numFmt w:val="lowerRoman"/>
      <w:lvlText w:val="%3."/>
      <w:lvlJc w:val="right"/>
      <w:pPr>
        <w:ind w:left="2160" w:hanging="180"/>
      </w:pPr>
    </w:lvl>
    <w:lvl w:ilvl="3" w:tplc="6C8E18FC">
      <w:start w:val="1"/>
      <w:numFmt w:val="decimal"/>
      <w:lvlText w:val="%4."/>
      <w:lvlJc w:val="left"/>
      <w:pPr>
        <w:ind w:left="2880" w:hanging="360"/>
      </w:pPr>
    </w:lvl>
    <w:lvl w:ilvl="4" w:tplc="D7A0C6EA">
      <w:start w:val="1"/>
      <w:numFmt w:val="lowerLetter"/>
      <w:lvlText w:val="%5."/>
      <w:lvlJc w:val="left"/>
      <w:pPr>
        <w:ind w:left="3600" w:hanging="360"/>
      </w:pPr>
    </w:lvl>
    <w:lvl w:ilvl="5" w:tplc="BCACA704">
      <w:start w:val="1"/>
      <w:numFmt w:val="lowerRoman"/>
      <w:lvlText w:val="%6."/>
      <w:lvlJc w:val="right"/>
      <w:pPr>
        <w:ind w:left="4320" w:hanging="180"/>
      </w:pPr>
    </w:lvl>
    <w:lvl w:ilvl="6" w:tplc="EEFE0A18">
      <w:start w:val="1"/>
      <w:numFmt w:val="decimal"/>
      <w:lvlText w:val="%7."/>
      <w:lvlJc w:val="left"/>
      <w:pPr>
        <w:ind w:left="5040" w:hanging="360"/>
      </w:pPr>
    </w:lvl>
    <w:lvl w:ilvl="7" w:tplc="B45A51A8">
      <w:start w:val="1"/>
      <w:numFmt w:val="lowerLetter"/>
      <w:lvlText w:val="%8."/>
      <w:lvlJc w:val="left"/>
      <w:pPr>
        <w:ind w:left="5760" w:hanging="360"/>
      </w:pPr>
    </w:lvl>
    <w:lvl w:ilvl="8" w:tplc="0C6006EC">
      <w:start w:val="1"/>
      <w:numFmt w:val="lowerRoman"/>
      <w:lvlText w:val="%9."/>
      <w:lvlJc w:val="right"/>
      <w:pPr>
        <w:ind w:left="6480" w:hanging="180"/>
      </w:pPr>
    </w:lvl>
  </w:abstractNum>
  <w:abstractNum w:abstractNumId="26" w15:restartNumberingAfterBreak="0">
    <w:nsid w:val="699C486D"/>
    <w:multiLevelType w:val="hybridMultilevel"/>
    <w:tmpl w:val="A8EE5DF4"/>
    <w:lvl w:ilvl="0" w:tplc="BA6088CE">
      <w:start w:val="1"/>
      <w:numFmt w:val="bullet"/>
      <w:lvlText w:val=""/>
      <w:lvlJc w:val="left"/>
      <w:pPr>
        <w:ind w:left="720" w:hanging="360"/>
      </w:pPr>
      <w:rPr>
        <w:rFonts w:ascii="Symbol" w:hAnsi="Symbol" w:hint="default"/>
      </w:rPr>
    </w:lvl>
    <w:lvl w:ilvl="1" w:tplc="DC7E6E16">
      <w:start w:val="1"/>
      <w:numFmt w:val="bullet"/>
      <w:lvlText w:val="o"/>
      <w:lvlJc w:val="left"/>
      <w:pPr>
        <w:ind w:left="1440" w:hanging="360"/>
      </w:pPr>
      <w:rPr>
        <w:rFonts w:ascii="Courier New" w:hAnsi="Courier New" w:hint="default"/>
      </w:rPr>
    </w:lvl>
    <w:lvl w:ilvl="2" w:tplc="B75E2018">
      <w:start w:val="1"/>
      <w:numFmt w:val="bullet"/>
      <w:lvlText w:val=""/>
      <w:lvlJc w:val="left"/>
      <w:pPr>
        <w:ind w:left="2160" w:hanging="360"/>
      </w:pPr>
      <w:rPr>
        <w:rFonts w:ascii="Wingdings" w:hAnsi="Wingdings" w:hint="default"/>
      </w:rPr>
    </w:lvl>
    <w:lvl w:ilvl="3" w:tplc="AA840346">
      <w:start w:val="1"/>
      <w:numFmt w:val="bullet"/>
      <w:lvlText w:val=""/>
      <w:lvlJc w:val="left"/>
      <w:pPr>
        <w:ind w:left="2880" w:hanging="360"/>
      </w:pPr>
      <w:rPr>
        <w:rFonts w:ascii="Symbol" w:hAnsi="Symbol" w:hint="default"/>
      </w:rPr>
    </w:lvl>
    <w:lvl w:ilvl="4" w:tplc="F274FEFA">
      <w:start w:val="1"/>
      <w:numFmt w:val="bullet"/>
      <w:lvlText w:val="o"/>
      <w:lvlJc w:val="left"/>
      <w:pPr>
        <w:ind w:left="3600" w:hanging="360"/>
      </w:pPr>
      <w:rPr>
        <w:rFonts w:ascii="Courier New" w:hAnsi="Courier New" w:hint="default"/>
      </w:rPr>
    </w:lvl>
    <w:lvl w:ilvl="5" w:tplc="63C03FD6">
      <w:start w:val="1"/>
      <w:numFmt w:val="bullet"/>
      <w:lvlText w:val=""/>
      <w:lvlJc w:val="left"/>
      <w:pPr>
        <w:ind w:left="4320" w:hanging="360"/>
      </w:pPr>
      <w:rPr>
        <w:rFonts w:ascii="Wingdings" w:hAnsi="Wingdings" w:hint="default"/>
      </w:rPr>
    </w:lvl>
    <w:lvl w:ilvl="6" w:tplc="7BECA8F2">
      <w:start w:val="1"/>
      <w:numFmt w:val="bullet"/>
      <w:lvlText w:val=""/>
      <w:lvlJc w:val="left"/>
      <w:pPr>
        <w:ind w:left="5040" w:hanging="360"/>
      </w:pPr>
      <w:rPr>
        <w:rFonts w:ascii="Symbol" w:hAnsi="Symbol" w:hint="default"/>
      </w:rPr>
    </w:lvl>
    <w:lvl w:ilvl="7" w:tplc="D3700766">
      <w:start w:val="1"/>
      <w:numFmt w:val="bullet"/>
      <w:lvlText w:val="o"/>
      <w:lvlJc w:val="left"/>
      <w:pPr>
        <w:ind w:left="5760" w:hanging="360"/>
      </w:pPr>
      <w:rPr>
        <w:rFonts w:ascii="Courier New" w:hAnsi="Courier New" w:hint="default"/>
      </w:rPr>
    </w:lvl>
    <w:lvl w:ilvl="8" w:tplc="547C6A68">
      <w:start w:val="1"/>
      <w:numFmt w:val="bullet"/>
      <w:lvlText w:val=""/>
      <w:lvlJc w:val="left"/>
      <w:pPr>
        <w:ind w:left="6480" w:hanging="360"/>
      </w:pPr>
      <w:rPr>
        <w:rFonts w:ascii="Wingdings" w:hAnsi="Wingdings" w:hint="default"/>
      </w:rPr>
    </w:lvl>
  </w:abstractNum>
  <w:abstractNum w:abstractNumId="27" w15:restartNumberingAfterBreak="0">
    <w:nsid w:val="6AB6196E"/>
    <w:multiLevelType w:val="hybridMultilevel"/>
    <w:tmpl w:val="87DA54B4"/>
    <w:lvl w:ilvl="0" w:tplc="D79CFC7C">
      <w:start w:val="1"/>
      <w:numFmt w:val="bullet"/>
      <w:lvlText w:val=""/>
      <w:lvlJc w:val="left"/>
      <w:pPr>
        <w:ind w:left="720" w:hanging="360"/>
      </w:pPr>
      <w:rPr>
        <w:rFonts w:ascii="Symbol" w:hAnsi="Symbol" w:hint="default"/>
      </w:rPr>
    </w:lvl>
    <w:lvl w:ilvl="1" w:tplc="AFD04544">
      <w:start w:val="1"/>
      <w:numFmt w:val="bullet"/>
      <w:lvlText w:val="o"/>
      <w:lvlJc w:val="left"/>
      <w:pPr>
        <w:ind w:left="1440" w:hanging="360"/>
      </w:pPr>
      <w:rPr>
        <w:rFonts w:ascii="Courier New" w:hAnsi="Courier New" w:hint="default"/>
      </w:rPr>
    </w:lvl>
    <w:lvl w:ilvl="2" w:tplc="9C8E852A">
      <w:start w:val="1"/>
      <w:numFmt w:val="bullet"/>
      <w:lvlText w:val=""/>
      <w:lvlJc w:val="left"/>
      <w:pPr>
        <w:ind w:left="2160" w:hanging="360"/>
      </w:pPr>
      <w:rPr>
        <w:rFonts w:ascii="Wingdings" w:hAnsi="Wingdings" w:hint="default"/>
      </w:rPr>
    </w:lvl>
    <w:lvl w:ilvl="3" w:tplc="003E8C3E">
      <w:start w:val="1"/>
      <w:numFmt w:val="bullet"/>
      <w:lvlText w:val=""/>
      <w:lvlJc w:val="left"/>
      <w:pPr>
        <w:ind w:left="2880" w:hanging="360"/>
      </w:pPr>
      <w:rPr>
        <w:rFonts w:ascii="Symbol" w:hAnsi="Symbol" w:hint="default"/>
      </w:rPr>
    </w:lvl>
    <w:lvl w:ilvl="4" w:tplc="CC50C5B6">
      <w:start w:val="1"/>
      <w:numFmt w:val="bullet"/>
      <w:lvlText w:val="o"/>
      <w:lvlJc w:val="left"/>
      <w:pPr>
        <w:ind w:left="3600" w:hanging="360"/>
      </w:pPr>
      <w:rPr>
        <w:rFonts w:ascii="Courier New" w:hAnsi="Courier New" w:hint="default"/>
      </w:rPr>
    </w:lvl>
    <w:lvl w:ilvl="5" w:tplc="4A74B26C">
      <w:start w:val="1"/>
      <w:numFmt w:val="bullet"/>
      <w:lvlText w:val=""/>
      <w:lvlJc w:val="left"/>
      <w:pPr>
        <w:ind w:left="4320" w:hanging="360"/>
      </w:pPr>
      <w:rPr>
        <w:rFonts w:ascii="Wingdings" w:hAnsi="Wingdings" w:hint="default"/>
      </w:rPr>
    </w:lvl>
    <w:lvl w:ilvl="6" w:tplc="78A4B6F4">
      <w:start w:val="1"/>
      <w:numFmt w:val="bullet"/>
      <w:lvlText w:val=""/>
      <w:lvlJc w:val="left"/>
      <w:pPr>
        <w:ind w:left="5040" w:hanging="360"/>
      </w:pPr>
      <w:rPr>
        <w:rFonts w:ascii="Symbol" w:hAnsi="Symbol" w:hint="default"/>
      </w:rPr>
    </w:lvl>
    <w:lvl w:ilvl="7" w:tplc="3B546F7C">
      <w:start w:val="1"/>
      <w:numFmt w:val="bullet"/>
      <w:lvlText w:val="o"/>
      <w:lvlJc w:val="left"/>
      <w:pPr>
        <w:ind w:left="5760" w:hanging="360"/>
      </w:pPr>
      <w:rPr>
        <w:rFonts w:ascii="Courier New" w:hAnsi="Courier New" w:hint="default"/>
      </w:rPr>
    </w:lvl>
    <w:lvl w:ilvl="8" w:tplc="73AE4E22">
      <w:start w:val="1"/>
      <w:numFmt w:val="bullet"/>
      <w:lvlText w:val=""/>
      <w:lvlJc w:val="left"/>
      <w:pPr>
        <w:ind w:left="6480" w:hanging="360"/>
      </w:pPr>
      <w:rPr>
        <w:rFonts w:ascii="Wingdings" w:hAnsi="Wingdings" w:hint="default"/>
      </w:rPr>
    </w:lvl>
  </w:abstractNum>
  <w:abstractNum w:abstractNumId="28" w15:restartNumberingAfterBreak="0">
    <w:nsid w:val="6B2C4940"/>
    <w:multiLevelType w:val="hybridMultilevel"/>
    <w:tmpl w:val="D2242C88"/>
    <w:lvl w:ilvl="0" w:tplc="E7FEBD26">
      <w:start w:val="1"/>
      <w:numFmt w:val="bullet"/>
      <w:lvlText w:val=""/>
      <w:lvlJc w:val="left"/>
      <w:pPr>
        <w:ind w:left="720" w:hanging="360"/>
      </w:pPr>
      <w:rPr>
        <w:rFonts w:ascii="Symbol" w:hAnsi="Symbol" w:hint="default"/>
      </w:rPr>
    </w:lvl>
    <w:lvl w:ilvl="1" w:tplc="F506B322">
      <w:start w:val="1"/>
      <w:numFmt w:val="bullet"/>
      <w:lvlText w:val="o"/>
      <w:lvlJc w:val="left"/>
      <w:pPr>
        <w:ind w:left="1440" w:hanging="360"/>
      </w:pPr>
      <w:rPr>
        <w:rFonts w:ascii="Courier New" w:hAnsi="Courier New" w:hint="default"/>
      </w:rPr>
    </w:lvl>
    <w:lvl w:ilvl="2" w:tplc="AABEE478">
      <w:start w:val="1"/>
      <w:numFmt w:val="bullet"/>
      <w:lvlText w:val=""/>
      <w:lvlJc w:val="left"/>
      <w:pPr>
        <w:ind w:left="2160" w:hanging="360"/>
      </w:pPr>
      <w:rPr>
        <w:rFonts w:ascii="Wingdings" w:hAnsi="Wingdings" w:hint="default"/>
      </w:rPr>
    </w:lvl>
    <w:lvl w:ilvl="3" w:tplc="6B82F816">
      <w:start w:val="1"/>
      <w:numFmt w:val="bullet"/>
      <w:lvlText w:val=""/>
      <w:lvlJc w:val="left"/>
      <w:pPr>
        <w:ind w:left="2880" w:hanging="360"/>
      </w:pPr>
      <w:rPr>
        <w:rFonts w:ascii="Symbol" w:hAnsi="Symbol" w:hint="default"/>
      </w:rPr>
    </w:lvl>
    <w:lvl w:ilvl="4" w:tplc="28A23B9E">
      <w:start w:val="1"/>
      <w:numFmt w:val="bullet"/>
      <w:lvlText w:val="o"/>
      <w:lvlJc w:val="left"/>
      <w:pPr>
        <w:ind w:left="3600" w:hanging="360"/>
      </w:pPr>
      <w:rPr>
        <w:rFonts w:ascii="Courier New" w:hAnsi="Courier New" w:hint="default"/>
      </w:rPr>
    </w:lvl>
    <w:lvl w:ilvl="5" w:tplc="76D42652">
      <w:start w:val="1"/>
      <w:numFmt w:val="bullet"/>
      <w:lvlText w:val=""/>
      <w:lvlJc w:val="left"/>
      <w:pPr>
        <w:ind w:left="4320" w:hanging="360"/>
      </w:pPr>
      <w:rPr>
        <w:rFonts w:ascii="Wingdings" w:hAnsi="Wingdings" w:hint="default"/>
      </w:rPr>
    </w:lvl>
    <w:lvl w:ilvl="6" w:tplc="7DACB278">
      <w:start w:val="1"/>
      <w:numFmt w:val="bullet"/>
      <w:lvlText w:val=""/>
      <w:lvlJc w:val="left"/>
      <w:pPr>
        <w:ind w:left="5040" w:hanging="360"/>
      </w:pPr>
      <w:rPr>
        <w:rFonts w:ascii="Symbol" w:hAnsi="Symbol" w:hint="default"/>
      </w:rPr>
    </w:lvl>
    <w:lvl w:ilvl="7" w:tplc="2DDA736E">
      <w:start w:val="1"/>
      <w:numFmt w:val="bullet"/>
      <w:lvlText w:val="o"/>
      <w:lvlJc w:val="left"/>
      <w:pPr>
        <w:ind w:left="5760" w:hanging="360"/>
      </w:pPr>
      <w:rPr>
        <w:rFonts w:ascii="Courier New" w:hAnsi="Courier New" w:hint="default"/>
      </w:rPr>
    </w:lvl>
    <w:lvl w:ilvl="8" w:tplc="BD04CF46">
      <w:start w:val="1"/>
      <w:numFmt w:val="bullet"/>
      <w:lvlText w:val=""/>
      <w:lvlJc w:val="left"/>
      <w:pPr>
        <w:ind w:left="6480" w:hanging="360"/>
      </w:pPr>
      <w:rPr>
        <w:rFonts w:ascii="Wingdings" w:hAnsi="Wingdings" w:hint="default"/>
      </w:rPr>
    </w:lvl>
  </w:abstractNum>
  <w:abstractNum w:abstractNumId="29" w15:restartNumberingAfterBreak="0">
    <w:nsid w:val="6B8C1B02"/>
    <w:multiLevelType w:val="multilevel"/>
    <w:tmpl w:val="DD1AAF8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15:restartNumberingAfterBreak="0">
    <w:nsid w:val="7583766D"/>
    <w:multiLevelType w:val="hybridMultilevel"/>
    <w:tmpl w:val="1910D9F4"/>
    <w:lvl w:ilvl="0" w:tplc="0CAC9F16">
      <w:start w:val="1"/>
      <w:numFmt w:val="bullet"/>
      <w:lvlText w:val=""/>
      <w:lvlJc w:val="left"/>
      <w:pPr>
        <w:ind w:left="720" w:hanging="360"/>
      </w:pPr>
      <w:rPr>
        <w:rFonts w:ascii="Wingdings" w:hAnsi="Wingdings" w:hint="default"/>
      </w:rPr>
    </w:lvl>
    <w:lvl w:ilvl="1" w:tplc="8962E002">
      <w:start w:val="1"/>
      <w:numFmt w:val="bullet"/>
      <w:lvlText w:val="o"/>
      <w:lvlJc w:val="left"/>
      <w:pPr>
        <w:ind w:left="1440" w:hanging="360"/>
      </w:pPr>
      <w:rPr>
        <w:rFonts w:ascii="Courier New" w:hAnsi="Courier New" w:hint="default"/>
      </w:rPr>
    </w:lvl>
    <w:lvl w:ilvl="2" w:tplc="3842BCDE">
      <w:start w:val="1"/>
      <w:numFmt w:val="bullet"/>
      <w:lvlText w:val=""/>
      <w:lvlJc w:val="left"/>
      <w:pPr>
        <w:ind w:left="2160" w:hanging="360"/>
      </w:pPr>
      <w:rPr>
        <w:rFonts w:ascii="Wingdings" w:hAnsi="Wingdings" w:hint="default"/>
      </w:rPr>
    </w:lvl>
    <w:lvl w:ilvl="3" w:tplc="3D66CDCA">
      <w:start w:val="1"/>
      <w:numFmt w:val="bullet"/>
      <w:lvlText w:val=""/>
      <w:lvlJc w:val="left"/>
      <w:pPr>
        <w:ind w:left="2880" w:hanging="360"/>
      </w:pPr>
      <w:rPr>
        <w:rFonts w:ascii="Symbol" w:hAnsi="Symbol" w:hint="default"/>
      </w:rPr>
    </w:lvl>
    <w:lvl w:ilvl="4" w:tplc="50925AAE">
      <w:start w:val="1"/>
      <w:numFmt w:val="bullet"/>
      <w:lvlText w:val="o"/>
      <w:lvlJc w:val="left"/>
      <w:pPr>
        <w:ind w:left="3600" w:hanging="360"/>
      </w:pPr>
      <w:rPr>
        <w:rFonts w:ascii="Courier New" w:hAnsi="Courier New" w:hint="default"/>
      </w:rPr>
    </w:lvl>
    <w:lvl w:ilvl="5" w:tplc="49B03E3A">
      <w:start w:val="1"/>
      <w:numFmt w:val="bullet"/>
      <w:lvlText w:val=""/>
      <w:lvlJc w:val="left"/>
      <w:pPr>
        <w:ind w:left="4320" w:hanging="360"/>
      </w:pPr>
      <w:rPr>
        <w:rFonts w:ascii="Wingdings" w:hAnsi="Wingdings" w:hint="default"/>
      </w:rPr>
    </w:lvl>
    <w:lvl w:ilvl="6" w:tplc="813679AA">
      <w:start w:val="1"/>
      <w:numFmt w:val="bullet"/>
      <w:lvlText w:val=""/>
      <w:lvlJc w:val="left"/>
      <w:pPr>
        <w:ind w:left="5040" w:hanging="360"/>
      </w:pPr>
      <w:rPr>
        <w:rFonts w:ascii="Symbol" w:hAnsi="Symbol" w:hint="default"/>
      </w:rPr>
    </w:lvl>
    <w:lvl w:ilvl="7" w:tplc="F42CC9FE">
      <w:start w:val="1"/>
      <w:numFmt w:val="bullet"/>
      <w:lvlText w:val="o"/>
      <w:lvlJc w:val="left"/>
      <w:pPr>
        <w:ind w:left="5760" w:hanging="360"/>
      </w:pPr>
      <w:rPr>
        <w:rFonts w:ascii="Courier New" w:hAnsi="Courier New" w:hint="default"/>
      </w:rPr>
    </w:lvl>
    <w:lvl w:ilvl="8" w:tplc="BB0EAD8A">
      <w:start w:val="1"/>
      <w:numFmt w:val="bullet"/>
      <w:lvlText w:val=""/>
      <w:lvlJc w:val="left"/>
      <w:pPr>
        <w:ind w:left="6480" w:hanging="360"/>
      </w:pPr>
      <w:rPr>
        <w:rFonts w:ascii="Wingdings" w:hAnsi="Wingdings" w:hint="default"/>
      </w:rPr>
    </w:lvl>
  </w:abstractNum>
  <w:abstractNum w:abstractNumId="31" w15:restartNumberingAfterBreak="0">
    <w:nsid w:val="790C23EB"/>
    <w:multiLevelType w:val="hybridMultilevel"/>
    <w:tmpl w:val="4642C274"/>
    <w:lvl w:ilvl="0" w:tplc="60D44160">
      <w:start w:val="1"/>
      <w:numFmt w:val="bullet"/>
      <w:lvlText w:val=""/>
      <w:lvlJc w:val="left"/>
      <w:pPr>
        <w:ind w:left="720" w:hanging="360"/>
      </w:pPr>
      <w:rPr>
        <w:rFonts w:ascii="Symbol" w:hAnsi="Symbol" w:hint="default"/>
      </w:rPr>
    </w:lvl>
    <w:lvl w:ilvl="1" w:tplc="717AB930">
      <w:start w:val="1"/>
      <w:numFmt w:val="bullet"/>
      <w:lvlText w:val="o"/>
      <w:lvlJc w:val="left"/>
      <w:pPr>
        <w:ind w:left="1440" w:hanging="360"/>
      </w:pPr>
      <w:rPr>
        <w:rFonts w:ascii="Courier New" w:hAnsi="Courier New" w:hint="default"/>
      </w:rPr>
    </w:lvl>
    <w:lvl w:ilvl="2" w:tplc="082AB12C">
      <w:start w:val="1"/>
      <w:numFmt w:val="bullet"/>
      <w:lvlText w:val=""/>
      <w:lvlJc w:val="left"/>
      <w:pPr>
        <w:ind w:left="2160" w:hanging="360"/>
      </w:pPr>
      <w:rPr>
        <w:rFonts w:ascii="Wingdings" w:hAnsi="Wingdings" w:hint="default"/>
      </w:rPr>
    </w:lvl>
    <w:lvl w:ilvl="3" w:tplc="893C51F6">
      <w:start w:val="1"/>
      <w:numFmt w:val="bullet"/>
      <w:lvlText w:val=""/>
      <w:lvlJc w:val="left"/>
      <w:pPr>
        <w:ind w:left="2880" w:hanging="360"/>
      </w:pPr>
      <w:rPr>
        <w:rFonts w:ascii="Symbol" w:hAnsi="Symbol" w:hint="default"/>
      </w:rPr>
    </w:lvl>
    <w:lvl w:ilvl="4" w:tplc="E44CC596">
      <w:start w:val="1"/>
      <w:numFmt w:val="bullet"/>
      <w:lvlText w:val="o"/>
      <w:lvlJc w:val="left"/>
      <w:pPr>
        <w:ind w:left="3600" w:hanging="360"/>
      </w:pPr>
      <w:rPr>
        <w:rFonts w:ascii="Courier New" w:hAnsi="Courier New" w:hint="default"/>
      </w:rPr>
    </w:lvl>
    <w:lvl w:ilvl="5" w:tplc="9758B902">
      <w:start w:val="1"/>
      <w:numFmt w:val="bullet"/>
      <w:lvlText w:val=""/>
      <w:lvlJc w:val="left"/>
      <w:pPr>
        <w:ind w:left="4320" w:hanging="360"/>
      </w:pPr>
      <w:rPr>
        <w:rFonts w:ascii="Wingdings" w:hAnsi="Wingdings" w:hint="default"/>
      </w:rPr>
    </w:lvl>
    <w:lvl w:ilvl="6" w:tplc="227AF3EE">
      <w:start w:val="1"/>
      <w:numFmt w:val="bullet"/>
      <w:lvlText w:val=""/>
      <w:lvlJc w:val="left"/>
      <w:pPr>
        <w:ind w:left="5040" w:hanging="360"/>
      </w:pPr>
      <w:rPr>
        <w:rFonts w:ascii="Symbol" w:hAnsi="Symbol" w:hint="default"/>
      </w:rPr>
    </w:lvl>
    <w:lvl w:ilvl="7" w:tplc="823CA506">
      <w:start w:val="1"/>
      <w:numFmt w:val="bullet"/>
      <w:lvlText w:val="o"/>
      <w:lvlJc w:val="left"/>
      <w:pPr>
        <w:ind w:left="5760" w:hanging="360"/>
      </w:pPr>
      <w:rPr>
        <w:rFonts w:ascii="Courier New" w:hAnsi="Courier New" w:hint="default"/>
      </w:rPr>
    </w:lvl>
    <w:lvl w:ilvl="8" w:tplc="57CCC7FA">
      <w:start w:val="1"/>
      <w:numFmt w:val="bullet"/>
      <w:lvlText w:val=""/>
      <w:lvlJc w:val="left"/>
      <w:pPr>
        <w:ind w:left="6480" w:hanging="360"/>
      </w:pPr>
      <w:rPr>
        <w:rFonts w:ascii="Wingdings" w:hAnsi="Wingdings" w:hint="default"/>
      </w:rPr>
    </w:lvl>
  </w:abstractNum>
  <w:abstractNum w:abstractNumId="32" w15:restartNumberingAfterBreak="0">
    <w:nsid w:val="79F321D4"/>
    <w:multiLevelType w:val="hybridMultilevel"/>
    <w:tmpl w:val="17987E5E"/>
    <w:lvl w:ilvl="0" w:tplc="7F9034E2">
      <w:start w:val="1"/>
      <w:numFmt w:val="decimal"/>
      <w:lvlText w:val="%1."/>
      <w:lvlJc w:val="left"/>
      <w:pPr>
        <w:ind w:left="720" w:hanging="360"/>
      </w:pPr>
    </w:lvl>
    <w:lvl w:ilvl="1" w:tplc="1540A274">
      <w:start w:val="1"/>
      <w:numFmt w:val="lowerLetter"/>
      <w:lvlText w:val="%2."/>
      <w:lvlJc w:val="left"/>
      <w:pPr>
        <w:ind w:left="1440" w:hanging="360"/>
      </w:pPr>
    </w:lvl>
    <w:lvl w:ilvl="2" w:tplc="E0B88FBA">
      <w:start w:val="1"/>
      <w:numFmt w:val="lowerRoman"/>
      <w:lvlText w:val="%3."/>
      <w:lvlJc w:val="right"/>
      <w:pPr>
        <w:ind w:left="2160" w:hanging="180"/>
      </w:pPr>
    </w:lvl>
    <w:lvl w:ilvl="3" w:tplc="5574DE40">
      <w:start w:val="1"/>
      <w:numFmt w:val="decimal"/>
      <w:lvlText w:val="%4."/>
      <w:lvlJc w:val="left"/>
      <w:pPr>
        <w:ind w:left="2880" w:hanging="360"/>
      </w:pPr>
    </w:lvl>
    <w:lvl w:ilvl="4" w:tplc="FA42508A">
      <w:start w:val="1"/>
      <w:numFmt w:val="lowerLetter"/>
      <w:lvlText w:val="%5."/>
      <w:lvlJc w:val="left"/>
      <w:pPr>
        <w:ind w:left="3600" w:hanging="360"/>
      </w:pPr>
    </w:lvl>
    <w:lvl w:ilvl="5" w:tplc="49DAA886">
      <w:start w:val="1"/>
      <w:numFmt w:val="lowerRoman"/>
      <w:lvlText w:val="%6."/>
      <w:lvlJc w:val="right"/>
      <w:pPr>
        <w:ind w:left="4320" w:hanging="180"/>
      </w:pPr>
    </w:lvl>
    <w:lvl w:ilvl="6" w:tplc="AE185EAE">
      <w:start w:val="1"/>
      <w:numFmt w:val="decimal"/>
      <w:lvlText w:val="%7."/>
      <w:lvlJc w:val="left"/>
      <w:pPr>
        <w:ind w:left="5040" w:hanging="360"/>
      </w:pPr>
    </w:lvl>
    <w:lvl w:ilvl="7" w:tplc="C8281D28">
      <w:start w:val="1"/>
      <w:numFmt w:val="lowerLetter"/>
      <w:lvlText w:val="%8."/>
      <w:lvlJc w:val="left"/>
      <w:pPr>
        <w:ind w:left="5760" w:hanging="360"/>
      </w:pPr>
    </w:lvl>
    <w:lvl w:ilvl="8" w:tplc="021C44F4">
      <w:start w:val="1"/>
      <w:numFmt w:val="lowerRoman"/>
      <w:lvlText w:val="%9."/>
      <w:lvlJc w:val="right"/>
      <w:pPr>
        <w:ind w:left="6480" w:hanging="180"/>
      </w:pPr>
    </w:lvl>
  </w:abstractNum>
  <w:abstractNum w:abstractNumId="33" w15:restartNumberingAfterBreak="0">
    <w:nsid w:val="7A112F9E"/>
    <w:multiLevelType w:val="hybridMultilevel"/>
    <w:tmpl w:val="0F9C2EE8"/>
    <w:lvl w:ilvl="0" w:tplc="DE76DB2C">
      <w:start w:val="1"/>
      <w:numFmt w:val="bullet"/>
      <w:lvlText w:val=""/>
      <w:lvlJc w:val="left"/>
      <w:pPr>
        <w:ind w:left="720" w:hanging="360"/>
      </w:pPr>
      <w:rPr>
        <w:rFonts w:ascii="Symbol" w:hAnsi="Symbol" w:hint="default"/>
      </w:rPr>
    </w:lvl>
    <w:lvl w:ilvl="1" w:tplc="B46652D6">
      <w:start w:val="1"/>
      <w:numFmt w:val="bullet"/>
      <w:lvlText w:val="o"/>
      <w:lvlJc w:val="left"/>
      <w:pPr>
        <w:ind w:left="1440" w:hanging="360"/>
      </w:pPr>
      <w:rPr>
        <w:rFonts w:ascii="Courier New" w:hAnsi="Courier New" w:hint="default"/>
      </w:rPr>
    </w:lvl>
    <w:lvl w:ilvl="2" w:tplc="2EC8004A">
      <w:start w:val="1"/>
      <w:numFmt w:val="bullet"/>
      <w:lvlText w:val=""/>
      <w:lvlJc w:val="left"/>
      <w:pPr>
        <w:ind w:left="2160" w:hanging="360"/>
      </w:pPr>
      <w:rPr>
        <w:rFonts w:ascii="Wingdings" w:hAnsi="Wingdings" w:hint="default"/>
      </w:rPr>
    </w:lvl>
    <w:lvl w:ilvl="3" w:tplc="4F6E83C6">
      <w:start w:val="1"/>
      <w:numFmt w:val="bullet"/>
      <w:lvlText w:val=""/>
      <w:lvlJc w:val="left"/>
      <w:pPr>
        <w:ind w:left="2880" w:hanging="360"/>
      </w:pPr>
      <w:rPr>
        <w:rFonts w:ascii="Symbol" w:hAnsi="Symbol" w:hint="default"/>
      </w:rPr>
    </w:lvl>
    <w:lvl w:ilvl="4" w:tplc="A406EEBE">
      <w:start w:val="1"/>
      <w:numFmt w:val="bullet"/>
      <w:lvlText w:val="o"/>
      <w:lvlJc w:val="left"/>
      <w:pPr>
        <w:ind w:left="3600" w:hanging="360"/>
      </w:pPr>
      <w:rPr>
        <w:rFonts w:ascii="Courier New" w:hAnsi="Courier New" w:hint="default"/>
      </w:rPr>
    </w:lvl>
    <w:lvl w:ilvl="5" w:tplc="A60A5A72">
      <w:start w:val="1"/>
      <w:numFmt w:val="bullet"/>
      <w:lvlText w:val=""/>
      <w:lvlJc w:val="left"/>
      <w:pPr>
        <w:ind w:left="4320" w:hanging="360"/>
      </w:pPr>
      <w:rPr>
        <w:rFonts w:ascii="Wingdings" w:hAnsi="Wingdings" w:hint="default"/>
      </w:rPr>
    </w:lvl>
    <w:lvl w:ilvl="6" w:tplc="1B527E7A">
      <w:start w:val="1"/>
      <w:numFmt w:val="bullet"/>
      <w:lvlText w:val=""/>
      <w:lvlJc w:val="left"/>
      <w:pPr>
        <w:ind w:left="5040" w:hanging="360"/>
      </w:pPr>
      <w:rPr>
        <w:rFonts w:ascii="Symbol" w:hAnsi="Symbol" w:hint="default"/>
      </w:rPr>
    </w:lvl>
    <w:lvl w:ilvl="7" w:tplc="90C43A4C">
      <w:start w:val="1"/>
      <w:numFmt w:val="bullet"/>
      <w:lvlText w:val="o"/>
      <w:lvlJc w:val="left"/>
      <w:pPr>
        <w:ind w:left="5760" w:hanging="360"/>
      </w:pPr>
      <w:rPr>
        <w:rFonts w:ascii="Courier New" w:hAnsi="Courier New" w:hint="default"/>
      </w:rPr>
    </w:lvl>
    <w:lvl w:ilvl="8" w:tplc="03E839B8">
      <w:start w:val="1"/>
      <w:numFmt w:val="bullet"/>
      <w:lvlText w:val=""/>
      <w:lvlJc w:val="left"/>
      <w:pPr>
        <w:ind w:left="6480" w:hanging="360"/>
      </w:pPr>
      <w:rPr>
        <w:rFonts w:ascii="Wingdings" w:hAnsi="Wingdings" w:hint="default"/>
      </w:rPr>
    </w:lvl>
  </w:abstractNum>
  <w:abstractNum w:abstractNumId="34" w15:restartNumberingAfterBreak="0">
    <w:nsid w:val="7B925448"/>
    <w:multiLevelType w:val="hybridMultilevel"/>
    <w:tmpl w:val="2D1C13F0"/>
    <w:lvl w:ilvl="0" w:tplc="47F843A8">
      <w:start w:val="1"/>
      <w:numFmt w:val="bullet"/>
      <w:lvlText w:val=""/>
      <w:lvlJc w:val="left"/>
      <w:pPr>
        <w:ind w:left="720" w:hanging="360"/>
      </w:pPr>
      <w:rPr>
        <w:rFonts w:ascii="Wingdings" w:hAnsi="Wingdings" w:hint="default"/>
      </w:rPr>
    </w:lvl>
    <w:lvl w:ilvl="1" w:tplc="D540910A">
      <w:start w:val="1"/>
      <w:numFmt w:val="bullet"/>
      <w:lvlText w:val="o"/>
      <w:lvlJc w:val="left"/>
      <w:pPr>
        <w:ind w:left="1440" w:hanging="360"/>
      </w:pPr>
      <w:rPr>
        <w:rFonts w:ascii="Courier New" w:hAnsi="Courier New" w:hint="default"/>
      </w:rPr>
    </w:lvl>
    <w:lvl w:ilvl="2" w:tplc="AC9C76BE">
      <w:start w:val="1"/>
      <w:numFmt w:val="bullet"/>
      <w:lvlText w:val=""/>
      <w:lvlJc w:val="left"/>
      <w:pPr>
        <w:ind w:left="2160" w:hanging="360"/>
      </w:pPr>
      <w:rPr>
        <w:rFonts w:ascii="Wingdings" w:hAnsi="Wingdings" w:hint="default"/>
      </w:rPr>
    </w:lvl>
    <w:lvl w:ilvl="3" w:tplc="BB52EA98">
      <w:start w:val="1"/>
      <w:numFmt w:val="bullet"/>
      <w:lvlText w:val=""/>
      <w:lvlJc w:val="left"/>
      <w:pPr>
        <w:ind w:left="2880" w:hanging="360"/>
      </w:pPr>
      <w:rPr>
        <w:rFonts w:ascii="Symbol" w:hAnsi="Symbol" w:hint="default"/>
      </w:rPr>
    </w:lvl>
    <w:lvl w:ilvl="4" w:tplc="4D8C7BE8">
      <w:start w:val="1"/>
      <w:numFmt w:val="bullet"/>
      <w:lvlText w:val="o"/>
      <w:lvlJc w:val="left"/>
      <w:pPr>
        <w:ind w:left="3600" w:hanging="360"/>
      </w:pPr>
      <w:rPr>
        <w:rFonts w:ascii="Courier New" w:hAnsi="Courier New" w:hint="default"/>
      </w:rPr>
    </w:lvl>
    <w:lvl w:ilvl="5" w:tplc="FFF4FF5E">
      <w:start w:val="1"/>
      <w:numFmt w:val="bullet"/>
      <w:lvlText w:val=""/>
      <w:lvlJc w:val="left"/>
      <w:pPr>
        <w:ind w:left="4320" w:hanging="360"/>
      </w:pPr>
      <w:rPr>
        <w:rFonts w:ascii="Wingdings" w:hAnsi="Wingdings" w:hint="default"/>
      </w:rPr>
    </w:lvl>
    <w:lvl w:ilvl="6" w:tplc="582E5ECA">
      <w:start w:val="1"/>
      <w:numFmt w:val="bullet"/>
      <w:lvlText w:val=""/>
      <w:lvlJc w:val="left"/>
      <w:pPr>
        <w:ind w:left="5040" w:hanging="360"/>
      </w:pPr>
      <w:rPr>
        <w:rFonts w:ascii="Symbol" w:hAnsi="Symbol" w:hint="default"/>
      </w:rPr>
    </w:lvl>
    <w:lvl w:ilvl="7" w:tplc="CC82342A">
      <w:start w:val="1"/>
      <w:numFmt w:val="bullet"/>
      <w:lvlText w:val="o"/>
      <w:lvlJc w:val="left"/>
      <w:pPr>
        <w:ind w:left="5760" w:hanging="360"/>
      </w:pPr>
      <w:rPr>
        <w:rFonts w:ascii="Courier New" w:hAnsi="Courier New" w:hint="default"/>
      </w:rPr>
    </w:lvl>
    <w:lvl w:ilvl="8" w:tplc="A7F6384E">
      <w:start w:val="1"/>
      <w:numFmt w:val="bullet"/>
      <w:lvlText w:val=""/>
      <w:lvlJc w:val="left"/>
      <w:pPr>
        <w:ind w:left="6480" w:hanging="360"/>
      </w:pPr>
      <w:rPr>
        <w:rFonts w:ascii="Wingdings" w:hAnsi="Wingdings" w:hint="default"/>
      </w:rPr>
    </w:lvl>
  </w:abstractNum>
  <w:abstractNum w:abstractNumId="35" w15:restartNumberingAfterBreak="0">
    <w:nsid w:val="7EC77037"/>
    <w:multiLevelType w:val="hybridMultilevel"/>
    <w:tmpl w:val="680E503C"/>
    <w:lvl w:ilvl="0" w:tplc="94668324">
      <w:start w:val="1"/>
      <w:numFmt w:val="bullet"/>
      <w:lvlText w:val=""/>
      <w:lvlJc w:val="left"/>
      <w:pPr>
        <w:ind w:left="720" w:hanging="360"/>
      </w:pPr>
      <w:rPr>
        <w:rFonts w:ascii="Symbol" w:hAnsi="Symbol" w:hint="default"/>
      </w:rPr>
    </w:lvl>
    <w:lvl w:ilvl="1" w:tplc="9D043CE2">
      <w:start w:val="1"/>
      <w:numFmt w:val="bullet"/>
      <w:lvlText w:val="o"/>
      <w:lvlJc w:val="left"/>
      <w:pPr>
        <w:ind w:left="1440" w:hanging="360"/>
      </w:pPr>
      <w:rPr>
        <w:rFonts w:ascii="Courier New" w:hAnsi="Courier New" w:hint="default"/>
      </w:rPr>
    </w:lvl>
    <w:lvl w:ilvl="2" w:tplc="2C88B342">
      <w:start w:val="1"/>
      <w:numFmt w:val="bullet"/>
      <w:lvlText w:val=""/>
      <w:lvlJc w:val="left"/>
      <w:pPr>
        <w:ind w:left="2160" w:hanging="360"/>
      </w:pPr>
      <w:rPr>
        <w:rFonts w:ascii="Wingdings" w:hAnsi="Wingdings" w:hint="default"/>
      </w:rPr>
    </w:lvl>
    <w:lvl w:ilvl="3" w:tplc="84C05D38">
      <w:start w:val="1"/>
      <w:numFmt w:val="bullet"/>
      <w:lvlText w:val=""/>
      <w:lvlJc w:val="left"/>
      <w:pPr>
        <w:ind w:left="2880" w:hanging="360"/>
      </w:pPr>
      <w:rPr>
        <w:rFonts w:ascii="Symbol" w:hAnsi="Symbol" w:hint="default"/>
      </w:rPr>
    </w:lvl>
    <w:lvl w:ilvl="4" w:tplc="B268B93E">
      <w:start w:val="1"/>
      <w:numFmt w:val="bullet"/>
      <w:lvlText w:val="o"/>
      <w:lvlJc w:val="left"/>
      <w:pPr>
        <w:ind w:left="3600" w:hanging="360"/>
      </w:pPr>
      <w:rPr>
        <w:rFonts w:ascii="Courier New" w:hAnsi="Courier New" w:hint="default"/>
      </w:rPr>
    </w:lvl>
    <w:lvl w:ilvl="5" w:tplc="1C428154">
      <w:start w:val="1"/>
      <w:numFmt w:val="bullet"/>
      <w:lvlText w:val=""/>
      <w:lvlJc w:val="left"/>
      <w:pPr>
        <w:ind w:left="4320" w:hanging="360"/>
      </w:pPr>
      <w:rPr>
        <w:rFonts w:ascii="Wingdings" w:hAnsi="Wingdings" w:hint="default"/>
      </w:rPr>
    </w:lvl>
    <w:lvl w:ilvl="6" w:tplc="1D0830C4">
      <w:start w:val="1"/>
      <w:numFmt w:val="bullet"/>
      <w:lvlText w:val=""/>
      <w:lvlJc w:val="left"/>
      <w:pPr>
        <w:ind w:left="5040" w:hanging="360"/>
      </w:pPr>
      <w:rPr>
        <w:rFonts w:ascii="Symbol" w:hAnsi="Symbol" w:hint="default"/>
      </w:rPr>
    </w:lvl>
    <w:lvl w:ilvl="7" w:tplc="279E2EC4">
      <w:start w:val="1"/>
      <w:numFmt w:val="bullet"/>
      <w:lvlText w:val="o"/>
      <w:lvlJc w:val="left"/>
      <w:pPr>
        <w:ind w:left="5760" w:hanging="360"/>
      </w:pPr>
      <w:rPr>
        <w:rFonts w:ascii="Courier New" w:hAnsi="Courier New" w:hint="default"/>
      </w:rPr>
    </w:lvl>
    <w:lvl w:ilvl="8" w:tplc="6D1AED74">
      <w:start w:val="1"/>
      <w:numFmt w:val="bullet"/>
      <w:lvlText w:val=""/>
      <w:lvlJc w:val="left"/>
      <w:pPr>
        <w:ind w:left="6480" w:hanging="360"/>
      </w:pPr>
      <w:rPr>
        <w:rFonts w:ascii="Wingdings" w:hAnsi="Wingdings" w:hint="default"/>
      </w:rPr>
    </w:lvl>
  </w:abstractNum>
  <w:abstractNum w:abstractNumId="36" w15:restartNumberingAfterBreak="0">
    <w:nsid w:val="7FF41AA6"/>
    <w:multiLevelType w:val="hybridMultilevel"/>
    <w:tmpl w:val="0D8C1936"/>
    <w:lvl w:ilvl="0" w:tplc="88F4598E">
      <w:start w:val="1"/>
      <w:numFmt w:val="bullet"/>
      <w:lvlText w:val=""/>
      <w:lvlJc w:val="left"/>
      <w:pPr>
        <w:ind w:left="720" w:hanging="360"/>
      </w:pPr>
      <w:rPr>
        <w:rFonts w:ascii="Symbol" w:hAnsi="Symbol" w:hint="default"/>
      </w:rPr>
    </w:lvl>
    <w:lvl w:ilvl="1" w:tplc="EFBA78E8">
      <w:start w:val="1"/>
      <w:numFmt w:val="bullet"/>
      <w:lvlText w:val="o"/>
      <w:lvlJc w:val="left"/>
      <w:pPr>
        <w:ind w:left="1440" w:hanging="360"/>
      </w:pPr>
      <w:rPr>
        <w:rFonts w:ascii="Courier New" w:hAnsi="Courier New" w:hint="default"/>
      </w:rPr>
    </w:lvl>
    <w:lvl w:ilvl="2" w:tplc="F9746130">
      <w:start w:val="1"/>
      <w:numFmt w:val="bullet"/>
      <w:lvlText w:val=""/>
      <w:lvlJc w:val="left"/>
      <w:pPr>
        <w:ind w:left="2160" w:hanging="360"/>
      </w:pPr>
      <w:rPr>
        <w:rFonts w:ascii="Wingdings" w:hAnsi="Wingdings" w:hint="default"/>
      </w:rPr>
    </w:lvl>
    <w:lvl w:ilvl="3" w:tplc="D7CC444E">
      <w:start w:val="1"/>
      <w:numFmt w:val="bullet"/>
      <w:lvlText w:val=""/>
      <w:lvlJc w:val="left"/>
      <w:pPr>
        <w:ind w:left="2880" w:hanging="360"/>
      </w:pPr>
      <w:rPr>
        <w:rFonts w:ascii="Symbol" w:hAnsi="Symbol" w:hint="default"/>
      </w:rPr>
    </w:lvl>
    <w:lvl w:ilvl="4" w:tplc="CE18EA5C">
      <w:start w:val="1"/>
      <w:numFmt w:val="bullet"/>
      <w:lvlText w:val="o"/>
      <w:lvlJc w:val="left"/>
      <w:pPr>
        <w:ind w:left="3600" w:hanging="360"/>
      </w:pPr>
      <w:rPr>
        <w:rFonts w:ascii="Courier New" w:hAnsi="Courier New" w:hint="default"/>
      </w:rPr>
    </w:lvl>
    <w:lvl w:ilvl="5" w:tplc="891C81EC">
      <w:start w:val="1"/>
      <w:numFmt w:val="bullet"/>
      <w:lvlText w:val=""/>
      <w:lvlJc w:val="left"/>
      <w:pPr>
        <w:ind w:left="4320" w:hanging="360"/>
      </w:pPr>
      <w:rPr>
        <w:rFonts w:ascii="Wingdings" w:hAnsi="Wingdings" w:hint="default"/>
      </w:rPr>
    </w:lvl>
    <w:lvl w:ilvl="6" w:tplc="AEFC93CC">
      <w:start w:val="1"/>
      <w:numFmt w:val="bullet"/>
      <w:lvlText w:val=""/>
      <w:lvlJc w:val="left"/>
      <w:pPr>
        <w:ind w:left="5040" w:hanging="360"/>
      </w:pPr>
      <w:rPr>
        <w:rFonts w:ascii="Symbol" w:hAnsi="Symbol" w:hint="default"/>
      </w:rPr>
    </w:lvl>
    <w:lvl w:ilvl="7" w:tplc="777C759E">
      <w:start w:val="1"/>
      <w:numFmt w:val="bullet"/>
      <w:lvlText w:val="o"/>
      <w:lvlJc w:val="left"/>
      <w:pPr>
        <w:ind w:left="5760" w:hanging="360"/>
      </w:pPr>
      <w:rPr>
        <w:rFonts w:ascii="Courier New" w:hAnsi="Courier New" w:hint="default"/>
      </w:rPr>
    </w:lvl>
    <w:lvl w:ilvl="8" w:tplc="8E828DA6">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21"/>
  </w:num>
  <w:num w:numId="4">
    <w:abstractNumId w:val="1"/>
  </w:num>
  <w:num w:numId="5">
    <w:abstractNumId w:val="26"/>
  </w:num>
  <w:num w:numId="6">
    <w:abstractNumId w:val="13"/>
  </w:num>
  <w:num w:numId="7">
    <w:abstractNumId w:val="12"/>
  </w:num>
  <w:num w:numId="8">
    <w:abstractNumId w:val="9"/>
  </w:num>
  <w:num w:numId="9">
    <w:abstractNumId w:val="19"/>
  </w:num>
  <w:num w:numId="10">
    <w:abstractNumId w:val="20"/>
  </w:num>
  <w:num w:numId="11">
    <w:abstractNumId w:val="30"/>
  </w:num>
  <w:num w:numId="12">
    <w:abstractNumId w:val="34"/>
  </w:num>
  <w:num w:numId="13">
    <w:abstractNumId w:val="18"/>
  </w:num>
  <w:num w:numId="14">
    <w:abstractNumId w:val="5"/>
  </w:num>
  <w:num w:numId="15">
    <w:abstractNumId w:val="23"/>
  </w:num>
  <w:num w:numId="16">
    <w:abstractNumId w:val="8"/>
  </w:num>
  <w:num w:numId="17">
    <w:abstractNumId w:val="35"/>
  </w:num>
  <w:num w:numId="18">
    <w:abstractNumId w:val="4"/>
  </w:num>
  <w:num w:numId="19">
    <w:abstractNumId w:val="11"/>
  </w:num>
  <w:num w:numId="20">
    <w:abstractNumId w:val="2"/>
  </w:num>
  <w:num w:numId="21">
    <w:abstractNumId w:val="16"/>
  </w:num>
  <w:num w:numId="22">
    <w:abstractNumId w:val="27"/>
  </w:num>
  <w:num w:numId="23">
    <w:abstractNumId w:val="28"/>
  </w:num>
  <w:num w:numId="24">
    <w:abstractNumId w:val="3"/>
  </w:num>
  <w:num w:numId="25">
    <w:abstractNumId w:val="31"/>
  </w:num>
  <w:num w:numId="26">
    <w:abstractNumId w:val="10"/>
  </w:num>
  <w:num w:numId="27">
    <w:abstractNumId w:val="33"/>
  </w:num>
  <w:num w:numId="28">
    <w:abstractNumId w:val="22"/>
  </w:num>
  <w:num w:numId="29">
    <w:abstractNumId w:val="15"/>
  </w:num>
  <w:num w:numId="30">
    <w:abstractNumId w:val="0"/>
  </w:num>
  <w:num w:numId="31">
    <w:abstractNumId w:val="17"/>
  </w:num>
  <w:num w:numId="32">
    <w:abstractNumId w:val="32"/>
  </w:num>
  <w:num w:numId="33">
    <w:abstractNumId w:val="24"/>
  </w:num>
  <w:num w:numId="34">
    <w:abstractNumId w:val="25"/>
  </w:num>
  <w:num w:numId="35">
    <w:abstractNumId w:val="36"/>
  </w:num>
  <w:num w:numId="36">
    <w:abstractNumId w:val="14"/>
  </w:num>
  <w:num w:numId="3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691475"/>
    <w:rsid w:val="003C76B1"/>
    <w:rsid w:val="00581ED7"/>
    <w:rsid w:val="00BF2A77"/>
    <w:rsid w:val="00C41511"/>
    <w:rsid w:val="00C66337"/>
    <w:rsid w:val="00DA6C97"/>
    <w:rsid w:val="0543BB04"/>
    <w:rsid w:val="07C6730F"/>
    <w:rsid w:val="149ECF6E"/>
    <w:rsid w:val="183874A8"/>
    <w:rsid w:val="1A3CDBB0"/>
    <w:rsid w:val="1B839770"/>
    <w:rsid w:val="1E085F4F"/>
    <w:rsid w:val="1EAA37C7"/>
    <w:rsid w:val="21DDC0B6"/>
    <w:rsid w:val="229EED8F"/>
    <w:rsid w:val="2C267356"/>
    <w:rsid w:val="2D24F90C"/>
    <w:rsid w:val="2D691475"/>
    <w:rsid w:val="3189B049"/>
    <w:rsid w:val="3C26BF8D"/>
    <w:rsid w:val="3E46ABA7"/>
    <w:rsid w:val="3FAAD8E7"/>
    <w:rsid w:val="3FBB2051"/>
    <w:rsid w:val="4DDF19CE"/>
    <w:rsid w:val="507EFDFC"/>
    <w:rsid w:val="515EE85D"/>
    <w:rsid w:val="6D88E91F"/>
    <w:rsid w:val="6F660DD0"/>
    <w:rsid w:val="7BA387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91475"/>
  <w15:chartTrackingRefBased/>
  <w15:docId w15:val="{B5C92C32-FC6E-4360-804E-9B8ECA2C2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4">
    <w:name w:val="Plain Table 4"/>
    <w:basedOn w:val="TableNormal"/>
    <w:uiPriority w:val="4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C41511"/>
    <w:pPr>
      <w:outlineLvl w:val="9"/>
    </w:pPr>
  </w:style>
  <w:style w:type="paragraph" w:styleId="TOC1">
    <w:name w:val="toc 1"/>
    <w:basedOn w:val="Normal"/>
    <w:next w:val="Normal"/>
    <w:autoRedefine/>
    <w:uiPriority w:val="39"/>
    <w:unhideWhenUsed/>
    <w:rsid w:val="00C41511"/>
    <w:pPr>
      <w:spacing w:after="100"/>
    </w:pPr>
  </w:style>
  <w:style w:type="paragraph" w:styleId="TOC2">
    <w:name w:val="toc 2"/>
    <w:basedOn w:val="Normal"/>
    <w:next w:val="Normal"/>
    <w:autoRedefine/>
    <w:uiPriority w:val="39"/>
    <w:unhideWhenUsed/>
    <w:rsid w:val="00C41511"/>
    <w:pPr>
      <w:spacing w:after="100"/>
      <w:ind w:left="220"/>
    </w:pPr>
  </w:style>
  <w:style w:type="character" w:customStyle="1" w:styleId="NoSpacingChar">
    <w:name w:val="No Spacing Char"/>
    <w:basedOn w:val="DefaultParagraphFont"/>
    <w:link w:val="NoSpacing"/>
    <w:uiPriority w:val="1"/>
    <w:rsid w:val="003C7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aetna.com/about-us/corporate-responsibility/aetna-in-the-community.html" TargetMode="External"/><Relationship Id="rId26" Type="http://schemas.openxmlformats.org/officeDocument/2006/relationships/hyperlink" Target="http://www.aetna.com/investors-aetna/assets/documents/2014-investor-conference/2014InvestorConferencePresentation.pdf" TargetMode="External"/><Relationship Id="rId3" Type="http://schemas.openxmlformats.org/officeDocument/2006/relationships/numbering" Target="numbering.xml"/><Relationship Id="rId21" Type="http://schemas.openxmlformats.org/officeDocument/2006/relationships/hyperlink" Target="https://www.aetnainternational.com/en/about-us.htm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1.aetna.com/about-aetna-insurance/aetna-corporate-profile/diversity/workforce-workplace.html" TargetMode="External"/><Relationship Id="rId25" Type="http://schemas.openxmlformats.org/officeDocument/2006/relationships/hyperlink" Target="https://www.hrc.org/resources/best-places-to-work-2018" TargetMode="External"/><Relationship Id="rId2" Type="http://schemas.openxmlformats.org/officeDocument/2006/relationships/customXml" Target="../customXml/item2.xml"/><Relationship Id="rId16" Type="http://schemas.openxmlformats.org/officeDocument/2006/relationships/hyperlink" Target="https://www.aetna.com/about-us/diversity-inclusion/workplace-diversity.html" TargetMode="External"/><Relationship Id="rId20" Type="http://schemas.openxmlformats.org/officeDocument/2006/relationships/hyperlink" Target="https://www1.aetna.com/about-aetna-insurance/aetna-corporate-profile/diversity/index.html"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statista.com/statistics/1064152/us-adults-views-on-having-healthcare-provider-sharing-the-same-culture/" TargetMode="External"/><Relationship Id="rId5" Type="http://schemas.openxmlformats.org/officeDocument/2006/relationships/settings" Target="settings.xml"/><Relationship Id="rId15" Type="http://schemas.openxmlformats.org/officeDocument/2006/relationships/image" Target="media/image9.jpg"/><Relationship Id="rId23" Type="http://schemas.openxmlformats.org/officeDocument/2006/relationships/hyperlink" Target="https://www.rankingthebrands.com/The-Brand-Rankings.aspx?rankingID=365&amp;year=1208"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1.aetna.com/about-aetna-insurance/aetna-corporate-profile/diversity/leadership_message.html"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hyperlink" Target="https://www.crunch.co.uk/knowledge/marketing/pursuing-the-pink-pound-how-big-is-the-uks-lgbt-market/" TargetMode="External"/><Relationship Id="rId27" Type="http://schemas.openxmlformats.org/officeDocument/2006/relationships/hyperlink" Target="http://news.bbc.co.uk/2/hi/business/142998.stm"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E40A85C5CD44C5299BB5485E773BA29"/>
        <w:category>
          <w:name w:val="General"/>
          <w:gallery w:val="placeholder"/>
        </w:category>
        <w:types>
          <w:type w:val="bbPlcHdr"/>
        </w:types>
        <w:behaviors>
          <w:behavior w:val="content"/>
        </w:behaviors>
        <w:guid w:val="{FD240A4B-FC21-47C8-B8B2-C3E0F40AE0F3}"/>
      </w:docPartPr>
      <w:docPartBody>
        <w:p w:rsidR="00025CCD" w:rsidRDefault="009F3B40" w:rsidP="009F3B40">
          <w:pPr>
            <w:pStyle w:val="2E40A85C5CD44C5299BB5485E773BA29"/>
          </w:pPr>
          <w:r>
            <w:rPr>
              <w:rFonts w:asciiTheme="majorHAnsi" w:eastAsiaTheme="majorEastAsia" w:hAnsiTheme="majorHAnsi" w:cstheme="majorBidi"/>
              <w:caps/>
              <w:color w:val="4472C4" w:themeColor="accent1"/>
              <w:sz w:val="80"/>
              <w:szCs w:val="80"/>
            </w:rPr>
            <w:t>[Document title]</w:t>
          </w:r>
        </w:p>
      </w:docPartBody>
    </w:docPart>
    <w:docPart>
      <w:docPartPr>
        <w:name w:val="99F28A58D72B41A6B88B95EC07D5F039"/>
        <w:category>
          <w:name w:val="General"/>
          <w:gallery w:val="placeholder"/>
        </w:category>
        <w:types>
          <w:type w:val="bbPlcHdr"/>
        </w:types>
        <w:behaviors>
          <w:behavior w:val="content"/>
        </w:behaviors>
        <w:guid w:val="{4E80B844-6C13-4EC4-AAC0-7640738CC5FC}"/>
      </w:docPartPr>
      <w:docPartBody>
        <w:p w:rsidR="00025CCD" w:rsidRDefault="009F3B40" w:rsidP="009F3B40">
          <w:pPr>
            <w:pStyle w:val="99F28A58D72B41A6B88B95EC07D5F03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Helvetica Neue">
    <w:altName w:val="Arial"/>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B40"/>
    <w:rsid w:val="00025CCD"/>
    <w:rsid w:val="0073178B"/>
    <w:rsid w:val="009F3B40"/>
    <w:rsid w:val="00DA03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40A85C5CD44C5299BB5485E773BA29">
    <w:name w:val="2E40A85C5CD44C5299BB5485E773BA29"/>
    <w:rsid w:val="009F3B40"/>
  </w:style>
  <w:style w:type="paragraph" w:customStyle="1" w:styleId="99F28A58D72B41A6B88B95EC07D5F039">
    <w:name w:val="99F28A58D72B41A6B88B95EC07D5F039"/>
    <w:rsid w:val="009F3B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D840DB-84BE-438C-BF53-922072866C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27</Pages>
  <Words>7546</Words>
  <Characters>43017</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1807021</Company>
  <LinksUpToDate>false</LinksUpToDate>
  <CharactersWithSpaces>50463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in complex envirnment</dc:title>
  <dc:subject>LCDB7002</dc:subject>
  <dc:creator>usman</dc:creator>
  <cp:keywords/>
  <dc:description/>
  <cp:lastModifiedBy>usman rasheed</cp:lastModifiedBy>
  <cp:revision>7</cp:revision>
  <dcterms:created xsi:type="dcterms:W3CDTF">2019-12-21T17:00:00Z</dcterms:created>
  <dcterms:modified xsi:type="dcterms:W3CDTF">2020-01-03T20:34:00Z</dcterms:modified>
</cp:coreProperties>
</file>