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76A" w:rsidRPr="00EC3511" w:rsidRDefault="00196FBB" w:rsidP="00EC3511">
      <w:pPr>
        <w:spacing w:line="480" w:lineRule="auto"/>
        <w:jc w:val="center"/>
        <w:rPr>
          <w:rFonts w:ascii="Times New Roman" w:hAnsi="Times New Roman" w:cs="Times New Roman"/>
          <w:b/>
          <w:sz w:val="24"/>
          <w:szCs w:val="24"/>
        </w:rPr>
      </w:pPr>
      <w:r w:rsidRPr="00EC3511">
        <w:rPr>
          <w:rFonts w:ascii="Times New Roman" w:hAnsi="Times New Roman" w:cs="Times New Roman"/>
          <w:b/>
          <w:sz w:val="24"/>
          <w:szCs w:val="24"/>
        </w:rPr>
        <w:t xml:space="preserve">Tacitus </w:t>
      </w:r>
      <w:r w:rsidRPr="00EC3511">
        <w:rPr>
          <w:rFonts w:ascii="Times New Roman" w:hAnsi="Times New Roman" w:cs="Times New Roman"/>
          <w:b/>
          <w:i/>
          <w:sz w:val="24"/>
          <w:szCs w:val="24"/>
        </w:rPr>
        <w:t>Histories</w:t>
      </w:r>
      <w:r w:rsidRPr="00EC3511">
        <w:rPr>
          <w:rFonts w:ascii="Times New Roman" w:hAnsi="Times New Roman" w:cs="Times New Roman"/>
          <w:b/>
          <w:sz w:val="24"/>
          <w:szCs w:val="24"/>
        </w:rPr>
        <w:t>: The ‘Year of the Four Emperors’ and the Notion of Tacitus as the</w:t>
      </w:r>
      <w:r w:rsidR="00071E58" w:rsidRPr="00EC3511">
        <w:rPr>
          <w:rFonts w:ascii="Times New Roman" w:hAnsi="Times New Roman" w:cs="Times New Roman"/>
          <w:b/>
          <w:sz w:val="24"/>
          <w:szCs w:val="24"/>
        </w:rPr>
        <w:t xml:space="preserve"> Model for the Truthful P</w:t>
      </w:r>
      <w:r w:rsidRPr="00EC3511">
        <w:rPr>
          <w:rFonts w:ascii="Times New Roman" w:hAnsi="Times New Roman" w:cs="Times New Roman"/>
          <w:b/>
          <w:sz w:val="24"/>
          <w:szCs w:val="24"/>
        </w:rPr>
        <w:t>ortrayal of History.</w:t>
      </w:r>
    </w:p>
    <w:p w:rsidR="00196FBB" w:rsidRPr="00EC3511" w:rsidRDefault="00196FBB" w:rsidP="00EC3511">
      <w:pPr>
        <w:spacing w:line="480" w:lineRule="auto"/>
        <w:rPr>
          <w:rFonts w:ascii="Times New Roman" w:hAnsi="Times New Roman" w:cs="Times New Roman"/>
          <w:sz w:val="24"/>
          <w:szCs w:val="24"/>
        </w:rPr>
      </w:pPr>
    </w:p>
    <w:p w:rsidR="00661D1B" w:rsidRPr="00EC3511" w:rsidRDefault="00661D1B" w:rsidP="00EC3511">
      <w:pPr>
        <w:spacing w:line="480" w:lineRule="auto"/>
        <w:jc w:val="center"/>
        <w:rPr>
          <w:rFonts w:ascii="Times New Roman" w:hAnsi="Times New Roman" w:cs="Times New Roman"/>
          <w:sz w:val="24"/>
          <w:szCs w:val="24"/>
        </w:rPr>
      </w:pPr>
      <w:r w:rsidRPr="00EC3511">
        <w:rPr>
          <w:rFonts w:ascii="Times New Roman" w:hAnsi="Times New Roman" w:cs="Times New Roman"/>
          <w:i/>
          <w:sz w:val="24"/>
          <w:szCs w:val="24"/>
        </w:rPr>
        <w:t>‘Rara temporum felicitate, ubi sentire quae velis, et quae sentias dicere licet’</w:t>
      </w:r>
      <w:r w:rsidRPr="00EC3511">
        <w:rPr>
          <w:rStyle w:val="FootnoteReference"/>
          <w:rFonts w:ascii="Times New Roman" w:hAnsi="Times New Roman" w:cs="Times New Roman"/>
          <w:i/>
          <w:sz w:val="24"/>
          <w:szCs w:val="24"/>
        </w:rPr>
        <w:footnoteReference w:id="1"/>
      </w:r>
    </w:p>
    <w:p w:rsidR="005C1EE2" w:rsidRPr="00EC3511" w:rsidRDefault="005A28F3" w:rsidP="00EC3511">
      <w:pPr>
        <w:spacing w:line="480" w:lineRule="auto"/>
        <w:ind w:firstLine="720"/>
        <w:rPr>
          <w:rFonts w:ascii="Times New Roman" w:hAnsi="Times New Roman" w:cs="Times New Roman"/>
          <w:sz w:val="24"/>
          <w:szCs w:val="24"/>
        </w:rPr>
      </w:pPr>
      <w:r w:rsidRPr="00EC3511">
        <w:rPr>
          <w:rFonts w:ascii="Times New Roman" w:hAnsi="Times New Roman" w:cs="Times New Roman"/>
          <w:sz w:val="24"/>
          <w:szCs w:val="24"/>
        </w:rPr>
        <w:t xml:space="preserve">Cornelius </w:t>
      </w:r>
      <w:r w:rsidR="00661D1B" w:rsidRPr="00EC3511">
        <w:rPr>
          <w:rFonts w:ascii="Times New Roman" w:hAnsi="Times New Roman" w:cs="Times New Roman"/>
          <w:sz w:val="24"/>
          <w:szCs w:val="24"/>
        </w:rPr>
        <w:t>Tacitus was born into the equestrian class in AD 55, believed to be in Southern Gaul.</w:t>
      </w:r>
      <w:r w:rsidR="00244CD8" w:rsidRPr="00EC3511">
        <w:rPr>
          <w:rStyle w:val="FootnoteReference"/>
          <w:rFonts w:ascii="Times New Roman" w:hAnsi="Times New Roman" w:cs="Times New Roman"/>
          <w:sz w:val="24"/>
          <w:szCs w:val="24"/>
        </w:rPr>
        <w:footnoteReference w:id="2"/>
      </w:r>
      <w:r w:rsidR="00661D1B" w:rsidRPr="00EC3511">
        <w:rPr>
          <w:rFonts w:ascii="Times New Roman" w:hAnsi="Times New Roman" w:cs="Times New Roman"/>
          <w:sz w:val="24"/>
          <w:szCs w:val="24"/>
        </w:rPr>
        <w:t xml:space="preserve"> He was sent to Rome for his education, to learn </w:t>
      </w:r>
      <w:r w:rsidR="00644A74" w:rsidRPr="00EC3511">
        <w:rPr>
          <w:rFonts w:ascii="Times New Roman" w:hAnsi="Times New Roman" w:cs="Times New Roman"/>
          <w:sz w:val="24"/>
          <w:szCs w:val="24"/>
        </w:rPr>
        <w:t>rhetoric</w:t>
      </w:r>
      <w:r w:rsidR="00661D1B" w:rsidRPr="00EC3511">
        <w:rPr>
          <w:rFonts w:ascii="Times New Roman" w:hAnsi="Times New Roman" w:cs="Times New Roman"/>
          <w:sz w:val="24"/>
          <w:szCs w:val="24"/>
        </w:rPr>
        <w:t xml:space="preserve">, which combined all cultural and academic teachings to become a significant person within Roman society, and would have been a teenager and still a student at the time of the events of </w:t>
      </w:r>
      <w:r w:rsidR="00661D1B" w:rsidRPr="00EC3511">
        <w:rPr>
          <w:rFonts w:ascii="Times New Roman" w:hAnsi="Times New Roman" w:cs="Times New Roman"/>
          <w:i/>
          <w:sz w:val="24"/>
          <w:szCs w:val="24"/>
        </w:rPr>
        <w:t>Histories.</w:t>
      </w:r>
      <w:r w:rsidR="00244CD8" w:rsidRPr="00EC3511">
        <w:rPr>
          <w:rStyle w:val="FootnoteReference"/>
          <w:rFonts w:ascii="Times New Roman" w:hAnsi="Times New Roman" w:cs="Times New Roman"/>
          <w:i/>
          <w:sz w:val="24"/>
          <w:szCs w:val="24"/>
        </w:rPr>
        <w:footnoteReference w:id="3"/>
      </w:r>
      <w:r w:rsidR="00661D1B" w:rsidRPr="00EC3511">
        <w:rPr>
          <w:rFonts w:ascii="Times New Roman" w:hAnsi="Times New Roman" w:cs="Times New Roman"/>
          <w:i/>
          <w:sz w:val="24"/>
          <w:szCs w:val="24"/>
        </w:rPr>
        <w:t xml:space="preserve"> </w:t>
      </w:r>
      <w:r w:rsidR="00196FBB" w:rsidRPr="00EC3511">
        <w:rPr>
          <w:rFonts w:ascii="Times New Roman" w:hAnsi="Times New Roman" w:cs="Times New Roman"/>
          <w:sz w:val="24"/>
          <w:szCs w:val="24"/>
        </w:rPr>
        <w:t>The writing of history is a subject that draws much in the way of academic engagement, with a variety of debates arising both with the content of the writing and in the writers themselves.</w:t>
      </w:r>
      <w:r w:rsidR="004930E8" w:rsidRPr="00EC3511">
        <w:rPr>
          <w:rFonts w:ascii="Times New Roman" w:hAnsi="Times New Roman" w:cs="Times New Roman"/>
          <w:sz w:val="24"/>
          <w:szCs w:val="24"/>
        </w:rPr>
        <w:t xml:space="preserve"> Tacitus and his works are no different in this regard, and this piece intends to look into the </w:t>
      </w:r>
      <w:r w:rsidR="005C1EE2" w:rsidRPr="00EC3511">
        <w:rPr>
          <w:rFonts w:ascii="Times New Roman" w:hAnsi="Times New Roman" w:cs="Times New Roman"/>
          <w:sz w:val="24"/>
          <w:szCs w:val="24"/>
        </w:rPr>
        <w:t>truthfulness of Tacitus’ narrative</w:t>
      </w:r>
      <w:r w:rsidR="004930E8" w:rsidRPr="00EC3511">
        <w:rPr>
          <w:rFonts w:ascii="Times New Roman" w:hAnsi="Times New Roman" w:cs="Times New Roman"/>
          <w:sz w:val="24"/>
          <w:szCs w:val="24"/>
        </w:rPr>
        <w:t xml:space="preserve"> in </w:t>
      </w:r>
      <w:r w:rsidR="004930E8" w:rsidRPr="00EC3511">
        <w:rPr>
          <w:rFonts w:ascii="Times New Roman" w:hAnsi="Times New Roman" w:cs="Times New Roman"/>
          <w:i/>
          <w:sz w:val="24"/>
          <w:szCs w:val="24"/>
        </w:rPr>
        <w:t>Histories</w:t>
      </w:r>
      <w:r w:rsidR="0050591B" w:rsidRPr="00EC3511">
        <w:rPr>
          <w:rStyle w:val="FootnoteReference"/>
          <w:rFonts w:ascii="Times New Roman" w:hAnsi="Times New Roman" w:cs="Times New Roman"/>
          <w:i/>
          <w:sz w:val="24"/>
          <w:szCs w:val="24"/>
        </w:rPr>
        <w:footnoteReference w:id="4"/>
      </w:r>
      <w:r w:rsidR="004930E8" w:rsidRPr="00EC3511">
        <w:rPr>
          <w:rFonts w:ascii="Times New Roman" w:hAnsi="Times New Roman" w:cs="Times New Roman"/>
          <w:sz w:val="24"/>
          <w:szCs w:val="24"/>
        </w:rPr>
        <w:t>, alongside contemporary writings on the same subject, to gain a better understanding as to why the approach wa</w:t>
      </w:r>
      <w:r w:rsidR="009F26A5" w:rsidRPr="00EC3511">
        <w:rPr>
          <w:rFonts w:ascii="Times New Roman" w:hAnsi="Times New Roman" w:cs="Times New Roman"/>
          <w:sz w:val="24"/>
          <w:szCs w:val="24"/>
        </w:rPr>
        <w:t xml:space="preserve">s taken and how style </w:t>
      </w:r>
      <w:r w:rsidR="004930E8" w:rsidRPr="00EC3511">
        <w:rPr>
          <w:rFonts w:ascii="Times New Roman" w:hAnsi="Times New Roman" w:cs="Times New Roman"/>
          <w:sz w:val="24"/>
          <w:szCs w:val="24"/>
        </w:rPr>
        <w:t>can be as</w:t>
      </w:r>
      <w:r w:rsidR="005C1EE2" w:rsidRPr="00EC3511">
        <w:rPr>
          <w:rFonts w:ascii="Times New Roman" w:hAnsi="Times New Roman" w:cs="Times New Roman"/>
          <w:sz w:val="24"/>
          <w:szCs w:val="24"/>
        </w:rPr>
        <w:t>sessed in historiography</w:t>
      </w:r>
      <w:r w:rsidR="004930E8" w:rsidRPr="00EC3511">
        <w:rPr>
          <w:rFonts w:ascii="Times New Roman" w:hAnsi="Times New Roman" w:cs="Times New Roman"/>
          <w:sz w:val="24"/>
          <w:szCs w:val="24"/>
        </w:rPr>
        <w:t xml:space="preserve">. </w:t>
      </w:r>
      <w:r w:rsidR="001A7844" w:rsidRPr="00EC3511">
        <w:rPr>
          <w:rFonts w:ascii="Times New Roman" w:hAnsi="Times New Roman" w:cs="Times New Roman"/>
          <w:sz w:val="24"/>
          <w:szCs w:val="24"/>
        </w:rPr>
        <w:t>It shall look at the Year of The Four Emperors</w:t>
      </w:r>
      <w:r w:rsidR="00315E93" w:rsidRPr="00EC3511">
        <w:rPr>
          <w:rStyle w:val="FootnoteReference"/>
          <w:rFonts w:ascii="Times New Roman" w:hAnsi="Times New Roman" w:cs="Times New Roman"/>
          <w:sz w:val="24"/>
          <w:szCs w:val="24"/>
        </w:rPr>
        <w:footnoteReference w:id="5"/>
      </w:r>
      <w:r w:rsidR="001A7844" w:rsidRPr="00EC3511">
        <w:rPr>
          <w:rFonts w:ascii="Times New Roman" w:hAnsi="Times New Roman" w:cs="Times New Roman"/>
          <w:sz w:val="24"/>
          <w:szCs w:val="24"/>
        </w:rPr>
        <w:t>, AD 69</w:t>
      </w:r>
      <w:r w:rsidR="004F276E" w:rsidRPr="00EC3511">
        <w:rPr>
          <w:rFonts w:ascii="Times New Roman" w:hAnsi="Times New Roman" w:cs="Times New Roman"/>
          <w:sz w:val="24"/>
          <w:szCs w:val="24"/>
        </w:rPr>
        <w:t>, and how Tacitus writes</w:t>
      </w:r>
      <w:r w:rsidR="001A7844" w:rsidRPr="00EC3511">
        <w:rPr>
          <w:rFonts w:ascii="Times New Roman" w:hAnsi="Times New Roman" w:cs="Times New Roman"/>
          <w:sz w:val="24"/>
          <w:szCs w:val="24"/>
        </w:rPr>
        <w:t xml:space="preserve"> of these men and how this image carries into what we know of the political and social climate of the time, especially alongside other ancient sources.</w:t>
      </w:r>
      <w:r w:rsidR="004F276E" w:rsidRPr="00EC3511">
        <w:rPr>
          <w:rFonts w:ascii="Times New Roman" w:hAnsi="Times New Roman" w:cs="Times New Roman"/>
          <w:sz w:val="24"/>
          <w:szCs w:val="24"/>
        </w:rPr>
        <w:t xml:space="preserve"> </w:t>
      </w:r>
      <w:r w:rsidR="005C1EE2" w:rsidRPr="00EC3511">
        <w:rPr>
          <w:rFonts w:ascii="Times New Roman" w:hAnsi="Times New Roman" w:cs="Times New Roman"/>
          <w:sz w:val="24"/>
          <w:szCs w:val="24"/>
        </w:rPr>
        <w:t>The writer alludes himself that he did not know the three Emperors previous to Vespasian in that year, but that Vespasian and the Flavian Dynasty are who he is in a debt of gratitude to for his elevated social and political positions in later years,</w:t>
      </w:r>
    </w:p>
    <w:p w:rsidR="005C1EE2" w:rsidRPr="00EC3511" w:rsidRDefault="00871B69" w:rsidP="00EC3511">
      <w:pPr>
        <w:spacing w:line="480" w:lineRule="auto"/>
        <w:ind w:left="1417" w:right="1417"/>
        <w:rPr>
          <w:rFonts w:ascii="Times New Roman" w:hAnsi="Times New Roman" w:cs="Times New Roman"/>
          <w:sz w:val="24"/>
          <w:szCs w:val="24"/>
        </w:rPr>
      </w:pPr>
      <w:r w:rsidRPr="00EC3511">
        <w:rPr>
          <w:rFonts w:ascii="Times New Roman" w:hAnsi="Times New Roman" w:cs="Times New Roman"/>
          <w:i/>
          <w:sz w:val="24"/>
          <w:szCs w:val="24"/>
        </w:rPr>
        <w:lastRenderedPageBreak/>
        <w:t>“</w:t>
      </w:r>
      <w:r w:rsidR="005C1EE2" w:rsidRPr="00EC3511">
        <w:rPr>
          <w:rFonts w:ascii="Times New Roman" w:hAnsi="Times New Roman" w:cs="Times New Roman"/>
          <w:i/>
          <w:sz w:val="24"/>
          <w:szCs w:val="24"/>
        </w:rPr>
        <w:t>I myself knew nothing of Galba, of Otho, or of Vitellius, either from benefits or from injuries. I would not deny that my elevation was begun by Vespasian, augmented by Titus, and still further advanced by Domitian</w:t>
      </w:r>
      <w:r w:rsidRPr="00EC3511">
        <w:rPr>
          <w:rFonts w:ascii="Times New Roman" w:hAnsi="Times New Roman" w:cs="Times New Roman"/>
          <w:i/>
          <w:sz w:val="24"/>
          <w:szCs w:val="24"/>
        </w:rPr>
        <w:t>”</w:t>
      </w:r>
      <w:r w:rsidR="00313538" w:rsidRPr="00EC3511">
        <w:rPr>
          <w:rStyle w:val="FootnoteReference"/>
          <w:rFonts w:ascii="Times New Roman" w:hAnsi="Times New Roman" w:cs="Times New Roman"/>
          <w:i/>
          <w:sz w:val="24"/>
          <w:szCs w:val="24"/>
        </w:rPr>
        <w:footnoteReference w:id="6"/>
      </w:r>
    </w:p>
    <w:p w:rsidR="00071E58" w:rsidRPr="00EC3511" w:rsidRDefault="005C1EE2" w:rsidP="00EC3511">
      <w:pPr>
        <w:spacing w:line="480" w:lineRule="auto"/>
        <w:ind w:firstLine="720"/>
        <w:rPr>
          <w:rFonts w:ascii="Times New Roman" w:hAnsi="Times New Roman" w:cs="Times New Roman"/>
          <w:sz w:val="24"/>
          <w:szCs w:val="24"/>
        </w:rPr>
      </w:pPr>
      <w:r w:rsidRPr="00EC3511">
        <w:rPr>
          <w:rFonts w:ascii="Times New Roman" w:hAnsi="Times New Roman" w:cs="Times New Roman"/>
          <w:sz w:val="24"/>
          <w:szCs w:val="24"/>
        </w:rPr>
        <w:t xml:space="preserve"> </w:t>
      </w:r>
      <w:r w:rsidR="00B44AED" w:rsidRPr="00EC3511">
        <w:rPr>
          <w:rFonts w:ascii="Times New Roman" w:hAnsi="Times New Roman" w:cs="Times New Roman"/>
          <w:sz w:val="24"/>
          <w:szCs w:val="24"/>
        </w:rPr>
        <w:t xml:space="preserve">With this in mind we can argue in this piece that his narrative, the content and viewpoints within, is perhaps the most accurate in that as a person he does not exhibit bias towards those who have elevated his position. However, Cornelius </w:t>
      </w:r>
      <w:r w:rsidR="004F276E" w:rsidRPr="00EC3511">
        <w:rPr>
          <w:rFonts w:ascii="Times New Roman" w:hAnsi="Times New Roman" w:cs="Times New Roman"/>
          <w:sz w:val="24"/>
          <w:szCs w:val="24"/>
        </w:rPr>
        <w:t xml:space="preserve">Tacitus himself as a historian is one within the subject </w:t>
      </w:r>
      <w:r w:rsidR="00B44AED" w:rsidRPr="00EC3511">
        <w:rPr>
          <w:rFonts w:ascii="Times New Roman" w:hAnsi="Times New Roman" w:cs="Times New Roman"/>
          <w:sz w:val="24"/>
          <w:szCs w:val="24"/>
        </w:rPr>
        <w:t xml:space="preserve">historiography </w:t>
      </w:r>
      <w:r w:rsidR="004F276E" w:rsidRPr="00EC3511">
        <w:rPr>
          <w:rFonts w:ascii="Times New Roman" w:hAnsi="Times New Roman" w:cs="Times New Roman"/>
          <w:sz w:val="24"/>
          <w:szCs w:val="24"/>
        </w:rPr>
        <w:t xml:space="preserve">that has been under scrutiny for many years, </w:t>
      </w:r>
      <w:r w:rsidR="00B44AED" w:rsidRPr="00EC3511">
        <w:rPr>
          <w:rFonts w:ascii="Times New Roman" w:hAnsi="Times New Roman" w:cs="Times New Roman"/>
          <w:sz w:val="24"/>
          <w:szCs w:val="24"/>
        </w:rPr>
        <w:t>from the Renaissance to a plethora of publications following the Second World War, and therefore</w:t>
      </w:r>
      <w:r w:rsidR="004F276E" w:rsidRPr="00EC3511">
        <w:rPr>
          <w:rFonts w:ascii="Times New Roman" w:hAnsi="Times New Roman" w:cs="Times New Roman"/>
          <w:sz w:val="24"/>
          <w:szCs w:val="24"/>
        </w:rPr>
        <w:t xml:space="preserve"> is a vast subject.</w:t>
      </w:r>
      <w:r w:rsidR="004F276E" w:rsidRPr="00EC3511">
        <w:rPr>
          <w:rStyle w:val="FootnoteReference"/>
          <w:rFonts w:ascii="Times New Roman" w:hAnsi="Times New Roman" w:cs="Times New Roman"/>
          <w:sz w:val="24"/>
          <w:szCs w:val="24"/>
        </w:rPr>
        <w:footnoteReference w:id="7"/>
      </w:r>
      <w:r w:rsidR="004F276E" w:rsidRPr="00EC3511">
        <w:rPr>
          <w:rFonts w:ascii="Times New Roman" w:hAnsi="Times New Roman" w:cs="Times New Roman"/>
          <w:sz w:val="24"/>
          <w:szCs w:val="24"/>
        </w:rPr>
        <w:t xml:space="preserve"> But whether Tacitus is indeed the model for writing history, the beacon of truth in a sea of literary sources, or whether it was simply his style which drew view away from his scholarly and historical shortcomings is</w:t>
      </w:r>
      <w:r w:rsidR="009F26A5" w:rsidRPr="00EC3511">
        <w:rPr>
          <w:rFonts w:ascii="Times New Roman" w:hAnsi="Times New Roman" w:cs="Times New Roman"/>
          <w:sz w:val="24"/>
          <w:szCs w:val="24"/>
        </w:rPr>
        <w:t xml:space="preserve"> a subject we shall tackle here in depth.</w:t>
      </w:r>
      <w:r w:rsidR="004F276E" w:rsidRPr="00EC3511">
        <w:rPr>
          <w:rFonts w:ascii="Times New Roman" w:hAnsi="Times New Roman" w:cs="Times New Roman"/>
          <w:sz w:val="24"/>
          <w:szCs w:val="24"/>
        </w:rPr>
        <w:t xml:space="preserve"> </w:t>
      </w:r>
      <w:r w:rsidR="00A33A43" w:rsidRPr="00EC3511">
        <w:rPr>
          <w:rFonts w:ascii="Times New Roman" w:hAnsi="Times New Roman" w:cs="Times New Roman"/>
          <w:sz w:val="24"/>
          <w:szCs w:val="24"/>
        </w:rPr>
        <w:t xml:space="preserve">The opinions of Tacitus feature heavily in his works, and </w:t>
      </w:r>
      <w:r w:rsidR="00A33A43" w:rsidRPr="00EC3511">
        <w:rPr>
          <w:rFonts w:ascii="Times New Roman" w:hAnsi="Times New Roman" w:cs="Times New Roman"/>
          <w:i/>
          <w:sz w:val="24"/>
          <w:szCs w:val="24"/>
        </w:rPr>
        <w:t>Histories</w:t>
      </w:r>
      <w:r w:rsidR="00A33A43" w:rsidRPr="00EC3511">
        <w:rPr>
          <w:rFonts w:ascii="Times New Roman" w:hAnsi="Times New Roman" w:cs="Times New Roman"/>
          <w:sz w:val="24"/>
          <w:szCs w:val="24"/>
        </w:rPr>
        <w:t xml:space="preserve"> is no different in this regard, especially when speaking of certain emperors or statesmen, but in conjunction with other contemporary writers we can ascertain if this is a consensus or an aspect of bias on the writer due</w:t>
      </w:r>
      <w:r w:rsidR="00BB5F0C" w:rsidRPr="00EC3511">
        <w:rPr>
          <w:rFonts w:ascii="Times New Roman" w:hAnsi="Times New Roman" w:cs="Times New Roman"/>
          <w:sz w:val="24"/>
          <w:szCs w:val="24"/>
        </w:rPr>
        <w:t>, due to personal focus</w:t>
      </w:r>
      <w:r w:rsidR="00A33A43" w:rsidRPr="00EC3511">
        <w:rPr>
          <w:rFonts w:ascii="Times New Roman" w:hAnsi="Times New Roman" w:cs="Times New Roman"/>
          <w:sz w:val="24"/>
          <w:szCs w:val="24"/>
        </w:rPr>
        <w:t>, which we shall also discuss.</w:t>
      </w:r>
      <w:r w:rsidR="00A33A43" w:rsidRPr="00EC3511">
        <w:rPr>
          <w:rStyle w:val="FootnoteReference"/>
          <w:rFonts w:ascii="Times New Roman" w:hAnsi="Times New Roman" w:cs="Times New Roman"/>
          <w:sz w:val="24"/>
          <w:szCs w:val="24"/>
        </w:rPr>
        <w:footnoteReference w:id="8"/>
      </w:r>
      <w:r w:rsidR="00BD454D" w:rsidRPr="00EC3511">
        <w:rPr>
          <w:rFonts w:ascii="Times New Roman" w:hAnsi="Times New Roman" w:cs="Times New Roman"/>
          <w:sz w:val="24"/>
          <w:szCs w:val="24"/>
        </w:rPr>
        <w:t xml:space="preserve"> </w:t>
      </w:r>
      <w:r w:rsidR="00BB5F0C" w:rsidRPr="00EC3511">
        <w:rPr>
          <w:rFonts w:ascii="Times New Roman" w:hAnsi="Times New Roman" w:cs="Times New Roman"/>
          <w:sz w:val="24"/>
          <w:szCs w:val="24"/>
        </w:rPr>
        <w:t xml:space="preserve">Now, </w:t>
      </w:r>
      <w:r w:rsidR="00BD454D" w:rsidRPr="00EC3511">
        <w:rPr>
          <w:rFonts w:ascii="Times New Roman" w:hAnsi="Times New Roman" w:cs="Times New Roman"/>
          <w:sz w:val="24"/>
          <w:szCs w:val="24"/>
        </w:rPr>
        <w:t xml:space="preserve">Tacitus wrote of the time period in </w:t>
      </w:r>
      <w:r w:rsidR="00BD454D" w:rsidRPr="00EC3511">
        <w:rPr>
          <w:rFonts w:ascii="Times New Roman" w:hAnsi="Times New Roman" w:cs="Times New Roman"/>
          <w:i/>
          <w:sz w:val="24"/>
          <w:szCs w:val="24"/>
        </w:rPr>
        <w:t>Histories</w:t>
      </w:r>
      <w:r w:rsidR="00BD454D" w:rsidRPr="00EC3511">
        <w:rPr>
          <w:rFonts w:ascii="Times New Roman" w:hAnsi="Times New Roman" w:cs="Times New Roman"/>
          <w:sz w:val="24"/>
          <w:szCs w:val="24"/>
        </w:rPr>
        <w:t xml:space="preserve">, but he was not the only writer to discuss the political and militaristic events of the year. Cassius Dio wrote </w:t>
      </w:r>
      <w:r w:rsidR="00BD454D" w:rsidRPr="00EC3511">
        <w:rPr>
          <w:rFonts w:ascii="Times New Roman" w:hAnsi="Times New Roman" w:cs="Times New Roman"/>
          <w:i/>
          <w:sz w:val="24"/>
          <w:szCs w:val="24"/>
        </w:rPr>
        <w:t>Roman History</w:t>
      </w:r>
      <w:r w:rsidR="00BD454D" w:rsidRPr="00EC3511">
        <w:rPr>
          <w:rFonts w:ascii="Times New Roman" w:hAnsi="Times New Roman" w:cs="Times New Roman"/>
          <w:sz w:val="24"/>
          <w:szCs w:val="24"/>
        </w:rPr>
        <w:t xml:space="preserve"> and </w:t>
      </w:r>
      <w:r w:rsidR="00FB0074" w:rsidRPr="00EC3511">
        <w:rPr>
          <w:rFonts w:ascii="Times New Roman" w:hAnsi="Times New Roman" w:cs="Times New Roman"/>
          <w:sz w:val="24"/>
          <w:szCs w:val="24"/>
        </w:rPr>
        <w:t xml:space="preserve">Suetonius wrote </w:t>
      </w:r>
      <w:r w:rsidR="00FB0074" w:rsidRPr="00EC3511">
        <w:rPr>
          <w:rFonts w:ascii="Times New Roman" w:hAnsi="Times New Roman" w:cs="Times New Roman"/>
          <w:i/>
          <w:sz w:val="24"/>
          <w:szCs w:val="24"/>
        </w:rPr>
        <w:t>De vita Caesarum</w:t>
      </w:r>
      <w:r w:rsidR="00FB0074" w:rsidRPr="00EC3511">
        <w:rPr>
          <w:rFonts w:ascii="Times New Roman" w:hAnsi="Times New Roman" w:cs="Times New Roman"/>
          <w:sz w:val="24"/>
          <w:szCs w:val="24"/>
        </w:rPr>
        <w:t>, each taking different viewpoints of the year in question, the actions of the emperors and overall like for the emperors themselves, by both author and audience.</w:t>
      </w:r>
      <w:r w:rsidR="00FB0074" w:rsidRPr="00EC3511">
        <w:rPr>
          <w:rStyle w:val="FootnoteReference"/>
          <w:rFonts w:ascii="Times New Roman" w:hAnsi="Times New Roman" w:cs="Times New Roman"/>
          <w:sz w:val="24"/>
          <w:szCs w:val="24"/>
        </w:rPr>
        <w:footnoteReference w:id="9"/>
      </w:r>
      <w:r w:rsidR="00644A74" w:rsidRPr="00EC3511">
        <w:rPr>
          <w:rFonts w:ascii="Times New Roman" w:hAnsi="Times New Roman" w:cs="Times New Roman"/>
          <w:sz w:val="24"/>
          <w:szCs w:val="24"/>
        </w:rPr>
        <w:t xml:space="preserve"> That said, in </w:t>
      </w:r>
      <w:r w:rsidR="00644A74" w:rsidRPr="00EC3511">
        <w:rPr>
          <w:rFonts w:ascii="Times New Roman" w:hAnsi="Times New Roman" w:cs="Times New Roman"/>
          <w:sz w:val="24"/>
          <w:szCs w:val="24"/>
        </w:rPr>
        <w:lastRenderedPageBreak/>
        <w:t xml:space="preserve">analysing </w:t>
      </w:r>
      <w:r w:rsidR="00644A74" w:rsidRPr="00EC3511">
        <w:rPr>
          <w:rFonts w:ascii="Times New Roman" w:hAnsi="Times New Roman" w:cs="Times New Roman"/>
          <w:i/>
          <w:sz w:val="24"/>
          <w:szCs w:val="24"/>
        </w:rPr>
        <w:t>Histories</w:t>
      </w:r>
      <w:r w:rsidR="00644A74" w:rsidRPr="00EC3511">
        <w:rPr>
          <w:rFonts w:ascii="Times New Roman" w:hAnsi="Times New Roman" w:cs="Times New Roman"/>
          <w:sz w:val="24"/>
          <w:szCs w:val="24"/>
        </w:rPr>
        <w:t xml:space="preserve"> we also need to ascertain the audience of Tacitus, who was reading and why he recorded specific acts and deeds in his work</w:t>
      </w:r>
      <w:r w:rsidR="00695713" w:rsidRPr="00EC3511">
        <w:rPr>
          <w:rFonts w:ascii="Times New Roman" w:hAnsi="Times New Roman" w:cs="Times New Roman"/>
          <w:sz w:val="24"/>
          <w:szCs w:val="24"/>
        </w:rPr>
        <w:t xml:space="preserve"> for this readership</w:t>
      </w:r>
      <w:r w:rsidR="00644A74" w:rsidRPr="00EC3511">
        <w:rPr>
          <w:rFonts w:ascii="Times New Roman" w:hAnsi="Times New Roman" w:cs="Times New Roman"/>
          <w:sz w:val="24"/>
          <w:szCs w:val="24"/>
        </w:rPr>
        <w:t>.</w:t>
      </w:r>
    </w:p>
    <w:p w:rsidR="00644A74" w:rsidRPr="00EC3511" w:rsidRDefault="00007D8A" w:rsidP="00EC3511">
      <w:pPr>
        <w:spacing w:line="480" w:lineRule="auto"/>
        <w:ind w:left="1417" w:right="1417"/>
        <w:rPr>
          <w:rFonts w:ascii="Times New Roman" w:hAnsi="Times New Roman" w:cs="Times New Roman"/>
          <w:sz w:val="24"/>
          <w:szCs w:val="24"/>
        </w:rPr>
      </w:pPr>
      <w:r w:rsidRPr="00EC3511">
        <w:rPr>
          <w:rFonts w:ascii="Times New Roman" w:hAnsi="Times New Roman" w:cs="Times New Roman"/>
          <w:i/>
          <w:sz w:val="24"/>
          <w:szCs w:val="24"/>
        </w:rPr>
        <w:t>“My purpose is not to relate at length every motion, but only such as were conspicuous for excellence or notorious for infamy. This I regard as history’s highest function, to let no worthy action be uncommemorated, and to hold out the reprobation of posterity as a terror to evil words and deeds”</w:t>
      </w:r>
      <w:r w:rsidRPr="00EC3511">
        <w:rPr>
          <w:rStyle w:val="FootnoteReference"/>
          <w:rFonts w:ascii="Times New Roman" w:hAnsi="Times New Roman" w:cs="Times New Roman"/>
          <w:i/>
          <w:sz w:val="24"/>
          <w:szCs w:val="24"/>
        </w:rPr>
        <w:footnoteReference w:id="10"/>
      </w:r>
    </w:p>
    <w:p w:rsidR="00264F8E" w:rsidRDefault="005163CA"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 xml:space="preserve">This quote is from </w:t>
      </w:r>
      <w:r w:rsidRPr="00EC3511">
        <w:rPr>
          <w:rFonts w:ascii="Times New Roman" w:hAnsi="Times New Roman" w:cs="Times New Roman"/>
          <w:i/>
          <w:sz w:val="24"/>
          <w:szCs w:val="24"/>
        </w:rPr>
        <w:t xml:space="preserve">Annals, </w:t>
      </w:r>
      <w:r w:rsidRPr="00EC3511">
        <w:rPr>
          <w:rFonts w:ascii="Times New Roman" w:hAnsi="Times New Roman" w:cs="Times New Roman"/>
          <w:sz w:val="24"/>
          <w:szCs w:val="24"/>
        </w:rPr>
        <w:t>written</w:t>
      </w:r>
      <w:r w:rsidR="00871B69" w:rsidRPr="00EC3511">
        <w:rPr>
          <w:rFonts w:ascii="Times New Roman" w:hAnsi="Times New Roman" w:cs="Times New Roman"/>
          <w:sz w:val="24"/>
          <w:szCs w:val="24"/>
        </w:rPr>
        <w:t xml:space="preserve"> around a decade after </w:t>
      </w:r>
      <w:r w:rsidR="00871B69" w:rsidRPr="00EC3511">
        <w:rPr>
          <w:rFonts w:ascii="Times New Roman" w:hAnsi="Times New Roman" w:cs="Times New Roman"/>
          <w:i/>
          <w:sz w:val="24"/>
          <w:szCs w:val="24"/>
        </w:rPr>
        <w:t>Histories</w:t>
      </w:r>
      <w:r w:rsidR="00871B69" w:rsidRPr="00EC3511">
        <w:rPr>
          <w:rFonts w:ascii="Times New Roman" w:hAnsi="Times New Roman" w:cs="Times New Roman"/>
          <w:sz w:val="24"/>
          <w:szCs w:val="24"/>
        </w:rPr>
        <w:t xml:space="preserve"> and appears to show the general mentality of Tacitus in his writing of history, to write all deeds of note that he sees and in their true form without bias. We again see this in </w:t>
      </w:r>
      <w:r w:rsidR="00871B69" w:rsidRPr="00EC3511">
        <w:rPr>
          <w:rFonts w:ascii="Times New Roman" w:hAnsi="Times New Roman" w:cs="Times New Roman"/>
          <w:i/>
          <w:sz w:val="24"/>
          <w:szCs w:val="24"/>
        </w:rPr>
        <w:t xml:space="preserve">Histories, </w:t>
      </w:r>
      <w:r w:rsidR="00871B69" w:rsidRPr="00EC3511">
        <w:rPr>
          <w:rFonts w:ascii="Times New Roman" w:hAnsi="Times New Roman" w:cs="Times New Roman"/>
          <w:sz w:val="24"/>
          <w:szCs w:val="24"/>
        </w:rPr>
        <w:t>not knowing the characters of his work personally but stating that, “</w:t>
      </w:r>
      <w:r w:rsidR="00871B69" w:rsidRPr="00EC3511">
        <w:rPr>
          <w:rFonts w:ascii="Times New Roman" w:hAnsi="Times New Roman" w:cs="Times New Roman"/>
          <w:i/>
          <w:sz w:val="24"/>
          <w:szCs w:val="24"/>
        </w:rPr>
        <w:t>…those who profess inviolable truthfulness must speak of all without partiality and without hatred</w:t>
      </w:r>
      <w:r w:rsidR="00871B69" w:rsidRPr="00EC3511">
        <w:rPr>
          <w:rFonts w:ascii="Times New Roman" w:hAnsi="Times New Roman" w:cs="Times New Roman"/>
          <w:sz w:val="24"/>
          <w:szCs w:val="24"/>
        </w:rPr>
        <w:t>”.</w:t>
      </w:r>
      <w:r w:rsidR="00871B69" w:rsidRPr="00EC3511">
        <w:rPr>
          <w:rStyle w:val="FootnoteReference"/>
          <w:rFonts w:ascii="Times New Roman" w:hAnsi="Times New Roman" w:cs="Times New Roman"/>
          <w:sz w:val="24"/>
          <w:szCs w:val="24"/>
        </w:rPr>
        <w:footnoteReference w:id="11"/>
      </w:r>
      <w:r w:rsidR="00695713" w:rsidRPr="00EC3511">
        <w:rPr>
          <w:rFonts w:ascii="Times New Roman" w:hAnsi="Times New Roman" w:cs="Times New Roman"/>
          <w:sz w:val="24"/>
          <w:szCs w:val="24"/>
        </w:rPr>
        <w:t xml:space="preserve"> I</w:t>
      </w:r>
      <w:r w:rsidR="00972655" w:rsidRPr="00EC3511">
        <w:rPr>
          <w:rFonts w:ascii="Times New Roman" w:hAnsi="Times New Roman" w:cs="Times New Roman"/>
          <w:sz w:val="24"/>
          <w:szCs w:val="24"/>
        </w:rPr>
        <w:t xml:space="preserve">t is all said in theory, but practice is another matter, so </w:t>
      </w:r>
      <w:r w:rsidR="00695713" w:rsidRPr="00EC3511">
        <w:rPr>
          <w:rFonts w:ascii="Times New Roman" w:hAnsi="Times New Roman" w:cs="Times New Roman"/>
          <w:sz w:val="24"/>
          <w:szCs w:val="24"/>
        </w:rPr>
        <w:t xml:space="preserve">it </w:t>
      </w:r>
      <w:r w:rsidR="00972655" w:rsidRPr="00EC3511">
        <w:rPr>
          <w:rFonts w:ascii="Times New Roman" w:hAnsi="Times New Roman" w:cs="Times New Roman"/>
          <w:sz w:val="24"/>
          <w:szCs w:val="24"/>
        </w:rPr>
        <w:t>is worth looking at the text of his work to asses</w:t>
      </w:r>
      <w:r w:rsidR="00264F8E" w:rsidRPr="00EC3511">
        <w:rPr>
          <w:rFonts w:ascii="Times New Roman" w:hAnsi="Times New Roman" w:cs="Times New Roman"/>
          <w:sz w:val="24"/>
          <w:szCs w:val="24"/>
        </w:rPr>
        <w:t>s the validity in these claims.</w:t>
      </w:r>
    </w:p>
    <w:p w:rsidR="006C5A92" w:rsidRPr="00EC3511" w:rsidRDefault="006C5A92" w:rsidP="00EC3511">
      <w:pPr>
        <w:spacing w:line="480" w:lineRule="auto"/>
        <w:rPr>
          <w:rFonts w:ascii="Times New Roman" w:hAnsi="Times New Roman" w:cs="Times New Roman"/>
          <w:sz w:val="24"/>
          <w:szCs w:val="24"/>
        </w:rPr>
      </w:pPr>
    </w:p>
    <w:p w:rsidR="005E5C71" w:rsidRPr="00EC3511" w:rsidRDefault="005E5C71" w:rsidP="00EC3511">
      <w:pPr>
        <w:spacing w:line="480" w:lineRule="auto"/>
        <w:ind w:firstLine="720"/>
        <w:rPr>
          <w:rFonts w:ascii="Times New Roman" w:hAnsi="Times New Roman" w:cs="Times New Roman"/>
          <w:sz w:val="24"/>
          <w:szCs w:val="24"/>
        </w:rPr>
      </w:pPr>
      <w:r w:rsidRPr="00EC3511">
        <w:rPr>
          <w:rFonts w:ascii="Times New Roman" w:hAnsi="Times New Roman" w:cs="Times New Roman"/>
          <w:sz w:val="24"/>
          <w:szCs w:val="24"/>
        </w:rPr>
        <w:t xml:space="preserve">Firstly, whilst being a writer who is known for his depth and focus on the task at hand in his works, Tacitus is no stranger to digressions from the narrative to consider the history of Rome alongside the events to which he is describing, doing so in both </w:t>
      </w:r>
      <w:r w:rsidRPr="00EC3511">
        <w:rPr>
          <w:rFonts w:ascii="Times New Roman" w:hAnsi="Times New Roman" w:cs="Times New Roman"/>
          <w:i/>
          <w:sz w:val="24"/>
          <w:szCs w:val="24"/>
        </w:rPr>
        <w:t xml:space="preserve">Histories </w:t>
      </w:r>
      <w:r w:rsidRPr="00EC3511">
        <w:rPr>
          <w:rFonts w:ascii="Times New Roman" w:hAnsi="Times New Roman" w:cs="Times New Roman"/>
          <w:sz w:val="24"/>
          <w:szCs w:val="24"/>
        </w:rPr>
        <w:t xml:space="preserve">and </w:t>
      </w:r>
      <w:r w:rsidRPr="00EC3511">
        <w:rPr>
          <w:rFonts w:ascii="Times New Roman" w:hAnsi="Times New Roman" w:cs="Times New Roman"/>
          <w:i/>
          <w:sz w:val="24"/>
          <w:szCs w:val="24"/>
        </w:rPr>
        <w:t>Annals</w:t>
      </w:r>
      <w:r w:rsidRPr="00EC3511">
        <w:rPr>
          <w:rFonts w:ascii="Times New Roman" w:hAnsi="Times New Roman" w:cs="Times New Roman"/>
          <w:sz w:val="24"/>
          <w:szCs w:val="24"/>
        </w:rPr>
        <w:t>.</w:t>
      </w:r>
      <w:r w:rsidRPr="00EC3511">
        <w:rPr>
          <w:rFonts w:ascii="Times New Roman" w:hAnsi="Times New Roman" w:cs="Times New Roman"/>
          <w:sz w:val="24"/>
          <w:szCs w:val="24"/>
          <w:vertAlign w:val="superscript"/>
        </w:rPr>
        <w:footnoteReference w:id="12"/>
      </w:r>
      <w:r w:rsidRPr="00EC3511">
        <w:rPr>
          <w:rFonts w:ascii="Times New Roman" w:hAnsi="Times New Roman" w:cs="Times New Roman"/>
          <w:sz w:val="24"/>
          <w:szCs w:val="24"/>
        </w:rPr>
        <w:t xml:space="preserve"> Indeed, he writes of similarities between AD 69, a year of turmoil and four emperors, and that of the final years of the Republic, focusing on the combatants.</w:t>
      </w:r>
      <w:r w:rsidRPr="00EC3511">
        <w:rPr>
          <w:rFonts w:ascii="Times New Roman" w:hAnsi="Times New Roman" w:cs="Times New Roman"/>
          <w:sz w:val="24"/>
          <w:szCs w:val="24"/>
          <w:vertAlign w:val="superscript"/>
        </w:rPr>
        <w:footnoteReference w:id="13"/>
      </w:r>
      <w:r w:rsidRPr="00EC3511">
        <w:rPr>
          <w:rFonts w:ascii="Times New Roman" w:hAnsi="Times New Roman" w:cs="Times New Roman"/>
          <w:sz w:val="24"/>
          <w:szCs w:val="24"/>
        </w:rPr>
        <w:t xml:space="preserve"> But it his mention of </w:t>
      </w:r>
      <w:r w:rsidRPr="00EC3511">
        <w:rPr>
          <w:rFonts w:ascii="Times New Roman" w:hAnsi="Times New Roman" w:cs="Times New Roman"/>
          <w:i/>
          <w:sz w:val="24"/>
          <w:szCs w:val="24"/>
        </w:rPr>
        <w:t>fides</w:t>
      </w:r>
      <w:r w:rsidRPr="00EC3511">
        <w:rPr>
          <w:rFonts w:ascii="Times New Roman" w:hAnsi="Times New Roman" w:cs="Times New Roman"/>
          <w:sz w:val="24"/>
          <w:szCs w:val="24"/>
        </w:rPr>
        <w:t xml:space="preserve">, the burning of the Capitol and how it was the most disgraceful event in the history of </w:t>
      </w:r>
      <w:r w:rsidRPr="00EC3511">
        <w:rPr>
          <w:rFonts w:ascii="Times New Roman" w:hAnsi="Times New Roman" w:cs="Times New Roman"/>
          <w:sz w:val="24"/>
          <w:szCs w:val="24"/>
        </w:rPr>
        <w:lastRenderedPageBreak/>
        <w:t>the city which is particularly telling.</w:t>
      </w:r>
      <w:r w:rsidRPr="00EC3511">
        <w:rPr>
          <w:rFonts w:ascii="Times New Roman" w:hAnsi="Times New Roman" w:cs="Times New Roman"/>
          <w:sz w:val="24"/>
          <w:szCs w:val="24"/>
          <w:vertAlign w:val="superscript"/>
        </w:rPr>
        <w:footnoteReference w:id="14"/>
      </w:r>
      <w:r w:rsidRPr="00EC3511">
        <w:rPr>
          <w:rFonts w:ascii="Times New Roman" w:hAnsi="Times New Roman" w:cs="Times New Roman"/>
          <w:sz w:val="24"/>
          <w:szCs w:val="24"/>
        </w:rPr>
        <w:t xml:space="preserve"> Tacitus, to an extent, writes as if he was living in the worst of times during this era, as if the very fabric and morality of Rome itself was unravelling.</w:t>
      </w:r>
      <w:r w:rsidRPr="00EC3511">
        <w:rPr>
          <w:rFonts w:ascii="Times New Roman" w:hAnsi="Times New Roman" w:cs="Times New Roman"/>
          <w:sz w:val="24"/>
          <w:szCs w:val="24"/>
          <w:vertAlign w:val="superscript"/>
        </w:rPr>
        <w:footnoteReference w:id="15"/>
      </w:r>
      <w:r w:rsidRPr="00EC3511">
        <w:rPr>
          <w:rFonts w:ascii="Times New Roman" w:hAnsi="Times New Roman" w:cs="Times New Roman"/>
          <w:sz w:val="24"/>
          <w:szCs w:val="24"/>
        </w:rPr>
        <w:t xml:space="preserve"> This can be seen in the event of the burning of the Capitol, but also in the narrative in which he creates a group, a fictional ‘they’, who then seemingly dissect the past in their own way. Given that fidelity was an important tenet of Roman belief systems, honour at the societal core, it is interesting to see Tacitus beliefs come alive in the embodiment of a created group, lamenting the very ideals Tacitus believes are lost, and the actors who are forcing this change, in Otho and Vitellius.</w:t>
      </w:r>
      <w:r w:rsidRPr="00EC3511">
        <w:rPr>
          <w:rFonts w:ascii="Times New Roman" w:hAnsi="Times New Roman" w:cs="Times New Roman"/>
          <w:sz w:val="24"/>
          <w:szCs w:val="24"/>
          <w:vertAlign w:val="superscript"/>
        </w:rPr>
        <w:footnoteReference w:id="16"/>
      </w:r>
      <w:r w:rsidRPr="00EC3511">
        <w:rPr>
          <w:rFonts w:ascii="Times New Roman" w:hAnsi="Times New Roman" w:cs="Times New Roman"/>
          <w:sz w:val="24"/>
          <w:szCs w:val="24"/>
        </w:rPr>
        <w:t xml:space="preserve"> It could be that Tacitus was indeed a voice for the people, or was writing of his own beliefs at the time of the events whilst he was a teenager and unable to change the events unfolding, but it equally be argued that he was creating a narrative of the common folk to fit his general historiography, his viewpoint of the timeline and turmoil of the era. However, it can be suggested that it is the stoic belief system of his upbringing, combined with the rhetoric which gave Tacitus the view that a corrupt or incorrect system should be recorded accurately, from the viewpoints of both the few and many to ensure that Roman ideals did not fade away and the freedom and integrity that the Empire stood for remained for future generations.</w:t>
      </w:r>
      <w:r w:rsidRPr="00EC3511">
        <w:rPr>
          <w:rFonts w:ascii="Times New Roman" w:hAnsi="Times New Roman" w:cs="Times New Roman"/>
          <w:sz w:val="24"/>
          <w:szCs w:val="24"/>
          <w:vertAlign w:val="superscript"/>
        </w:rPr>
        <w:footnoteReference w:id="17"/>
      </w:r>
      <w:r w:rsidR="00E82588" w:rsidRPr="00EC3511">
        <w:rPr>
          <w:rFonts w:ascii="Times New Roman" w:hAnsi="Times New Roman" w:cs="Times New Roman"/>
          <w:sz w:val="24"/>
          <w:szCs w:val="24"/>
        </w:rPr>
        <w:t xml:space="preserve"> Indeed the </w:t>
      </w:r>
      <w:r w:rsidR="00E82588" w:rsidRPr="00EC3511">
        <w:rPr>
          <w:rFonts w:ascii="Times New Roman" w:hAnsi="Times New Roman" w:cs="Times New Roman"/>
          <w:i/>
          <w:sz w:val="24"/>
          <w:szCs w:val="24"/>
        </w:rPr>
        <w:t xml:space="preserve">exampla </w:t>
      </w:r>
      <w:r w:rsidR="00E82588" w:rsidRPr="00EC3511">
        <w:rPr>
          <w:rFonts w:ascii="Times New Roman" w:hAnsi="Times New Roman" w:cs="Times New Roman"/>
          <w:sz w:val="24"/>
          <w:szCs w:val="24"/>
        </w:rPr>
        <w:t>that Tacitus does use in his works, the character portrayals and actions they make, are meant to help the reader navigate their own moral dilemmas so that they do not end up immortalized in print for future generations to read.</w:t>
      </w:r>
      <w:r w:rsidR="00E82588" w:rsidRPr="00EC3511">
        <w:rPr>
          <w:rStyle w:val="FootnoteReference"/>
          <w:rFonts w:ascii="Times New Roman" w:hAnsi="Times New Roman" w:cs="Times New Roman"/>
          <w:sz w:val="24"/>
          <w:szCs w:val="24"/>
        </w:rPr>
        <w:footnoteReference w:id="18"/>
      </w:r>
      <w:r w:rsidR="00E82588" w:rsidRPr="00EC3511">
        <w:rPr>
          <w:rFonts w:ascii="Times New Roman" w:hAnsi="Times New Roman" w:cs="Times New Roman"/>
          <w:sz w:val="24"/>
          <w:szCs w:val="24"/>
        </w:rPr>
        <w:t xml:space="preserve"> This would give some idea as to the audience of this piece, alongside many others; the elite so as not to recreate the mistakes of their predecessors, and the people, that they know what true tyranny is.</w:t>
      </w:r>
      <w:r w:rsidR="002E10AA" w:rsidRPr="00EC3511">
        <w:rPr>
          <w:rFonts w:ascii="Times New Roman" w:hAnsi="Times New Roman" w:cs="Times New Roman"/>
          <w:sz w:val="24"/>
          <w:szCs w:val="24"/>
        </w:rPr>
        <w:t xml:space="preserve"> Joseph in turn suggests that Tacitus believed in a </w:t>
      </w:r>
      <w:r w:rsidR="002E10AA" w:rsidRPr="00EC3511">
        <w:rPr>
          <w:rFonts w:ascii="Times New Roman" w:hAnsi="Times New Roman" w:cs="Times New Roman"/>
          <w:sz w:val="24"/>
          <w:szCs w:val="24"/>
        </w:rPr>
        <w:lastRenderedPageBreak/>
        <w:t>constant state of civil war, that it was always foreshadowing future events, as it had done previously in Rome’s history, therefore in terms of motivation it can be argued that Tacitus saw this writing as a blueprint for the future, foreshadowing a future civil war yet to come.</w:t>
      </w:r>
      <w:r w:rsidR="002E10AA" w:rsidRPr="00EC3511">
        <w:rPr>
          <w:rStyle w:val="FootnoteReference"/>
          <w:rFonts w:ascii="Times New Roman" w:hAnsi="Times New Roman" w:cs="Times New Roman"/>
          <w:sz w:val="24"/>
          <w:szCs w:val="24"/>
        </w:rPr>
        <w:footnoteReference w:id="19"/>
      </w:r>
    </w:p>
    <w:p w:rsidR="00E82588" w:rsidRPr="00EC3511" w:rsidRDefault="00E82588" w:rsidP="00EC3511">
      <w:pPr>
        <w:spacing w:line="480" w:lineRule="auto"/>
        <w:ind w:firstLine="720"/>
        <w:rPr>
          <w:rFonts w:ascii="Times New Roman" w:hAnsi="Times New Roman" w:cs="Times New Roman"/>
          <w:sz w:val="24"/>
          <w:szCs w:val="24"/>
        </w:rPr>
      </w:pPr>
    </w:p>
    <w:p w:rsidR="005163CA" w:rsidRPr="00EC3511" w:rsidRDefault="00E82588" w:rsidP="00EC3511">
      <w:pPr>
        <w:spacing w:line="480" w:lineRule="auto"/>
        <w:ind w:firstLine="720"/>
        <w:rPr>
          <w:rFonts w:ascii="Times New Roman" w:hAnsi="Times New Roman" w:cs="Times New Roman"/>
          <w:sz w:val="24"/>
          <w:szCs w:val="24"/>
        </w:rPr>
      </w:pPr>
      <w:r w:rsidRPr="00EC3511">
        <w:rPr>
          <w:rFonts w:ascii="Times New Roman" w:hAnsi="Times New Roman" w:cs="Times New Roman"/>
          <w:sz w:val="24"/>
          <w:szCs w:val="24"/>
        </w:rPr>
        <w:t xml:space="preserve">In terms of the characters and </w:t>
      </w:r>
      <w:r w:rsidRPr="00EC3511">
        <w:rPr>
          <w:rFonts w:ascii="Times New Roman" w:hAnsi="Times New Roman" w:cs="Times New Roman"/>
          <w:i/>
          <w:sz w:val="24"/>
          <w:szCs w:val="24"/>
        </w:rPr>
        <w:t xml:space="preserve">exampla </w:t>
      </w:r>
      <w:r w:rsidRPr="00EC3511">
        <w:rPr>
          <w:rFonts w:ascii="Times New Roman" w:hAnsi="Times New Roman" w:cs="Times New Roman"/>
          <w:sz w:val="24"/>
          <w:szCs w:val="24"/>
        </w:rPr>
        <w:t>in Histories, we should speak</w:t>
      </w:r>
      <w:r w:rsidR="002A7C39" w:rsidRPr="00EC3511">
        <w:rPr>
          <w:rFonts w:ascii="Times New Roman" w:hAnsi="Times New Roman" w:cs="Times New Roman"/>
          <w:sz w:val="24"/>
          <w:szCs w:val="24"/>
        </w:rPr>
        <w:t xml:space="preserve"> </w:t>
      </w:r>
      <w:r w:rsidR="00096835" w:rsidRPr="00EC3511">
        <w:rPr>
          <w:rFonts w:ascii="Times New Roman" w:hAnsi="Times New Roman" w:cs="Times New Roman"/>
          <w:sz w:val="24"/>
          <w:szCs w:val="24"/>
        </w:rPr>
        <w:t xml:space="preserve">firstly </w:t>
      </w:r>
      <w:r w:rsidR="002A7C39" w:rsidRPr="00EC3511">
        <w:rPr>
          <w:rFonts w:ascii="Times New Roman" w:hAnsi="Times New Roman" w:cs="Times New Roman"/>
          <w:sz w:val="24"/>
          <w:szCs w:val="24"/>
        </w:rPr>
        <w:t>of Otho, the second</w:t>
      </w:r>
      <w:r w:rsidR="00695713" w:rsidRPr="00EC3511">
        <w:rPr>
          <w:rFonts w:ascii="Times New Roman" w:hAnsi="Times New Roman" w:cs="Times New Roman"/>
          <w:sz w:val="24"/>
          <w:szCs w:val="24"/>
        </w:rPr>
        <w:t xml:space="preserve"> of th</w:t>
      </w:r>
      <w:r w:rsidRPr="00EC3511">
        <w:rPr>
          <w:rFonts w:ascii="Times New Roman" w:hAnsi="Times New Roman" w:cs="Times New Roman"/>
          <w:sz w:val="24"/>
          <w:szCs w:val="24"/>
        </w:rPr>
        <w:t>e emperors of the year in AD 69.</w:t>
      </w:r>
      <w:r w:rsidR="00695713" w:rsidRPr="00EC3511">
        <w:rPr>
          <w:rFonts w:ascii="Times New Roman" w:hAnsi="Times New Roman" w:cs="Times New Roman"/>
          <w:sz w:val="24"/>
          <w:szCs w:val="24"/>
        </w:rPr>
        <w:t xml:space="preserve"> Tacitus gives an assessment of the man</w:t>
      </w:r>
      <w:r w:rsidR="002A7C39" w:rsidRPr="00EC3511">
        <w:rPr>
          <w:rFonts w:ascii="Times New Roman" w:hAnsi="Times New Roman" w:cs="Times New Roman"/>
          <w:sz w:val="24"/>
          <w:szCs w:val="24"/>
        </w:rPr>
        <w:t>, with several observations:</w:t>
      </w:r>
    </w:p>
    <w:p w:rsidR="002A7C39" w:rsidRPr="00EC3511" w:rsidRDefault="002A7C39" w:rsidP="00EC3511">
      <w:pPr>
        <w:spacing w:line="480" w:lineRule="auto"/>
        <w:ind w:left="1417" w:right="1417"/>
        <w:rPr>
          <w:rFonts w:ascii="Times New Roman" w:hAnsi="Times New Roman" w:cs="Times New Roman"/>
          <w:sz w:val="24"/>
          <w:szCs w:val="24"/>
        </w:rPr>
      </w:pPr>
      <w:r w:rsidRPr="00EC3511">
        <w:rPr>
          <w:rFonts w:ascii="Times New Roman" w:hAnsi="Times New Roman" w:cs="Times New Roman"/>
          <w:i/>
          <w:sz w:val="24"/>
          <w:szCs w:val="24"/>
        </w:rPr>
        <w:t>“Indeed before the ruin of both… the stupid pleasures of Vitellius were feared less than the burning desires of Otho. In addition to this was fear and hatred for the murder of Galba, on the other hand nobody ascribed the</w:t>
      </w:r>
      <w:r w:rsidR="00264F8E" w:rsidRPr="00EC3511">
        <w:rPr>
          <w:rFonts w:ascii="Times New Roman" w:hAnsi="Times New Roman" w:cs="Times New Roman"/>
          <w:i/>
          <w:sz w:val="24"/>
          <w:szCs w:val="24"/>
        </w:rPr>
        <w:t xml:space="preserve"> start of the war to Vitellius…. Otho by excess, cruelty and pride was more fatal for the state”</w:t>
      </w:r>
      <w:r w:rsidR="00264F8E" w:rsidRPr="00EC3511">
        <w:rPr>
          <w:rStyle w:val="FootnoteReference"/>
          <w:rFonts w:ascii="Times New Roman" w:hAnsi="Times New Roman" w:cs="Times New Roman"/>
          <w:i/>
          <w:sz w:val="24"/>
          <w:szCs w:val="24"/>
        </w:rPr>
        <w:footnoteReference w:id="20"/>
      </w:r>
    </w:p>
    <w:p w:rsidR="00B82843" w:rsidRPr="00EC3511" w:rsidRDefault="00264F8E"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 xml:space="preserve">Otho came to power following the assassination of Galba, </w:t>
      </w:r>
      <w:r w:rsidR="003A4209" w:rsidRPr="00EC3511">
        <w:rPr>
          <w:rFonts w:ascii="Times New Roman" w:hAnsi="Times New Roman" w:cs="Times New Roman"/>
          <w:sz w:val="24"/>
          <w:szCs w:val="24"/>
        </w:rPr>
        <w:t>which happened at the behest of his successor</w:t>
      </w:r>
      <w:r w:rsidRPr="00EC3511">
        <w:rPr>
          <w:rFonts w:ascii="Times New Roman" w:hAnsi="Times New Roman" w:cs="Times New Roman"/>
          <w:sz w:val="24"/>
          <w:szCs w:val="24"/>
        </w:rPr>
        <w:t>, as Tacitus alludes to.</w:t>
      </w:r>
      <w:r w:rsidRPr="00EC3511">
        <w:rPr>
          <w:rStyle w:val="FootnoteReference"/>
          <w:rFonts w:ascii="Times New Roman" w:hAnsi="Times New Roman" w:cs="Times New Roman"/>
          <w:sz w:val="24"/>
          <w:szCs w:val="24"/>
        </w:rPr>
        <w:footnoteReference w:id="21"/>
      </w:r>
      <w:r w:rsidR="003A4209" w:rsidRPr="00EC3511">
        <w:rPr>
          <w:rFonts w:ascii="Times New Roman" w:hAnsi="Times New Roman" w:cs="Times New Roman"/>
          <w:sz w:val="24"/>
          <w:szCs w:val="24"/>
        </w:rPr>
        <w:t xml:space="preserve"> It is noted by many academics that Tacitus does not hide his viewpoint of the emperors of this period, and Otho is no exception to this.</w:t>
      </w:r>
      <w:r w:rsidR="007A2CA7" w:rsidRPr="00EC3511">
        <w:rPr>
          <w:rStyle w:val="FootnoteReference"/>
          <w:rFonts w:ascii="Times New Roman" w:hAnsi="Times New Roman" w:cs="Times New Roman"/>
          <w:sz w:val="24"/>
          <w:szCs w:val="24"/>
        </w:rPr>
        <w:footnoteReference w:id="22"/>
      </w:r>
      <w:r w:rsidR="003A4209" w:rsidRPr="00EC3511">
        <w:rPr>
          <w:rFonts w:ascii="Times New Roman" w:hAnsi="Times New Roman" w:cs="Times New Roman"/>
          <w:sz w:val="24"/>
          <w:szCs w:val="24"/>
        </w:rPr>
        <w:t xml:space="preserve"> </w:t>
      </w:r>
      <w:r w:rsidR="00B82843" w:rsidRPr="00EC3511">
        <w:rPr>
          <w:rFonts w:ascii="Times New Roman" w:hAnsi="Times New Roman" w:cs="Times New Roman"/>
          <w:sz w:val="24"/>
          <w:szCs w:val="24"/>
        </w:rPr>
        <w:t>He writes of his disdain for the character of the man alongside his actions, but doing so with the same disdain for Vitellius:</w:t>
      </w:r>
    </w:p>
    <w:p w:rsidR="00B82843" w:rsidRPr="00EC3511" w:rsidRDefault="00B82843" w:rsidP="00EC3511">
      <w:pPr>
        <w:spacing w:line="480" w:lineRule="auto"/>
        <w:ind w:left="1417" w:right="1417"/>
        <w:rPr>
          <w:rFonts w:ascii="Times New Roman" w:hAnsi="Times New Roman" w:cs="Times New Roman"/>
          <w:sz w:val="24"/>
          <w:szCs w:val="24"/>
        </w:rPr>
      </w:pPr>
      <w:r w:rsidRPr="00EC3511">
        <w:rPr>
          <w:rFonts w:ascii="Times New Roman" w:hAnsi="Times New Roman" w:cs="Times New Roman"/>
          <w:i/>
          <w:sz w:val="24"/>
          <w:szCs w:val="24"/>
        </w:rPr>
        <w:t xml:space="preserve">“Praying for the success of either would be hateful to the gods swearing allegiance to either of them something to hate and </w:t>
      </w:r>
      <w:r w:rsidRPr="00EC3511">
        <w:rPr>
          <w:rFonts w:ascii="Times New Roman" w:hAnsi="Times New Roman" w:cs="Times New Roman"/>
          <w:i/>
          <w:sz w:val="24"/>
          <w:szCs w:val="24"/>
        </w:rPr>
        <w:lastRenderedPageBreak/>
        <w:t>that you knew in the war between them he who was the victor would be the worse”</w:t>
      </w:r>
      <w:r w:rsidRPr="00EC3511">
        <w:rPr>
          <w:rStyle w:val="FootnoteReference"/>
          <w:rFonts w:ascii="Times New Roman" w:hAnsi="Times New Roman" w:cs="Times New Roman"/>
          <w:i/>
          <w:sz w:val="24"/>
          <w:szCs w:val="24"/>
        </w:rPr>
        <w:footnoteReference w:id="23"/>
      </w:r>
    </w:p>
    <w:p w:rsidR="00071E58" w:rsidRPr="00EC3511" w:rsidRDefault="00096835"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It is worth noting that he does not hide his hostility towards either of the men, Otho and Vitellius – the second and third emperors of the year respectively, and as a man who stated he did not know the men personally and that truthful narrative was paramount in his historiography we can also see his account of the perspective of soldiers of both Otho and Vitellius.</w:t>
      </w:r>
      <w:r w:rsidRPr="00EC3511">
        <w:rPr>
          <w:rStyle w:val="FootnoteReference"/>
          <w:rFonts w:ascii="Times New Roman" w:hAnsi="Times New Roman" w:cs="Times New Roman"/>
          <w:sz w:val="24"/>
          <w:szCs w:val="24"/>
        </w:rPr>
        <w:footnoteReference w:id="24"/>
      </w:r>
      <w:r w:rsidRPr="00EC3511">
        <w:rPr>
          <w:rFonts w:ascii="Times New Roman" w:hAnsi="Times New Roman" w:cs="Times New Roman"/>
          <w:sz w:val="24"/>
          <w:szCs w:val="24"/>
        </w:rPr>
        <w:t xml:space="preserve"> Tacitus </w:t>
      </w:r>
      <w:r w:rsidR="001F2029" w:rsidRPr="00EC3511">
        <w:rPr>
          <w:rFonts w:ascii="Times New Roman" w:hAnsi="Times New Roman" w:cs="Times New Roman"/>
          <w:sz w:val="24"/>
          <w:szCs w:val="24"/>
        </w:rPr>
        <w:t>makes reference to several of his own sources, which claim that soldiers on the opposing sides were tempted to reach an armistice, to either settle upon one of the claimants or implore the senate to choose an acceptable leader, that disgusted they were with both Otho and Vitellius, in both character and actions.</w:t>
      </w:r>
      <w:r w:rsidR="001F2029" w:rsidRPr="00EC3511">
        <w:rPr>
          <w:rStyle w:val="FootnoteReference"/>
          <w:rFonts w:ascii="Times New Roman" w:hAnsi="Times New Roman" w:cs="Times New Roman"/>
          <w:sz w:val="24"/>
          <w:szCs w:val="24"/>
        </w:rPr>
        <w:footnoteReference w:id="25"/>
      </w:r>
      <w:r w:rsidR="001F2029" w:rsidRPr="00EC3511">
        <w:rPr>
          <w:rFonts w:ascii="Times New Roman" w:hAnsi="Times New Roman" w:cs="Times New Roman"/>
          <w:sz w:val="24"/>
          <w:szCs w:val="24"/>
        </w:rPr>
        <w:t xml:space="preserve"> This paints a particular view of the character of not only Otho, but </w:t>
      </w:r>
      <w:r w:rsidR="0038767C" w:rsidRPr="00EC3511">
        <w:rPr>
          <w:rFonts w:ascii="Times New Roman" w:hAnsi="Times New Roman" w:cs="Times New Roman"/>
          <w:sz w:val="24"/>
          <w:szCs w:val="24"/>
        </w:rPr>
        <w:t xml:space="preserve">Vitellius as well, but in thinking of this we it should be looked at amongst other accounts, to gain a better understanding of both the audience of Tacitus </w:t>
      </w:r>
      <w:r w:rsidR="0038767C" w:rsidRPr="00EC3511">
        <w:rPr>
          <w:rFonts w:ascii="Times New Roman" w:hAnsi="Times New Roman" w:cs="Times New Roman"/>
          <w:i/>
          <w:sz w:val="24"/>
          <w:szCs w:val="24"/>
        </w:rPr>
        <w:t>Histories</w:t>
      </w:r>
      <w:r w:rsidR="0038767C" w:rsidRPr="00EC3511">
        <w:rPr>
          <w:rFonts w:ascii="Times New Roman" w:hAnsi="Times New Roman" w:cs="Times New Roman"/>
          <w:sz w:val="24"/>
          <w:szCs w:val="24"/>
        </w:rPr>
        <w:t xml:space="preserve"> and perhaps a reason why it is </w:t>
      </w:r>
      <w:r w:rsidR="00715D18" w:rsidRPr="00EC3511">
        <w:rPr>
          <w:rFonts w:ascii="Times New Roman" w:hAnsi="Times New Roman" w:cs="Times New Roman"/>
          <w:sz w:val="24"/>
          <w:szCs w:val="24"/>
        </w:rPr>
        <w:t>written in the style that it is. Suetonius also wrote of Otho:</w:t>
      </w:r>
    </w:p>
    <w:p w:rsidR="003E1800" w:rsidRPr="00EC3511" w:rsidRDefault="003E1800" w:rsidP="00EC3511">
      <w:pPr>
        <w:spacing w:line="480" w:lineRule="auto"/>
        <w:ind w:left="1417" w:right="1417"/>
        <w:rPr>
          <w:rFonts w:ascii="Times New Roman" w:hAnsi="Times New Roman" w:cs="Times New Roman"/>
          <w:i/>
          <w:sz w:val="24"/>
          <w:szCs w:val="24"/>
        </w:rPr>
      </w:pPr>
      <w:r w:rsidRPr="00EC3511">
        <w:rPr>
          <w:rFonts w:ascii="Times New Roman" w:hAnsi="Times New Roman" w:cs="Times New Roman"/>
          <w:i/>
          <w:sz w:val="24"/>
          <w:szCs w:val="24"/>
        </w:rPr>
        <w:t xml:space="preserve">“Otho… From earliest youth he was so extravagant and wild that his father often flogged him… After his father's death he pretended love for an influential freedwoman of the court, although she was an old woman and almost decrepit, that he might more effectually win her favour. Having through her wormed his way into Nero's good graces, he easily held the first place among the emperor's friends because of the similarity of </w:t>
      </w:r>
      <w:r w:rsidRPr="00EC3511">
        <w:rPr>
          <w:rFonts w:ascii="Times New Roman" w:hAnsi="Times New Roman" w:cs="Times New Roman"/>
          <w:i/>
          <w:sz w:val="24"/>
          <w:szCs w:val="24"/>
        </w:rPr>
        <w:lastRenderedPageBreak/>
        <w:t>their characters; but according to some, also through immoral relations”</w:t>
      </w:r>
      <w:r w:rsidRPr="00EC3511">
        <w:rPr>
          <w:rStyle w:val="FootnoteReference"/>
          <w:rFonts w:ascii="Times New Roman" w:hAnsi="Times New Roman" w:cs="Times New Roman"/>
          <w:i/>
          <w:sz w:val="24"/>
          <w:szCs w:val="24"/>
        </w:rPr>
        <w:footnoteReference w:id="26"/>
      </w:r>
    </w:p>
    <w:p w:rsidR="00474650" w:rsidRPr="00EC3511" w:rsidRDefault="00474650"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This would appear to fit the characterisation of Otho to which Tacitus wrote, one of dubious moral character, the ‘</w:t>
      </w:r>
      <w:r w:rsidRPr="00EC3511">
        <w:rPr>
          <w:rFonts w:ascii="Times New Roman" w:hAnsi="Times New Roman" w:cs="Times New Roman"/>
          <w:i/>
          <w:sz w:val="24"/>
          <w:szCs w:val="24"/>
        </w:rPr>
        <w:t>burning desires’</w:t>
      </w:r>
      <w:r w:rsidRPr="00EC3511">
        <w:rPr>
          <w:rFonts w:ascii="Times New Roman" w:hAnsi="Times New Roman" w:cs="Times New Roman"/>
          <w:sz w:val="24"/>
          <w:szCs w:val="24"/>
        </w:rPr>
        <w:t xml:space="preserve"> and ‘</w:t>
      </w:r>
      <w:r w:rsidRPr="00EC3511">
        <w:rPr>
          <w:rFonts w:ascii="Times New Roman" w:hAnsi="Times New Roman" w:cs="Times New Roman"/>
          <w:i/>
          <w:sz w:val="24"/>
          <w:szCs w:val="24"/>
        </w:rPr>
        <w:t>excess and cruelty</w:t>
      </w:r>
      <w:r w:rsidRPr="00EC3511">
        <w:rPr>
          <w:rFonts w:ascii="Times New Roman" w:hAnsi="Times New Roman" w:cs="Times New Roman"/>
          <w:sz w:val="24"/>
          <w:szCs w:val="24"/>
        </w:rPr>
        <w:t>’ that Suetonius makes reference to here; with a telling of how even from youth he was of questionable nature and who’s drive and ambitions manifested itself in deception at court and manipulating his way into the favour of Nero.</w:t>
      </w:r>
      <w:r w:rsidRPr="00EC3511">
        <w:rPr>
          <w:rStyle w:val="FootnoteReference"/>
          <w:rFonts w:ascii="Times New Roman" w:hAnsi="Times New Roman" w:cs="Times New Roman"/>
          <w:sz w:val="24"/>
          <w:szCs w:val="24"/>
        </w:rPr>
        <w:footnoteReference w:id="27"/>
      </w:r>
      <w:r w:rsidRPr="00EC3511">
        <w:rPr>
          <w:rFonts w:ascii="Times New Roman" w:hAnsi="Times New Roman" w:cs="Times New Roman"/>
          <w:sz w:val="24"/>
          <w:szCs w:val="24"/>
        </w:rPr>
        <w:t xml:space="preserve"> This would appear then that at least in terms of characterisation in </w:t>
      </w:r>
      <w:r w:rsidRPr="00EC3511">
        <w:rPr>
          <w:rFonts w:ascii="Times New Roman" w:hAnsi="Times New Roman" w:cs="Times New Roman"/>
          <w:i/>
          <w:sz w:val="24"/>
          <w:szCs w:val="24"/>
        </w:rPr>
        <w:t xml:space="preserve">Histories, </w:t>
      </w:r>
      <w:r w:rsidRPr="00EC3511">
        <w:rPr>
          <w:rFonts w:ascii="Times New Roman" w:hAnsi="Times New Roman" w:cs="Times New Roman"/>
          <w:sz w:val="24"/>
          <w:szCs w:val="24"/>
        </w:rPr>
        <w:t>Tacitus is writing a generally accepted viewpoint of Otho, and perhaps could mean that he is living up to the tag of being the most important or influential Roman historian whose works have survived, given that it would appear his narrative is truthful.</w:t>
      </w:r>
    </w:p>
    <w:p w:rsidR="00E82588" w:rsidRPr="00EC3511" w:rsidRDefault="00E82588" w:rsidP="00EC3511">
      <w:pPr>
        <w:spacing w:line="480" w:lineRule="auto"/>
        <w:rPr>
          <w:rFonts w:ascii="Times New Roman" w:hAnsi="Times New Roman" w:cs="Times New Roman"/>
          <w:sz w:val="24"/>
          <w:szCs w:val="24"/>
        </w:rPr>
      </w:pPr>
    </w:p>
    <w:p w:rsidR="005B3EE2" w:rsidRPr="00EC3511" w:rsidRDefault="005B3EE2"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The death of Otho, the heroic suicide as it were, is another narrative point that we can assess in some depth, alongside several ancient sources. Tacitus, is but one source for this event,</w:t>
      </w:r>
      <w:r w:rsidR="00747FA5" w:rsidRPr="00EC3511">
        <w:rPr>
          <w:rFonts w:ascii="Times New Roman" w:hAnsi="Times New Roman" w:cs="Times New Roman"/>
          <w:sz w:val="24"/>
          <w:szCs w:val="24"/>
        </w:rPr>
        <w:t xml:space="preserve"> but he covers the event and the final hours of Otho</w:t>
      </w:r>
      <w:r w:rsidRPr="00EC3511">
        <w:rPr>
          <w:rFonts w:ascii="Times New Roman" w:hAnsi="Times New Roman" w:cs="Times New Roman"/>
          <w:sz w:val="24"/>
          <w:szCs w:val="24"/>
        </w:rPr>
        <w:t xml:space="preserve"> in some detail in his work:</w:t>
      </w:r>
    </w:p>
    <w:p w:rsidR="00747FA5" w:rsidRPr="00EC3511" w:rsidRDefault="00747FA5" w:rsidP="00EC3511">
      <w:pPr>
        <w:spacing w:line="480" w:lineRule="auto"/>
        <w:ind w:left="1417" w:right="1417"/>
        <w:rPr>
          <w:rFonts w:ascii="Times New Roman" w:hAnsi="Times New Roman" w:cs="Times New Roman"/>
          <w:sz w:val="24"/>
          <w:szCs w:val="24"/>
        </w:rPr>
      </w:pPr>
      <w:r w:rsidRPr="00EC3511">
        <w:rPr>
          <w:rFonts w:ascii="Times New Roman" w:hAnsi="Times New Roman" w:cs="Times New Roman"/>
          <w:sz w:val="24"/>
          <w:szCs w:val="24"/>
        </w:rPr>
        <w:t>“</w:t>
      </w:r>
      <w:r w:rsidRPr="00EC3511">
        <w:rPr>
          <w:rFonts w:ascii="Times New Roman" w:hAnsi="Times New Roman" w:cs="Times New Roman"/>
          <w:i/>
          <w:sz w:val="24"/>
          <w:szCs w:val="24"/>
        </w:rPr>
        <w:t xml:space="preserve">With evening approaching he satisfied his thirst with a drink of cold water. Then after two knives had been brought and when he had carefully tested them he placed one beneath his head. And after he had ensured that his friends had now set out, he spent a quiet night, and as is confirmed, not without sleep. At dawn he threw his chest against the iron. Following the sigh of one in the process of dying, Plotius Firmus, the Praetorian </w:t>
      </w:r>
      <w:r w:rsidRPr="00EC3511">
        <w:rPr>
          <w:rFonts w:ascii="Times New Roman" w:hAnsi="Times New Roman" w:cs="Times New Roman"/>
          <w:i/>
          <w:sz w:val="24"/>
          <w:szCs w:val="24"/>
        </w:rPr>
        <w:lastRenderedPageBreak/>
        <w:t>Prefect, the freedmen and slaves entered and discovered a single wound</w:t>
      </w:r>
      <w:r w:rsidRPr="00EC3511">
        <w:rPr>
          <w:rFonts w:ascii="Times New Roman" w:hAnsi="Times New Roman" w:cs="Times New Roman"/>
          <w:sz w:val="24"/>
          <w:szCs w:val="24"/>
        </w:rPr>
        <w:t>”</w:t>
      </w:r>
      <w:r w:rsidRPr="00EC3511">
        <w:rPr>
          <w:rStyle w:val="FootnoteReference"/>
          <w:rFonts w:ascii="Times New Roman" w:hAnsi="Times New Roman" w:cs="Times New Roman"/>
          <w:sz w:val="24"/>
          <w:szCs w:val="24"/>
        </w:rPr>
        <w:footnoteReference w:id="28"/>
      </w:r>
    </w:p>
    <w:p w:rsidR="00F17057" w:rsidRDefault="00747FA5"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This is a long quote, but it is important to include it in its entirety to fully assess both the meaning behind it and in conjunction with other contemporary sources of the same event.</w:t>
      </w:r>
      <w:r w:rsidR="00326762" w:rsidRPr="00EC3511">
        <w:rPr>
          <w:rFonts w:ascii="Times New Roman" w:hAnsi="Times New Roman" w:cs="Times New Roman"/>
          <w:sz w:val="24"/>
          <w:szCs w:val="24"/>
        </w:rPr>
        <w:t xml:space="preserve"> Plutarch describes the same event, with striking similarity and some minor differences. The drinking of water remains, but instead was inspecting two swords, and upon awakening spoke to his freedman who assured him that the others who had accompanied him from the defeat in battle had left and then being sent away himself, before dramatically falling on his sword and uttering a pained sound which brought his companions into the room.</w:t>
      </w:r>
      <w:r w:rsidR="00581ED6" w:rsidRPr="00EC3511">
        <w:rPr>
          <w:rStyle w:val="FootnoteReference"/>
          <w:rFonts w:ascii="Times New Roman" w:hAnsi="Times New Roman" w:cs="Times New Roman"/>
          <w:sz w:val="24"/>
          <w:szCs w:val="24"/>
        </w:rPr>
        <w:footnoteReference w:id="29"/>
      </w:r>
      <w:r w:rsidR="009973A8" w:rsidRPr="00EC3511">
        <w:rPr>
          <w:rFonts w:ascii="Times New Roman" w:hAnsi="Times New Roman" w:cs="Times New Roman"/>
          <w:sz w:val="24"/>
          <w:szCs w:val="24"/>
        </w:rPr>
        <w:t xml:space="preserve"> Both Tacitus, Plutarch and other literary sources including Cassius Dio and Suetonius all give a near identical account of the suicide, all seemingly portraying it in a positive light and characteristically something to admire.</w:t>
      </w:r>
      <w:r w:rsidR="009973A8" w:rsidRPr="00EC3511">
        <w:rPr>
          <w:rStyle w:val="FootnoteReference"/>
          <w:rFonts w:ascii="Times New Roman" w:hAnsi="Times New Roman" w:cs="Times New Roman"/>
          <w:sz w:val="24"/>
          <w:szCs w:val="24"/>
        </w:rPr>
        <w:footnoteReference w:id="30"/>
      </w:r>
      <w:r w:rsidR="00FA175B" w:rsidRPr="00EC3511">
        <w:rPr>
          <w:rFonts w:ascii="Times New Roman" w:hAnsi="Times New Roman" w:cs="Times New Roman"/>
          <w:sz w:val="24"/>
          <w:szCs w:val="24"/>
        </w:rPr>
        <w:t xml:space="preserve"> The interesting thing here is that it this portrayal of the final hours of Otho goes against the general narrative of Tacitus’ previous portrayal of the man and his character. Tacitus generally portrays Tacitus in a negative light, which is not an uncommon thing for the historian, but several aspects of the anecdotal story do not fit consistently with other aspects which have been noted.</w:t>
      </w:r>
      <w:r w:rsidR="00BC50C9" w:rsidRPr="00EC3511">
        <w:rPr>
          <w:rFonts w:ascii="Times New Roman" w:hAnsi="Times New Roman" w:cs="Times New Roman"/>
          <w:sz w:val="24"/>
          <w:szCs w:val="24"/>
        </w:rPr>
        <w:t xml:space="preserve"> Firstly, the notion of drinking water before the suicide points to a clear headed and sober man, one not driven by ‘Dutch courage’ of partaking in wine.</w:t>
      </w:r>
      <w:r w:rsidR="00BC50C9" w:rsidRPr="00EC3511">
        <w:rPr>
          <w:rStyle w:val="FootnoteReference"/>
          <w:rFonts w:ascii="Times New Roman" w:hAnsi="Times New Roman" w:cs="Times New Roman"/>
          <w:sz w:val="24"/>
          <w:szCs w:val="24"/>
        </w:rPr>
        <w:footnoteReference w:id="31"/>
      </w:r>
      <w:r w:rsidR="00752681" w:rsidRPr="00EC3511">
        <w:rPr>
          <w:rFonts w:ascii="Times New Roman" w:hAnsi="Times New Roman" w:cs="Times New Roman"/>
          <w:sz w:val="24"/>
          <w:szCs w:val="24"/>
        </w:rPr>
        <w:t xml:space="preserve"> This would contrast with the previous characterisation, a man of </w:t>
      </w:r>
      <w:r w:rsidR="00FA5DAF" w:rsidRPr="00EC3511">
        <w:rPr>
          <w:rFonts w:ascii="Times New Roman" w:hAnsi="Times New Roman" w:cs="Times New Roman"/>
          <w:sz w:val="24"/>
          <w:szCs w:val="24"/>
        </w:rPr>
        <w:t>‘</w:t>
      </w:r>
      <w:r w:rsidR="00FA5DAF" w:rsidRPr="00EC3511">
        <w:rPr>
          <w:rFonts w:ascii="Times New Roman" w:hAnsi="Times New Roman" w:cs="Times New Roman"/>
          <w:i/>
          <w:sz w:val="24"/>
          <w:szCs w:val="24"/>
        </w:rPr>
        <w:t>excess and cruelty’</w:t>
      </w:r>
      <w:r w:rsidR="00FA5DAF" w:rsidRPr="00EC3511">
        <w:rPr>
          <w:rFonts w:ascii="Times New Roman" w:hAnsi="Times New Roman" w:cs="Times New Roman"/>
          <w:sz w:val="24"/>
          <w:szCs w:val="24"/>
        </w:rPr>
        <w:t xml:space="preserve">, and indeed Ash states that this would show the characterization of Otho in </w:t>
      </w:r>
      <w:r w:rsidR="00FA5DAF" w:rsidRPr="00EC3511">
        <w:rPr>
          <w:rFonts w:ascii="Times New Roman" w:hAnsi="Times New Roman" w:cs="Times New Roman"/>
          <w:i/>
          <w:sz w:val="24"/>
          <w:szCs w:val="24"/>
        </w:rPr>
        <w:t>Histories</w:t>
      </w:r>
      <w:r w:rsidR="00FA5DAF" w:rsidRPr="00EC3511">
        <w:rPr>
          <w:rFonts w:ascii="Times New Roman" w:hAnsi="Times New Roman" w:cs="Times New Roman"/>
          <w:sz w:val="24"/>
          <w:szCs w:val="24"/>
        </w:rPr>
        <w:t xml:space="preserve"> is perhaps inconsistent at best, as the suicide and its noble portrayal within the </w:t>
      </w:r>
      <w:r w:rsidR="00FA5DAF" w:rsidRPr="00EC3511">
        <w:rPr>
          <w:rFonts w:ascii="Times New Roman" w:hAnsi="Times New Roman" w:cs="Times New Roman"/>
          <w:sz w:val="24"/>
          <w:szCs w:val="24"/>
        </w:rPr>
        <w:lastRenderedPageBreak/>
        <w:t>material is “</w:t>
      </w:r>
      <w:r w:rsidR="00FA5DAF" w:rsidRPr="00EC3511">
        <w:rPr>
          <w:rFonts w:ascii="Times New Roman" w:hAnsi="Times New Roman" w:cs="Times New Roman"/>
          <w:i/>
          <w:sz w:val="24"/>
          <w:szCs w:val="24"/>
        </w:rPr>
        <w:t>too sudden a reversal of his previous personality</w:t>
      </w:r>
      <w:r w:rsidR="00FA5DAF" w:rsidRPr="00EC3511">
        <w:rPr>
          <w:rFonts w:ascii="Times New Roman" w:hAnsi="Times New Roman" w:cs="Times New Roman"/>
          <w:sz w:val="24"/>
          <w:szCs w:val="24"/>
        </w:rPr>
        <w:t>”.</w:t>
      </w:r>
      <w:r w:rsidR="00FA5DAF" w:rsidRPr="00EC3511">
        <w:rPr>
          <w:rStyle w:val="FootnoteReference"/>
          <w:rFonts w:ascii="Times New Roman" w:hAnsi="Times New Roman" w:cs="Times New Roman"/>
          <w:sz w:val="24"/>
          <w:szCs w:val="24"/>
        </w:rPr>
        <w:footnoteReference w:id="32"/>
      </w:r>
      <w:r w:rsidR="00FA5DAF" w:rsidRPr="00EC3511">
        <w:rPr>
          <w:rFonts w:ascii="Times New Roman" w:hAnsi="Times New Roman" w:cs="Times New Roman"/>
          <w:sz w:val="24"/>
          <w:szCs w:val="24"/>
        </w:rPr>
        <w:t xml:space="preserve"> However as Ash also believes, it can also be argued that Tacitus saw the one singular event as an isolated incident, one that was unexplainable or hard to comprehend given Otho and his previous actions and conduct.</w:t>
      </w:r>
      <w:r w:rsidR="00FA5DAF" w:rsidRPr="00EC3511">
        <w:rPr>
          <w:rStyle w:val="FootnoteReference"/>
          <w:rFonts w:ascii="Times New Roman" w:hAnsi="Times New Roman" w:cs="Times New Roman"/>
          <w:sz w:val="24"/>
          <w:szCs w:val="24"/>
        </w:rPr>
        <w:footnoteReference w:id="33"/>
      </w:r>
      <w:r w:rsidR="00FA5DAF" w:rsidRPr="00EC3511">
        <w:rPr>
          <w:rFonts w:ascii="Times New Roman" w:hAnsi="Times New Roman" w:cs="Times New Roman"/>
          <w:sz w:val="24"/>
          <w:szCs w:val="24"/>
        </w:rPr>
        <w:t xml:space="preserve"> However, </w:t>
      </w:r>
      <w:r w:rsidR="00697836" w:rsidRPr="00EC3511">
        <w:rPr>
          <w:rFonts w:ascii="Times New Roman" w:hAnsi="Times New Roman" w:cs="Times New Roman"/>
          <w:sz w:val="24"/>
          <w:szCs w:val="24"/>
        </w:rPr>
        <w:t>this is a point which could show the validity and truthfulness of Tacitus narrative, for given his undoubted beliefs of the man, in his avarice and cruelty, in including a story which goes against the general them</w:t>
      </w:r>
      <w:r w:rsidR="003B6C88" w:rsidRPr="00EC3511">
        <w:rPr>
          <w:rFonts w:ascii="Times New Roman" w:hAnsi="Times New Roman" w:cs="Times New Roman"/>
          <w:sz w:val="24"/>
          <w:szCs w:val="24"/>
        </w:rPr>
        <w:t>e</w:t>
      </w:r>
      <w:r w:rsidR="00697836" w:rsidRPr="00EC3511">
        <w:rPr>
          <w:rFonts w:ascii="Times New Roman" w:hAnsi="Times New Roman" w:cs="Times New Roman"/>
          <w:sz w:val="24"/>
          <w:szCs w:val="24"/>
        </w:rPr>
        <w:t xml:space="preserve"> of his work it shows depth and harkens back to the notion that Tacitus mentioned in his writing of Annals, “</w:t>
      </w:r>
      <w:r w:rsidR="00697836" w:rsidRPr="00EC3511">
        <w:rPr>
          <w:rFonts w:ascii="Times New Roman" w:hAnsi="Times New Roman" w:cs="Times New Roman"/>
          <w:i/>
          <w:sz w:val="24"/>
          <w:szCs w:val="24"/>
        </w:rPr>
        <w:t>to let no</w:t>
      </w:r>
      <w:r w:rsidR="003B6C88" w:rsidRPr="00EC3511">
        <w:rPr>
          <w:rFonts w:ascii="Times New Roman" w:hAnsi="Times New Roman" w:cs="Times New Roman"/>
          <w:i/>
          <w:sz w:val="24"/>
          <w:szCs w:val="24"/>
        </w:rPr>
        <w:t xml:space="preserve"> worthy action be uncommemorated</w:t>
      </w:r>
      <w:r w:rsidR="003B6C88" w:rsidRPr="00EC3511">
        <w:rPr>
          <w:rFonts w:ascii="Times New Roman" w:hAnsi="Times New Roman" w:cs="Times New Roman"/>
          <w:sz w:val="24"/>
          <w:szCs w:val="24"/>
        </w:rPr>
        <w:t>”.</w:t>
      </w:r>
      <w:r w:rsidR="003B6C88" w:rsidRPr="00EC3511">
        <w:rPr>
          <w:rStyle w:val="FootnoteReference"/>
          <w:rFonts w:ascii="Times New Roman" w:hAnsi="Times New Roman" w:cs="Times New Roman"/>
          <w:sz w:val="24"/>
          <w:szCs w:val="24"/>
        </w:rPr>
        <w:footnoteReference w:id="34"/>
      </w:r>
      <w:r w:rsidR="006D3307" w:rsidRPr="00EC3511">
        <w:rPr>
          <w:rFonts w:ascii="Times New Roman" w:hAnsi="Times New Roman" w:cs="Times New Roman"/>
          <w:sz w:val="24"/>
          <w:szCs w:val="24"/>
        </w:rPr>
        <w:t xml:space="preserve"> Therefore, it can be suggested that although Tacitus may not himself believe personally in something, that he is a historian who includes things for the sake of posterity, and not committing the sin of omission when acts do not suit his own personal or political agenda.</w:t>
      </w:r>
      <w:r w:rsidR="000976E0" w:rsidRPr="00EC3511">
        <w:rPr>
          <w:rFonts w:ascii="Times New Roman" w:hAnsi="Times New Roman" w:cs="Times New Roman"/>
          <w:sz w:val="24"/>
          <w:szCs w:val="24"/>
        </w:rPr>
        <w:t xml:space="preserve"> That said then</w:t>
      </w:r>
      <w:r w:rsidR="00203B7A" w:rsidRPr="00EC3511">
        <w:rPr>
          <w:rFonts w:ascii="Times New Roman" w:hAnsi="Times New Roman" w:cs="Times New Roman"/>
          <w:sz w:val="24"/>
          <w:szCs w:val="24"/>
        </w:rPr>
        <w:t>,</w:t>
      </w:r>
      <w:r w:rsidR="000976E0" w:rsidRPr="00EC3511">
        <w:rPr>
          <w:rFonts w:ascii="Times New Roman" w:hAnsi="Times New Roman" w:cs="Times New Roman"/>
          <w:sz w:val="24"/>
          <w:szCs w:val="24"/>
        </w:rPr>
        <w:t xml:space="preserve"> it can further be argued that Tacitus is an effective intermediary of history and shows very limited, if any, bias towards </w:t>
      </w:r>
      <w:r w:rsidR="00F17057" w:rsidRPr="00EC3511">
        <w:rPr>
          <w:rFonts w:ascii="Times New Roman" w:hAnsi="Times New Roman" w:cs="Times New Roman"/>
          <w:sz w:val="24"/>
          <w:szCs w:val="24"/>
        </w:rPr>
        <w:t>any individual or particular narrative.</w:t>
      </w:r>
      <w:r w:rsidR="00203B7A" w:rsidRPr="00EC3511">
        <w:rPr>
          <w:rStyle w:val="FootnoteReference"/>
          <w:rFonts w:ascii="Times New Roman" w:hAnsi="Times New Roman" w:cs="Times New Roman"/>
          <w:sz w:val="24"/>
          <w:szCs w:val="24"/>
        </w:rPr>
        <w:footnoteReference w:id="35"/>
      </w:r>
    </w:p>
    <w:p w:rsidR="006C5A92" w:rsidRPr="00EC3511" w:rsidRDefault="006C5A92" w:rsidP="00EC3511">
      <w:pPr>
        <w:spacing w:line="480" w:lineRule="auto"/>
        <w:rPr>
          <w:rFonts w:ascii="Times New Roman" w:hAnsi="Times New Roman" w:cs="Times New Roman"/>
          <w:sz w:val="24"/>
          <w:szCs w:val="24"/>
        </w:rPr>
      </w:pPr>
    </w:p>
    <w:p w:rsidR="00861F4E" w:rsidRPr="00EC3511" w:rsidRDefault="00861F4E"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r>
      <w:r w:rsidR="007F4F1E" w:rsidRPr="00EC3511">
        <w:rPr>
          <w:rFonts w:ascii="Times New Roman" w:hAnsi="Times New Roman" w:cs="Times New Roman"/>
          <w:sz w:val="24"/>
          <w:szCs w:val="24"/>
        </w:rPr>
        <w:t xml:space="preserve">History in antiquity tended to be written predominantly by those who were involved in public life in some capacity; Plutarch was an ambassador and magistrate, </w:t>
      </w:r>
      <w:r w:rsidR="00163A06" w:rsidRPr="00EC3511">
        <w:rPr>
          <w:rFonts w:ascii="Times New Roman" w:hAnsi="Times New Roman" w:cs="Times New Roman"/>
          <w:sz w:val="24"/>
          <w:szCs w:val="24"/>
        </w:rPr>
        <w:t>Thucydides was an Athenian General, so Tacitus fits into the mould rather accurately</w:t>
      </w:r>
      <w:r w:rsidR="004F22EA" w:rsidRPr="00EC3511">
        <w:rPr>
          <w:rFonts w:ascii="Times New Roman" w:hAnsi="Times New Roman" w:cs="Times New Roman"/>
          <w:sz w:val="24"/>
          <w:szCs w:val="24"/>
        </w:rPr>
        <w:t xml:space="preserve"> given his position as senator, with access to immeasurable documents and personal acquaintances the role gave him access to, being able to record history accurately</w:t>
      </w:r>
      <w:r w:rsidR="00163A06" w:rsidRPr="00EC3511">
        <w:rPr>
          <w:rFonts w:ascii="Times New Roman" w:hAnsi="Times New Roman" w:cs="Times New Roman"/>
          <w:sz w:val="24"/>
          <w:szCs w:val="24"/>
        </w:rPr>
        <w:t>.</w:t>
      </w:r>
      <w:r w:rsidR="00163A06" w:rsidRPr="00EC3511">
        <w:rPr>
          <w:rStyle w:val="FootnoteReference"/>
          <w:rFonts w:ascii="Times New Roman" w:hAnsi="Times New Roman" w:cs="Times New Roman"/>
          <w:sz w:val="24"/>
          <w:szCs w:val="24"/>
        </w:rPr>
        <w:footnoteReference w:id="36"/>
      </w:r>
      <w:r w:rsidR="00163A06" w:rsidRPr="00EC3511">
        <w:rPr>
          <w:rFonts w:ascii="Times New Roman" w:hAnsi="Times New Roman" w:cs="Times New Roman"/>
          <w:sz w:val="24"/>
          <w:szCs w:val="24"/>
        </w:rPr>
        <w:t xml:space="preserve"> This suggests</w:t>
      </w:r>
      <w:r w:rsidR="00790C31" w:rsidRPr="00EC3511">
        <w:rPr>
          <w:rFonts w:ascii="Times New Roman" w:hAnsi="Times New Roman" w:cs="Times New Roman"/>
          <w:sz w:val="24"/>
          <w:szCs w:val="24"/>
        </w:rPr>
        <w:t xml:space="preserve"> then, that Tacitus was </w:t>
      </w:r>
      <w:r w:rsidR="00790C31" w:rsidRPr="00EC3511">
        <w:rPr>
          <w:rFonts w:ascii="Times New Roman" w:hAnsi="Times New Roman" w:cs="Times New Roman"/>
          <w:sz w:val="24"/>
          <w:szCs w:val="24"/>
        </w:rPr>
        <w:lastRenderedPageBreak/>
        <w:t xml:space="preserve">in a position that was affected by the reception of his work, that if it was deemed unfavourable, it would have ramifications of exile or death as was not entirely uncommon at the time. But at least in the account of the year of the four emperors, he appears to write with conviction and includes all for the sake of posterity, however this could be as he had no investment in these men, and it was many years after the events, so it is worth drawing a comparison with another of Tacitus’ works which was </w:t>
      </w:r>
      <w:r w:rsidR="00537A52" w:rsidRPr="00EC3511">
        <w:rPr>
          <w:rFonts w:ascii="Times New Roman" w:hAnsi="Times New Roman" w:cs="Times New Roman"/>
          <w:sz w:val="24"/>
          <w:szCs w:val="24"/>
        </w:rPr>
        <w:t xml:space="preserve">of </w:t>
      </w:r>
      <w:r w:rsidR="00790C31" w:rsidRPr="00EC3511">
        <w:rPr>
          <w:rFonts w:ascii="Times New Roman" w:hAnsi="Times New Roman" w:cs="Times New Roman"/>
          <w:sz w:val="24"/>
          <w:szCs w:val="24"/>
        </w:rPr>
        <w:t xml:space="preserve">a more personal venture, </w:t>
      </w:r>
      <w:r w:rsidR="00790C31" w:rsidRPr="00EC3511">
        <w:rPr>
          <w:rFonts w:ascii="Times New Roman" w:hAnsi="Times New Roman" w:cs="Times New Roman"/>
          <w:i/>
          <w:sz w:val="24"/>
          <w:szCs w:val="24"/>
        </w:rPr>
        <w:t>Agricola</w:t>
      </w:r>
      <w:r w:rsidR="00790C31" w:rsidRPr="00EC3511">
        <w:rPr>
          <w:rFonts w:ascii="Times New Roman" w:hAnsi="Times New Roman" w:cs="Times New Roman"/>
          <w:sz w:val="24"/>
          <w:szCs w:val="24"/>
        </w:rPr>
        <w:t>.</w:t>
      </w:r>
    </w:p>
    <w:p w:rsidR="006C5A92" w:rsidRDefault="00537A52"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r>
    </w:p>
    <w:p w:rsidR="00537A52" w:rsidRPr="00EC3511" w:rsidRDefault="00645B38" w:rsidP="006C5A92">
      <w:pPr>
        <w:spacing w:line="480" w:lineRule="auto"/>
        <w:ind w:firstLine="720"/>
        <w:rPr>
          <w:rFonts w:ascii="Times New Roman" w:hAnsi="Times New Roman" w:cs="Times New Roman"/>
          <w:sz w:val="24"/>
          <w:szCs w:val="24"/>
        </w:rPr>
      </w:pPr>
      <w:r w:rsidRPr="00EC3511">
        <w:rPr>
          <w:rFonts w:ascii="Times New Roman" w:hAnsi="Times New Roman" w:cs="Times New Roman"/>
          <w:sz w:val="24"/>
          <w:szCs w:val="24"/>
        </w:rPr>
        <w:t xml:space="preserve">Gnaeus Julius Agricola was the father-in-law of Tacitus, a Gallo-Roman General who is most notable for the conquest of most of Britain for the Roman Empire, including Wales and the </w:t>
      </w:r>
      <w:r w:rsidR="00F211DB" w:rsidRPr="00EC3511">
        <w:rPr>
          <w:rFonts w:ascii="Times New Roman" w:hAnsi="Times New Roman" w:cs="Times New Roman"/>
          <w:sz w:val="24"/>
          <w:szCs w:val="24"/>
        </w:rPr>
        <w:t>nor</w:t>
      </w:r>
      <w:r w:rsidR="00D701E2" w:rsidRPr="00EC3511">
        <w:rPr>
          <w:rFonts w:ascii="Times New Roman" w:hAnsi="Times New Roman" w:cs="Times New Roman"/>
          <w:sz w:val="24"/>
          <w:szCs w:val="24"/>
        </w:rPr>
        <w:t>thern England against the Brigantes.</w:t>
      </w:r>
      <w:r w:rsidR="00D701E2" w:rsidRPr="00EC3511">
        <w:rPr>
          <w:rStyle w:val="FootnoteReference"/>
          <w:rFonts w:ascii="Times New Roman" w:hAnsi="Times New Roman" w:cs="Times New Roman"/>
          <w:sz w:val="24"/>
          <w:szCs w:val="24"/>
        </w:rPr>
        <w:footnoteReference w:id="37"/>
      </w:r>
      <w:r w:rsidR="004D3E0C" w:rsidRPr="00EC3511">
        <w:rPr>
          <w:rFonts w:ascii="Times New Roman" w:hAnsi="Times New Roman" w:cs="Times New Roman"/>
          <w:i/>
          <w:sz w:val="24"/>
          <w:szCs w:val="24"/>
        </w:rPr>
        <w:t>Agricola</w:t>
      </w:r>
      <w:r w:rsidR="004D3E0C" w:rsidRPr="00EC3511">
        <w:rPr>
          <w:rFonts w:ascii="Times New Roman" w:hAnsi="Times New Roman" w:cs="Times New Roman"/>
          <w:sz w:val="24"/>
          <w:szCs w:val="24"/>
        </w:rPr>
        <w:t xml:space="preserve"> was the first of Tacitus’ historical works</w:t>
      </w:r>
      <w:r w:rsidR="00887ECB" w:rsidRPr="00EC3511">
        <w:rPr>
          <w:rFonts w:ascii="Times New Roman" w:hAnsi="Times New Roman" w:cs="Times New Roman"/>
          <w:sz w:val="24"/>
          <w:szCs w:val="24"/>
        </w:rPr>
        <w:t>, written in AD 98 and therefore not long after the death of Domitian, and by Tacitus account we would believe that it was written at this time as it would not fall foul of the Flavians, to which he owed his beginnings.</w:t>
      </w:r>
      <w:r w:rsidR="00887ECB" w:rsidRPr="00EC3511">
        <w:rPr>
          <w:rStyle w:val="FootnoteReference"/>
          <w:rFonts w:ascii="Times New Roman" w:hAnsi="Times New Roman" w:cs="Times New Roman"/>
          <w:sz w:val="24"/>
          <w:szCs w:val="24"/>
        </w:rPr>
        <w:footnoteReference w:id="38"/>
      </w:r>
      <w:r w:rsidR="0002695D" w:rsidRPr="00EC3511">
        <w:rPr>
          <w:rFonts w:ascii="Times New Roman" w:hAnsi="Times New Roman" w:cs="Times New Roman"/>
          <w:sz w:val="24"/>
          <w:szCs w:val="24"/>
        </w:rPr>
        <w:t xml:space="preserve"> He writes again like he was living in the worst of times under the Flavian Dynasty, and that with Nerva and Trajan a semblance of normality and freedom is returning to the Empire:</w:t>
      </w:r>
    </w:p>
    <w:p w:rsidR="0002695D" w:rsidRPr="00EC3511" w:rsidRDefault="0002695D" w:rsidP="00EC3511">
      <w:pPr>
        <w:spacing w:line="480" w:lineRule="auto"/>
        <w:ind w:left="1417" w:right="1417"/>
        <w:rPr>
          <w:rFonts w:ascii="Times New Roman" w:hAnsi="Times New Roman" w:cs="Times New Roman"/>
          <w:sz w:val="24"/>
          <w:szCs w:val="24"/>
        </w:rPr>
      </w:pPr>
      <w:r w:rsidRPr="00EC3511">
        <w:rPr>
          <w:rFonts w:ascii="Times New Roman" w:hAnsi="Times New Roman" w:cs="Times New Roman"/>
          <w:sz w:val="24"/>
          <w:szCs w:val="24"/>
        </w:rPr>
        <w:t>“</w:t>
      </w:r>
      <w:r w:rsidRPr="00EC3511">
        <w:rPr>
          <w:rFonts w:ascii="Times New Roman" w:hAnsi="Times New Roman" w:cs="Times New Roman"/>
          <w:i/>
          <w:sz w:val="24"/>
          <w:szCs w:val="24"/>
        </w:rPr>
        <w:t xml:space="preserve">…so we witnessed the extreme of servitude, when the informer robbed us of the interchange of speech and hearing. We should have lost memory as well as voice, had it been as easy to forget as to keep silence… Now at last our spirit is returning. And yet, though at the dawn of a most happy age Nerva Cæsar blended things once irreconcilable, sovereignty and freedom, though </w:t>
      </w:r>
      <w:r w:rsidRPr="00EC3511">
        <w:rPr>
          <w:rFonts w:ascii="Times New Roman" w:hAnsi="Times New Roman" w:cs="Times New Roman"/>
          <w:i/>
          <w:sz w:val="24"/>
          <w:szCs w:val="24"/>
        </w:rPr>
        <w:lastRenderedPageBreak/>
        <w:t>Nerva Trajan is now daily augmenting the prosperity of the time”</w:t>
      </w:r>
      <w:r w:rsidRPr="00EC3511">
        <w:rPr>
          <w:rStyle w:val="FootnoteReference"/>
          <w:rFonts w:ascii="Times New Roman" w:hAnsi="Times New Roman" w:cs="Times New Roman"/>
          <w:i/>
          <w:sz w:val="24"/>
          <w:szCs w:val="24"/>
        </w:rPr>
        <w:footnoteReference w:id="39"/>
      </w:r>
    </w:p>
    <w:p w:rsidR="00071E58" w:rsidRPr="00EC3511" w:rsidRDefault="00640C15"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 xml:space="preserve">This again fits the narrative that would follow in </w:t>
      </w:r>
      <w:r w:rsidRPr="00EC3511">
        <w:rPr>
          <w:rFonts w:ascii="Times New Roman" w:hAnsi="Times New Roman" w:cs="Times New Roman"/>
          <w:i/>
          <w:sz w:val="24"/>
          <w:szCs w:val="24"/>
        </w:rPr>
        <w:t>Histories</w:t>
      </w:r>
      <w:r w:rsidRPr="00EC3511">
        <w:rPr>
          <w:rFonts w:ascii="Times New Roman" w:hAnsi="Times New Roman" w:cs="Times New Roman"/>
          <w:sz w:val="24"/>
          <w:szCs w:val="24"/>
        </w:rPr>
        <w:t>, that Tacitus was writing free of restraint and therefore could write a truth for posterity, that whilst he may have thrived under the Flavians, that he too was still limited in his ability to speak freely without fear of reprisal. Indeed in speaking of the character of Agricola, setting out to wrong a crime committed against his mother, he loses no opportunity to be honest about his feelings towards Domitian, a man who he believed to have at best been jealous of Agricola’s achievements in Britain, and at worst the perpetrator of his death in AD 93</w:t>
      </w:r>
      <w:r w:rsidR="00474EFC" w:rsidRPr="00EC3511">
        <w:rPr>
          <w:rStyle w:val="FootnoteReference"/>
          <w:rFonts w:ascii="Times New Roman" w:hAnsi="Times New Roman" w:cs="Times New Roman"/>
          <w:sz w:val="24"/>
          <w:szCs w:val="24"/>
        </w:rPr>
        <w:footnoteReference w:id="40"/>
      </w:r>
      <w:r w:rsidRPr="00EC3511">
        <w:rPr>
          <w:rFonts w:ascii="Times New Roman" w:hAnsi="Times New Roman" w:cs="Times New Roman"/>
          <w:sz w:val="24"/>
          <w:szCs w:val="24"/>
        </w:rPr>
        <w:t>:</w:t>
      </w:r>
    </w:p>
    <w:p w:rsidR="00640C15" w:rsidRPr="00EC3511" w:rsidRDefault="00640C15" w:rsidP="00EC3511">
      <w:pPr>
        <w:spacing w:line="480" w:lineRule="auto"/>
        <w:ind w:left="1417" w:right="1417"/>
        <w:rPr>
          <w:rFonts w:ascii="Times New Roman" w:hAnsi="Times New Roman" w:cs="Times New Roman"/>
          <w:i/>
          <w:sz w:val="24"/>
          <w:szCs w:val="24"/>
        </w:rPr>
      </w:pPr>
      <w:r w:rsidRPr="00EC3511">
        <w:rPr>
          <w:rFonts w:ascii="Times New Roman" w:hAnsi="Times New Roman" w:cs="Times New Roman"/>
          <w:i/>
          <w:sz w:val="24"/>
          <w:szCs w:val="24"/>
        </w:rPr>
        <w:t>“Agricola, who instantly set out to discharge the duties of affection, was overtaken by the tidings that Vespasian was aiming at the throne. He at once joined his party. Vespasian's early policy, and the government of Rome were directed by Mucianus, for Domitian was a mere youth, and from his father's elevation sought only the opportunities of indulgence”</w:t>
      </w:r>
      <w:r w:rsidRPr="00EC3511">
        <w:rPr>
          <w:rStyle w:val="FootnoteReference"/>
          <w:rFonts w:ascii="Times New Roman" w:hAnsi="Times New Roman" w:cs="Times New Roman"/>
          <w:i/>
          <w:sz w:val="24"/>
          <w:szCs w:val="24"/>
        </w:rPr>
        <w:footnoteReference w:id="41"/>
      </w:r>
    </w:p>
    <w:p w:rsidR="00640C15" w:rsidRPr="00EC3511" w:rsidRDefault="00640C15"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r>
      <w:r w:rsidR="00474EFC" w:rsidRPr="00EC3511">
        <w:rPr>
          <w:rFonts w:ascii="Times New Roman" w:hAnsi="Times New Roman" w:cs="Times New Roman"/>
          <w:sz w:val="24"/>
          <w:szCs w:val="24"/>
        </w:rPr>
        <w:t>Arguably, this could</w:t>
      </w:r>
      <w:r w:rsidR="00FE332A" w:rsidRPr="00EC3511">
        <w:rPr>
          <w:rFonts w:ascii="Times New Roman" w:hAnsi="Times New Roman" w:cs="Times New Roman"/>
          <w:sz w:val="24"/>
          <w:szCs w:val="24"/>
        </w:rPr>
        <w:t xml:space="preserve"> also </w:t>
      </w:r>
      <w:r w:rsidR="00474EFC" w:rsidRPr="00EC3511">
        <w:rPr>
          <w:rFonts w:ascii="Times New Roman" w:hAnsi="Times New Roman" w:cs="Times New Roman"/>
          <w:sz w:val="24"/>
          <w:szCs w:val="24"/>
        </w:rPr>
        <w:t xml:space="preserve">be </w:t>
      </w:r>
      <w:r w:rsidR="00FE332A" w:rsidRPr="00EC3511">
        <w:rPr>
          <w:rFonts w:ascii="Times New Roman" w:hAnsi="Times New Roman" w:cs="Times New Roman"/>
          <w:sz w:val="24"/>
          <w:szCs w:val="24"/>
        </w:rPr>
        <w:t>a characterization of Agricola in a negative light, a man blinded by emotion and seek</w:t>
      </w:r>
      <w:r w:rsidR="00474EFC" w:rsidRPr="00EC3511">
        <w:rPr>
          <w:rFonts w:ascii="Times New Roman" w:hAnsi="Times New Roman" w:cs="Times New Roman"/>
          <w:sz w:val="24"/>
          <w:szCs w:val="24"/>
        </w:rPr>
        <w:t xml:space="preserve">ing revenge, which is perhaps a sign that he was seeking to include all aspects of the man in his biography, all those that include human frailty to give an accurate description of the man. Alongside this, we gain another insight into the </w:t>
      </w:r>
      <w:r w:rsidR="006D0D18" w:rsidRPr="00EC3511">
        <w:rPr>
          <w:rFonts w:ascii="Times New Roman" w:hAnsi="Times New Roman" w:cs="Times New Roman"/>
          <w:sz w:val="24"/>
          <w:szCs w:val="24"/>
        </w:rPr>
        <w:t>mind-</w:t>
      </w:r>
      <w:r w:rsidR="00474EFC" w:rsidRPr="00EC3511">
        <w:rPr>
          <w:rFonts w:ascii="Times New Roman" w:hAnsi="Times New Roman" w:cs="Times New Roman"/>
          <w:sz w:val="24"/>
          <w:szCs w:val="24"/>
        </w:rPr>
        <w:t>set of Agricola:</w:t>
      </w:r>
    </w:p>
    <w:p w:rsidR="00474EFC" w:rsidRPr="00EC3511" w:rsidRDefault="00474EFC" w:rsidP="00EC3511">
      <w:pPr>
        <w:spacing w:line="480" w:lineRule="auto"/>
        <w:ind w:left="1417" w:right="1417"/>
        <w:rPr>
          <w:rFonts w:ascii="Times New Roman" w:hAnsi="Times New Roman" w:cs="Times New Roman"/>
          <w:i/>
          <w:sz w:val="24"/>
          <w:szCs w:val="24"/>
        </w:rPr>
      </w:pPr>
      <w:r w:rsidRPr="00EC3511">
        <w:rPr>
          <w:rFonts w:ascii="Times New Roman" w:hAnsi="Times New Roman" w:cs="Times New Roman"/>
          <w:i/>
          <w:sz w:val="24"/>
          <w:szCs w:val="24"/>
        </w:rPr>
        <w:t xml:space="preserve">“Never to enhance his own renown did Agricola boast of his exploits; he always referred his success, as though he were but </w:t>
      </w:r>
      <w:r w:rsidRPr="00EC3511">
        <w:rPr>
          <w:rFonts w:ascii="Times New Roman" w:hAnsi="Times New Roman" w:cs="Times New Roman"/>
          <w:i/>
          <w:sz w:val="24"/>
          <w:szCs w:val="24"/>
        </w:rPr>
        <w:lastRenderedPageBreak/>
        <w:t>an instrument, to his general and director. Thus by his valour in obeying orders and by his modesty of speech he escaped jealousy without losing distinction”</w:t>
      </w:r>
      <w:r w:rsidR="0075118C" w:rsidRPr="00EC3511">
        <w:rPr>
          <w:rStyle w:val="FootnoteReference"/>
          <w:rFonts w:ascii="Times New Roman" w:hAnsi="Times New Roman" w:cs="Times New Roman"/>
          <w:i/>
          <w:sz w:val="24"/>
          <w:szCs w:val="24"/>
        </w:rPr>
        <w:footnoteReference w:id="42"/>
      </w:r>
    </w:p>
    <w:p w:rsidR="0075118C" w:rsidRPr="00EC3511" w:rsidRDefault="0075118C"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t xml:space="preserve">Both of these quotes are telling, in that they portray a man who is loyal to the Empire, selfless in his service whether he agrees with it or not. This is an underlying theme through several of Tacitus’ works; in </w:t>
      </w:r>
      <w:r w:rsidRPr="00EC3511">
        <w:rPr>
          <w:rFonts w:ascii="Times New Roman" w:hAnsi="Times New Roman" w:cs="Times New Roman"/>
          <w:i/>
          <w:sz w:val="24"/>
          <w:szCs w:val="24"/>
        </w:rPr>
        <w:t>Agricola</w:t>
      </w:r>
      <w:r w:rsidRPr="00EC3511">
        <w:rPr>
          <w:rFonts w:ascii="Times New Roman" w:hAnsi="Times New Roman" w:cs="Times New Roman"/>
          <w:sz w:val="24"/>
          <w:szCs w:val="24"/>
        </w:rPr>
        <w:t xml:space="preserve"> it is the service of the man to the Empire that would eventually recall him to Rome and no further position of note, in </w:t>
      </w:r>
      <w:r w:rsidRPr="00EC3511">
        <w:rPr>
          <w:rFonts w:ascii="Times New Roman" w:hAnsi="Times New Roman" w:cs="Times New Roman"/>
          <w:i/>
          <w:sz w:val="24"/>
          <w:szCs w:val="24"/>
        </w:rPr>
        <w:t>Histories</w:t>
      </w:r>
      <w:r w:rsidRPr="00EC3511">
        <w:rPr>
          <w:rFonts w:ascii="Times New Roman" w:hAnsi="Times New Roman" w:cs="Times New Roman"/>
          <w:sz w:val="24"/>
          <w:szCs w:val="24"/>
        </w:rPr>
        <w:t xml:space="preserve"> </w:t>
      </w:r>
      <w:r w:rsidR="00BD2263" w:rsidRPr="00EC3511">
        <w:rPr>
          <w:rFonts w:ascii="Times New Roman" w:hAnsi="Times New Roman" w:cs="Times New Roman"/>
          <w:sz w:val="24"/>
          <w:szCs w:val="24"/>
        </w:rPr>
        <w:t>it is the anti of this, showing that acting selfishly and not for the good of the people has catastrophic and lasting ramifications. This would show that Tacitus saw Agricola and himself as similar people, trying to honour the man with the biography but showing they both had to endure the same thin</w:t>
      </w:r>
      <w:r w:rsidR="004F725C" w:rsidRPr="00EC3511">
        <w:rPr>
          <w:rFonts w:ascii="Times New Roman" w:hAnsi="Times New Roman" w:cs="Times New Roman"/>
          <w:sz w:val="24"/>
          <w:szCs w:val="24"/>
        </w:rPr>
        <w:t>g; t</w:t>
      </w:r>
      <w:r w:rsidR="00BD2263" w:rsidRPr="00EC3511">
        <w:rPr>
          <w:rFonts w:ascii="Times New Roman" w:hAnsi="Times New Roman" w:cs="Times New Roman"/>
          <w:sz w:val="24"/>
          <w:szCs w:val="24"/>
        </w:rPr>
        <w:t>hat whether the principate or state is</w:t>
      </w:r>
      <w:r w:rsidR="004F725C" w:rsidRPr="00EC3511">
        <w:rPr>
          <w:rFonts w:ascii="Times New Roman" w:hAnsi="Times New Roman" w:cs="Times New Roman"/>
          <w:sz w:val="24"/>
          <w:szCs w:val="24"/>
        </w:rPr>
        <w:t xml:space="preserve"> believed</w:t>
      </w:r>
      <w:r w:rsidR="00BD2263" w:rsidRPr="00EC3511">
        <w:rPr>
          <w:rFonts w:ascii="Times New Roman" w:hAnsi="Times New Roman" w:cs="Times New Roman"/>
          <w:sz w:val="24"/>
          <w:szCs w:val="24"/>
        </w:rPr>
        <w:t xml:space="preserve"> just, there are always ways in which a man can be loyal and continue to serve at the pleasure of the people</w:t>
      </w:r>
      <w:r w:rsidR="004F725C" w:rsidRPr="00EC3511">
        <w:rPr>
          <w:rFonts w:ascii="Times New Roman" w:hAnsi="Times New Roman" w:cs="Times New Roman"/>
          <w:sz w:val="24"/>
          <w:szCs w:val="24"/>
        </w:rPr>
        <w:t>, without compromising his own integrity</w:t>
      </w:r>
      <w:r w:rsidR="00BD2263" w:rsidRPr="00EC3511">
        <w:rPr>
          <w:rFonts w:ascii="Times New Roman" w:hAnsi="Times New Roman" w:cs="Times New Roman"/>
          <w:sz w:val="24"/>
          <w:szCs w:val="24"/>
        </w:rPr>
        <w:t>.</w:t>
      </w:r>
      <w:r w:rsidR="00BD2263" w:rsidRPr="00EC3511">
        <w:rPr>
          <w:rStyle w:val="FootnoteReference"/>
          <w:rFonts w:ascii="Times New Roman" w:hAnsi="Times New Roman" w:cs="Times New Roman"/>
          <w:sz w:val="24"/>
          <w:szCs w:val="24"/>
        </w:rPr>
        <w:footnoteReference w:id="43"/>
      </w:r>
      <w:r w:rsidR="004F725C" w:rsidRPr="00EC3511">
        <w:rPr>
          <w:rFonts w:ascii="Times New Roman" w:hAnsi="Times New Roman" w:cs="Times New Roman"/>
          <w:sz w:val="24"/>
          <w:szCs w:val="24"/>
        </w:rPr>
        <w:t xml:space="preserve"> Therefore, in a sense we can argue that Tacitus, in writing </w:t>
      </w:r>
      <w:r w:rsidR="004F725C" w:rsidRPr="00EC3511">
        <w:rPr>
          <w:rFonts w:ascii="Times New Roman" w:hAnsi="Times New Roman" w:cs="Times New Roman"/>
          <w:i/>
          <w:sz w:val="24"/>
          <w:szCs w:val="24"/>
        </w:rPr>
        <w:t>Agricola</w:t>
      </w:r>
      <w:r w:rsidR="004F725C" w:rsidRPr="00EC3511">
        <w:rPr>
          <w:rFonts w:ascii="Times New Roman" w:hAnsi="Times New Roman" w:cs="Times New Roman"/>
          <w:sz w:val="24"/>
          <w:szCs w:val="24"/>
        </w:rPr>
        <w:t xml:space="preserve">, whilst having a personal stake in the man himself, does not shy away from writing to convey the ideal he is trying to produce. This would fit with the motivation behind writing </w:t>
      </w:r>
      <w:r w:rsidR="004F725C" w:rsidRPr="00EC3511">
        <w:rPr>
          <w:rFonts w:ascii="Times New Roman" w:hAnsi="Times New Roman" w:cs="Times New Roman"/>
          <w:i/>
          <w:sz w:val="24"/>
          <w:szCs w:val="24"/>
        </w:rPr>
        <w:t>Histories</w:t>
      </w:r>
      <w:r w:rsidR="004F725C" w:rsidRPr="00EC3511">
        <w:rPr>
          <w:rFonts w:ascii="Times New Roman" w:hAnsi="Times New Roman" w:cs="Times New Roman"/>
          <w:sz w:val="24"/>
          <w:szCs w:val="24"/>
        </w:rPr>
        <w:t>, that the events of the year of the four emperors could be used as a backdrop to show an even more meaningful message to his audience.</w:t>
      </w:r>
    </w:p>
    <w:p w:rsidR="006C5A92" w:rsidRDefault="006D147A"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ab/>
      </w:r>
    </w:p>
    <w:p w:rsidR="006D147A" w:rsidRPr="00EC3511" w:rsidRDefault="006D147A" w:rsidP="006C5A92">
      <w:pPr>
        <w:spacing w:line="480" w:lineRule="auto"/>
        <w:ind w:firstLine="720"/>
        <w:rPr>
          <w:rFonts w:ascii="Times New Roman" w:hAnsi="Times New Roman" w:cs="Times New Roman"/>
          <w:sz w:val="24"/>
          <w:szCs w:val="24"/>
        </w:rPr>
      </w:pPr>
      <w:r w:rsidRPr="00EC3511">
        <w:rPr>
          <w:rFonts w:ascii="Times New Roman" w:hAnsi="Times New Roman" w:cs="Times New Roman"/>
          <w:sz w:val="24"/>
          <w:szCs w:val="24"/>
        </w:rPr>
        <w:t xml:space="preserve">Tacitus has been argued to be the writer of true Roman history, but we can go further and say while this certainly appears to be the case, that he writes a particular narrative meant to convey a particular meaning: To promote Roman ideals, fidelity, honour, and how to </w:t>
      </w:r>
      <w:r w:rsidRPr="00EC3511">
        <w:rPr>
          <w:rFonts w:ascii="Times New Roman" w:hAnsi="Times New Roman" w:cs="Times New Roman"/>
          <w:sz w:val="24"/>
          <w:szCs w:val="24"/>
        </w:rPr>
        <w:lastRenderedPageBreak/>
        <w:t>navigate a world in which these ideals break down.</w:t>
      </w:r>
      <w:r w:rsidRPr="00EC3511">
        <w:rPr>
          <w:rStyle w:val="FootnoteReference"/>
          <w:rFonts w:ascii="Times New Roman" w:hAnsi="Times New Roman" w:cs="Times New Roman"/>
          <w:sz w:val="24"/>
          <w:szCs w:val="24"/>
        </w:rPr>
        <w:footnoteReference w:id="44"/>
      </w:r>
      <w:r w:rsidRPr="00EC3511">
        <w:rPr>
          <w:rFonts w:ascii="Times New Roman" w:hAnsi="Times New Roman" w:cs="Times New Roman"/>
          <w:sz w:val="24"/>
          <w:szCs w:val="24"/>
        </w:rPr>
        <w:t xml:space="preserve"> Indeed in writing that, </w:t>
      </w:r>
      <w:r w:rsidRPr="00EC3511">
        <w:rPr>
          <w:rFonts w:ascii="Times New Roman" w:hAnsi="Times New Roman" w:cs="Times New Roman"/>
          <w:i/>
          <w:sz w:val="24"/>
          <w:szCs w:val="24"/>
        </w:rPr>
        <w:t xml:space="preserve">““…those who profess inviolable truthfulness must speak of all without partiality and without hatred”, </w:t>
      </w:r>
      <w:r w:rsidRPr="00EC3511">
        <w:rPr>
          <w:rFonts w:ascii="Times New Roman" w:hAnsi="Times New Roman" w:cs="Times New Roman"/>
          <w:sz w:val="24"/>
          <w:szCs w:val="24"/>
        </w:rPr>
        <w:t>Tacitus is reinforcing this statement, he is promoting these ideals both from his mouth, and then in the characters of the year AD 69 who he shows do not possess these virtues, but are in fact flawed in their nature.</w:t>
      </w:r>
      <w:r w:rsidRPr="00EC3511">
        <w:rPr>
          <w:rStyle w:val="FootnoteReference"/>
          <w:rFonts w:ascii="Times New Roman" w:hAnsi="Times New Roman" w:cs="Times New Roman"/>
          <w:sz w:val="24"/>
          <w:szCs w:val="24"/>
        </w:rPr>
        <w:footnoteReference w:id="45"/>
      </w:r>
      <w:r w:rsidRPr="00EC3511">
        <w:rPr>
          <w:rFonts w:ascii="Times New Roman" w:hAnsi="Times New Roman" w:cs="Times New Roman"/>
          <w:sz w:val="24"/>
          <w:szCs w:val="24"/>
        </w:rPr>
        <w:t xml:space="preserve"> In terms of </w:t>
      </w:r>
      <w:r w:rsidRPr="00EC3511">
        <w:rPr>
          <w:rFonts w:ascii="Times New Roman" w:hAnsi="Times New Roman" w:cs="Times New Roman"/>
          <w:i/>
          <w:sz w:val="24"/>
          <w:szCs w:val="24"/>
        </w:rPr>
        <w:t xml:space="preserve">Agricola </w:t>
      </w:r>
      <w:r w:rsidRPr="00EC3511">
        <w:rPr>
          <w:rFonts w:ascii="Times New Roman" w:hAnsi="Times New Roman" w:cs="Times New Roman"/>
          <w:sz w:val="24"/>
          <w:szCs w:val="24"/>
        </w:rPr>
        <w:t xml:space="preserve">and </w:t>
      </w:r>
      <w:r w:rsidRPr="00EC3511">
        <w:rPr>
          <w:rFonts w:ascii="Times New Roman" w:hAnsi="Times New Roman" w:cs="Times New Roman"/>
          <w:i/>
          <w:sz w:val="24"/>
          <w:szCs w:val="24"/>
        </w:rPr>
        <w:t>Annals</w:t>
      </w:r>
      <w:r w:rsidRPr="00EC3511">
        <w:rPr>
          <w:rFonts w:ascii="Times New Roman" w:hAnsi="Times New Roman" w:cs="Times New Roman"/>
          <w:sz w:val="24"/>
          <w:szCs w:val="24"/>
        </w:rPr>
        <w:t>, he again shows these same values in his writing, “</w:t>
      </w:r>
      <w:r w:rsidRPr="00EC3511">
        <w:rPr>
          <w:rFonts w:ascii="Times New Roman" w:hAnsi="Times New Roman" w:cs="Times New Roman"/>
          <w:i/>
          <w:sz w:val="24"/>
          <w:szCs w:val="24"/>
        </w:rPr>
        <w:t>to let no worthy action be uncommemorated, and to hold out the reprobation of posterity as a terror to evil words and deeds</w:t>
      </w:r>
      <w:r w:rsidRPr="00EC3511">
        <w:rPr>
          <w:rFonts w:ascii="Times New Roman" w:hAnsi="Times New Roman" w:cs="Times New Roman"/>
          <w:sz w:val="24"/>
          <w:szCs w:val="24"/>
        </w:rPr>
        <w:t>”.</w:t>
      </w:r>
      <w:r w:rsidRPr="00EC3511">
        <w:rPr>
          <w:rStyle w:val="FootnoteReference"/>
          <w:rFonts w:ascii="Times New Roman" w:hAnsi="Times New Roman" w:cs="Times New Roman"/>
          <w:sz w:val="24"/>
          <w:szCs w:val="24"/>
        </w:rPr>
        <w:footnoteReference w:id="46"/>
      </w:r>
      <w:r w:rsidRPr="00EC3511">
        <w:rPr>
          <w:rFonts w:ascii="Times New Roman" w:hAnsi="Times New Roman" w:cs="Times New Roman"/>
          <w:sz w:val="24"/>
          <w:szCs w:val="24"/>
        </w:rPr>
        <w:t xml:space="preserve"> In the former, whilst having a personal relationship with the man, he does not hold back on any worthy action that needs to be recorded, positive or negative, </w:t>
      </w:r>
      <w:r w:rsidR="006D0D18" w:rsidRPr="00EC3511">
        <w:rPr>
          <w:rFonts w:ascii="Times New Roman" w:hAnsi="Times New Roman" w:cs="Times New Roman"/>
          <w:sz w:val="24"/>
          <w:szCs w:val="24"/>
        </w:rPr>
        <w:t>all in the pursuance of showing that service to the state is the honourable thing to do when it is asked of you, as many did during the Flavian period, including the later Emperor, Trajan.</w:t>
      </w:r>
      <w:r w:rsidR="006D0D18" w:rsidRPr="00EC3511">
        <w:rPr>
          <w:rStyle w:val="FootnoteReference"/>
          <w:rFonts w:ascii="Times New Roman" w:hAnsi="Times New Roman" w:cs="Times New Roman"/>
          <w:sz w:val="24"/>
          <w:szCs w:val="24"/>
        </w:rPr>
        <w:footnoteReference w:id="47"/>
      </w:r>
      <w:r w:rsidR="006D0D18" w:rsidRPr="00EC3511">
        <w:rPr>
          <w:rFonts w:ascii="Times New Roman" w:hAnsi="Times New Roman" w:cs="Times New Roman"/>
          <w:sz w:val="24"/>
          <w:szCs w:val="24"/>
        </w:rPr>
        <w:t xml:space="preserve"> Therefore, whilst we can argue that the historical narrative is on the whole one of the fullest accounts we have to engage with, it does come with an agenda, an end goal if you will. This does not detract from its academic value by any means, it just means that while we can suggest that, while he has the framework there and arguably is the model for true Roman history, </w:t>
      </w:r>
      <w:r w:rsidR="006D0D18" w:rsidRPr="00EC3511">
        <w:rPr>
          <w:rFonts w:ascii="Times New Roman" w:hAnsi="Times New Roman" w:cs="Times New Roman"/>
          <w:i/>
          <w:sz w:val="24"/>
          <w:szCs w:val="24"/>
        </w:rPr>
        <w:t>Histories</w:t>
      </w:r>
      <w:r w:rsidR="006D0D18" w:rsidRPr="00EC3511">
        <w:rPr>
          <w:rFonts w:ascii="Times New Roman" w:hAnsi="Times New Roman" w:cs="Times New Roman"/>
          <w:sz w:val="24"/>
          <w:szCs w:val="24"/>
        </w:rPr>
        <w:t xml:space="preserve"> and his other works need to be read with the mind-set of where Tacitus was trying to take his audience: To a Rome that does not lose its ideals, and with a populace and elite that have the knowhow from history to know how to put it right should they ever fall into civil war or tyranny again.</w:t>
      </w:r>
    </w:p>
    <w:p w:rsidR="008C316E" w:rsidRPr="00EC3511" w:rsidRDefault="008C316E" w:rsidP="00EC3511">
      <w:pPr>
        <w:spacing w:line="480" w:lineRule="auto"/>
        <w:rPr>
          <w:rFonts w:ascii="Times New Roman" w:hAnsi="Times New Roman" w:cs="Times New Roman"/>
          <w:sz w:val="24"/>
          <w:szCs w:val="24"/>
        </w:rPr>
      </w:pPr>
    </w:p>
    <w:p w:rsidR="008C316E" w:rsidRPr="00EC3511" w:rsidRDefault="008C316E" w:rsidP="00EC3511">
      <w:pPr>
        <w:spacing w:line="480" w:lineRule="auto"/>
        <w:rPr>
          <w:rFonts w:ascii="Times New Roman" w:hAnsi="Times New Roman" w:cs="Times New Roman"/>
          <w:sz w:val="24"/>
          <w:szCs w:val="24"/>
        </w:rPr>
      </w:pPr>
    </w:p>
    <w:p w:rsidR="006C5A92" w:rsidRDefault="008C316E" w:rsidP="00EC3511">
      <w:pPr>
        <w:spacing w:line="480" w:lineRule="auto"/>
        <w:rPr>
          <w:rFonts w:ascii="Times New Roman" w:hAnsi="Times New Roman" w:cs="Times New Roman"/>
          <w:sz w:val="24"/>
          <w:szCs w:val="24"/>
        </w:rPr>
      </w:pPr>
      <w:r w:rsidRPr="00EC3511">
        <w:rPr>
          <w:rFonts w:ascii="Times New Roman" w:hAnsi="Times New Roman" w:cs="Times New Roman"/>
          <w:b/>
          <w:sz w:val="24"/>
          <w:szCs w:val="24"/>
        </w:rPr>
        <w:t>Word Count</w:t>
      </w:r>
      <w:r w:rsidRPr="00EC3511">
        <w:rPr>
          <w:rFonts w:ascii="Times New Roman" w:hAnsi="Times New Roman" w:cs="Times New Roman"/>
          <w:b/>
          <w:i/>
          <w:sz w:val="24"/>
          <w:szCs w:val="24"/>
        </w:rPr>
        <w:t xml:space="preserve">: </w:t>
      </w:r>
      <w:r w:rsidR="00A81887" w:rsidRPr="00EC3511">
        <w:rPr>
          <w:rFonts w:ascii="Times New Roman" w:hAnsi="Times New Roman" w:cs="Times New Roman"/>
          <w:sz w:val="24"/>
          <w:szCs w:val="24"/>
        </w:rPr>
        <w:t>4,986</w:t>
      </w:r>
    </w:p>
    <w:p w:rsidR="00244CD8" w:rsidRPr="006C5A92" w:rsidRDefault="00244CD8" w:rsidP="00EC3511">
      <w:pPr>
        <w:spacing w:line="480" w:lineRule="auto"/>
        <w:rPr>
          <w:rFonts w:ascii="Times New Roman" w:hAnsi="Times New Roman" w:cs="Times New Roman"/>
          <w:sz w:val="24"/>
          <w:szCs w:val="24"/>
        </w:rPr>
      </w:pPr>
      <w:r w:rsidRPr="00EC3511">
        <w:rPr>
          <w:rFonts w:ascii="Times New Roman" w:hAnsi="Times New Roman" w:cs="Times New Roman"/>
          <w:b/>
          <w:sz w:val="24"/>
          <w:szCs w:val="24"/>
        </w:rPr>
        <w:lastRenderedPageBreak/>
        <w:t>Bibliography:</w:t>
      </w:r>
    </w:p>
    <w:p w:rsidR="00244CD8" w:rsidRPr="00EC3511" w:rsidRDefault="00244CD8" w:rsidP="00EC3511">
      <w:pPr>
        <w:spacing w:line="480" w:lineRule="auto"/>
        <w:rPr>
          <w:rFonts w:ascii="Times New Roman" w:hAnsi="Times New Roman" w:cs="Times New Roman"/>
          <w:sz w:val="24"/>
          <w:szCs w:val="24"/>
        </w:rPr>
      </w:pPr>
    </w:p>
    <w:p w:rsidR="00244CD8" w:rsidRPr="00EC3511" w:rsidRDefault="00244CD8" w:rsidP="00EC3511">
      <w:pPr>
        <w:spacing w:line="480" w:lineRule="auto"/>
        <w:rPr>
          <w:rFonts w:ascii="Times New Roman" w:hAnsi="Times New Roman" w:cs="Times New Roman"/>
          <w:b/>
          <w:sz w:val="24"/>
          <w:szCs w:val="24"/>
        </w:rPr>
      </w:pPr>
      <w:r w:rsidRPr="00EC3511">
        <w:rPr>
          <w:rFonts w:ascii="Times New Roman" w:hAnsi="Times New Roman" w:cs="Times New Roman"/>
          <w:b/>
          <w:sz w:val="24"/>
          <w:szCs w:val="24"/>
        </w:rPr>
        <w:t>Ancient:</w:t>
      </w:r>
    </w:p>
    <w:p w:rsidR="00807520" w:rsidRPr="00EC3511" w:rsidRDefault="00807520" w:rsidP="00EC3511">
      <w:pPr>
        <w:spacing w:line="480" w:lineRule="auto"/>
        <w:rPr>
          <w:rFonts w:ascii="Times New Roman" w:hAnsi="Times New Roman" w:cs="Times New Roman"/>
          <w:sz w:val="24"/>
          <w:szCs w:val="24"/>
        </w:rPr>
      </w:pPr>
    </w:p>
    <w:p w:rsidR="00007D8A" w:rsidRPr="00EC3511" w:rsidRDefault="00007D8A"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Cassius Dio, </w:t>
      </w:r>
      <w:r w:rsidRPr="00EC3511">
        <w:rPr>
          <w:rFonts w:ascii="Times New Roman" w:hAnsi="Times New Roman" w:cs="Times New Roman"/>
          <w:i/>
          <w:sz w:val="24"/>
          <w:szCs w:val="24"/>
        </w:rPr>
        <w:t>Roman History</w:t>
      </w:r>
      <w:r w:rsidRPr="00EC3511">
        <w:rPr>
          <w:rFonts w:ascii="Times New Roman" w:hAnsi="Times New Roman" w:cs="Times New Roman"/>
          <w:sz w:val="24"/>
          <w:szCs w:val="24"/>
        </w:rPr>
        <w:t xml:space="preserve"> (1914-25) Trans. Cary, E., London, Loeb Classical Library.</w:t>
      </w:r>
    </w:p>
    <w:p w:rsidR="0050591B" w:rsidRPr="00EC3511" w:rsidRDefault="0050591B"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Plutarch</w:t>
      </w:r>
      <w:r w:rsidR="00A11E4B" w:rsidRPr="00EC3511">
        <w:rPr>
          <w:rFonts w:ascii="Times New Roman" w:hAnsi="Times New Roman" w:cs="Times New Roman"/>
          <w:sz w:val="24"/>
          <w:szCs w:val="24"/>
        </w:rPr>
        <w:t xml:space="preserve">, </w:t>
      </w:r>
      <w:r w:rsidR="00A11E4B" w:rsidRPr="00EC3511">
        <w:rPr>
          <w:rFonts w:ascii="Times New Roman" w:hAnsi="Times New Roman" w:cs="Times New Roman"/>
          <w:i/>
          <w:sz w:val="24"/>
          <w:szCs w:val="24"/>
        </w:rPr>
        <w:t>Plutarch: Lives of Galba and Otho: A Companion and Translation</w:t>
      </w:r>
      <w:r w:rsidR="00A11E4B" w:rsidRPr="00EC3511">
        <w:rPr>
          <w:rFonts w:ascii="Times New Roman" w:hAnsi="Times New Roman" w:cs="Times New Roman"/>
          <w:sz w:val="24"/>
          <w:szCs w:val="24"/>
        </w:rPr>
        <w:t xml:space="preserve"> (1994) Trans. Ehrhardt, C., Little, D., London, Bloomsbury.</w:t>
      </w:r>
    </w:p>
    <w:p w:rsidR="00A77DFF" w:rsidRPr="00EC3511" w:rsidRDefault="00A77DFF"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Sophocles, </w:t>
      </w:r>
      <w:r w:rsidRPr="00EC3511">
        <w:rPr>
          <w:rFonts w:ascii="Times New Roman" w:hAnsi="Times New Roman" w:cs="Times New Roman"/>
          <w:i/>
          <w:sz w:val="24"/>
          <w:szCs w:val="24"/>
        </w:rPr>
        <w:t>Antigone</w:t>
      </w:r>
      <w:r w:rsidRPr="00EC3511">
        <w:rPr>
          <w:rFonts w:ascii="Times New Roman" w:hAnsi="Times New Roman" w:cs="Times New Roman"/>
          <w:sz w:val="24"/>
          <w:szCs w:val="24"/>
        </w:rPr>
        <w:t xml:space="preserve"> (2003) Trans. Franklin, D., Harrison, J., Easterling, P. E., Cambridge, Cambridge University.</w:t>
      </w:r>
    </w:p>
    <w:p w:rsidR="00807520" w:rsidRPr="00EC3511" w:rsidRDefault="00807520"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Suetonius</w:t>
      </w:r>
      <w:r w:rsidR="00264F8E" w:rsidRPr="00EC3511">
        <w:rPr>
          <w:rFonts w:ascii="Times New Roman" w:hAnsi="Times New Roman" w:cs="Times New Roman"/>
          <w:sz w:val="24"/>
          <w:szCs w:val="24"/>
        </w:rPr>
        <w:t xml:space="preserve">, </w:t>
      </w:r>
      <w:r w:rsidR="00264F8E" w:rsidRPr="00EC3511">
        <w:rPr>
          <w:rFonts w:ascii="Times New Roman" w:hAnsi="Times New Roman" w:cs="Times New Roman"/>
          <w:i/>
          <w:sz w:val="24"/>
          <w:szCs w:val="24"/>
        </w:rPr>
        <w:t>The Lives of the Twelve Caesars</w:t>
      </w:r>
      <w:r w:rsidR="00264F8E" w:rsidRPr="00EC3511">
        <w:rPr>
          <w:rFonts w:ascii="Times New Roman" w:hAnsi="Times New Roman" w:cs="Times New Roman"/>
          <w:sz w:val="24"/>
          <w:szCs w:val="24"/>
        </w:rPr>
        <w:t xml:space="preserve"> (1914) London, Loeb Classical Library. </w:t>
      </w:r>
    </w:p>
    <w:p w:rsidR="0050591B" w:rsidRPr="00EC3511" w:rsidRDefault="0050591B"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Tacitus, </w:t>
      </w:r>
      <w:r w:rsidR="00A11E4B" w:rsidRPr="00EC3511">
        <w:rPr>
          <w:rFonts w:ascii="Times New Roman" w:hAnsi="Times New Roman" w:cs="Times New Roman"/>
          <w:i/>
          <w:sz w:val="24"/>
          <w:szCs w:val="24"/>
        </w:rPr>
        <w:t>The Life of Cnæus Julius Agricola</w:t>
      </w:r>
      <w:r w:rsidR="00A11E4B" w:rsidRPr="00EC3511">
        <w:rPr>
          <w:rFonts w:ascii="Times New Roman" w:hAnsi="Times New Roman" w:cs="Times New Roman"/>
          <w:sz w:val="24"/>
          <w:szCs w:val="24"/>
        </w:rPr>
        <w:t xml:space="preserve"> (1876) Trans. Brodribb, W. J. and Church, A. J., London, Macmillan And Co.</w:t>
      </w:r>
    </w:p>
    <w:p w:rsidR="00752681" w:rsidRPr="00EC3511" w:rsidRDefault="00007D8A"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Tacitus,</w:t>
      </w:r>
      <w:r w:rsidRPr="00EC3511">
        <w:rPr>
          <w:rFonts w:ascii="Times New Roman" w:hAnsi="Times New Roman" w:cs="Times New Roman"/>
          <w:i/>
          <w:sz w:val="24"/>
          <w:szCs w:val="24"/>
        </w:rPr>
        <w:t xml:space="preserve"> Annals</w:t>
      </w:r>
      <w:r w:rsidRPr="00EC3511">
        <w:rPr>
          <w:rFonts w:ascii="Times New Roman" w:hAnsi="Times New Roman" w:cs="Times New Roman"/>
          <w:sz w:val="24"/>
          <w:szCs w:val="24"/>
        </w:rPr>
        <w:t xml:space="preserve"> </w:t>
      </w:r>
      <w:r w:rsidR="005163CA" w:rsidRPr="00EC3511">
        <w:rPr>
          <w:rFonts w:ascii="Times New Roman" w:hAnsi="Times New Roman" w:cs="Times New Roman"/>
          <w:i/>
          <w:sz w:val="24"/>
          <w:szCs w:val="24"/>
        </w:rPr>
        <w:t>of Tacitus</w:t>
      </w:r>
      <w:r w:rsidR="005163CA" w:rsidRPr="00EC3511">
        <w:rPr>
          <w:rFonts w:ascii="Times New Roman" w:hAnsi="Times New Roman" w:cs="Times New Roman"/>
          <w:sz w:val="24"/>
          <w:szCs w:val="24"/>
        </w:rPr>
        <w:t xml:space="preserve"> (1876) Trans. Brodribb, W. J. and Church, A. J., London, Macmillan And Co.</w:t>
      </w:r>
    </w:p>
    <w:p w:rsidR="00807520" w:rsidRPr="00EC3511" w:rsidRDefault="00807520"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Tacitus, </w:t>
      </w:r>
      <w:r w:rsidR="00A11E4B" w:rsidRPr="00EC3511">
        <w:rPr>
          <w:rFonts w:ascii="Times New Roman" w:hAnsi="Times New Roman" w:cs="Times New Roman"/>
          <w:i/>
          <w:sz w:val="24"/>
          <w:szCs w:val="24"/>
        </w:rPr>
        <w:t>The History</w:t>
      </w:r>
      <w:r w:rsidR="00A11E4B" w:rsidRPr="00EC3511">
        <w:rPr>
          <w:rFonts w:ascii="Times New Roman" w:hAnsi="Times New Roman" w:cs="Times New Roman"/>
          <w:sz w:val="24"/>
          <w:szCs w:val="24"/>
        </w:rPr>
        <w:t xml:space="preserve"> (1873) Trans. Brodribb, W. J. and Church, A. J., London, Macmillan And Co.</w:t>
      </w:r>
    </w:p>
    <w:p w:rsidR="009F4026" w:rsidRDefault="009F4026" w:rsidP="00EC3511">
      <w:pPr>
        <w:spacing w:line="480" w:lineRule="auto"/>
        <w:rPr>
          <w:rFonts w:ascii="Times New Roman" w:hAnsi="Times New Roman" w:cs="Times New Roman"/>
          <w:sz w:val="24"/>
          <w:szCs w:val="24"/>
        </w:rPr>
      </w:pPr>
    </w:p>
    <w:p w:rsidR="00624FCB" w:rsidRDefault="00244CD8" w:rsidP="00EC3511">
      <w:pPr>
        <w:spacing w:line="480" w:lineRule="auto"/>
        <w:rPr>
          <w:rFonts w:ascii="Times New Roman" w:hAnsi="Times New Roman" w:cs="Times New Roman"/>
          <w:b/>
          <w:sz w:val="24"/>
          <w:szCs w:val="24"/>
        </w:rPr>
      </w:pPr>
      <w:r w:rsidRPr="00EC3511">
        <w:rPr>
          <w:rFonts w:ascii="Times New Roman" w:hAnsi="Times New Roman" w:cs="Times New Roman"/>
          <w:b/>
          <w:sz w:val="24"/>
          <w:szCs w:val="24"/>
        </w:rPr>
        <w:t>Modern:</w:t>
      </w:r>
    </w:p>
    <w:p w:rsidR="009F4026" w:rsidRPr="009F4026" w:rsidRDefault="009F4026" w:rsidP="00EC3511">
      <w:pPr>
        <w:spacing w:line="480" w:lineRule="auto"/>
        <w:rPr>
          <w:rFonts w:ascii="Times New Roman" w:hAnsi="Times New Roman" w:cs="Times New Roman"/>
          <w:b/>
          <w:sz w:val="24"/>
          <w:szCs w:val="24"/>
        </w:rPr>
      </w:pPr>
    </w:p>
    <w:p w:rsidR="00624FCB" w:rsidRPr="00EC3511" w:rsidRDefault="00624FCB"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lastRenderedPageBreak/>
        <w:t xml:space="preserve">Ash, R. (1999) </w:t>
      </w:r>
      <w:r w:rsidRPr="00EC3511">
        <w:rPr>
          <w:rFonts w:ascii="Times New Roman" w:hAnsi="Times New Roman" w:cs="Times New Roman"/>
          <w:i/>
          <w:sz w:val="24"/>
          <w:szCs w:val="24"/>
        </w:rPr>
        <w:t>Ordering Anarchy: Armies and Leaders in Tacitus' Histories</w:t>
      </w:r>
      <w:r w:rsidRPr="00EC3511">
        <w:rPr>
          <w:rFonts w:ascii="Times New Roman" w:hAnsi="Times New Roman" w:cs="Times New Roman"/>
          <w:sz w:val="24"/>
          <w:szCs w:val="24"/>
        </w:rPr>
        <w:t>, London, Duckworth.</w:t>
      </w:r>
    </w:p>
    <w:p w:rsidR="00760B06" w:rsidRPr="00EC3511" w:rsidRDefault="00760B06"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Bartera, S. (2013) Review of Joseph, T., </w:t>
      </w:r>
      <w:r w:rsidRPr="00EC3511">
        <w:rPr>
          <w:rFonts w:ascii="Times New Roman" w:hAnsi="Times New Roman" w:cs="Times New Roman"/>
          <w:i/>
          <w:sz w:val="24"/>
          <w:szCs w:val="24"/>
        </w:rPr>
        <w:t>Tacitus the Epic Successor: Virgil, Lucan, and the Narrative of Civil War in the Histories</w:t>
      </w:r>
      <w:r w:rsidRPr="00EC3511">
        <w:rPr>
          <w:rFonts w:ascii="Times New Roman" w:hAnsi="Times New Roman" w:cs="Times New Roman"/>
          <w:sz w:val="24"/>
          <w:szCs w:val="24"/>
        </w:rPr>
        <w:t xml:space="preserve">, Bryn Mawr Classical Review, [Online] </w:t>
      </w:r>
      <w:hyperlink r:id="rId7" w:history="1">
        <w:r w:rsidRPr="00EC3511">
          <w:rPr>
            <w:rStyle w:val="Hyperlink"/>
            <w:rFonts w:ascii="Times New Roman" w:hAnsi="Times New Roman" w:cs="Times New Roman"/>
            <w:sz w:val="24"/>
            <w:szCs w:val="24"/>
          </w:rPr>
          <w:t>http://www.bmcreview.org/2013/05/20130517.html</w:t>
        </w:r>
      </w:hyperlink>
      <w:r w:rsidRPr="00EC3511">
        <w:rPr>
          <w:rFonts w:ascii="Times New Roman" w:hAnsi="Times New Roman" w:cs="Times New Roman"/>
          <w:sz w:val="24"/>
          <w:szCs w:val="24"/>
        </w:rPr>
        <w:t xml:space="preserve"> [Accessed on: 08 January 2018].</w:t>
      </w:r>
    </w:p>
    <w:p w:rsidR="00163A06" w:rsidRPr="00EC3511" w:rsidRDefault="00163A06"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Benario, H. W. (1975) </w:t>
      </w:r>
      <w:r w:rsidRPr="00EC3511">
        <w:rPr>
          <w:rFonts w:ascii="Times New Roman" w:hAnsi="Times New Roman" w:cs="Times New Roman"/>
          <w:i/>
          <w:sz w:val="24"/>
          <w:szCs w:val="24"/>
        </w:rPr>
        <w:t>An Introduction to Tacitus</w:t>
      </w:r>
      <w:r w:rsidRPr="00EC3511">
        <w:rPr>
          <w:rFonts w:ascii="Times New Roman" w:hAnsi="Times New Roman" w:cs="Times New Roman"/>
          <w:sz w:val="24"/>
          <w:szCs w:val="24"/>
        </w:rPr>
        <w:t>, Athens, University of Georgia.</w:t>
      </w:r>
    </w:p>
    <w:p w:rsidR="00203B7A" w:rsidRPr="00EC3511" w:rsidRDefault="00203B7A"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Evans, </w:t>
      </w:r>
      <w:r w:rsidR="006E53CA" w:rsidRPr="00EC3511">
        <w:rPr>
          <w:rFonts w:ascii="Times New Roman" w:hAnsi="Times New Roman" w:cs="Times New Roman"/>
          <w:sz w:val="24"/>
          <w:szCs w:val="24"/>
        </w:rPr>
        <w:t xml:space="preserve">R. (2018) </w:t>
      </w:r>
      <w:r w:rsidR="006E53CA" w:rsidRPr="00EC3511">
        <w:rPr>
          <w:rFonts w:ascii="Times New Roman" w:hAnsi="Times New Roman" w:cs="Times New Roman"/>
          <w:i/>
          <w:sz w:val="24"/>
          <w:szCs w:val="24"/>
        </w:rPr>
        <w:t>Heroism Tragedy Farce: Tacitus’ Account of the Death of Two Emperors in AD 69</w:t>
      </w:r>
      <w:r w:rsidR="006E53CA" w:rsidRPr="00EC3511">
        <w:rPr>
          <w:rFonts w:ascii="Times New Roman" w:hAnsi="Times New Roman" w:cs="Times New Roman"/>
          <w:sz w:val="24"/>
          <w:szCs w:val="24"/>
        </w:rPr>
        <w:t xml:space="preserve">, </w:t>
      </w:r>
      <w:r w:rsidR="003625D0" w:rsidRPr="00EC3511">
        <w:rPr>
          <w:rFonts w:ascii="Times New Roman" w:hAnsi="Times New Roman" w:cs="Times New Roman"/>
          <w:sz w:val="24"/>
          <w:szCs w:val="24"/>
        </w:rPr>
        <w:t xml:space="preserve">Academia.edu, [Online] </w:t>
      </w:r>
      <w:hyperlink r:id="rId8" w:history="1">
        <w:r w:rsidR="003625D0" w:rsidRPr="00EC3511">
          <w:rPr>
            <w:rStyle w:val="Hyperlink"/>
            <w:rFonts w:ascii="Times New Roman" w:hAnsi="Times New Roman" w:cs="Times New Roman"/>
            <w:sz w:val="24"/>
            <w:szCs w:val="24"/>
          </w:rPr>
          <w:t>https://www.academia.edu/6242707/Heroism_Tragedy_Farce_Tacitus_Account_of_the_Deaths_of_Two_Emperors_in_AD_69</w:t>
        </w:r>
      </w:hyperlink>
      <w:r w:rsidR="003625D0" w:rsidRPr="00EC3511">
        <w:rPr>
          <w:rFonts w:ascii="Times New Roman" w:hAnsi="Times New Roman" w:cs="Times New Roman"/>
          <w:sz w:val="24"/>
          <w:szCs w:val="24"/>
        </w:rPr>
        <w:t xml:space="preserve"> [Accessed on: 20 May 2018]</w:t>
      </w:r>
      <w:r w:rsidR="00760B06" w:rsidRPr="00EC3511">
        <w:rPr>
          <w:rFonts w:ascii="Times New Roman" w:hAnsi="Times New Roman" w:cs="Times New Roman"/>
          <w:sz w:val="24"/>
          <w:szCs w:val="24"/>
        </w:rPr>
        <w:t>.</w:t>
      </w:r>
    </w:p>
    <w:p w:rsidR="00244CD8" w:rsidRPr="00EC3511" w:rsidRDefault="00B243D2"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G</w:t>
      </w:r>
      <w:r w:rsidR="00624FCB" w:rsidRPr="00EC3511">
        <w:rPr>
          <w:rFonts w:ascii="Times New Roman" w:hAnsi="Times New Roman" w:cs="Times New Roman"/>
          <w:sz w:val="24"/>
          <w:szCs w:val="24"/>
        </w:rPr>
        <w:t xml:space="preserve">reenhalgh, P. A. L. (1975) </w:t>
      </w:r>
      <w:r w:rsidR="00624FCB" w:rsidRPr="00EC3511">
        <w:rPr>
          <w:rFonts w:ascii="Times New Roman" w:hAnsi="Times New Roman" w:cs="Times New Roman"/>
          <w:i/>
          <w:sz w:val="24"/>
          <w:szCs w:val="24"/>
        </w:rPr>
        <w:t>The Year of the Four E</w:t>
      </w:r>
      <w:r w:rsidRPr="00EC3511">
        <w:rPr>
          <w:rFonts w:ascii="Times New Roman" w:hAnsi="Times New Roman" w:cs="Times New Roman"/>
          <w:i/>
          <w:sz w:val="24"/>
          <w:szCs w:val="24"/>
        </w:rPr>
        <w:t>mperors</w:t>
      </w:r>
      <w:r w:rsidRPr="00EC3511">
        <w:rPr>
          <w:rFonts w:ascii="Times New Roman" w:hAnsi="Times New Roman" w:cs="Times New Roman"/>
          <w:sz w:val="24"/>
          <w:szCs w:val="24"/>
        </w:rPr>
        <w:t>, London, Weidenfeld and Nicolson.</w:t>
      </w:r>
    </w:p>
    <w:p w:rsidR="002E10AA" w:rsidRPr="00EC3511" w:rsidRDefault="002E10AA"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Joseph, T. (2012a) </w:t>
      </w:r>
      <w:r w:rsidRPr="00EC3511">
        <w:rPr>
          <w:rFonts w:ascii="Times New Roman" w:hAnsi="Times New Roman" w:cs="Times New Roman"/>
          <w:i/>
          <w:sz w:val="24"/>
          <w:szCs w:val="24"/>
        </w:rPr>
        <w:t>Tacitus the Epic Successor: Virgil, Lucan, and the Narrative of Civil War in the Histories</w:t>
      </w:r>
      <w:r w:rsidRPr="00EC3511">
        <w:rPr>
          <w:rFonts w:ascii="Times New Roman" w:hAnsi="Times New Roman" w:cs="Times New Roman"/>
          <w:sz w:val="24"/>
          <w:szCs w:val="24"/>
        </w:rPr>
        <w:t>. Mnemosyne Supplements. Monographs on Greek and Latin Language and Literature, 345. Leiden; Boston: Brill. Pp. xi, 215.</w:t>
      </w:r>
    </w:p>
    <w:p w:rsidR="00FD62B5" w:rsidRPr="00EC3511" w:rsidRDefault="00FD62B5"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Joseph, T. (2012</w:t>
      </w:r>
      <w:r w:rsidR="002E10AA" w:rsidRPr="00EC3511">
        <w:rPr>
          <w:rFonts w:ascii="Times New Roman" w:hAnsi="Times New Roman" w:cs="Times New Roman"/>
          <w:sz w:val="24"/>
          <w:szCs w:val="24"/>
        </w:rPr>
        <w:t>b</w:t>
      </w:r>
      <w:r w:rsidRPr="00EC3511">
        <w:rPr>
          <w:rFonts w:ascii="Times New Roman" w:hAnsi="Times New Roman" w:cs="Times New Roman"/>
          <w:sz w:val="24"/>
          <w:szCs w:val="24"/>
        </w:rPr>
        <w:t xml:space="preserve">) </w:t>
      </w:r>
      <w:r w:rsidRPr="00EC3511">
        <w:rPr>
          <w:rFonts w:ascii="Times New Roman" w:hAnsi="Times New Roman" w:cs="Times New Roman"/>
          <w:i/>
          <w:sz w:val="24"/>
          <w:szCs w:val="24"/>
        </w:rPr>
        <w:t>Repetita bellorum civilium memoria: in Tacitus, Histories I.50</w:t>
      </w:r>
      <w:r w:rsidRPr="00EC3511">
        <w:rPr>
          <w:rFonts w:ascii="Times New Roman" w:hAnsi="Times New Roman" w:cs="Times New Roman"/>
          <w:sz w:val="24"/>
          <w:szCs w:val="24"/>
        </w:rPr>
        <w:t>, in Time and Narrative in Ancient Historiography: The ‘Plupast' from Herodotus to Appian, Grethlein, J. and Krebs, C. (Eds.) Cambridge, Cambridge University.</w:t>
      </w:r>
    </w:p>
    <w:p w:rsidR="00244CD8" w:rsidRPr="00EC3511" w:rsidRDefault="00BF0136"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Livius (2015) </w:t>
      </w:r>
      <w:r w:rsidRPr="00EC3511">
        <w:rPr>
          <w:rFonts w:ascii="Times New Roman" w:hAnsi="Times New Roman" w:cs="Times New Roman"/>
          <w:i/>
          <w:sz w:val="24"/>
          <w:szCs w:val="24"/>
        </w:rPr>
        <w:t>Tacitus</w:t>
      </w:r>
      <w:r w:rsidRPr="00EC3511">
        <w:rPr>
          <w:rFonts w:ascii="Times New Roman" w:hAnsi="Times New Roman" w:cs="Times New Roman"/>
          <w:sz w:val="24"/>
          <w:szCs w:val="24"/>
        </w:rPr>
        <w:t xml:space="preserve"> [Online] http://www.livius.org/articles/person/tacitus/ [Accessed on: 08 January 2018].</w:t>
      </w:r>
    </w:p>
    <w:p w:rsidR="0050591B" w:rsidRPr="00EC3511" w:rsidRDefault="0050591B"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Martin, R. H. (1981) </w:t>
      </w:r>
      <w:r w:rsidRPr="00EC3511">
        <w:rPr>
          <w:rFonts w:ascii="Times New Roman" w:hAnsi="Times New Roman" w:cs="Times New Roman"/>
          <w:i/>
          <w:sz w:val="24"/>
          <w:szCs w:val="24"/>
        </w:rPr>
        <w:t>Tacitus and the Writing of History</w:t>
      </w:r>
      <w:r w:rsidRPr="00EC3511">
        <w:rPr>
          <w:rFonts w:ascii="Times New Roman" w:hAnsi="Times New Roman" w:cs="Times New Roman"/>
          <w:sz w:val="24"/>
          <w:szCs w:val="24"/>
        </w:rPr>
        <w:t>, Berkeley, University of California.</w:t>
      </w:r>
    </w:p>
    <w:p w:rsidR="00AE1997" w:rsidRPr="00EC3511" w:rsidRDefault="00AE1997"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lastRenderedPageBreak/>
        <w:t>Perki</w:t>
      </w:r>
      <w:bookmarkStart w:id="0" w:name="_GoBack"/>
      <w:bookmarkEnd w:id="0"/>
      <w:r w:rsidRPr="00EC3511">
        <w:rPr>
          <w:rFonts w:ascii="Times New Roman" w:hAnsi="Times New Roman" w:cs="Times New Roman"/>
          <w:sz w:val="24"/>
          <w:szCs w:val="24"/>
        </w:rPr>
        <w:t xml:space="preserve">ns, C. A. (1993) </w:t>
      </w:r>
      <w:r w:rsidRPr="00EC3511">
        <w:rPr>
          <w:rFonts w:ascii="Times New Roman" w:hAnsi="Times New Roman" w:cs="Times New Roman"/>
          <w:i/>
          <w:sz w:val="24"/>
          <w:szCs w:val="24"/>
        </w:rPr>
        <w:t>Tacitus on Otho</w:t>
      </w:r>
      <w:r w:rsidRPr="00EC3511">
        <w:rPr>
          <w:rFonts w:ascii="Times New Roman" w:hAnsi="Times New Roman" w:cs="Times New Roman"/>
          <w:sz w:val="24"/>
          <w:szCs w:val="24"/>
        </w:rPr>
        <w:t>, Latomus, vol. 52, no. 4, Pp. 848–855. JSTOR, JSTOR, www.jstor.org/stable/41536785.</w:t>
      </w:r>
    </w:p>
    <w:p w:rsidR="00315E93" w:rsidRPr="00EC3511" w:rsidRDefault="00315E93"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Reasoner, M. (2013) </w:t>
      </w:r>
      <w:r w:rsidRPr="00EC3511">
        <w:rPr>
          <w:rFonts w:ascii="Times New Roman" w:hAnsi="Times New Roman" w:cs="Times New Roman"/>
          <w:i/>
          <w:sz w:val="24"/>
          <w:szCs w:val="24"/>
        </w:rPr>
        <w:t>Year of the Four Emperors</w:t>
      </w:r>
      <w:r w:rsidRPr="00EC3511">
        <w:rPr>
          <w:rFonts w:ascii="Times New Roman" w:hAnsi="Times New Roman" w:cs="Times New Roman"/>
          <w:sz w:val="24"/>
          <w:szCs w:val="24"/>
        </w:rPr>
        <w:t>, in Roman Imperial Texts: A Sourcebook, Augsburg Fortress, Minneapolis, Pp. 77–78. JSTOR, www.jstor.org/stable/j.ctt22nm6v4.13.</w:t>
      </w:r>
    </w:p>
    <w:p w:rsidR="00071E58" w:rsidRPr="00EC3511" w:rsidRDefault="00B243D2"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Reid, J. S. (1921) </w:t>
      </w:r>
      <w:r w:rsidRPr="00EC3511">
        <w:rPr>
          <w:rFonts w:ascii="Times New Roman" w:hAnsi="Times New Roman" w:cs="Times New Roman"/>
          <w:i/>
          <w:sz w:val="24"/>
          <w:szCs w:val="24"/>
        </w:rPr>
        <w:t>Tacitus as a Historian</w:t>
      </w:r>
      <w:r w:rsidRPr="00EC3511">
        <w:rPr>
          <w:rFonts w:ascii="Times New Roman" w:hAnsi="Times New Roman" w:cs="Times New Roman"/>
          <w:sz w:val="24"/>
          <w:szCs w:val="24"/>
        </w:rPr>
        <w:t>,</w:t>
      </w:r>
      <w:r w:rsidR="00BF0136" w:rsidRPr="00EC3511">
        <w:rPr>
          <w:rFonts w:ascii="Times New Roman" w:hAnsi="Times New Roman" w:cs="Times New Roman"/>
          <w:sz w:val="24"/>
          <w:szCs w:val="24"/>
        </w:rPr>
        <w:t xml:space="preserve"> The Journal </w:t>
      </w:r>
      <w:r w:rsidRPr="00EC3511">
        <w:rPr>
          <w:rFonts w:ascii="Times New Roman" w:hAnsi="Times New Roman" w:cs="Times New Roman"/>
          <w:sz w:val="24"/>
          <w:szCs w:val="24"/>
        </w:rPr>
        <w:t>of Roman Studies, vol. 11, pp. 191–199.</w:t>
      </w:r>
      <w:r w:rsidR="00BF0136" w:rsidRPr="00EC3511">
        <w:rPr>
          <w:rFonts w:ascii="Times New Roman" w:hAnsi="Times New Roman" w:cs="Times New Roman"/>
          <w:sz w:val="24"/>
          <w:szCs w:val="24"/>
        </w:rPr>
        <w:t xml:space="preserve"> JSTOR, </w:t>
      </w:r>
      <w:hyperlink r:id="rId9" w:history="1">
        <w:r w:rsidR="00652834" w:rsidRPr="00EC3511">
          <w:rPr>
            <w:rStyle w:val="Hyperlink"/>
            <w:rFonts w:ascii="Times New Roman" w:hAnsi="Times New Roman" w:cs="Times New Roman"/>
            <w:sz w:val="24"/>
            <w:szCs w:val="24"/>
          </w:rPr>
          <w:t>www.jstor.org/stable/295902</w:t>
        </w:r>
      </w:hyperlink>
      <w:r w:rsidR="00BF0136" w:rsidRPr="00EC3511">
        <w:rPr>
          <w:rFonts w:ascii="Times New Roman" w:hAnsi="Times New Roman" w:cs="Times New Roman"/>
          <w:sz w:val="24"/>
          <w:szCs w:val="24"/>
        </w:rPr>
        <w:t>.</w:t>
      </w:r>
    </w:p>
    <w:p w:rsidR="00A11E4B" w:rsidRPr="00EC3511" w:rsidRDefault="00A11E4B"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Shochat, Y (1981) </w:t>
      </w:r>
      <w:r w:rsidRPr="00EC3511">
        <w:rPr>
          <w:rFonts w:ascii="Times New Roman" w:hAnsi="Times New Roman" w:cs="Times New Roman"/>
          <w:i/>
          <w:sz w:val="24"/>
          <w:szCs w:val="24"/>
        </w:rPr>
        <w:t>Tacitus’ Attitude to Otho</w:t>
      </w:r>
      <w:r w:rsidRPr="00EC3511">
        <w:rPr>
          <w:rFonts w:ascii="Times New Roman" w:hAnsi="Times New Roman" w:cs="Times New Roman"/>
          <w:sz w:val="24"/>
          <w:szCs w:val="24"/>
        </w:rPr>
        <w:t>, Latomus 40, Pp. 365-77</w:t>
      </w:r>
      <w:r w:rsidR="00AE1997" w:rsidRPr="00EC3511">
        <w:rPr>
          <w:rFonts w:ascii="Times New Roman" w:hAnsi="Times New Roman" w:cs="Times New Roman"/>
          <w:sz w:val="24"/>
          <w:szCs w:val="24"/>
        </w:rPr>
        <w:t xml:space="preserve">, JSTOR, www.jstor.org/stable/41532078. </w:t>
      </w:r>
      <w:r w:rsidRPr="00EC3511">
        <w:rPr>
          <w:rFonts w:ascii="Times New Roman" w:hAnsi="Times New Roman" w:cs="Times New Roman"/>
          <w:sz w:val="24"/>
          <w:szCs w:val="24"/>
        </w:rPr>
        <w:t>.</w:t>
      </w:r>
    </w:p>
    <w:p w:rsidR="00652834" w:rsidRPr="00EC3511" w:rsidRDefault="00652834"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Syme, R. (1958)</w:t>
      </w:r>
      <w:r w:rsidRPr="00EC3511">
        <w:rPr>
          <w:rFonts w:ascii="Times New Roman" w:hAnsi="Times New Roman" w:cs="Times New Roman"/>
          <w:i/>
          <w:sz w:val="24"/>
          <w:szCs w:val="24"/>
        </w:rPr>
        <w:t xml:space="preserve"> Tacitus</w:t>
      </w:r>
      <w:r w:rsidRPr="00EC3511">
        <w:rPr>
          <w:rFonts w:ascii="Times New Roman" w:hAnsi="Times New Roman" w:cs="Times New Roman"/>
          <w:sz w:val="24"/>
          <w:szCs w:val="24"/>
        </w:rPr>
        <w:t>, London, Clarenden Press.</w:t>
      </w:r>
    </w:p>
    <w:p w:rsidR="00224555" w:rsidRPr="00EC3511" w:rsidRDefault="00224555"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Turpin, W. (2008) </w:t>
      </w:r>
      <w:r w:rsidRPr="00EC3511">
        <w:rPr>
          <w:rFonts w:ascii="Times New Roman" w:hAnsi="Times New Roman" w:cs="Times New Roman"/>
          <w:i/>
          <w:sz w:val="24"/>
          <w:szCs w:val="24"/>
        </w:rPr>
        <w:t>Tacitus, Stoic Exempla, and the Praecipuum Munus Annalium</w:t>
      </w:r>
      <w:r w:rsidRPr="00EC3511">
        <w:rPr>
          <w:rFonts w:ascii="Times New Roman" w:hAnsi="Times New Roman" w:cs="Times New Roman"/>
          <w:sz w:val="24"/>
          <w:szCs w:val="24"/>
        </w:rPr>
        <w:t xml:space="preserve">, Classical Antiquity, vol. 27, no. 2, Pp. 359–404. JSTOR, </w:t>
      </w:r>
      <w:hyperlink r:id="rId10" w:history="1">
        <w:r w:rsidRPr="00EC3511">
          <w:rPr>
            <w:rStyle w:val="Hyperlink"/>
            <w:rFonts w:ascii="Times New Roman" w:hAnsi="Times New Roman" w:cs="Times New Roman"/>
            <w:sz w:val="24"/>
            <w:szCs w:val="24"/>
          </w:rPr>
          <w:t>www.jstor.org/stable/10.1525/ca.2008.27.2.359</w:t>
        </w:r>
      </w:hyperlink>
      <w:r w:rsidR="006E53CA" w:rsidRPr="00EC3511">
        <w:rPr>
          <w:rFonts w:ascii="Times New Roman" w:hAnsi="Times New Roman" w:cs="Times New Roman"/>
          <w:sz w:val="24"/>
          <w:szCs w:val="24"/>
        </w:rPr>
        <w:t>.</w:t>
      </w:r>
    </w:p>
    <w:p w:rsidR="006E53CA" w:rsidRPr="00B8429A" w:rsidRDefault="006E53CA" w:rsidP="00EC3511">
      <w:pPr>
        <w:spacing w:line="480" w:lineRule="auto"/>
        <w:rPr>
          <w:rFonts w:ascii="Times New Roman" w:hAnsi="Times New Roman" w:cs="Times New Roman"/>
          <w:sz w:val="24"/>
          <w:szCs w:val="24"/>
        </w:rPr>
      </w:pPr>
      <w:r w:rsidRPr="00EC3511">
        <w:rPr>
          <w:rFonts w:ascii="Times New Roman" w:hAnsi="Times New Roman" w:cs="Times New Roman"/>
          <w:sz w:val="24"/>
          <w:szCs w:val="24"/>
        </w:rPr>
        <w:t xml:space="preserve">Walker, B. (1952) </w:t>
      </w:r>
      <w:r w:rsidR="00B8429A" w:rsidRPr="00EC3511">
        <w:rPr>
          <w:rFonts w:ascii="Times New Roman" w:hAnsi="Times New Roman" w:cs="Times New Roman"/>
          <w:i/>
          <w:sz w:val="24"/>
          <w:szCs w:val="24"/>
        </w:rPr>
        <w:t xml:space="preserve">The Annals of Tacitus: A Study in the Writing of History, </w:t>
      </w:r>
      <w:r w:rsidR="00B8429A" w:rsidRPr="00EC3511">
        <w:rPr>
          <w:rFonts w:ascii="Times New Roman" w:hAnsi="Times New Roman" w:cs="Times New Roman"/>
          <w:sz w:val="24"/>
          <w:szCs w:val="24"/>
        </w:rPr>
        <w:t>Manchester, Manchester</w:t>
      </w:r>
      <w:r w:rsidR="00B8429A" w:rsidRPr="00B8429A">
        <w:rPr>
          <w:rFonts w:ascii="Times New Roman" w:hAnsi="Times New Roman" w:cs="Times New Roman"/>
          <w:sz w:val="24"/>
          <w:szCs w:val="24"/>
        </w:rPr>
        <w:t xml:space="preserve"> University.</w:t>
      </w:r>
    </w:p>
    <w:sectPr w:rsidR="006E53CA" w:rsidRPr="00B8429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19C" w:rsidRDefault="007F719C" w:rsidP="007F719C">
      <w:pPr>
        <w:spacing w:after="0" w:line="240" w:lineRule="auto"/>
      </w:pPr>
      <w:r>
        <w:separator/>
      </w:r>
    </w:p>
  </w:endnote>
  <w:endnote w:type="continuationSeparator" w:id="0">
    <w:p w:rsidR="007F719C" w:rsidRDefault="007F719C" w:rsidP="007F7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2343479"/>
      <w:docPartObj>
        <w:docPartGallery w:val="Page Numbers (Bottom of Page)"/>
        <w:docPartUnique/>
      </w:docPartObj>
    </w:sdtPr>
    <w:sdtEndPr>
      <w:rPr>
        <w:noProof/>
      </w:rPr>
    </w:sdtEndPr>
    <w:sdtContent>
      <w:p w:rsidR="00203B7A" w:rsidRDefault="00203B7A">
        <w:pPr>
          <w:pStyle w:val="Footer"/>
          <w:jc w:val="center"/>
        </w:pPr>
        <w:r>
          <w:fldChar w:fldCharType="begin"/>
        </w:r>
        <w:r>
          <w:instrText xml:space="preserve"> PAGE   \* MERGEFORMAT </w:instrText>
        </w:r>
        <w:r>
          <w:fldChar w:fldCharType="separate"/>
        </w:r>
        <w:r w:rsidR="009F4026">
          <w:rPr>
            <w:noProof/>
          </w:rPr>
          <w:t>16</w:t>
        </w:r>
        <w:r>
          <w:rPr>
            <w:noProof/>
          </w:rPr>
          <w:fldChar w:fldCharType="end"/>
        </w:r>
      </w:p>
    </w:sdtContent>
  </w:sdt>
  <w:p w:rsidR="007F719C" w:rsidRDefault="007F71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19C" w:rsidRDefault="007F719C" w:rsidP="007F719C">
      <w:pPr>
        <w:spacing w:after="0" w:line="240" w:lineRule="auto"/>
      </w:pPr>
      <w:r>
        <w:separator/>
      </w:r>
    </w:p>
  </w:footnote>
  <w:footnote w:type="continuationSeparator" w:id="0">
    <w:p w:rsidR="007F719C" w:rsidRDefault="007F719C" w:rsidP="007F719C">
      <w:pPr>
        <w:spacing w:after="0" w:line="240" w:lineRule="auto"/>
      </w:pPr>
      <w:r>
        <w:continuationSeparator/>
      </w:r>
    </w:p>
  </w:footnote>
  <w:footnote w:id="1">
    <w:p w:rsidR="00661D1B" w:rsidRPr="00661D1B" w:rsidRDefault="00661D1B">
      <w:pPr>
        <w:pStyle w:val="FootnoteText"/>
      </w:pPr>
      <w:r>
        <w:rPr>
          <w:rStyle w:val="FootnoteReference"/>
        </w:rPr>
        <w:footnoteRef/>
      </w:r>
      <w:r>
        <w:t xml:space="preserve"> Tac. </w:t>
      </w:r>
      <w:r>
        <w:rPr>
          <w:i/>
        </w:rPr>
        <w:t>Hist.</w:t>
      </w:r>
      <w:r w:rsidR="00B82843">
        <w:t xml:space="preserve"> 1.2</w:t>
      </w:r>
    </w:p>
  </w:footnote>
  <w:footnote w:id="2">
    <w:p w:rsidR="00244CD8" w:rsidRDefault="00244CD8">
      <w:pPr>
        <w:pStyle w:val="FootnoteText"/>
      </w:pPr>
      <w:r>
        <w:rPr>
          <w:rStyle w:val="FootnoteReference"/>
        </w:rPr>
        <w:footnoteRef/>
      </w:r>
      <w:r>
        <w:t xml:space="preserve"> Livius, 2015.</w:t>
      </w:r>
    </w:p>
  </w:footnote>
  <w:footnote w:id="3">
    <w:p w:rsidR="00244CD8" w:rsidRDefault="00244CD8">
      <w:pPr>
        <w:pStyle w:val="FootnoteText"/>
      </w:pPr>
      <w:r>
        <w:rPr>
          <w:rStyle w:val="FootnoteReference"/>
        </w:rPr>
        <w:footnoteRef/>
      </w:r>
      <w:r>
        <w:t xml:space="preserve"> Livius, 2015.</w:t>
      </w:r>
    </w:p>
  </w:footnote>
  <w:footnote w:id="4">
    <w:p w:rsidR="0050591B" w:rsidRPr="0050591B" w:rsidRDefault="0050591B">
      <w:pPr>
        <w:pStyle w:val="FootnoteText"/>
      </w:pPr>
      <w:r>
        <w:rPr>
          <w:rStyle w:val="FootnoteReference"/>
        </w:rPr>
        <w:footnoteRef/>
      </w:r>
      <w:r>
        <w:t xml:space="preserve"> </w:t>
      </w:r>
      <w:r>
        <w:rPr>
          <w:i/>
        </w:rPr>
        <w:t>Histories</w:t>
      </w:r>
      <w:r>
        <w:t xml:space="preserve"> is a chronicle, written between AD 100 and 110 by Tacitus. It covers the time period from the events after Nero’s downfall, The Year of the Four Emperors, right up until the end of the Flavian Dynasty, with the death of Domitian in AD 96, see Martin, 1981, Pp. 104-5.</w:t>
      </w:r>
    </w:p>
  </w:footnote>
  <w:footnote w:id="5">
    <w:p w:rsidR="00315E93" w:rsidRDefault="00315E93">
      <w:pPr>
        <w:pStyle w:val="FootnoteText"/>
      </w:pPr>
      <w:r>
        <w:rPr>
          <w:rStyle w:val="FootnoteReference"/>
        </w:rPr>
        <w:footnoteRef/>
      </w:r>
      <w:r>
        <w:t xml:space="preserve"> Reasoner, 2013, Pp. 77-8.</w:t>
      </w:r>
    </w:p>
  </w:footnote>
  <w:footnote w:id="6">
    <w:p w:rsidR="00313538" w:rsidRPr="00313538" w:rsidRDefault="00313538">
      <w:pPr>
        <w:pStyle w:val="FootnoteText"/>
      </w:pPr>
      <w:r>
        <w:rPr>
          <w:rStyle w:val="FootnoteReference"/>
        </w:rPr>
        <w:footnoteRef/>
      </w:r>
      <w:r>
        <w:t xml:space="preserve"> Tac. </w:t>
      </w:r>
      <w:r>
        <w:rPr>
          <w:i/>
        </w:rPr>
        <w:t>Hist</w:t>
      </w:r>
      <w:r w:rsidR="00B82843">
        <w:t>. 1.2</w:t>
      </w:r>
      <w:r>
        <w:t>.</w:t>
      </w:r>
    </w:p>
  </w:footnote>
  <w:footnote w:id="7">
    <w:p w:rsidR="004F276E" w:rsidRDefault="004F276E">
      <w:pPr>
        <w:pStyle w:val="FootnoteText"/>
      </w:pPr>
      <w:r>
        <w:rPr>
          <w:rStyle w:val="FootnoteReference"/>
        </w:rPr>
        <w:footnoteRef/>
      </w:r>
      <w:r w:rsidR="00BF0136">
        <w:t xml:space="preserve"> Reid</w:t>
      </w:r>
      <w:r>
        <w:t>, 1921, Pg. 191.</w:t>
      </w:r>
    </w:p>
  </w:footnote>
  <w:footnote w:id="8">
    <w:p w:rsidR="00A33A43" w:rsidRPr="00BD454D" w:rsidRDefault="00A33A43">
      <w:pPr>
        <w:pStyle w:val="FootnoteText"/>
      </w:pPr>
      <w:r>
        <w:rPr>
          <w:rStyle w:val="FootnoteReference"/>
        </w:rPr>
        <w:footnoteRef/>
      </w:r>
      <w:r>
        <w:t xml:space="preserve"> The focus being t</w:t>
      </w:r>
      <w:r w:rsidR="00275D67">
        <w:t xml:space="preserve">o look at Tacitus alongside </w:t>
      </w:r>
      <w:r>
        <w:t>other writers born in a same two decade period, Juvenal and Lucan</w:t>
      </w:r>
      <w:r w:rsidR="00275D67">
        <w:t xml:space="preserve"> amongst others</w:t>
      </w:r>
      <w:r>
        <w:t>, given the similar upbringings and</w:t>
      </w:r>
      <w:r w:rsidR="00275D67">
        <w:t xml:space="preserve"> social climate in the same political age</w:t>
      </w:r>
      <w:r w:rsidR="00BD454D">
        <w:t xml:space="preserve"> (despite Lucans death before the events in </w:t>
      </w:r>
      <w:r w:rsidR="00BD454D">
        <w:rPr>
          <w:i/>
        </w:rPr>
        <w:t>Histories</w:t>
      </w:r>
      <w:r w:rsidR="00BD454D">
        <w:t>)</w:t>
      </w:r>
      <w:r w:rsidR="00275D67">
        <w:t>.</w:t>
      </w:r>
    </w:p>
  </w:footnote>
  <w:footnote w:id="9">
    <w:p w:rsidR="00FB0074" w:rsidRPr="004D3E0C" w:rsidRDefault="00FB0074">
      <w:pPr>
        <w:pStyle w:val="FootnoteText"/>
        <w:rPr>
          <w:i/>
        </w:rPr>
      </w:pPr>
      <w:r>
        <w:rPr>
          <w:rStyle w:val="FootnoteReference"/>
        </w:rPr>
        <w:footnoteRef/>
      </w:r>
      <w:r>
        <w:t xml:space="preserve"> Cas. Dio. </w:t>
      </w:r>
      <w:r>
        <w:rPr>
          <w:i/>
        </w:rPr>
        <w:t>His</w:t>
      </w:r>
      <w:r>
        <w:t>.; Suet.</w:t>
      </w:r>
      <w:r w:rsidR="004D3E0C">
        <w:t xml:space="preserve"> </w:t>
      </w:r>
      <w:r w:rsidR="004D3E0C">
        <w:rPr>
          <w:i/>
        </w:rPr>
        <w:t xml:space="preserve">Gal.; </w:t>
      </w:r>
      <w:r w:rsidR="004D3E0C">
        <w:t xml:space="preserve">Suet, </w:t>
      </w:r>
      <w:r w:rsidR="004D3E0C">
        <w:rPr>
          <w:i/>
        </w:rPr>
        <w:t>Oth.</w:t>
      </w:r>
    </w:p>
  </w:footnote>
  <w:footnote w:id="10">
    <w:p w:rsidR="00007D8A" w:rsidRPr="00007D8A" w:rsidRDefault="00007D8A">
      <w:pPr>
        <w:pStyle w:val="FootnoteText"/>
      </w:pPr>
      <w:r>
        <w:rPr>
          <w:rStyle w:val="FootnoteReference"/>
        </w:rPr>
        <w:footnoteRef/>
      </w:r>
      <w:r>
        <w:t xml:space="preserve"> Tac. </w:t>
      </w:r>
      <w:r>
        <w:rPr>
          <w:i/>
        </w:rPr>
        <w:t xml:space="preserve">Ann. </w:t>
      </w:r>
      <w:r>
        <w:t>3.65</w:t>
      </w:r>
    </w:p>
  </w:footnote>
  <w:footnote w:id="11">
    <w:p w:rsidR="00871B69" w:rsidRPr="00871B69" w:rsidRDefault="00871B69">
      <w:pPr>
        <w:pStyle w:val="FootnoteText"/>
        <w:rPr>
          <w:i/>
        </w:rPr>
      </w:pPr>
      <w:r>
        <w:rPr>
          <w:rStyle w:val="FootnoteReference"/>
        </w:rPr>
        <w:footnoteRef/>
      </w:r>
      <w:r>
        <w:t xml:space="preserve"> Tac. </w:t>
      </w:r>
      <w:r>
        <w:rPr>
          <w:i/>
        </w:rPr>
        <w:t>Hist. 1.2.</w:t>
      </w:r>
    </w:p>
  </w:footnote>
  <w:footnote w:id="12">
    <w:p w:rsidR="005E5C71" w:rsidRPr="00C203E2" w:rsidRDefault="005E5C71" w:rsidP="005E5C71">
      <w:pPr>
        <w:pStyle w:val="FootnoteText"/>
      </w:pPr>
      <w:r>
        <w:rPr>
          <w:rStyle w:val="FootnoteReference"/>
        </w:rPr>
        <w:footnoteRef/>
      </w:r>
      <w:r>
        <w:t xml:space="preserve"> Tac. </w:t>
      </w:r>
      <w:r>
        <w:rPr>
          <w:i/>
        </w:rPr>
        <w:t>Ann.</w:t>
      </w:r>
      <w:r>
        <w:t xml:space="preserve"> 1.72.2-4; Tac. </w:t>
      </w:r>
      <w:r>
        <w:rPr>
          <w:i/>
        </w:rPr>
        <w:t>Hist. 2.38</w:t>
      </w:r>
      <w:r>
        <w:t>.</w:t>
      </w:r>
    </w:p>
  </w:footnote>
  <w:footnote w:id="13">
    <w:p w:rsidR="005E5C71" w:rsidRPr="00C203E2" w:rsidRDefault="005E5C71" w:rsidP="005E5C71">
      <w:pPr>
        <w:pStyle w:val="FootnoteText"/>
      </w:pPr>
      <w:r>
        <w:rPr>
          <w:rStyle w:val="FootnoteReference"/>
        </w:rPr>
        <w:footnoteRef/>
      </w:r>
      <w:r>
        <w:t xml:space="preserve"> Tac. </w:t>
      </w:r>
      <w:r>
        <w:rPr>
          <w:i/>
        </w:rPr>
        <w:t>Hist.</w:t>
      </w:r>
      <w:r>
        <w:t xml:space="preserve"> 2.38</w:t>
      </w:r>
    </w:p>
  </w:footnote>
  <w:footnote w:id="14">
    <w:p w:rsidR="005E5C71" w:rsidRPr="00C203E2" w:rsidRDefault="005E5C71" w:rsidP="005E5C71">
      <w:pPr>
        <w:pStyle w:val="FootnoteText"/>
      </w:pPr>
      <w:r>
        <w:rPr>
          <w:rStyle w:val="FootnoteReference"/>
        </w:rPr>
        <w:footnoteRef/>
      </w:r>
      <w:r>
        <w:t xml:space="preserve"> Joseph, 2012</w:t>
      </w:r>
      <w:r w:rsidR="002E10AA">
        <w:t>b</w:t>
      </w:r>
      <w:r>
        <w:t xml:space="preserve">, Pg. 156; Tac. </w:t>
      </w:r>
      <w:r>
        <w:rPr>
          <w:i/>
        </w:rPr>
        <w:t xml:space="preserve">Hist. </w:t>
      </w:r>
      <w:r>
        <w:t>3.72</w:t>
      </w:r>
    </w:p>
  </w:footnote>
  <w:footnote w:id="15">
    <w:p w:rsidR="005E5C71" w:rsidRDefault="005E5C71" w:rsidP="005E5C71">
      <w:pPr>
        <w:pStyle w:val="FootnoteText"/>
      </w:pPr>
      <w:r>
        <w:rPr>
          <w:rStyle w:val="FootnoteReference"/>
        </w:rPr>
        <w:footnoteRef/>
      </w:r>
      <w:r>
        <w:t xml:space="preserve"> See Juvenal and Lucan, who both in their works seem to share a similar outlook towards the turmoil and political climate they ar</w:t>
      </w:r>
      <w:r w:rsidR="002E10AA">
        <w:t xml:space="preserve">e living in; </w:t>
      </w:r>
    </w:p>
  </w:footnote>
  <w:footnote w:id="16">
    <w:p w:rsidR="005E5C71" w:rsidRPr="00AF6D48" w:rsidRDefault="005E5C71" w:rsidP="005E5C71">
      <w:pPr>
        <w:pStyle w:val="FootnoteText"/>
      </w:pPr>
      <w:r>
        <w:rPr>
          <w:rStyle w:val="FootnoteReference"/>
        </w:rPr>
        <w:footnoteRef/>
      </w:r>
      <w:r>
        <w:t xml:space="preserve"> See, Tac. </w:t>
      </w:r>
      <w:r>
        <w:rPr>
          <w:i/>
        </w:rPr>
        <w:t xml:space="preserve">Hist. 1.50 </w:t>
      </w:r>
      <w:r>
        <w:t xml:space="preserve">for full account of the ‘they’ that Tacitus cuts to in his narrative, </w:t>
      </w:r>
      <w:r w:rsidR="00AF6D48">
        <w:t xml:space="preserve">following the death of Galba; The ‘they’ created by Tacitus bears striking resemblance to the function of the ‘chorus’ in </w:t>
      </w:r>
      <w:r w:rsidR="00AF6D48">
        <w:rPr>
          <w:i/>
        </w:rPr>
        <w:t>Antigone</w:t>
      </w:r>
      <w:r w:rsidR="00AF6D48">
        <w:t xml:space="preserve">, especially with the theme of </w:t>
      </w:r>
      <w:r w:rsidR="00AF6D48">
        <w:rPr>
          <w:i/>
        </w:rPr>
        <w:t xml:space="preserve">fides </w:t>
      </w:r>
      <w:r w:rsidR="00AF6D48">
        <w:t xml:space="preserve">throughout, see, Sophocles, </w:t>
      </w:r>
      <w:r w:rsidR="00AF6D48" w:rsidRPr="00AF6D48">
        <w:rPr>
          <w:i/>
        </w:rPr>
        <w:t>Antigone</w:t>
      </w:r>
      <w:r w:rsidR="00AF6D48">
        <w:t>.</w:t>
      </w:r>
    </w:p>
  </w:footnote>
  <w:footnote w:id="17">
    <w:p w:rsidR="005E5C71" w:rsidRDefault="005E5C71" w:rsidP="005E5C71">
      <w:pPr>
        <w:pStyle w:val="FootnoteText"/>
      </w:pPr>
      <w:r>
        <w:rPr>
          <w:rStyle w:val="FootnoteReference"/>
        </w:rPr>
        <w:footnoteRef/>
      </w:r>
      <w:r>
        <w:t xml:space="preserve"> Tac. </w:t>
      </w:r>
      <w:r w:rsidRPr="00224555">
        <w:t>Ann</w:t>
      </w:r>
      <w:r>
        <w:t xml:space="preserve">. 3.65; </w:t>
      </w:r>
      <w:r w:rsidRPr="00224555">
        <w:t>Turpin</w:t>
      </w:r>
      <w:r>
        <w:t>, 2008, Pg. 359.</w:t>
      </w:r>
    </w:p>
  </w:footnote>
  <w:footnote w:id="18">
    <w:p w:rsidR="00E82588" w:rsidRDefault="00E82588">
      <w:pPr>
        <w:pStyle w:val="FootnoteText"/>
      </w:pPr>
      <w:r>
        <w:rPr>
          <w:rStyle w:val="FootnoteReference"/>
        </w:rPr>
        <w:footnoteRef/>
      </w:r>
      <w:r>
        <w:t xml:space="preserve"> Turpin, 2008, Pg. 359.</w:t>
      </w:r>
    </w:p>
  </w:footnote>
  <w:footnote w:id="19">
    <w:p w:rsidR="002E10AA" w:rsidRDefault="002E10AA">
      <w:pPr>
        <w:pStyle w:val="FootnoteText"/>
      </w:pPr>
      <w:r>
        <w:rPr>
          <w:rStyle w:val="FootnoteReference"/>
        </w:rPr>
        <w:footnoteRef/>
      </w:r>
      <w:r>
        <w:t xml:space="preserve"> Joseph, </w:t>
      </w:r>
      <w:r w:rsidR="00760B06">
        <w:t>2012a, See also, Bartera, 2013 for comprehensive overview and agreement in this statement of civil war foreshadowing.</w:t>
      </w:r>
    </w:p>
  </w:footnote>
  <w:footnote w:id="20">
    <w:p w:rsidR="00264F8E" w:rsidRPr="00264F8E" w:rsidRDefault="00264F8E">
      <w:pPr>
        <w:pStyle w:val="FootnoteText"/>
      </w:pPr>
      <w:r>
        <w:rPr>
          <w:rStyle w:val="FootnoteReference"/>
        </w:rPr>
        <w:footnoteRef/>
      </w:r>
      <w:r>
        <w:t xml:space="preserve"> Tac. </w:t>
      </w:r>
      <w:r>
        <w:rPr>
          <w:i/>
        </w:rPr>
        <w:t>Hist</w:t>
      </w:r>
      <w:r>
        <w:t>. 2.31</w:t>
      </w:r>
      <w:r w:rsidR="001136FE">
        <w:t>, See also, Greenhalgh, 1975, Pp. 51-52.</w:t>
      </w:r>
    </w:p>
  </w:footnote>
  <w:footnote w:id="21">
    <w:p w:rsidR="00264F8E" w:rsidRDefault="00264F8E">
      <w:pPr>
        <w:pStyle w:val="FootnoteText"/>
      </w:pPr>
      <w:r>
        <w:rPr>
          <w:rStyle w:val="FootnoteReference"/>
        </w:rPr>
        <w:footnoteRef/>
      </w:r>
      <w:r>
        <w:t xml:space="preserve"> </w:t>
      </w:r>
      <w:r w:rsidR="001136FE">
        <w:t xml:space="preserve">Greenhalgh, 1975, Pp. 48-54; </w:t>
      </w:r>
      <w:r>
        <w:t>For full account of the death of Galba and the role in which Otho played, see Suetonius</w:t>
      </w:r>
      <w:r w:rsidR="003E1800">
        <w:t xml:space="preserve">, </w:t>
      </w:r>
      <w:r w:rsidR="003E1800" w:rsidRPr="003E1800">
        <w:t>Galba</w:t>
      </w:r>
      <w:r w:rsidR="003E1800">
        <w:t xml:space="preserve">, </w:t>
      </w:r>
      <w:r w:rsidR="003A4209" w:rsidRPr="003E1800">
        <w:t>19</w:t>
      </w:r>
      <w:r w:rsidR="003A4209">
        <w:t>-20 or Pp. 221-227.</w:t>
      </w:r>
    </w:p>
  </w:footnote>
  <w:footnote w:id="22">
    <w:p w:rsidR="007A2CA7" w:rsidRDefault="007A2CA7">
      <w:pPr>
        <w:pStyle w:val="FootnoteText"/>
      </w:pPr>
      <w:r>
        <w:rPr>
          <w:rStyle w:val="FootnoteReference"/>
        </w:rPr>
        <w:footnoteRef/>
      </w:r>
      <w:r>
        <w:t xml:space="preserve"> See </w:t>
      </w:r>
      <w:r w:rsidR="00752681">
        <w:t xml:space="preserve">Ash, 1999; </w:t>
      </w:r>
      <w:r w:rsidR="00525803">
        <w:t>Greenhalgh</w:t>
      </w:r>
      <w:r w:rsidR="00096835">
        <w:t>, 1975;</w:t>
      </w:r>
      <w:r w:rsidR="00525803">
        <w:t xml:space="preserve"> </w:t>
      </w:r>
      <w:r w:rsidR="00096835">
        <w:t>Syme, 1958, Pg. 205.</w:t>
      </w:r>
    </w:p>
  </w:footnote>
  <w:footnote w:id="23">
    <w:p w:rsidR="00B82843" w:rsidRPr="00B82843" w:rsidRDefault="00B82843">
      <w:pPr>
        <w:pStyle w:val="FootnoteText"/>
      </w:pPr>
      <w:r>
        <w:rPr>
          <w:rStyle w:val="FootnoteReference"/>
        </w:rPr>
        <w:footnoteRef/>
      </w:r>
      <w:r>
        <w:t xml:space="preserve"> Tac. </w:t>
      </w:r>
      <w:r>
        <w:rPr>
          <w:i/>
        </w:rPr>
        <w:t xml:space="preserve">Hist. </w:t>
      </w:r>
      <w:r>
        <w:t>1.50</w:t>
      </w:r>
    </w:p>
  </w:footnote>
  <w:footnote w:id="24">
    <w:p w:rsidR="00096835" w:rsidRPr="00096835" w:rsidRDefault="00096835">
      <w:pPr>
        <w:pStyle w:val="FootnoteText"/>
      </w:pPr>
      <w:r>
        <w:rPr>
          <w:rStyle w:val="FootnoteReference"/>
        </w:rPr>
        <w:footnoteRef/>
      </w:r>
      <w:r>
        <w:t xml:space="preserve"> Evans, 2018, Pg. 1; Tac. </w:t>
      </w:r>
      <w:r>
        <w:rPr>
          <w:i/>
        </w:rPr>
        <w:t>Hist. 1.2.</w:t>
      </w:r>
    </w:p>
  </w:footnote>
  <w:footnote w:id="25">
    <w:p w:rsidR="001F2029" w:rsidRPr="001F2029" w:rsidRDefault="001F2029">
      <w:pPr>
        <w:pStyle w:val="FootnoteText"/>
        <w:rPr>
          <w:i/>
        </w:rPr>
      </w:pPr>
      <w:r>
        <w:rPr>
          <w:rStyle w:val="FootnoteReference"/>
        </w:rPr>
        <w:footnoteRef/>
      </w:r>
      <w:r>
        <w:t xml:space="preserve"> Evans, 2018, Pg. 1; Tac. </w:t>
      </w:r>
      <w:r>
        <w:rPr>
          <w:i/>
        </w:rPr>
        <w:t>Hist. 2.37</w:t>
      </w:r>
    </w:p>
  </w:footnote>
  <w:footnote w:id="26">
    <w:p w:rsidR="003E1800" w:rsidRPr="003E1800" w:rsidRDefault="003E1800">
      <w:pPr>
        <w:pStyle w:val="FootnoteText"/>
      </w:pPr>
      <w:r>
        <w:rPr>
          <w:rStyle w:val="FootnoteReference"/>
        </w:rPr>
        <w:footnoteRef/>
      </w:r>
      <w:r>
        <w:t xml:space="preserve"> Suet. </w:t>
      </w:r>
      <w:r>
        <w:rPr>
          <w:i/>
        </w:rPr>
        <w:t>Oth</w:t>
      </w:r>
      <w:r>
        <w:t>. 2.1-2.</w:t>
      </w:r>
    </w:p>
  </w:footnote>
  <w:footnote w:id="27">
    <w:p w:rsidR="00474650" w:rsidRPr="00474650" w:rsidRDefault="00474650">
      <w:pPr>
        <w:pStyle w:val="FootnoteText"/>
      </w:pPr>
      <w:r>
        <w:rPr>
          <w:rStyle w:val="FootnoteReference"/>
        </w:rPr>
        <w:footnoteRef/>
      </w:r>
      <w:r>
        <w:t xml:space="preserve"> Tac. </w:t>
      </w:r>
      <w:r>
        <w:rPr>
          <w:i/>
        </w:rPr>
        <w:t xml:space="preserve">Hist. </w:t>
      </w:r>
      <w:r>
        <w:t>2.31</w:t>
      </w:r>
    </w:p>
  </w:footnote>
  <w:footnote w:id="28">
    <w:p w:rsidR="00747FA5" w:rsidRPr="00747FA5" w:rsidRDefault="00747FA5">
      <w:pPr>
        <w:pStyle w:val="FootnoteText"/>
      </w:pPr>
      <w:r>
        <w:rPr>
          <w:rStyle w:val="FootnoteReference"/>
        </w:rPr>
        <w:footnoteRef/>
      </w:r>
      <w:r>
        <w:t xml:space="preserve"> Tac. </w:t>
      </w:r>
      <w:r>
        <w:rPr>
          <w:i/>
        </w:rPr>
        <w:t>Hist.</w:t>
      </w:r>
      <w:r>
        <w:t xml:space="preserve"> 2.49</w:t>
      </w:r>
    </w:p>
  </w:footnote>
  <w:footnote w:id="29">
    <w:p w:rsidR="00581ED6" w:rsidRPr="00581ED6" w:rsidRDefault="00581ED6">
      <w:pPr>
        <w:pStyle w:val="FootnoteText"/>
      </w:pPr>
      <w:r>
        <w:rPr>
          <w:rStyle w:val="FootnoteReference"/>
        </w:rPr>
        <w:footnoteRef/>
      </w:r>
      <w:r>
        <w:t xml:space="preserve"> Plut. </w:t>
      </w:r>
      <w:r>
        <w:rPr>
          <w:i/>
        </w:rPr>
        <w:t>Oth</w:t>
      </w:r>
      <w:r>
        <w:t>. 17.1-3.</w:t>
      </w:r>
    </w:p>
  </w:footnote>
  <w:footnote w:id="30">
    <w:p w:rsidR="009973A8" w:rsidRPr="009973A8" w:rsidRDefault="009973A8">
      <w:pPr>
        <w:pStyle w:val="FootnoteText"/>
      </w:pPr>
      <w:r>
        <w:rPr>
          <w:rStyle w:val="FootnoteReference"/>
        </w:rPr>
        <w:footnoteRef/>
      </w:r>
      <w:r>
        <w:t xml:space="preserve"> Plut. </w:t>
      </w:r>
      <w:r>
        <w:rPr>
          <w:i/>
        </w:rPr>
        <w:t>Oth</w:t>
      </w:r>
      <w:r>
        <w:t xml:space="preserve">. 17.1-3; Tac. </w:t>
      </w:r>
      <w:r w:rsidR="00BC50C9">
        <w:rPr>
          <w:i/>
        </w:rPr>
        <w:t>Hist.</w:t>
      </w:r>
      <w:r>
        <w:rPr>
          <w:i/>
        </w:rPr>
        <w:t xml:space="preserve"> 2.49; See also </w:t>
      </w:r>
      <w:r>
        <w:t xml:space="preserve">Suet. </w:t>
      </w:r>
      <w:r>
        <w:rPr>
          <w:i/>
        </w:rPr>
        <w:t>Oth</w:t>
      </w:r>
      <w:r>
        <w:t>. 11.2 for other account of same event, again identical to that of Tacitus and perhaps suggesting that all accounts of the suicide were based upon the same source, either literary or first-hand account given the short timeframe between the events in question and the dates of publication.</w:t>
      </w:r>
      <w:r w:rsidR="00581ED6">
        <w:t xml:space="preserve"> It is also worth noting that given that Plutarch’s account of Otho and the suicide is the most in depth, and while debate suggests there may be embellishment on the part of the author, that as it was the first published, during the reign </w:t>
      </w:r>
      <w:r w:rsidR="00CC504E">
        <w:t>of Nerva,</w:t>
      </w:r>
      <w:r w:rsidR="00581ED6">
        <w:t xml:space="preserve"> it may be the source which Tacitus and Suetonius </w:t>
      </w:r>
      <w:r w:rsidR="00CC504E">
        <w:t xml:space="preserve">both </w:t>
      </w:r>
      <w:r w:rsidR="009F077F">
        <w:t>used, See Grenhalgh, Pp. 103-4 for modern account.</w:t>
      </w:r>
    </w:p>
  </w:footnote>
  <w:footnote w:id="31">
    <w:p w:rsidR="00BC50C9" w:rsidRPr="00BC50C9" w:rsidRDefault="00BC50C9">
      <w:pPr>
        <w:pStyle w:val="FootnoteText"/>
      </w:pPr>
      <w:r>
        <w:rPr>
          <w:rStyle w:val="FootnoteReference"/>
        </w:rPr>
        <w:footnoteRef/>
      </w:r>
      <w:r>
        <w:t xml:space="preserve"> Plut. </w:t>
      </w:r>
      <w:r>
        <w:rPr>
          <w:i/>
        </w:rPr>
        <w:t>Oth</w:t>
      </w:r>
      <w:r>
        <w:t xml:space="preserve">. 17.1-3; Tac. </w:t>
      </w:r>
      <w:r>
        <w:rPr>
          <w:i/>
        </w:rPr>
        <w:t>Hist. 2.49</w:t>
      </w:r>
      <w:r>
        <w:t>.</w:t>
      </w:r>
    </w:p>
  </w:footnote>
  <w:footnote w:id="32">
    <w:p w:rsidR="00FA5DAF" w:rsidRPr="00FA5DAF" w:rsidRDefault="00FA5DAF">
      <w:pPr>
        <w:pStyle w:val="FootnoteText"/>
      </w:pPr>
      <w:r>
        <w:rPr>
          <w:rStyle w:val="FootnoteReference"/>
        </w:rPr>
        <w:footnoteRef/>
      </w:r>
      <w:r>
        <w:t xml:space="preserve"> Ash, 1999, Pg. 90; Tac. </w:t>
      </w:r>
      <w:r>
        <w:rPr>
          <w:i/>
        </w:rPr>
        <w:t>Hist</w:t>
      </w:r>
      <w:r w:rsidR="00A11E4B">
        <w:t>. 2.31; Shochat, 1981, Pg. 365 also writes on the inconsistency in character of Otho ‘</w:t>
      </w:r>
      <w:r w:rsidR="00A11E4B" w:rsidRPr="00A11E4B">
        <w:rPr>
          <w:i/>
        </w:rPr>
        <w:t>Was it possible that such a degenerate, corrupt, rotten and wretched person should be capable of displaying loftiness of spirit and sacrificing his life to prevent a blood-bath and to spare the state the havoc of a civil war?</w:t>
      </w:r>
      <w:r w:rsidR="00A11E4B">
        <w:t>’.</w:t>
      </w:r>
    </w:p>
  </w:footnote>
  <w:footnote w:id="33">
    <w:p w:rsidR="00FA5DAF" w:rsidRDefault="00FA5DAF">
      <w:pPr>
        <w:pStyle w:val="FootnoteText"/>
      </w:pPr>
      <w:r>
        <w:rPr>
          <w:rStyle w:val="FootnoteReference"/>
        </w:rPr>
        <w:footnoteRef/>
      </w:r>
      <w:r w:rsidR="00AE1997">
        <w:t xml:space="preserve"> Ash, 1999, Pg. 94; See also, Perkins 1993 for discussion on Tacitus negative portrayal of Otho, even in light of positive events.</w:t>
      </w:r>
    </w:p>
  </w:footnote>
  <w:footnote w:id="34">
    <w:p w:rsidR="003B6C88" w:rsidRPr="003B6C88" w:rsidRDefault="003B6C88">
      <w:pPr>
        <w:pStyle w:val="FootnoteText"/>
      </w:pPr>
      <w:r>
        <w:rPr>
          <w:rStyle w:val="FootnoteReference"/>
        </w:rPr>
        <w:footnoteRef/>
      </w:r>
      <w:r>
        <w:t xml:space="preserve"> Tac. </w:t>
      </w:r>
      <w:r>
        <w:rPr>
          <w:i/>
        </w:rPr>
        <w:t>Ann.</w:t>
      </w:r>
      <w:r>
        <w:t xml:space="preserve"> 3.65</w:t>
      </w:r>
    </w:p>
  </w:footnote>
  <w:footnote w:id="35">
    <w:p w:rsidR="00203B7A" w:rsidRDefault="00203B7A">
      <w:pPr>
        <w:pStyle w:val="FootnoteText"/>
      </w:pPr>
      <w:r>
        <w:rPr>
          <w:rStyle w:val="FootnoteReference"/>
        </w:rPr>
        <w:footnoteRef/>
      </w:r>
      <w:r>
        <w:t xml:space="preserve"> Some debate however has levelled that Tacitus notion of writing all history, to deter evil actions and encourage good deeds, is fanciful and perhaps just a remark of tradition, contrasting with his narrative of unabashed analysis, see Walker, 1952, Pp. 1-2; Syme, 1958, Pg. 521</w:t>
      </w:r>
      <w:r w:rsidR="00B8429A">
        <w:t>.</w:t>
      </w:r>
    </w:p>
  </w:footnote>
  <w:footnote w:id="36">
    <w:p w:rsidR="00163A06" w:rsidRDefault="00163A06">
      <w:pPr>
        <w:pStyle w:val="FootnoteText"/>
      </w:pPr>
      <w:r>
        <w:rPr>
          <w:rStyle w:val="FootnoteReference"/>
        </w:rPr>
        <w:footnoteRef/>
      </w:r>
      <w:r>
        <w:t xml:space="preserve"> Benario, 1975, Pg. 21.</w:t>
      </w:r>
    </w:p>
  </w:footnote>
  <w:footnote w:id="37">
    <w:p w:rsidR="00D701E2" w:rsidRPr="00D701E2" w:rsidRDefault="00D701E2">
      <w:pPr>
        <w:pStyle w:val="FootnoteText"/>
        <w:rPr>
          <w:i/>
        </w:rPr>
      </w:pPr>
      <w:r>
        <w:rPr>
          <w:rStyle w:val="FootnoteReference"/>
        </w:rPr>
        <w:footnoteRef/>
      </w:r>
      <w:r>
        <w:t xml:space="preserve"> </w:t>
      </w:r>
      <w:r w:rsidR="009F077F">
        <w:t xml:space="preserve">Greenhalgh, 1975, Pg. 242; </w:t>
      </w:r>
      <w:r>
        <w:t xml:space="preserve">Tac, </w:t>
      </w:r>
      <w:r w:rsidR="00887ECB">
        <w:rPr>
          <w:i/>
        </w:rPr>
        <w:t>Ag</w:t>
      </w:r>
      <w:r>
        <w:t xml:space="preserve">. </w:t>
      </w:r>
      <w:r>
        <w:rPr>
          <w:i/>
        </w:rPr>
        <w:t>17-20.</w:t>
      </w:r>
    </w:p>
  </w:footnote>
  <w:footnote w:id="38">
    <w:p w:rsidR="00887ECB" w:rsidRPr="0002695D" w:rsidRDefault="00887ECB">
      <w:pPr>
        <w:pStyle w:val="FootnoteText"/>
      </w:pPr>
      <w:r>
        <w:rPr>
          <w:rStyle w:val="FootnoteReference"/>
        </w:rPr>
        <w:footnoteRef/>
      </w:r>
      <w:r>
        <w:t xml:space="preserve"> Tac, </w:t>
      </w:r>
      <w:r>
        <w:rPr>
          <w:i/>
        </w:rPr>
        <w:t>Ag. 1</w:t>
      </w:r>
      <w:r w:rsidR="0002695D">
        <w:rPr>
          <w:i/>
        </w:rPr>
        <w:t xml:space="preserve"> ‘</w:t>
      </w:r>
      <w:r w:rsidR="0002695D" w:rsidRPr="0002695D">
        <w:rPr>
          <w:i/>
        </w:rPr>
        <w:t>in these days, I, who have to record the life of one who has passed away, must crave an indulgence, which I should not have had to ask had I only to inveigh against an age so cruel, so hostile to all virtue.</w:t>
      </w:r>
    </w:p>
  </w:footnote>
  <w:footnote w:id="39">
    <w:p w:rsidR="0002695D" w:rsidRPr="0002695D" w:rsidRDefault="0002695D">
      <w:pPr>
        <w:pStyle w:val="FootnoteText"/>
        <w:rPr>
          <w:i/>
        </w:rPr>
      </w:pPr>
      <w:r>
        <w:rPr>
          <w:rStyle w:val="FootnoteReference"/>
        </w:rPr>
        <w:footnoteRef/>
      </w:r>
      <w:r>
        <w:t xml:space="preserve"> Tac. </w:t>
      </w:r>
      <w:r>
        <w:rPr>
          <w:i/>
        </w:rPr>
        <w:t>Ag. 1-3.</w:t>
      </w:r>
    </w:p>
  </w:footnote>
  <w:footnote w:id="40">
    <w:p w:rsidR="00474EFC" w:rsidRDefault="00474EFC">
      <w:pPr>
        <w:pStyle w:val="FootnoteText"/>
      </w:pPr>
      <w:r>
        <w:rPr>
          <w:rStyle w:val="FootnoteReference"/>
        </w:rPr>
        <w:footnoteRef/>
      </w:r>
      <w:r>
        <w:t xml:space="preserve"> Benario, 19</w:t>
      </w:r>
      <w:r w:rsidR="009F077F">
        <w:t>75, Pg. 23; Greenhalgh, 1975, Pg. 79.</w:t>
      </w:r>
    </w:p>
  </w:footnote>
  <w:footnote w:id="41">
    <w:p w:rsidR="00640C15" w:rsidRPr="00640C15" w:rsidRDefault="00640C15">
      <w:pPr>
        <w:pStyle w:val="FootnoteText"/>
        <w:rPr>
          <w:i/>
        </w:rPr>
      </w:pPr>
      <w:r>
        <w:rPr>
          <w:rStyle w:val="FootnoteReference"/>
        </w:rPr>
        <w:footnoteRef/>
      </w:r>
      <w:r>
        <w:t xml:space="preserve"> Tac, </w:t>
      </w:r>
      <w:r>
        <w:rPr>
          <w:i/>
        </w:rPr>
        <w:t>Ag. 7.</w:t>
      </w:r>
    </w:p>
  </w:footnote>
  <w:footnote w:id="42">
    <w:p w:rsidR="0075118C" w:rsidRPr="0075118C" w:rsidRDefault="0075118C">
      <w:pPr>
        <w:pStyle w:val="FootnoteText"/>
      </w:pPr>
      <w:r>
        <w:rPr>
          <w:rStyle w:val="FootnoteReference"/>
        </w:rPr>
        <w:footnoteRef/>
      </w:r>
      <w:r>
        <w:t xml:space="preserve"> Tac. </w:t>
      </w:r>
      <w:r>
        <w:rPr>
          <w:i/>
        </w:rPr>
        <w:t>Ag.</w:t>
      </w:r>
      <w:r>
        <w:t xml:space="preserve"> 8.</w:t>
      </w:r>
    </w:p>
  </w:footnote>
  <w:footnote w:id="43">
    <w:p w:rsidR="00BD2263" w:rsidRDefault="00BD2263">
      <w:pPr>
        <w:pStyle w:val="FootnoteText"/>
      </w:pPr>
      <w:r>
        <w:rPr>
          <w:rStyle w:val="FootnoteReference"/>
        </w:rPr>
        <w:footnoteRef/>
      </w:r>
      <w:r>
        <w:t xml:space="preserve"> Benario, 1975, Pg. 25.</w:t>
      </w:r>
    </w:p>
  </w:footnote>
  <w:footnote w:id="44">
    <w:p w:rsidR="006D147A" w:rsidRDefault="006D147A">
      <w:pPr>
        <w:pStyle w:val="FootnoteText"/>
      </w:pPr>
      <w:r>
        <w:rPr>
          <w:rStyle w:val="FootnoteReference"/>
        </w:rPr>
        <w:footnoteRef/>
      </w:r>
      <w:r>
        <w:t xml:space="preserve"> Benario makes note of the work of Sallust, to which we can argue that Tacitus followed a very similar path, or viewpoint, See Benario, 1975, Pg. 4.</w:t>
      </w:r>
    </w:p>
  </w:footnote>
  <w:footnote w:id="45">
    <w:p w:rsidR="006D147A" w:rsidRPr="006D147A" w:rsidRDefault="006D147A">
      <w:pPr>
        <w:pStyle w:val="FootnoteText"/>
      </w:pPr>
      <w:r>
        <w:rPr>
          <w:rStyle w:val="FootnoteReference"/>
        </w:rPr>
        <w:footnoteRef/>
      </w:r>
      <w:r>
        <w:t xml:space="preserve"> Tac. </w:t>
      </w:r>
      <w:r>
        <w:rPr>
          <w:i/>
        </w:rPr>
        <w:t>Hist. 1.2</w:t>
      </w:r>
      <w:r>
        <w:t>, 2.31.</w:t>
      </w:r>
    </w:p>
  </w:footnote>
  <w:footnote w:id="46">
    <w:p w:rsidR="006D147A" w:rsidRPr="006D147A" w:rsidRDefault="006D147A">
      <w:pPr>
        <w:pStyle w:val="FootnoteText"/>
      </w:pPr>
      <w:r>
        <w:rPr>
          <w:rStyle w:val="FootnoteReference"/>
        </w:rPr>
        <w:footnoteRef/>
      </w:r>
      <w:r>
        <w:t xml:space="preserve"> Tac. </w:t>
      </w:r>
      <w:r>
        <w:rPr>
          <w:i/>
        </w:rPr>
        <w:t>Ann</w:t>
      </w:r>
      <w:r>
        <w:t>. 3.65.</w:t>
      </w:r>
    </w:p>
  </w:footnote>
  <w:footnote w:id="47">
    <w:p w:rsidR="006D0D18" w:rsidRDefault="006D0D18">
      <w:pPr>
        <w:pStyle w:val="FootnoteText"/>
      </w:pPr>
      <w:r>
        <w:rPr>
          <w:rStyle w:val="FootnoteReference"/>
        </w:rPr>
        <w:footnoteRef/>
      </w:r>
      <w:r>
        <w:t xml:space="preserve"> Benario, 1975, Pg.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19C" w:rsidRDefault="007F719C">
    <w:pPr>
      <w:pStyle w:val="Header"/>
    </w:pPr>
    <w:r>
      <w:t>David Pankhurst</w:t>
    </w:r>
    <w:r>
      <w:ptab w:relativeTo="margin" w:alignment="center" w:leader="none"/>
    </w:r>
    <w:r>
      <w:t>CLAH7018</w:t>
    </w:r>
    <w:r>
      <w:ptab w:relativeTo="margin" w:alignment="right" w:leader="none"/>
    </w:r>
    <w:r>
      <w:t>1302056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19C"/>
    <w:rsid w:val="00007D8A"/>
    <w:rsid w:val="0002695D"/>
    <w:rsid w:val="000570CA"/>
    <w:rsid w:val="00071E58"/>
    <w:rsid w:val="00090E68"/>
    <w:rsid w:val="00096835"/>
    <w:rsid w:val="000976E0"/>
    <w:rsid w:val="000A4AAC"/>
    <w:rsid w:val="000C10F3"/>
    <w:rsid w:val="001136FE"/>
    <w:rsid w:val="00163A06"/>
    <w:rsid w:val="00196FBB"/>
    <w:rsid w:val="001A7844"/>
    <w:rsid w:val="001F2029"/>
    <w:rsid w:val="00203B7A"/>
    <w:rsid w:val="00224555"/>
    <w:rsid w:val="00244CD8"/>
    <w:rsid w:val="0025538A"/>
    <w:rsid w:val="00264F8E"/>
    <w:rsid w:val="00275D67"/>
    <w:rsid w:val="002A7C39"/>
    <w:rsid w:val="002C564B"/>
    <w:rsid w:val="002E10AA"/>
    <w:rsid w:val="00313538"/>
    <w:rsid w:val="00315E93"/>
    <w:rsid w:val="00326762"/>
    <w:rsid w:val="003625D0"/>
    <w:rsid w:val="00375780"/>
    <w:rsid w:val="0038767C"/>
    <w:rsid w:val="003A4209"/>
    <w:rsid w:val="003B6C88"/>
    <w:rsid w:val="003E1800"/>
    <w:rsid w:val="00474650"/>
    <w:rsid w:val="00474EFC"/>
    <w:rsid w:val="004930E8"/>
    <w:rsid w:val="004D3E0C"/>
    <w:rsid w:val="004F22EA"/>
    <w:rsid w:val="004F276E"/>
    <w:rsid w:val="004F725C"/>
    <w:rsid w:val="0050591B"/>
    <w:rsid w:val="005163CA"/>
    <w:rsid w:val="00525803"/>
    <w:rsid w:val="00537A52"/>
    <w:rsid w:val="00581ED6"/>
    <w:rsid w:val="005A1CB3"/>
    <w:rsid w:val="005A28F3"/>
    <w:rsid w:val="005B3EE2"/>
    <w:rsid w:val="005C1EE2"/>
    <w:rsid w:val="005E5C71"/>
    <w:rsid w:val="005F1D44"/>
    <w:rsid w:val="00624FCB"/>
    <w:rsid w:val="00640C15"/>
    <w:rsid w:val="0064176A"/>
    <w:rsid w:val="00644A74"/>
    <w:rsid w:val="00645B38"/>
    <w:rsid w:val="00652834"/>
    <w:rsid w:val="00661D1B"/>
    <w:rsid w:val="00695713"/>
    <w:rsid w:val="00697836"/>
    <w:rsid w:val="006C5A92"/>
    <w:rsid w:val="006C7494"/>
    <w:rsid w:val="006D0D18"/>
    <w:rsid w:val="006D147A"/>
    <w:rsid w:val="006D3307"/>
    <w:rsid w:val="006E53CA"/>
    <w:rsid w:val="00715D18"/>
    <w:rsid w:val="0073015C"/>
    <w:rsid w:val="00747FA5"/>
    <w:rsid w:val="0075118C"/>
    <w:rsid w:val="00752681"/>
    <w:rsid w:val="007605C1"/>
    <w:rsid w:val="00760B06"/>
    <w:rsid w:val="007833FE"/>
    <w:rsid w:val="00790C31"/>
    <w:rsid w:val="007A2CA7"/>
    <w:rsid w:val="007C3CB1"/>
    <w:rsid w:val="007E4674"/>
    <w:rsid w:val="007F4F1E"/>
    <w:rsid w:val="007F719C"/>
    <w:rsid w:val="00807520"/>
    <w:rsid w:val="00861F4E"/>
    <w:rsid w:val="00871B69"/>
    <w:rsid w:val="00887ECB"/>
    <w:rsid w:val="008948B8"/>
    <w:rsid w:val="008C316E"/>
    <w:rsid w:val="00972655"/>
    <w:rsid w:val="009973A8"/>
    <w:rsid w:val="009A2136"/>
    <w:rsid w:val="009A7355"/>
    <w:rsid w:val="009E2869"/>
    <w:rsid w:val="009F077F"/>
    <w:rsid w:val="009F26A5"/>
    <w:rsid w:val="009F4026"/>
    <w:rsid w:val="00A11E4B"/>
    <w:rsid w:val="00A33A43"/>
    <w:rsid w:val="00A77DFF"/>
    <w:rsid w:val="00A81887"/>
    <w:rsid w:val="00AD455F"/>
    <w:rsid w:val="00AE1997"/>
    <w:rsid w:val="00AF51BC"/>
    <w:rsid w:val="00AF6D48"/>
    <w:rsid w:val="00B243D2"/>
    <w:rsid w:val="00B419F0"/>
    <w:rsid w:val="00B44AED"/>
    <w:rsid w:val="00B668E8"/>
    <w:rsid w:val="00B82843"/>
    <w:rsid w:val="00B8429A"/>
    <w:rsid w:val="00BB5F0C"/>
    <w:rsid w:val="00BC50C9"/>
    <w:rsid w:val="00BD2263"/>
    <w:rsid w:val="00BD454D"/>
    <w:rsid w:val="00BF0136"/>
    <w:rsid w:val="00C120B7"/>
    <w:rsid w:val="00C203E2"/>
    <w:rsid w:val="00C51D5D"/>
    <w:rsid w:val="00CC504E"/>
    <w:rsid w:val="00CD0EA3"/>
    <w:rsid w:val="00CD67DC"/>
    <w:rsid w:val="00D701E2"/>
    <w:rsid w:val="00E07CAD"/>
    <w:rsid w:val="00E82588"/>
    <w:rsid w:val="00EA39CD"/>
    <w:rsid w:val="00EC3511"/>
    <w:rsid w:val="00EC4E68"/>
    <w:rsid w:val="00F17057"/>
    <w:rsid w:val="00F211DB"/>
    <w:rsid w:val="00FA175B"/>
    <w:rsid w:val="00FA5DAF"/>
    <w:rsid w:val="00FB0074"/>
    <w:rsid w:val="00FD62B5"/>
    <w:rsid w:val="00FE3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3BED03-50C2-4CBD-8B4F-B5AB93430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7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19C"/>
  </w:style>
  <w:style w:type="paragraph" w:styleId="Footer">
    <w:name w:val="footer"/>
    <w:basedOn w:val="Normal"/>
    <w:link w:val="FooterChar"/>
    <w:uiPriority w:val="99"/>
    <w:unhideWhenUsed/>
    <w:rsid w:val="007F7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19C"/>
  </w:style>
  <w:style w:type="paragraph" w:styleId="BalloonText">
    <w:name w:val="Balloon Text"/>
    <w:basedOn w:val="Normal"/>
    <w:link w:val="BalloonTextChar"/>
    <w:uiPriority w:val="99"/>
    <w:semiHidden/>
    <w:unhideWhenUsed/>
    <w:rsid w:val="007F71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19C"/>
    <w:rPr>
      <w:rFonts w:ascii="Tahoma" w:hAnsi="Tahoma" w:cs="Tahoma"/>
      <w:sz w:val="16"/>
      <w:szCs w:val="16"/>
    </w:rPr>
  </w:style>
  <w:style w:type="paragraph" w:styleId="FootnoteText">
    <w:name w:val="footnote text"/>
    <w:basedOn w:val="Normal"/>
    <w:link w:val="FootnoteTextChar"/>
    <w:uiPriority w:val="99"/>
    <w:semiHidden/>
    <w:unhideWhenUsed/>
    <w:rsid w:val="004F27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276E"/>
    <w:rPr>
      <w:sz w:val="20"/>
      <w:szCs w:val="20"/>
    </w:rPr>
  </w:style>
  <w:style w:type="character" w:styleId="FootnoteReference">
    <w:name w:val="footnote reference"/>
    <w:basedOn w:val="DefaultParagraphFont"/>
    <w:uiPriority w:val="99"/>
    <w:semiHidden/>
    <w:unhideWhenUsed/>
    <w:rsid w:val="004F276E"/>
    <w:rPr>
      <w:vertAlign w:val="superscript"/>
    </w:rPr>
  </w:style>
  <w:style w:type="character" w:styleId="Hyperlink">
    <w:name w:val="Hyperlink"/>
    <w:basedOn w:val="DefaultParagraphFont"/>
    <w:uiPriority w:val="99"/>
    <w:unhideWhenUsed/>
    <w:rsid w:val="00244C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951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6242707/Heroism_Tragedy_Farce_Tacitus_Account_of_the_Deaths_of_Two_Emperors_in_AD_6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mcreview.org/2013/05/20130517.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jstor.org/stable/10.1525/ca.2008.27.2.359" TargetMode="External"/><Relationship Id="rId4" Type="http://schemas.openxmlformats.org/officeDocument/2006/relationships/webSettings" Target="webSettings.xml"/><Relationship Id="rId9" Type="http://schemas.openxmlformats.org/officeDocument/2006/relationships/hyperlink" Target="http://www.jstor.org/stable/29590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9651C-0268-49B6-91A2-4A36C1210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3620</Words>
  <Characters>20635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David Pankhurst</cp:lastModifiedBy>
  <cp:revision>4</cp:revision>
  <dcterms:created xsi:type="dcterms:W3CDTF">2018-05-24T18:43:00Z</dcterms:created>
  <dcterms:modified xsi:type="dcterms:W3CDTF">2018-05-24T18:45:00Z</dcterms:modified>
</cp:coreProperties>
</file>