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15B958" w14:textId="467400DF" w:rsidR="00FA4517" w:rsidRPr="00D53254" w:rsidRDefault="00092A0D" w:rsidP="00D53254">
      <w:pPr>
        <w:pStyle w:val="NormalWeb"/>
        <w:spacing w:line="360" w:lineRule="auto"/>
        <w:jc w:val="both"/>
        <w:rPr>
          <w:rFonts w:ascii="Arial" w:hAnsi="Arial" w:cs="Arial"/>
          <w:color w:val="000000" w:themeColor="text1"/>
          <w:sz w:val="22"/>
          <w:szCs w:val="22"/>
        </w:rPr>
      </w:pPr>
      <w:r w:rsidRPr="00D53254">
        <w:rPr>
          <w:rFonts w:ascii="Arial" w:hAnsi="Arial" w:cs="Arial"/>
          <w:color w:val="000000" w:themeColor="text1"/>
          <w:sz w:val="22"/>
          <w:szCs w:val="22"/>
        </w:rPr>
        <w:t>Ana Tanase</w:t>
      </w:r>
    </w:p>
    <w:p w14:paraId="30EC8DD7" w14:textId="3DC30616" w:rsidR="00092A0D" w:rsidRPr="00D53254" w:rsidRDefault="00092A0D" w:rsidP="00D53254">
      <w:pPr>
        <w:pStyle w:val="NormalWeb"/>
        <w:spacing w:line="360" w:lineRule="auto"/>
        <w:jc w:val="both"/>
        <w:rPr>
          <w:rFonts w:ascii="Arial" w:hAnsi="Arial" w:cs="Arial"/>
          <w:color w:val="000000" w:themeColor="text1"/>
          <w:sz w:val="22"/>
          <w:szCs w:val="22"/>
        </w:rPr>
      </w:pPr>
      <w:r w:rsidRPr="00D53254">
        <w:rPr>
          <w:rFonts w:ascii="Arial" w:hAnsi="Arial" w:cs="Arial"/>
          <w:color w:val="000000" w:themeColor="text1"/>
          <w:sz w:val="22"/>
          <w:szCs w:val="22"/>
        </w:rPr>
        <w:t>Student number: 1917778</w:t>
      </w:r>
    </w:p>
    <w:p w14:paraId="229E6A49" w14:textId="77777777" w:rsidR="006D2167" w:rsidRPr="00D53254" w:rsidRDefault="006D2167" w:rsidP="00D53254">
      <w:pPr>
        <w:pStyle w:val="NormalWeb"/>
        <w:spacing w:line="360" w:lineRule="auto"/>
        <w:jc w:val="both"/>
        <w:rPr>
          <w:rFonts w:ascii="Arial" w:hAnsi="Arial" w:cs="Arial"/>
          <w:b/>
          <w:bCs/>
          <w:color w:val="000000" w:themeColor="text1"/>
          <w:sz w:val="22"/>
          <w:szCs w:val="22"/>
        </w:rPr>
      </w:pPr>
      <w:r w:rsidRPr="00D53254">
        <w:rPr>
          <w:rFonts w:ascii="Arial" w:hAnsi="Arial" w:cs="Arial"/>
          <w:b/>
          <w:bCs/>
          <w:color w:val="000000" w:themeColor="text1"/>
          <w:sz w:val="22"/>
          <w:szCs w:val="22"/>
        </w:rPr>
        <w:t>Understanding Trauma in Young People: Implications for Practice</w:t>
      </w:r>
    </w:p>
    <w:p w14:paraId="26636ADB" w14:textId="1C3BF441" w:rsidR="00FA4517" w:rsidRPr="00D53254" w:rsidRDefault="006D2167" w:rsidP="00D53254">
      <w:pPr>
        <w:pStyle w:val="NormalWeb"/>
        <w:spacing w:line="360" w:lineRule="auto"/>
        <w:jc w:val="both"/>
        <w:rPr>
          <w:rFonts w:ascii="Arial" w:hAnsi="Arial" w:cs="Arial"/>
          <w:color w:val="000000" w:themeColor="text1"/>
          <w:sz w:val="22"/>
          <w:szCs w:val="22"/>
        </w:rPr>
      </w:pPr>
      <w:r w:rsidRPr="00D53254">
        <w:rPr>
          <w:rFonts w:ascii="Arial" w:hAnsi="Arial" w:cs="Arial"/>
          <w:color w:val="000000" w:themeColor="text1"/>
          <w:sz w:val="22"/>
          <w:szCs w:val="22"/>
        </w:rPr>
        <w:t xml:space="preserve">  </w:t>
      </w:r>
      <w:r w:rsidR="00697680" w:rsidRPr="00D53254">
        <w:rPr>
          <w:rFonts w:ascii="Arial" w:hAnsi="Arial" w:cs="Arial"/>
          <w:color w:val="000000" w:themeColor="text1"/>
          <w:sz w:val="22"/>
          <w:szCs w:val="22"/>
        </w:rPr>
        <w:t xml:space="preserve">      </w:t>
      </w:r>
      <w:r w:rsidR="0045122D" w:rsidRPr="00D53254">
        <w:rPr>
          <w:rFonts w:ascii="Arial" w:hAnsi="Arial" w:cs="Arial"/>
          <w:color w:val="000000" w:themeColor="text1"/>
          <w:sz w:val="22"/>
          <w:szCs w:val="22"/>
        </w:rPr>
        <w:t>Experiencing trauma in childhood and adolescence has become a significant concern</w:t>
      </w:r>
      <w:r w:rsidR="00E3019D" w:rsidRPr="00D53254">
        <w:rPr>
          <w:rFonts w:ascii="Arial" w:hAnsi="Arial" w:cs="Arial"/>
          <w:color w:val="000000" w:themeColor="text1"/>
          <w:sz w:val="22"/>
          <w:szCs w:val="22"/>
        </w:rPr>
        <w:t xml:space="preserve"> worldwide and</w:t>
      </w:r>
      <w:r w:rsidR="0045122D" w:rsidRPr="00D53254">
        <w:rPr>
          <w:rFonts w:ascii="Arial" w:hAnsi="Arial" w:cs="Arial"/>
          <w:color w:val="000000" w:themeColor="text1"/>
          <w:sz w:val="22"/>
          <w:szCs w:val="22"/>
        </w:rPr>
        <w:t xml:space="preserve"> in </w:t>
      </w:r>
      <w:r w:rsidR="00A27E8D" w:rsidRPr="00D53254">
        <w:rPr>
          <w:rFonts w:ascii="Arial" w:hAnsi="Arial" w:cs="Arial"/>
          <w:color w:val="000000" w:themeColor="text1"/>
          <w:sz w:val="22"/>
          <w:szCs w:val="22"/>
        </w:rPr>
        <w:t xml:space="preserve">the United Kingdom (UK) </w:t>
      </w:r>
      <w:r w:rsidR="0045122D" w:rsidRPr="00D53254">
        <w:rPr>
          <w:rFonts w:ascii="Arial" w:hAnsi="Arial" w:cs="Arial"/>
          <w:color w:val="000000" w:themeColor="text1"/>
          <w:sz w:val="22"/>
          <w:szCs w:val="22"/>
        </w:rPr>
        <w:t xml:space="preserve">health and social care, affecting long-lasting physical, emotional, and </w:t>
      </w:r>
      <w:r w:rsidR="000B07B2" w:rsidRPr="00D53254">
        <w:rPr>
          <w:rFonts w:ascii="Arial" w:hAnsi="Arial" w:cs="Arial"/>
          <w:color w:val="000000" w:themeColor="text1"/>
          <w:sz w:val="22"/>
          <w:szCs w:val="22"/>
        </w:rPr>
        <w:t>behavioural</w:t>
      </w:r>
      <w:r w:rsidR="0045122D" w:rsidRPr="00D53254">
        <w:rPr>
          <w:rFonts w:ascii="Arial" w:hAnsi="Arial" w:cs="Arial"/>
          <w:color w:val="000000" w:themeColor="text1"/>
          <w:sz w:val="22"/>
          <w:szCs w:val="22"/>
        </w:rPr>
        <w:t xml:space="preserve"> outcomes for young individuals</w:t>
      </w:r>
      <w:r w:rsidR="00B3354B" w:rsidRPr="00D53254">
        <w:rPr>
          <w:rFonts w:ascii="Arial" w:hAnsi="Arial" w:cs="Arial"/>
          <w:color w:val="000000" w:themeColor="text1"/>
          <w:sz w:val="22"/>
          <w:szCs w:val="22"/>
        </w:rPr>
        <w:t xml:space="preserve">. </w:t>
      </w:r>
      <w:r w:rsidR="00D77FD1" w:rsidRPr="00D53254">
        <w:rPr>
          <w:rFonts w:ascii="Arial" w:hAnsi="Arial" w:cs="Arial"/>
          <w:color w:val="000000" w:themeColor="text1"/>
          <w:sz w:val="22"/>
          <w:szCs w:val="22"/>
        </w:rPr>
        <w:t>Children experiencing abuse, neglect, or chronic instability are more likely to present with complex health needs</w:t>
      </w:r>
      <w:r w:rsidR="000F0249" w:rsidRPr="00D53254">
        <w:rPr>
          <w:rFonts w:ascii="Arial" w:hAnsi="Arial" w:cs="Arial"/>
          <w:color w:val="000000" w:themeColor="text1"/>
          <w:sz w:val="22"/>
          <w:szCs w:val="22"/>
        </w:rPr>
        <w:t xml:space="preserve">, </w:t>
      </w:r>
      <w:r w:rsidR="00433821" w:rsidRPr="00D53254">
        <w:rPr>
          <w:rFonts w:ascii="Arial" w:hAnsi="Arial" w:cs="Arial"/>
          <w:color w:val="000000" w:themeColor="text1"/>
          <w:sz w:val="22"/>
          <w:szCs w:val="22"/>
        </w:rPr>
        <w:t>the</w:t>
      </w:r>
      <w:r w:rsidR="00D77FD1" w:rsidRPr="00D53254">
        <w:rPr>
          <w:rFonts w:ascii="Arial" w:hAnsi="Arial" w:cs="Arial"/>
          <w:color w:val="000000" w:themeColor="text1"/>
          <w:sz w:val="22"/>
          <w:szCs w:val="22"/>
        </w:rPr>
        <w:t xml:space="preserve"> effects </w:t>
      </w:r>
      <w:r w:rsidR="00433821" w:rsidRPr="00D53254">
        <w:rPr>
          <w:rFonts w:ascii="Arial" w:hAnsi="Arial" w:cs="Arial"/>
          <w:color w:val="000000" w:themeColor="text1"/>
          <w:sz w:val="22"/>
          <w:szCs w:val="22"/>
        </w:rPr>
        <w:t>going beyond the</w:t>
      </w:r>
      <w:r w:rsidR="00D77FD1" w:rsidRPr="00D53254">
        <w:rPr>
          <w:rFonts w:ascii="Arial" w:hAnsi="Arial" w:cs="Arial"/>
          <w:color w:val="000000" w:themeColor="text1"/>
          <w:sz w:val="22"/>
          <w:szCs w:val="22"/>
        </w:rPr>
        <w:t xml:space="preserve"> psychological distress but </w:t>
      </w:r>
      <w:r w:rsidR="00D35E72" w:rsidRPr="00D53254">
        <w:rPr>
          <w:rFonts w:ascii="Arial" w:hAnsi="Arial" w:cs="Arial"/>
          <w:color w:val="000000" w:themeColor="text1"/>
          <w:sz w:val="22"/>
          <w:szCs w:val="22"/>
        </w:rPr>
        <w:t>extending</w:t>
      </w:r>
      <w:r w:rsidR="00D77FD1" w:rsidRPr="00D53254">
        <w:rPr>
          <w:rFonts w:ascii="Arial" w:hAnsi="Arial" w:cs="Arial"/>
          <w:color w:val="000000" w:themeColor="text1"/>
          <w:sz w:val="22"/>
          <w:szCs w:val="22"/>
        </w:rPr>
        <w:t xml:space="preserve"> to physiological processes, attachment difficulties, and impaired emotional regulation, often requiring sustained multi-agency intervention.</w:t>
      </w:r>
      <w:r w:rsidR="00FC7C4D" w:rsidRPr="00D53254">
        <w:rPr>
          <w:rFonts w:ascii="Arial" w:hAnsi="Arial" w:cs="Arial"/>
          <w:color w:val="000000" w:themeColor="text1"/>
          <w:sz w:val="22"/>
          <w:szCs w:val="22"/>
        </w:rPr>
        <w:t xml:space="preserve"> </w:t>
      </w:r>
      <w:r w:rsidR="003E2348" w:rsidRPr="00D53254">
        <w:rPr>
          <w:rFonts w:ascii="Arial" w:hAnsi="Arial" w:cs="Arial"/>
          <w:color w:val="000000" w:themeColor="text1"/>
          <w:sz w:val="22"/>
          <w:szCs w:val="22"/>
        </w:rPr>
        <w:t>Understanding</w:t>
      </w:r>
      <w:r w:rsidR="002D69FD" w:rsidRPr="00D53254">
        <w:rPr>
          <w:rFonts w:ascii="Arial" w:hAnsi="Arial" w:cs="Arial"/>
          <w:color w:val="000000" w:themeColor="text1"/>
          <w:sz w:val="22"/>
          <w:szCs w:val="22"/>
        </w:rPr>
        <w:t xml:space="preserve"> the biological effects of trauma, especially its effect on brain development,</w:t>
      </w:r>
      <w:r w:rsidR="003E2348" w:rsidRPr="00D53254">
        <w:rPr>
          <w:rFonts w:ascii="Arial" w:hAnsi="Arial" w:cs="Arial"/>
          <w:color w:val="000000" w:themeColor="text1"/>
          <w:sz w:val="22"/>
          <w:szCs w:val="22"/>
        </w:rPr>
        <w:t xml:space="preserve"> behaviour manifestation</w:t>
      </w:r>
      <w:r w:rsidR="002D69FD" w:rsidRPr="00D53254">
        <w:rPr>
          <w:rFonts w:ascii="Arial" w:hAnsi="Arial" w:cs="Arial"/>
          <w:color w:val="000000" w:themeColor="text1"/>
          <w:sz w:val="22"/>
          <w:szCs w:val="22"/>
        </w:rPr>
        <w:t xml:space="preserve">, and attachment systems, is crucial for guiding effective professional interventions. Additionally, developmental theories </w:t>
      </w:r>
      <w:r w:rsidR="00650300" w:rsidRPr="00D53254">
        <w:rPr>
          <w:rFonts w:ascii="Arial" w:hAnsi="Arial" w:cs="Arial"/>
          <w:color w:val="000000" w:themeColor="text1"/>
          <w:sz w:val="22"/>
          <w:szCs w:val="22"/>
        </w:rPr>
        <w:t>explain</w:t>
      </w:r>
      <w:r w:rsidR="002D69FD" w:rsidRPr="00D53254">
        <w:rPr>
          <w:rFonts w:ascii="Arial" w:hAnsi="Arial" w:cs="Arial"/>
          <w:color w:val="000000" w:themeColor="text1"/>
          <w:sz w:val="22"/>
          <w:szCs w:val="22"/>
        </w:rPr>
        <w:t xml:space="preserve"> the interaction between trauma and critical phases of emotional and social development</w:t>
      </w:r>
      <w:r w:rsidR="00650300" w:rsidRPr="00D53254">
        <w:rPr>
          <w:rFonts w:ascii="Arial" w:hAnsi="Arial" w:cs="Arial"/>
          <w:color w:val="000000" w:themeColor="text1"/>
          <w:sz w:val="22"/>
          <w:szCs w:val="22"/>
        </w:rPr>
        <w:t xml:space="preserve">, offering insight </w:t>
      </w:r>
      <w:r w:rsidR="00896C34" w:rsidRPr="00D53254">
        <w:rPr>
          <w:rFonts w:ascii="Arial" w:hAnsi="Arial" w:cs="Arial"/>
          <w:color w:val="000000" w:themeColor="text1"/>
          <w:sz w:val="22"/>
          <w:szCs w:val="22"/>
        </w:rPr>
        <w:t>into</w:t>
      </w:r>
      <w:r w:rsidR="00650300" w:rsidRPr="00D53254">
        <w:rPr>
          <w:rFonts w:ascii="Arial" w:hAnsi="Arial" w:cs="Arial"/>
          <w:color w:val="000000" w:themeColor="text1"/>
          <w:sz w:val="22"/>
          <w:szCs w:val="22"/>
        </w:rPr>
        <w:t xml:space="preserve"> the future </w:t>
      </w:r>
      <w:r w:rsidR="00896C34" w:rsidRPr="00D53254">
        <w:rPr>
          <w:rFonts w:ascii="Arial" w:hAnsi="Arial" w:cs="Arial"/>
          <w:color w:val="000000" w:themeColor="text1"/>
          <w:sz w:val="22"/>
          <w:szCs w:val="22"/>
        </w:rPr>
        <w:t>consequences of adversity</w:t>
      </w:r>
      <w:r w:rsidR="0035490E" w:rsidRPr="00D53254">
        <w:rPr>
          <w:rFonts w:ascii="Arial" w:hAnsi="Arial" w:cs="Arial"/>
          <w:color w:val="000000" w:themeColor="text1"/>
          <w:sz w:val="22"/>
          <w:szCs w:val="22"/>
        </w:rPr>
        <w:t>.</w:t>
      </w:r>
      <w:r w:rsidR="00D77FD1" w:rsidRPr="00D53254">
        <w:rPr>
          <w:rFonts w:ascii="Arial" w:hAnsi="Arial" w:cs="Arial"/>
          <w:color w:val="000000" w:themeColor="text1"/>
          <w:sz w:val="22"/>
          <w:szCs w:val="22"/>
        </w:rPr>
        <w:t xml:space="preserve"> </w:t>
      </w:r>
      <w:r w:rsidR="00B12950" w:rsidRPr="00D53254">
        <w:rPr>
          <w:rFonts w:ascii="Arial" w:hAnsi="Arial" w:cs="Arial"/>
          <w:color w:val="000000" w:themeColor="text1"/>
          <w:sz w:val="22"/>
          <w:szCs w:val="22"/>
        </w:rPr>
        <w:t xml:space="preserve">In health and social care settings, </w:t>
      </w:r>
      <w:r w:rsidR="009C50B1">
        <w:rPr>
          <w:rFonts w:ascii="Arial" w:hAnsi="Arial" w:cs="Arial"/>
          <w:color w:val="000000" w:themeColor="text1"/>
          <w:sz w:val="22"/>
          <w:szCs w:val="22"/>
        </w:rPr>
        <w:t>Trauma-Informed Practice (TIP) has gained recognition as a framework that promotes safety, trust, and resilience among young individuals</w:t>
      </w:r>
      <w:r w:rsidR="00D53254">
        <w:rPr>
          <w:rFonts w:ascii="Arial" w:hAnsi="Arial" w:cs="Arial"/>
          <w:color w:val="000000" w:themeColor="text1"/>
          <w:sz w:val="22"/>
          <w:szCs w:val="22"/>
        </w:rPr>
        <w:t xml:space="preserve"> </w:t>
      </w:r>
      <w:r w:rsidR="00B12950" w:rsidRPr="00D53254">
        <w:rPr>
          <w:rFonts w:ascii="Arial" w:hAnsi="Arial" w:cs="Arial"/>
          <w:color w:val="000000" w:themeColor="text1"/>
          <w:sz w:val="22"/>
          <w:szCs w:val="22"/>
        </w:rPr>
        <w:t>affected by trauma. This essay aims to explore the physiological and emotional impacts of trauma on children and adolescents, assess the connection between traumatic experiences and behavioural results, and critically examine the effectiveness of trauma-informed approaches in aiding recovery.</w:t>
      </w:r>
    </w:p>
    <w:p w14:paraId="02B20B3C" w14:textId="5183E9DF" w:rsidR="00FA4517" w:rsidRPr="00B71A19" w:rsidRDefault="004F6A9A" w:rsidP="00D53254">
      <w:pPr>
        <w:pStyle w:val="NormalWeb"/>
        <w:spacing w:line="360" w:lineRule="auto"/>
        <w:jc w:val="both"/>
        <w:rPr>
          <w:rFonts w:ascii="Arial" w:hAnsi="Arial" w:cs="Arial"/>
          <w:color w:val="000000" w:themeColor="text1"/>
          <w:sz w:val="22"/>
          <w:szCs w:val="22"/>
          <w:shd w:val="clear" w:color="auto" w:fill="FFFFFF"/>
        </w:rPr>
      </w:pPr>
      <w:r w:rsidRPr="00D53254">
        <w:rPr>
          <w:rFonts w:ascii="Arial" w:hAnsi="Arial" w:cs="Arial"/>
          <w:color w:val="000000" w:themeColor="text1"/>
          <w:sz w:val="22"/>
          <w:szCs w:val="22"/>
          <w:shd w:val="clear" w:color="auto" w:fill="FFFFFF"/>
        </w:rPr>
        <w:t xml:space="preserve">       </w:t>
      </w:r>
      <w:r w:rsidR="00185E97">
        <w:rPr>
          <w:rFonts w:ascii="Arial" w:hAnsi="Arial" w:cs="Arial"/>
          <w:color w:val="000000" w:themeColor="text1"/>
          <w:sz w:val="22"/>
          <w:szCs w:val="22"/>
          <w:shd w:val="clear" w:color="auto" w:fill="FFFFFF"/>
        </w:rPr>
        <w:t>Trauma refers to significant physical and psychological strain resulting from stressful events</w:t>
      </w:r>
      <w:r w:rsidR="00B71A19">
        <w:rPr>
          <w:rFonts w:ascii="Arial" w:hAnsi="Arial" w:cs="Arial"/>
          <w:color w:val="000000" w:themeColor="text1"/>
          <w:sz w:val="22"/>
          <w:szCs w:val="22"/>
          <w:shd w:val="clear" w:color="auto" w:fill="FFFFFF"/>
        </w:rPr>
        <w:t xml:space="preserve"> that impact</w:t>
      </w:r>
      <w:r w:rsidR="00185E97">
        <w:rPr>
          <w:rFonts w:ascii="Arial" w:hAnsi="Arial" w:cs="Arial"/>
          <w:color w:val="000000" w:themeColor="text1"/>
          <w:sz w:val="22"/>
          <w:szCs w:val="22"/>
          <w:shd w:val="clear" w:color="auto" w:fill="FFFFFF"/>
        </w:rPr>
        <w:t xml:space="preserve"> an individual's well-being (SAMHSA, 2014). It is related to, yet distinct from, Adverse Childhood Experiences (ACEs), which include abuse, neglect, and family instability during childhood. While ACEs can lead to trauma, not every ACE causes a traumatic response, as this varies based on a child's development and support systems. Trauma can also arise from other events, such as accidents or community violence (Danese, 2019). Both trauma and ACEs can accumulate, affecting long-term health, </w:t>
      </w:r>
      <w:r w:rsidR="00B71A19">
        <w:rPr>
          <w:rFonts w:ascii="Arial" w:hAnsi="Arial" w:cs="Arial"/>
          <w:color w:val="000000" w:themeColor="text1"/>
          <w:sz w:val="22"/>
          <w:szCs w:val="22"/>
          <w:shd w:val="clear" w:color="auto" w:fill="FFFFFF"/>
        </w:rPr>
        <w:t>behaviour, and relationships (Centres</w:t>
      </w:r>
      <w:r w:rsidR="00185E97">
        <w:rPr>
          <w:rFonts w:ascii="Arial" w:hAnsi="Arial" w:cs="Arial"/>
          <w:color w:val="000000" w:themeColor="text1"/>
          <w:sz w:val="22"/>
          <w:szCs w:val="22"/>
          <w:shd w:val="clear" w:color="auto" w:fill="FFFFFF"/>
        </w:rPr>
        <w:t xml:space="preserve"> for Disease Control and Prevention, 2021).</w:t>
      </w:r>
      <w:r w:rsidR="00823EDC" w:rsidRPr="00D53254">
        <w:rPr>
          <w:rFonts w:ascii="Arial" w:hAnsi="Arial" w:cs="Arial"/>
          <w:color w:val="000000" w:themeColor="text1"/>
          <w:sz w:val="22"/>
          <w:szCs w:val="22"/>
          <w:shd w:val="clear" w:color="auto" w:fill="FFFFFF"/>
        </w:rPr>
        <w:t xml:space="preserve"> </w:t>
      </w:r>
      <w:r w:rsidR="00F07F51" w:rsidRPr="00D53254">
        <w:rPr>
          <w:rFonts w:ascii="Arial" w:hAnsi="Arial" w:cs="Arial"/>
          <w:color w:val="000000" w:themeColor="text1"/>
          <w:sz w:val="22"/>
          <w:szCs w:val="22"/>
          <w:shd w:val="clear" w:color="auto" w:fill="FFFFFF"/>
        </w:rPr>
        <w:t>Recognising this differentiation and interconnectivity</w:t>
      </w:r>
      <w:r w:rsidR="00823EDC" w:rsidRPr="00D53254">
        <w:rPr>
          <w:rFonts w:ascii="Arial" w:hAnsi="Arial" w:cs="Arial"/>
          <w:color w:val="000000" w:themeColor="text1"/>
          <w:sz w:val="22"/>
          <w:szCs w:val="22"/>
          <w:shd w:val="clear" w:color="auto" w:fill="FFFFFF"/>
        </w:rPr>
        <w:t xml:space="preserve"> is crucial in health and social care to </w:t>
      </w:r>
      <w:r w:rsidR="009C50B1">
        <w:rPr>
          <w:rFonts w:ascii="Arial" w:hAnsi="Arial" w:cs="Arial"/>
          <w:color w:val="000000" w:themeColor="text1"/>
          <w:sz w:val="22"/>
          <w:szCs w:val="22"/>
          <w:shd w:val="clear" w:color="auto" w:fill="FFFFFF"/>
        </w:rPr>
        <w:t>ensure that interventions address both the challenges and the distinct ways</w:t>
      </w:r>
      <w:r w:rsidR="00823EDC" w:rsidRPr="00D53254">
        <w:rPr>
          <w:rFonts w:ascii="Arial" w:hAnsi="Arial" w:cs="Arial"/>
          <w:color w:val="000000" w:themeColor="text1"/>
          <w:sz w:val="22"/>
          <w:szCs w:val="22"/>
          <w:shd w:val="clear" w:color="auto" w:fill="FFFFFF"/>
        </w:rPr>
        <w:t xml:space="preserve"> young individuals respond to distress.</w:t>
      </w:r>
      <w:r w:rsidR="00B71A19">
        <w:rPr>
          <w:rFonts w:ascii="Arial" w:hAnsi="Arial" w:cs="Arial"/>
          <w:color w:val="000000" w:themeColor="text1"/>
          <w:sz w:val="22"/>
          <w:szCs w:val="22"/>
          <w:shd w:val="clear" w:color="auto" w:fill="FFFFFF"/>
        </w:rPr>
        <w:t xml:space="preserve"> </w:t>
      </w:r>
      <w:r w:rsidR="00354B82" w:rsidRPr="00D53254">
        <w:rPr>
          <w:rFonts w:ascii="Arial" w:hAnsi="Arial" w:cs="Arial"/>
          <w:color w:val="000000" w:themeColor="text1"/>
          <w:sz w:val="22"/>
          <w:szCs w:val="22"/>
        </w:rPr>
        <w:t>Recent UK-based research highlights the widespread occurrence of trauma and ACEs among children and young people. The Office for National Statistics (2020) reported that about one in five adults in England and Wales experienced at least one form of abuse before the age of sixteen. Similarly, Public Health Wales (2020)</w:t>
      </w:r>
      <w:r w:rsidR="009C50B1">
        <w:rPr>
          <w:rFonts w:ascii="Arial" w:hAnsi="Arial" w:cs="Arial"/>
          <w:color w:val="000000" w:themeColor="text1"/>
          <w:sz w:val="22"/>
          <w:szCs w:val="22"/>
        </w:rPr>
        <w:t xml:space="preserve"> found, in a 2016 study, that nearly half of adults (47%) in Wales had experienced at least one ACE, while 1 in 10 (14%) had experienced four or </w:t>
      </w:r>
      <w:r w:rsidR="009C50B1">
        <w:rPr>
          <w:rFonts w:ascii="Arial" w:hAnsi="Arial" w:cs="Arial"/>
          <w:color w:val="000000" w:themeColor="text1"/>
          <w:sz w:val="22"/>
          <w:szCs w:val="22"/>
        </w:rPr>
        <w:lastRenderedPageBreak/>
        <w:t>more</w:t>
      </w:r>
      <w:r w:rsidR="00354B82" w:rsidRPr="00D53254">
        <w:rPr>
          <w:rFonts w:ascii="Arial" w:hAnsi="Arial" w:cs="Arial"/>
          <w:color w:val="000000" w:themeColor="text1"/>
          <w:sz w:val="22"/>
          <w:szCs w:val="22"/>
        </w:rPr>
        <w:t xml:space="preserve">. </w:t>
      </w:r>
      <w:r w:rsidR="00996C13" w:rsidRPr="00D53254">
        <w:rPr>
          <w:rFonts w:ascii="Arial" w:hAnsi="Arial" w:cs="Arial"/>
          <w:color w:val="000000" w:themeColor="text1"/>
          <w:sz w:val="22"/>
          <w:szCs w:val="22"/>
        </w:rPr>
        <w:t>Experiencing several ACEs was associated with a six times greater likelihood of developing mental health disorders and a four times higher involvement in harmful health behaviours. These results highlight the widespread impact of childhood trauma and its considerable consequences for both personal and community health.</w:t>
      </w:r>
    </w:p>
    <w:p w14:paraId="0365A749" w14:textId="73230D91" w:rsidR="00FA4517" w:rsidRPr="00D53254" w:rsidRDefault="004F6A9A" w:rsidP="00D53254">
      <w:pPr>
        <w:pStyle w:val="NormalWeb"/>
        <w:spacing w:line="360" w:lineRule="auto"/>
        <w:jc w:val="both"/>
        <w:rPr>
          <w:rFonts w:ascii="Arial" w:hAnsi="Arial" w:cs="Arial"/>
          <w:color w:val="000000" w:themeColor="text1"/>
          <w:sz w:val="22"/>
          <w:szCs w:val="22"/>
        </w:rPr>
      </w:pPr>
      <w:r w:rsidRPr="00D53254">
        <w:rPr>
          <w:rFonts w:ascii="Arial" w:hAnsi="Arial" w:cs="Arial"/>
          <w:color w:val="000000" w:themeColor="text1"/>
          <w:sz w:val="22"/>
          <w:szCs w:val="22"/>
        </w:rPr>
        <w:t xml:space="preserve">      </w:t>
      </w:r>
      <w:r w:rsidR="005E0358" w:rsidRPr="00D53254">
        <w:rPr>
          <w:rFonts w:ascii="Arial" w:hAnsi="Arial" w:cs="Arial"/>
          <w:color w:val="000000" w:themeColor="text1"/>
          <w:sz w:val="22"/>
          <w:szCs w:val="22"/>
        </w:rPr>
        <w:t xml:space="preserve">The origins of trauma in children are complex, involving a range of interpersonal and environmental elements. Abuse and neglect are key contributors, with the Department for Education (2023) indicating that 49.3% of all Child Protection Plans (CPPs) in England were associated with neglect, and 37.4% with emotional abuse. Factors such as domestic violence, family instability, parental substance abuse, and mental health issues within the family further increase vulnerability, as these situations compromise children's emotional safety and attachment. Traumatic incidents can also stem from loss, exposure to community violence, bullying, accidents, or medical crises, all of which can disrupt the necessary sense of predictability and safety for healthy development. Additionally, social factors like poverty, racism, and social isolation amplify the risk, creating accumulative stress that impacts both physical and mental health outcomes (Hughes </w:t>
      </w:r>
      <w:r w:rsidR="005E0358" w:rsidRPr="00D53254">
        <w:rPr>
          <w:rFonts w:ascii="Arial" w:hAnsi="Arial" w:cs="Arial"/>
          <w:i/>
          <w:iCs/>
          <w:color w:val="000000" w:themeColor="text1"/>
          <w:sz w:val="22"/>
          <w:szCs w:val="22"/>
        </w:rPr>
        <w:t>et al</w:t>
      </w:r>
      <w:r w:rsidR="005E0358" w:rsidRPr="00D53254">
        <w:rPr>
          <w:rFonts w:ascii="Arial" w:hAnsi="Arial" w:cs="Arial"/>
          <w:color w:val="000000" w:themeColor="text1"/>
          <w:sz w:val="22"/>
          <w:szCs w:val="22"/>
        </w:rPr>
        <w:t>., 2017).</w:t>
      </w:r>
    </w:p>
    <w:p w14:paraId="7DD9285E" w14:textId="637F30BC" w:rsidR="00126E0F" w:rsidRPr="00D53254" w:rsidRDefault="002D2664" w:rsidP="00D53254">
      <w:pPr>
        <w:pStyle w:val="NormalWeb"/>
        <w:spacing w:line="360" w:lineRule="auto"/>
        <w:jc w:val="both"/>
        <w:rPr>
          <w:rFonts w:ascii="Arial" w:hAnsi="Arial" w:cs="Arial"/>
          <w:color w:val="000000" w:themeColor="text1"/>
          <w:sz w:val="22"/>
          <w:szCs w:val="22"/>
        </w:rPr>
      </w:pPr>
      <w:r w:rsidRPr="00D53254">
        <w:rPr>
          <w:rFonts w:ascii="Arial" w:hAnsi="Arial" w:cs="Arial"/>
          <w:color w:val="000000" w:themeColor="text1"/>
          <w:sz w:val="22"/>
          <w:szCs w:val="22"/>
        </w:rPr>
        <w:t xml:space="preserve">    </w:t>
      </w:r>
      <w:r w:rsidR="004F6A9A" w:rsidRPr="00D53254">
        <w:rPr>
          <w:rFonts w:ascii="Arial" w:hAnsi="Arial" w:cs="Arial"/>
          <w:color w:val="000000" w:themeColor="text1"/>
          <w:sz w:val="22"/>
          <w:szCs w:val="22"/>
        </w:rPr>
        <w:t xml:space="preserve">    </w:t>
      </w:r>
      <w:r w:rsidR="00126E0F" w:rsidRPr="00D53254">
        <w:rPr>
          <w:rFonts w:ascii="Arial" w:hAnsi="Arial" w:cs="Arial"/>
          <w:color w:val="000000" w:themeColor="text1"/>
          <w:sz w:val="22"/>
          <w:szCs w:val="22"/>
        </w:rPr>
        <w:t xml:space="preserve">Biologically, all humans are wired to respond to perceived threats </w:t>
      </w:r>
      <w:r w:rsidR="00CC49E4">
        <w:rPr>
          <w:rFonts w:ascii="Arial" w:hAnsi="Arial" w:cs="Arial"/>
          <w:color w:val="000000" w:themeColor="text1"/>
          <w:sz w:val="22"/>
          <w:szCs w:val="22"/>
        </w:rPr>
        <w:t>with</w:t>
      </w:r>
      <w:r w:rsidR="00126E0F" w:rsidRPr="00D53254">
        <w:rPr>
          <w:rFonts w:ascii="Arial" w:hAnsi="Arial" w:cs="Arial"/>
          <w:color w:val="000000" w:themeColor="text1"/>
          <w:sz w:val="22"/>
          <w:szCs w:val="22"/>
        </w:rPr>
        <w:t xml:space="preserve"> </w:t>
      </w:r>
      <w:r w:rsidR="009C50B1">
        <w:rPr>
          <w:rFonts w:ascii="Arial" w:hAnsi="Arial" w:cs="Arial"/>
          <w:color w:val="000000" w:themeColor="text1"/>
          <w:sz w:val="22"/>
          <w:szCs w:val="22"/>
        </w:rPr>
        <w:t>"</w:t>
      </w:r>
      <w:r w:rsidR="00126E0F" w:rsidRPr="00D53254">
        <w:rPr>
          <w:rFonts w:ascii="Arial" w:hAnsi="Arial" w:cs="Arial"/>
          <w:color w:val="000000" w:themeColor="text1"/>
          <w:sz w:val="22"/>
          <w:szCs w:val="22"/>
        </w:rPr>
        <w:t>fighting, fleeing, or freezing,</w:t>
      </w:r>
      <w:r w:rsidR="009C50B1">
        <w:rPr>
          <w:rFonts w:ascii="Arial" w:hAnsi="Arial" w:cs="Arial"/>
          <w:color w:val="000000" w:themeColor="text1"/>
          <w:sz w:val="22"/>
          <w:szCs w:val="22"/>
        </w:rPr>
        <w:t>"</w:t>
      </w:r>
      <w:r w:rsidR="00126E0F" w:rsidRPr="00D53254">
        <w:rPr>
          <w:rFonts w:ascii="Arial" w:hAnsi="Arial" w:cs="Arial"/>
          <w:color w:val="000000" w:themeColor="text1"/>
          <w:sz w:val="22"/>
          <w:szCs w:val="22"/>
        </w:rPr>
        <w:t xml:space="preserve"> a reaction known as </w:t>
      </w:r>
      <w:r w:rsidR="009C50B1">
        <w:rPr>
          <w:rFonts w:ascii="Arial" w:hAnsi="Arial" w:cs="Arial"/>
          <w:color w:val="000000" w:themeColor="text1"/>
          <w:sz w:val="22"/>
          <w:szCs w:val="22"/>
        </w:rPr>
        <w:t>"</w:t>
      </w:r>
      <w:r w:rsidR="00126E0F" w:rsidRPr="00D53254">
        <w:rPr>
          <w:rFonts w:ascii="Arial" w:hAnsi="Arial" w:cs="Arial"/>
          <w:color w:val="000000" w:themeColor="text1"/>
          <w:sz w:val="22"/>
          <w:szCs w:val="22"/>
        </w:rPr>
        <w:t>hyperarousal,</w:t>
      </w:r>
      <w:r w:rsidR="009C50B1">
        <w:rPr>
          <w:rFonts w:ascii="Arial" w:hAnsi="Arial" w:cs="Arial"/>
          <w:color w:val="000000" w:themeColor="text1"/>
          <w:sz w:val="22"/>
          <w:szCs w:val="22"/>
        </w:rPr>
        <w:t>"</w:t>
      </w:r>
      <w:r w:rsidR="00126E0F" w:rsidRPr="00D53254">
        <w:rPr>
          <w:rFonts w:ascii="Arial" w:hAnsi="Arial" w:cs="Arial"/>
          <w:color w:val="000000" w:themeColor="text1"/>
          <w:sz w:val="22"/>
          <w:szCs w:val="22"/>
        </w:rPr>
        <w:t xml:space="preserve"> which is regulated by the autonomic nervous system (Casey, Lin and Meyer, 2024). When the brain perceives danger, the amygdala triggers the hypothalamic-pituitary-adrenal (HPA) axis, which releases cortisol and adrenaline to prepare the body for survival. In acute situations, this response serves a protective function; however, chronic or repeated triggering—as seen in traumatised children—results in dysregulation of the stress response system (Murphy </w:t>
      </w:r>
      <w:r w:rsidR="00126E0F" w:rsidRPr="00D53254">
        <w:rPr>
          <w:rFonts w:ascii="Arial" w:hAnsi="Arial" w:cs="Arial"/>
          <w:i/>
          <w:iCs/>
          <w:color w:val="000000" w:themeColor="text1"/>
          <w:sz w:val="22"/>
          <w:szCs w:val="22"/>
        </w:rPr>
        <w:t>et al</w:t>
      </w:r>
      <w:r w:rsidR="00126E0F" w:rsidRPr="00D53254">
        <w:rPr>
          <w:rFonts w:ascii="Arial" w:hAnsi="Arial" w:cs="Arial"/>
          <w:color w:val="000000" w:themeColor="text1"/>
          <w:sz w:val="22"/>
          <w:szCs w:val="22"/>
        </w:rPr>
        <w:t>., 2022). Extended exposure to elevated cortisol levels can harm neural pathways in the hippocampus, hindering memory and learning, while increased activity in the amygdala intensifies fear and anxiety. A dec</w:t>
      </w:r>
      <w:r w:rsidR="009C50B1">
        <w:rPr>
          <w:rFonts w:ascii="Arial" w:hAnsi="Arial" w:cs="Arial"/>
          <w:color w:val="000000" w:themeColor="text1"/>
          <w:sz w:val="22"/>
          <w:szCs w:val="22"/>
        </w:rPr>
        <w:t>line in prefrontal cortex function</w:t>
      </w:r>
      <w:r w:rsidR="00126E0F" w:rsidRPr="00D53254">
        <w:rPr>
          <w:rFonts w:ascii="Arial" w:hAnsi="Arial" w:cs="Arial"/>
          <w:color w:val="000000" w:themeColor="text1"/>
          <w:sz w:val="22"/>
          <w:szCs w:val="22"/>
        </w:rPr>
        <w:t xml:space="preserve"> compromises emotional regulation and impulse control (Cassiers </w:t>
      </w:r>
      <w:r w:rsidR="00126E0F" w:rsidRPr="00D53254">
        <w:rPr>
          <w:rFonts w:ascii="Arial" w:hAnsi="Arial" w:cs="Arial"/>
          <w:i/>
          <w:iCs/>
          <w:color w:val="000000" w:themeColor="text1"/>
          <w:sz w:val="22"/>
          <w:szCs w:val="22"/>
        </w:rPr>
        <w:t>et al</w:t>
      </w:r>
      <w:r w:rsidR="00126E0F" w:rsidRPr="00D53254">
        <w:rPr>
          <w:rFonts w:ascii="Arial" w:hAnsi="Arial" w:cs="Arial"/>
          <w:color w:val="000000" w:themeColor="text1"/>
          <w:sz w:val="22"/>
          <w:szCs w:val="22"/>
        </w:rPr>
        <w:t>., 2018). These neurological changes clarify the hypervigilance, impulsivity, and difficulties with concentration frequently seen in traumatised youth. In addition to affecting the brain, trauma has widespread physiological impacts, leading to immune system suppression, hormonal imbalances, and heightened inflammation, all of which raise the likelihood of chronic health issues such as asthma, obesity, heart disease, and metabolic disorders (Kim, 2023). Therefore, negative experiences can lead to biological embedding, increasing susceptibility to mental and physical health issues over time.</w:t>
      </w:r>
    </w:p>
    <w:p w14:paraId="43DD4E0E" w14:textId="18A013F6" w:rsidR="00DB2E64" w:rsidRPr="00D53254" w:rsidRDefault="004F6A9A" w:rsidP="00D53254">
      <w:pPr>
        <w:pStyle w:val="NormalWeb"/>
        <w:spacing w:line="360" w:lineRule="auto"/>
        <w:jc w:val="both"/>
        <w:rPr>
          <w:rFonts w:ascii="Arial" w:hAnsi="Arial" w:cs="Arial"/>
          <w:color w:val="000000" w:themeColor="text1"/>
          <w:sz w:val="22"/>
          <w:szCs w:val="22"/>
        </w:rPr>
      </w:pPr>
      <w:r w:rsidRPr="00D53254">
        <w:rPr>
          <w:rFonts w:ascii="Arial" w:hAnsi="Arial" w:cs="Arial"/>
          <w:color w:val="000000" w:themeColor="text1"/>
          <w:sz w:val="22"/>
          <w:szCs w:val="22"/>
        </w:rPr>
        <w:t xml:space="preserve">       </w:t>
      </w:r>
      <w:r w:rsidR="006F1914" w:rsidRPr="00D53254">
        <w:rPr>
          <w:rFonts w:ascii="Arial" w:hAnsi="Arial" w:cs="Arial"/>
          <w:color w:val="000000" w:themeColor="text1"/>
          <w:sz w:val="22"/>
          <w:szCs w:val="22"/>
        </w:rPr>
        <w:t xml:space="preserve">Developmental theories offer important frameworks for comprehending the extensive effects of </w:t>
      </w:r>
      <w:r w:rsidR="00504D59" w:rsidRPr="00D53254">
        <w:rPr>
          <w:rFonts w:ascii="Arial" w:hAnsi="Arial" w:cs="Arial"/>
          <w:color w:val="000000" w:themeColor="text1"/>
          <w:sz w:val="22"/>
          <w:szCs w:val="22"/>
        </w:rPr>
        <w:t>trauma. Bronfenbrenner</w:t>
      </w:r>
      <w:r w:rsidR="009C50B1">
        <w:rPr>
          <w:rFonts w:ascii="Arial" w:hAnsi="Arial" w:cs="Arial"/>
          <w:color w:val="000000" w:themeColor="text1"/>
          <w:sz w:val="22"/>
          <w:szCs w:val="22"/>
        </w:rPr>
        <w:t>'</w:t>
      </w:r>
      <w:r w:rsidR="00504D59" w:rsidRPr="00D53254">
        <w:rPr>
          <w:rFonts w:ascii="Arial" w:hAnsi="Arial" w:cs="Arial"/>
          <w:color w:val="000000" w:themeColor="text1"/>
          <w:sz w:val="22"/>
          <w:szCs w:val="22"/>
        </w:rPr>
        <w:t>s</w:t>
      </w:r>
      <w:r w:rsidR="00525C20" w:rsidRPr="00D53254">
        <w:rPr>
          <w:rFonts w:ascii="Arial" w:hAnsi="Arial" w:cs="Arial"/>
          <w:color w:val="000000" w:themeColor="text1"/>
          <w:sz w:val="22"/>
          <w:szCs w:val="22"/>
        </w:rPr>
        <w:t xml:space="preserve"> (2005) ecological systems theory illustrates a child</w:t>
      </w:r>
      <w:r w:rsidR="009C50B1">
        <w:rPr>
          <w:rFonts w:ascii="Arial" w:hAnsi="Arial" w:cs="Arial"/>
          <w:color w:val="000000" w:themeColor="text1"/>
          <w:sz w:val="22"/>
          <w:szCs w:val="22"/>
        </w:rPr>
        <w:t>'</w:t>
      </w:r>
      <w:r w:rsidR="00525C20" w:rsidRPr="00D53254">
        <w:rPr>
          <w:rFonts w:ascii="Arial" w:hAnsi="Arial" w:cs="Arial"/>
          <w:color w:val="000000" w:themeColor="text1"/>
          <w:sz w:val="22"/>
          <w:szCs w:val="22"/>
        </w:rPr>
        <w:t xml:space="preserve">s </w:t>
      </w:r>
      <w:r w:rsidR="00525C20" w:rsidRPr="00D53254">
        <w:rPr>
          <w:rFonts w:ascii="Arial" w:hAnsi="Arial" w:cs="Arial"/>
          <w:color w:val="000000" w:themeColor="text1"/>
          <w:sz w:val="22"/>
          <w:szCs w:val="22"/>
        </w:rPr>
        <w:lastRenderedPageBreak/>
        <w:t xml:space="preserve">development within interconnected environments: the microsystem, mesosystem, exosystem, macrosystem, and chronosystem. The microsystem, which includes family, school, and peers, can </w:t>
      </w:r>
      <w:r w:rsidR="00504D59" w:rsidRPr="00D53254">
        <w:rPr>
          <w:rFonts w:ascii="Arial" w:hAnsi="Arial" w:cs="Arial"/>
          <w:color w:val="000000" w:themeColor="text1"/>
          <w:sz w:val="22"/>
          <w:szCs w:val="22"/>
        </w:rPr>
        <w:t>consist of</w:t>
      </w:r>
      <w:r w:rsidR="00525C20" w:rsidRPr="00D53254">
        <w:rPr>
          <w:rFonts w:ascii="Arial" w:hAnsi="Arial" w:cs="Arial"/>
          <w:color w:val="000000" w:themeColor="text1"/>
          <w:sz w:val="22"/>
          <w:szCs w:val="22"/>
        </w:rPr>
        <w:t xml:space="preserve"> experiences of abuse or neglect, leading to emotional dysregulation and distrust. The mesosystem, linking these contexts, can worsen the effects of trauma, as struggles at home often spill over into school and peer relationships.</w:t>
      </w:r>
      <w:r w:rsidR="006F1914" w:rsidRPr="00D53254">
        <w:rPr>
          <w:rFonts w:ascii="Arial" w:hAnsi="Arial" w:cs="Arial"/>
          <w:color w:val="000000" w:themeColor="text1"/>
          <w:sz w:val="22"/>
          <w:szCs w:val="22"/>
        </w:rPr>
        <w:t xml:space="preserve"> </w:t>
      </w:r>
      <w:r w:rsidR="00693517" w:rsidRPr="00D53254">
        <w:rPr>
          <w:rFonts w:ascii="Arial" w:hAnsi="Arial" w:cs="Arial"/>
          <w:color w:val="000000" w:themeColor="text1"/>
          <w:sz w:val="22"/>
          <w:szCs w:val="22"/>
        </w:rPr>
        <w:t xml:space="preserve">Factors like parental job loss, community violence, and social inequalities in the exosystem and macrosystem foster adversity and limit support. The chronosystem shows that prolonged trauma exposure leads to lasting developmental </w:t>
      </w:r>
      <w:r w:rsidR="009A5077" w:rsidRPr="00D53254">
        <w:rPr>
          <w:rFonts w:ascii="Arial" w:hAnsi="Arial" w:cs="Arial"/>
          <w:color w:val="000000" w:themeColor="text1"/>
          <w:sz w:val="22"/>
          <w:szCs w:val="22"/>
        </w:rPr>
        <w:t xml:space="preserve">effects. This ecological viewpoint sees trauma as a socially rooted process that requires collaborative efforts to build resilience across different systems </w:t>
      </w:r>
      <w:r w:rsidR="006F1914" w:rsidRPr="00D53254">
        <w:rPr>
          <w:rFonts w:ascii="Arial" w:hAnsi="Arial" w:cs="Arial"/>
          <w:color w:val="000000" w:themeColor="text1"/>
          <w:sz w:val="22"/>
          <w:szCs w:val="22"/>
        </w:rPr>
        <w:t>(Antony, 2022).</w:t>
      </w:r>
      <w:r w:rsidR="00FA4517" w:rsidRPr="00D53254">
        <w:rPr>
          <w:rFonts w:ascii="Arial" w:hAnsi="Arial" w:cs="Arial"/>
          <w:color w:val="000000" w:themeColor="text1"/>
          <w:sz w:val="22"/>
          <w:szCs w:val="22"/>
        </w:rPr>
        <w:t xml:space="preserve"> </w:t>
      </w:r>
      <w:r w:rsidR="002C3FCF" w:rsidRPr="00D53254">
        <w:rPr>
          <w:rFonts w:ascii="Arial" w:hAnsi="Arial" w:cs="Arial"/>
          <w:color w:val="000000" w:themeColor="text1"/>
          <w:sz w:val="22"/>
          <w:szCs w:val="22"/>
        </w:rPr>
        <w:t>Erikson</w:t>
      </w:r>
      <w:r w:rsidR="009C50B1">
        <w:rPr>
          <w:rFonts w:ascii="Arial" w:hAnsi="Arial" w:cs="Arial"/>
          <w:color w:val="000000" w:themeColor="text1"/>
          <w:sz w:val="22"/>
          <w:szCs w:val="22"/>
        </w:rPr>
        <w:t>'</w:t>
      </w:r>
      <w:r w:rsidR="002C3FCF" w:rsidRPr="00D53254">
        <w:rPr>
          <w:rFonts w:ascii="Arial" w:hAnsi="Arial" w:cs="Arial"/>
          <w:color w:val="000000" w:themeColor="text1"/>
          <w:sz w:val="22"/>
          <w:szCs w:val="22"/>
        </w:rPr>
        <w:t xml:space="preserve">s psychosocial theory (1950) highlights the crucial role of trust and identity development in </w:t>
      </w:r>
      <w:r w:rsidR="00525FB5" w:rsidRPr="00D53254">
        <w:rPr>
          <w:rFonts w:ascii="Arial" w:hAnsi="Arial" w:cs="Arial"/>
          <w:color w:val="000000" w:themeColor="text1"/>
          <w:sz w:val="22"/>
          <w:szCs w:val="22"/>
        </w:rPr>
        <w:t xml:space="preserve">the </w:t>
      </w:r>
      <w:r w:rsidR="002C3FCF" w:rsidRPr="00D53254">
        <w:rPr>
          <w:rFonts w:ascii="Arial" w:hAnsi="Arial" w:cs="Arial"/>
          <w:color w:val="000000" w:themeColor="text1"/>
          <w:sz w:val="22"/>
          <w:szCs w:val="22"/>
        </w:rPr>
        <w:t>early stages</w:t>
      </w:r>
      <w:r w:rsidR="00CC49E4">
        <w:rPr>
          <w:rFonts w:ascii="Arial" w:hAnsi="Arial" w:cs="Arial"/>
          <w:color w:val="000000" w:themeColor="text1"/>
          <w:sz w:val="22"/>
          <w:szCs w:val="22"/>
        </w:rPr>
        <w:t xml:space="preserve"> of development</w:t>
      </w:r>
      <w:r w:rsidR="002C3FCF" w:rsidRPr="00D53254">
        <w:rPr>
          <w:rFonts w:ascii="Arial" w:hAnsi="Arial" w:cs="Arial"/>
          <w:color w:val="000000" w:themeColor="text1"/>
          <w:sz w:val="22"/>
          <w:szCs w:val="22"/>
        </w:rPr>
        <w:t xml:space="preserve">. </w:t>
      </w:r>
      <w:r w:rsidR="001C6765" w:rsidRPr="00D53254">
        <w:rPr>
          <w:rFonts w:ascii="Arial" w:hAnsi="Arial" w:cs="Arial"/>
          <w:color w:val="000000" w:themeColor="text1"/>
          <w:sz w:val="22"/>
          <w:szCs w:val="22"/>
        </w:rPr>
        <w:t>Thus, t</w:t>
      </w:r>
      <w:r w:rsidR="002C3FCF" w:rsidRPr="00D53254">
        <w:rPr>
          <w:rFonts w:ascii="Arial" w:hAnsi="Arial" w:cs="Arial"/>
          <w:color w:val="000000" w:themeColor="text1"/>
          <w:sz w:val="22"/>
          <w:szCs w:val="22"/>
        </w:rPr>
        <w:t>rauma in infancy or adolescence can lead to mistrust, role confusion, and a weakened self-image.</w:t>
      </w:r>
      <w:r w:rsidRPr="00D53254">
        <w:rPr>
          <w:rFonts w:ascii="Arial" w:hAnsi="Arial" w:cs="Arial"/>
          <w:color w:val="000000" w:themeColor="text1"/>
          <w:sz w:val="22"/>
          <w:szCs w:val="22"/>
        </w:rPr>
        <w:t xml:space="preserve"> </w:t>
      </w:r>
      <w:r w:rsidR="004A660E" w:rsidRPr="00D53254">
        <w:rPr>
          <w:rFonts w:ascii="Arial" w:hAnsi="Arial" w:cs="Arial"/>
          <w:color w:val="000000" w:themeColor="text1"/>
          <w:sz w:val="22"/>
          <w:szCs w:val="22"/>
        </w:rPr>
        <w:t xml:space="preserve">Emotionally, trauma undermines children's capacity to manage their feelings, develop trust, and uphold healthy self-views, making them susceptible to emotional instability and challenges in establishing stable relationships. Bowlby (1969) argued that </w:t>
      </w:r>
      <w:r w:rsidR="00E23D42" w:rsidRPr="00D53254">
        <w:rPr>
          <w:rFonts w:ascii="Arial" w:hAnsi="Arial" w:cs="Arial"/>
          <w:color w:val="000000" w:themeColor="text1"/>
          <w:sz w:val="22"/>
          <w:szCs w:val="22"/>
        </w:rPr>
        <w:t>positive</w:t>
      </w:r>
      <w:r w:rsidR="004A660E" w:rsidRPr="00D53254">
        <w:rPr>
          <w:rFonts w:ascii="Arial" w:hAnsi="Arial" w:cs="Arial"/>
          <w:color w:val="000000" w:themeColor="text1"/>
          <w:sz w:val="22"/>
          <w:szCs w:val="22"/>
        </w:rPr>
        <w:t xml:space="preserve"> </w:t>
      </w:r>
      <w:r w:rsidR="00E23D42" w:rsidRPr="00D53254">
        <w:rPr>
          <w:rFonts w:ascii="Arial" w:hAnsi="Arial" w:cs="Arial"/>
          <w:color w:val="000000" w:themeColor="text1"/>
          <w:sz w:val="22"/>
          <w:szCs w:val="22"/>
        </w:rPr>
        <w:t>attachment</w:t>
      </w:r>
      <w:r w:rsidR="004A660E" w:rsidRPr="00D53254">
        <w:rPr>
          <w:rFonts w:ascii="Arial" w:hAnsi="Arial" w:cs="Arial"/>
          <w:color w:val="000000" w:themeColor="text1"/>
          <w:sz w:val="22"/>
          <w:szCs w:val="22"/>
        </w:rPr>
        <w:t xml:space="preserve"> creates internal mental frameworks of security and affection, whereas inconsistent or damaging caregiving breeds insecurity and anxiety.</w:t>
      </w:r>
      <w:r w:rsidR="00FA4517" w:rsidRPr="00D53254">
        <w:rPr>
          <w:rFonts w:ascii="Arial" w:hAnsi="Arial" w:cs="Arial"/>
          <w:color w:val="000000" w:themeColor="text1"/>
          <w:sz w:val="22"/>
          <w:szCs w:val="22"/>
        </w:rPr>
        <w:t xml:space="preserve"> </w:t>
      </w:r>
      <w:r w:rsidR="001977C9" w:rsidRPr="00D53254">
        <w:rPr>
          <w:rFonts w:ascii="Arial" w:hAnsi="Arial" w:cs="Arial"/>
          <w:color w:val="000000" w:themeColor="text1"/>
          <w:sz w:val="22"/>
          <w:szCs w:val="22"/>
        </w:rPr>
        <w:t>Traumatised</w:t>
      </w:r>
      <w:r w:rsidR="00BA433C" w:rsidRPr="00D53254">
        <w:rPr>
          <w:rFonts w:ascii="Arial" w:hAnsi="Arial" w:cs="Arial"/>
          <w:color w:val="000000" w:themeColor="text1"/>
          <w:sz w:val="22"/>
          <w:szCs w:val="22"/>
        </w:rPr>
        <w:t xml:space="preserve"> children often struggle with emotional regulation, shifting between anger, anxiety, withdrawal, or numbness. These </w:t>
      </w:r>
      <w:r w:rsidR="001977C9" w:rsidRPr="00D53254">
        <w:rPr>
          <w:rFonts w:ascii="Arial" w:hAnsi="Arial" w:cs="Arial"/>
          <w:color w:val="000000" w:themeColor="text1"/>
          <w:sz w:val="22"/>
          <w:szCs w:val="22"/>
        </w:rPr>
        <w:t>behaviours</w:t>
      </w:r>
      <w:r w:rsidR="00BA433C" w:rsidRPr="00D53254">
        <w:rPr>
          <w:rFonts w:ascii="Arial" w:hAnsi="Arial" w:cs="Arial"/>
          <w:color w:val="000000" w:themeColor="text1"/>
          <w:sz w:val="22"/>
          <w:szCs w:val="22"/>
        </w:rPr>
        <w:t>, such as aggression or self-harm, are frequently misinterpreted by adults as disobedience instead of signs of distress</w:t>
      </w:r>
      <w:r w:rsidR="001977C9" w:rsidRPr="00D53254">
        <w:rPr>
          <w:rFonts w:ascii="Arial" w:hAnsi="Arial" w:cs="Arial"/>
          <w:color w:val="000000" w:themeColor="text1"/>
          <w:sz w:val="22"/>
          <w:szCs w:val="22"/>
        </w:rPr>
        <w:t xml:space="preserve"> </w:t>
      </w:r>
      <w:r w:rsidR="001977C9" w:rsidRPr="00D53254">
        <w:rPr>
          <w:rFonts w:ascii="Arial" w:hAnsi="Arial" w:cs="Arial"/>
          <w:color w:val="000000" w:themeColor="text1"/>
          <w:sz w:val="22"/>
          <w:szCs w:val="22"/>
          <w:shd w:val="clear" w:color="auto" w:fill="FFFFFF"/>
        </w:rPr>
        <w:t>(Kerig, 2018)</w:t>
      </w:r>
      <w:r w:rsidR="00BA433C" w:rsidRPr="00D53254">
        <w:rPr>
          <w:rFonts w:ascii="Arial" w:hAnsi="Arial" w:cs="Arial"/>
          <w:color w:val="000000" w:themeColor="text1"/>
          <w:sz w:val="22"/>
          <w:szCs w:val="22"/>
        </w:rPr>
        <w:t>.</w:t>
      </w:r>
      <w:r w:rsidR="00F9055A" w:rsidRPr="00D53254">
        <w:rPr>
          <w:rFonts w:ascii="Arial" w:hAnsi="Arial" w:cs="Arial"/>
          <w:color w:val="000000" w:themeColor="text1"/>
          <w:sz w:val="22"/>
          <w:szCs w:val="22"/>
        </w:rPr>
        <w:t xml:space="preserve"> These theories illustrate the impact of trauma on </w:t>
      </w:r>
      <w:r w:rsidR="009C50B1">
        <w:rPr>
          <w:rFonts w:ascii="Arial" w:hAnsi="Arial" w:cs="Arial"/>
          <w:color w:val="000000" w:themeColor="text1"/>
          <w:sz w:val="22"/>
          <w:szCs w:val="22"/>
        </w:rPr>
        <w:t>an individual's development and on</w:t>
      </w:r>
      <w:r w:rsidR="00F9055A" w:rsidRPr="00D53254">
        <w:rPr>
          <w:rFonts w:ascii="Arial" w:hAnsi="Arial" w:cs="Arial"/>
          <w:color w:val="000000" w:themeColor="text1"/>
          <w:sz w:val="22"/>
          <w:szCs w:val="22"/>
        </w:rPr>
        <w:t xml:space="preserve"> the surrounding systems of care and interaction for the child.</w:t>
      </w:r>
    </w:p>
    <w:p w14:paraId="2CE54156" w14:textId="272BECF5" w:rsidR="00FA4517" w:rsidRPr="00D53254" w:rsidRDefault="00C66E7D" w:rsidP="00D53254">
      <w:pPr>
        <w:pStyle w:val="NormalWeb"/>
        <w:spacing w:line="360" w:lineRule="auto"/>
        <w:jc w:val="both"/>
        <w:rPr>
          <w:rFonts w:ascii="Arial" w:hAnsi="Arial" w:cs="Arial"/>
          <w:color w:val="000000" w:themeColor="text1"/>
          <w:sz w:val="22"/>
          <w:szCs w:val="22"/>
        </w:rPr>
      </w:pPr>
      <w:r w:rsidRPr="00D53254">
        <w:rPr>
          <w:rFonts w:ascii="Arial" w:hAnsi="Arial" w:cs="Arial"/>
          <w:color w:val="000000" w:themeColor="text1"/>
          <w:sz w:val="22"/>
          <w:szCs w:val="22"/>
        </w:rPr>
        <w:t xml:space="preserve">       </w:t>
      </w:r>
      <w:r w:rsidR="0003149D" w:rsidRPr="00D53254">
        <w:rPr>
          <w:rFonts w:ascii="Arial" w:hAnsi="Arial" w:cs="Arial"/>
          <w:color w:val="000000" w:themeColor="text1"/>
          <w:sz w:val="22"/>
          <w:szCs w:val="22"/>
        </w:rPr>
        <w:t xml:space="preserve">The relationship between experience, physiology, emotion, and </w:t>
      </w:r>
      <w:r w:rsidR="000136D2" w:rsidRPr="00D53254">
        <w:rPr>
          <w:rFonts w:ascii="Arial" w:hAnsi="Arial" w:cs="Arial"/>
          <w:color w:val="000000" w:themeColor="text1"/>
          <w:sz w:val="22"/>
          <w:szCs w:val="22"/>
        </w:rPr>
        <w:t>behaviour</w:t>
      </w:r>
      <w:r w:rsidR="0003149D" w:rsidRPr="00D53254">
        <w:rPr>
          <w:rFonts w:ascii="Arial" w:hAnsi="Arial" w:cs="Arial"/>
          <w:color w:val="000000" w:themeColor="text1"/>
          <w:sz w:val="22"/>
          <w:szCs w:val="22"/>
        </w:rPr>
        <w:t xml:space="preserve"> shows that trauma-related actions are adaptive responses to extreme stress, not intentional misconduct. For instance, a chronically neglected child may become hypervigilant to cope with instability, while another might dissociate for protection. Although these survival mechanisms can be functional in traumatic contexts, they often impede learning, social integration, and help-seeking </w:t>
      </w:r>
      <w:r w:rsidR="000136D2" w:rsidRPr="00D53254">
        <w:rPr>
          <w:rFonts w:ascii="Arial" w:hAnsi="Arial" w:cs="Arial"/>
          <w:color w:val="000000" w:themeColor="text1"/>
          <w:sz w:val="22"/>
          <w:szCs w:val="22"/>
        </w:rPr>
        <w:t>later</w:t>
      </w:r>
      <w:r w:rsidR="0003149D" w:rsidRPr="00D53254">
        <w:rPr>
          <w:rFonts w:ascii="Arial" w:hAnsi="Arial" w:cs="Arial"/>
          <w:color w:val="000000" w:themeColor="text1"/>
          <w:sz w:val="22"/>
          <w:szCs w:val="22"/>
        </w:rPr>
        <w:t xml:space="preserve">. Viewing these </w:t>
      </w:r>
      <w:r w:rsidR="000136D2" w:rsidRPr="00D53254">
        <w:rPr>
          <w:rFonts w:ascii="Arial" w:hAnsi="Arial" w:cs="Arial"/>
          <w:color w:val="000000" w:themeColor="text1"/>
          <w:sz w:val="22"/>
          <w:szCs w:val="22"/>
        </w:rPr>
        <w:t>behaviours</w:t>
      </w:r>
      <w:r w:rsidR="0003149D" w:rsidRPr="00D53254">
        <w:rPr>
          <w:rFonts w:ascii="Arial" w:hAnsi="Arial" w:cs="Arial"/>
          <w:color w:val="000000" w:themeColor="text1"/>
          <w:sz w:val="22"/>
          <w:szCs w:val="22"/>
        </w:rPr>
        <w:t xml:space="preserve"> through a trauma-informed lens allows professionals to interpret them as expressions of need, fostering empathy and effective intervention</w:t>
      </w:r>
      <w:r w:rsidR="009A409A" w:rsidRPr="00D53254">
        <w:rPr>
          <w:rFonts w:ascii="Arial" w:hAnsi="Arial" w:cs="Arial"/>
          <w:color w:val="000000" w:themeColor="text1"/>
          <w:sz w:val="22"/>
          <w:szCs w:val="22"/>
        </w:rPr>
        <w:t xml:space="preserve"> </w:t>
      </w:r>
      <w:r w:rsidR="00FA4517" w:rsidRPr="00D53254">
        <w:rPr>
          <w:rFonts w:ascii="Arial" w:hAnsi="Arial" w:cs="Arial"/>
          <w:color w:val="000000" w:themeColor="text1"/>
          <w:sz w:val="22"/>
          <w:szCs w:val="22"/>
        </w:rPr>
        <w:t>(Perry and Winfrey, 2021).</w:t>
      </w:r>
    </w:p>
    <w:p w14:paraId="72083A3C" w14:textId="32894904" w:rsidR="00FA4517" w:rsidRPr="00D53254" w:rsidRDefault="00C66E7D" w:rsidP="00D53254">
      <w:pPr>
        <w:pStyle w:val="NormalWeb"/>
        <w:spacing w:line="360" w:lineRule="auto"/>
        <w:jc w:val="both"/>
        <w:rPr>
          <w:rFonts w:ascii="Arial" w:hAnsi="Arial" w:cs="Arial"/>
          <w:color w:val="000000" w:themeColor="text1"/>
          <w:sz w:val="22"/>
          <w:szCs w:val="22"/>
        </w:rPr>
      </w:pPr>
      <w:r w:rsidRPr="00D53254">
        <w:rPr>
          <w:rFonts w:ascii="Arial" w:hAnsi="Arial" w:cs="Arial"/>
          <w:color w:val="000000" w:themeColor="text1"/>
          <w:sz w:val="22"/>
          <w:szCs w:val="22"/>
        </w:rPr>
        <w:t xml:space="preserve">        </w:t>
      </w:r>
      <w:r w:rsidR="00832297" w:rsidRPr="00D53254">
        <w:rPr>
          <w:rFonts w:ascii="Arial" w:hAnsi="Arial" w:cs="Arial"/>
          <w:color w:val="000000" w:themeColor="text1"/>
          <w:sz w:val="22"/>
          <w:szCs w:val="22"/>
        </w:rPr>
        <w:t xml:space="preserve">Addressing the physiological and emotional effects of trauma necessitates a compassionate and integrated strategy rooted in Trauma-Informed Practice (TIP). TIP </w:t>
      </w:r>
      <w:r w:rsidR="003E7A6B" w:rsidRPr="00D53254">
        <w:rPr>
          <w:rFonts w:ascii="Arial" w:hAnsi="Arial" w:cs="Arial"/>
          <w:color w:val="000000" w:themeColor="text1"/>
          <w:sz w:val="22"/>
          <w:szCs w:val="22"/>
        </w:rPr>
        <w:t>recognises the widespread influence of trauma and emphasises</w:t>
      </w:r>
      <w:r w:rsidR="00832297" w:rsidRPr="00D53254">
        <w:rPr>
          <w:rFonts w:ascii="Arial" w:hAnsi="Arial" w:cs="Arial"/>
          <w:color w:val="000000" w:themeColor="text1"/>
          <w:sz w:val="22"/>
          <w:szCs w:val="22"/>
        </w:rPr>
        <w:t xml:space="preserve"> "safety, trust, choice, collaboration, empowerment, and cultural considerations" (SAMHSA, 2014). In the UK, these principles form the foundation of the NHS England</w:t>
      </w:r>
      <w:r w:rsidR="009C50B1">
        <w:rPr>
          <w:rFonts w:ascii="Arial" w:hAnsi="Arial" w:cs="Arial"/>
          <w:color w:val="000000" w:themeColor="text1"/>
          <w:sz w:val="22"/>
          <w:szCs w:val="22"/>
        </w:rPr>
        <w:t>'</w:t>
      </w:r>
      <w:r w:rsidR="00832297" w:rsidRPr="00D53254">
        <w:rPr>
          <w:rFonts w:ascii="Arial" w:hAnsi="Arial" w:cs="Arial"/>
          <w:color w:val="000000" w:themeColor="text1"/>
          <w:sz w:val="22"/>
          <w:szCs w:val="22"/>
        </w:rPr>
        <w:t>s Trauma-Informed Care Framework (</w:t>
      </w:r>
      <w:r w:rsidR="00CF11D3" w:rsidRPr="00D53254">
        <w:rPr>
          <w:rFonts w:ascii="Arial" w:hAnsi="Arial" w:cs="Arial"/>
          <w:color w:val="000000" w:themeColor="text1"/>
          <w:sz w:val="22"/>
          <w:szCs w:val="22"/>
        </w:rPr>
        <w:t xml:space="preserve">NHS, </w:t>
      </w:r>
      <w:r w:rsidR="00832297" w:rsidRPr="00D53254">
        <w:rPr>
          <w:rFonts w:ascii="Arial" w:hAnsi="Arial" w:cs="Arial"/>
          <w:color w:val="000000" w:themeColor="text1"/>
          <w:sz w:val="22"/>
          <w:szCs w:val="22"/>
        </w:rPr>
        <w:t>202</w:t>
      </w:r>
      <w:r w:rsidR="00EF39DE" w:rsidRPr="00D53254">
        <w:rPr>
          <w:rFonts w:ascii="Arial" w:hAnsi="Arial" w:cs="Arial"/>
          <w:color w:val="000000" w:themeColor="text1"/>
          <w:sz w:val="22"/>
          <w:szCs w:val="22"/>
        </w:rPr>
        <w:t>5</w:t>
      </w:r>
      <w:r w:rsidR="00832297" w:rsidRPr="00D53254">
        <w:rPr>
          <w:rFonts w:ascii="Arial" w:hAnsi="Arial" w:cs="Arial"/>
          <w:color w:val="000000" w:themeColor="text1"/>
          <w:sz w:val="22"/>
          <w:szCs w:val="22"/>
        </w:rPr>
        <w:t xml:space="preserve">) and </w:t>
      </w:r>
      <w:r w:rsidR="00CC49E4">
        <w:rPr>
          <w:rFonts w:ascii="Arial" w:hAnsi="Arial" w:cs="Arial"/>
          <w:color w:val="000000" w:themeColor="text1"/>
          <w:sz w:val="22"/>
          <w:szCs w:val="22"/>
        </w:rPr>
        <w:t>of the UK Trauma Council's guidance</w:t>
      </w:r>
      <w:r w:rsidR="00832297" w:rsidRPr="00D53254">
        <w:rPr>
          <w:rFonts w:ascii="Arial" w:hAnsi="Arial" w:cs="Arial"/>
          <w:color w:val="000000" w:themeColor="text1"/>
          <w:sz w:val="22"/>
          <w:szCs w:val="22"/>
        </w:rPr>
        <w:t xml:space="preserve"> on trauma-informed education and care (</w:t>
      </w:r>
      <w:r w:rsidR="00A770D0" w:rsidRPr="00D53254">
        <w:rPr>
          <w:rFonts w:ascii="Arial" w:hAnsi="Arial" w:cs="Arial"/>
          <w:color w:val="000000" w:themeColor="text1"/>
          <w:sz w:val="22"/>
          <w:szCs w:val="22"/>
        </w:rPr>
        <w:t xml:space="preserve">UK </w:t>
      </w:r>
      <w:r w:rsidR="00A770D0" w:rsidRPr="00D53254">
        <w:rPr>
          <w:rFonts w:ascii="Arial" w:hAnsi="Arial" w:cs="Arial"/>
          <w:color w:val="000000" w:themeColor="text1"/>
          <w:sz w:val="22"/>
          <w:szCs w:val="22"/>
        </w:rPr>
        <w:lastRenderedPageBreak/>
        <w:t xml:space="preserve">Government, </w:t>
      </w:r>
      <w:r w:rsidR="00832297" w:rsidRPr="00D53254">
        <w:rPr>
          <w:rFonts w:ascii="Arial" w:hAnsi="Arial" w:cs="Arial"/>
          <w:color w:val="000000" w:themeColor="text1"/>
          <w:sz w:val="22"/>
          <w:szCs w:val="22"/>
        </w:rPr>
        <w:t>202</w:t>
      </w:r>
      <w:r w:rsidR="00A770D0" w:rsidRPr="00D53254">
        <w:rPr>
          <w:rFonts w:ascii="Arial" w:hAnsi="Arial" w:cs="Arial"/>
          <w:color w:val="000000" w:themeColor="text1"/>
          <w:sz w:val="22"/>
          <w:szCs w:val="22"/>
        </w:rPr>
        <w:t>4</w:t>
      </w:r>
      <w:r w:rsidR="00832297" w:rsidRPr="00D53254">
        <w:rPr>
          <w:rFonts w:ascii="Arial" w:hAnsi="Arial" w:cs="Arial"/>
          <w:color w:val="000000" w:themeColor="text1"/>
          <w:sz w:val="22"/>
          <w:szCs w:val="22"/>
        </w:rPr>
        <w:t xml:space="preserve">). TIP motivates practitioners to </w:t>
      </w:r>
      <w:r w:rsidR="003E7A6B" w:rsidRPr="00D53254">
        <w:rPr>
          <w:rFonts w:ascii="Arial" w:hAnsi="Arial" w:cs="Arial"/>
          <w:color w:val="000000" w:themeColor="text1"/>
          <w:sz w:val="22"/>
          <w:szCs w:val="22"/>
        </w:rPr>
        <w:t>ask,</w:t>
      </w:r>
      <w:r w:rsidR="0077449A" w:rsidRPr="00D53254">
        <w:rPr>
          <w:rFonts w:ascii="Arial" w:hAnsi="Arial" w:cs="Arial"/>
          <w:color w:val="000000" w:themeColor="text1"/>
          <w:sz w:val="22"/>
          <w:szCs w:val="22"/>
        </w:rPr>
        <w:t xml:space="preserve"> </w:t>
      </w:r>
      <w:r w:rsidR="009C50B1">
        <w:rPr>
          <w:rFonts w:ascii="Arial" w:hAnsi="Arial" w:cs="Arial"/>
          <w:color w:val="000000" w:themeColor="text1"/>
          <w:sz w:val="22"/>
          <w:szCs w:val="22"/>
        </w:rPr>
        <w:t>"</w:t>
      </w:r>
      <w:r w:rsidR="003E7A6B" w:rsidRPr="00D53254">
        <w:rPr>
          <w:rFonts w:ascii="Arial" w:hAnsi="Arial" w:cs="Arial"/>
          <w:color w:val="000000" w:themeColor="text1"/>
          <w:sz w:val="22"/>
          <w:szCs w:val="22"/>
        </w:rPr>
        <w:t>What has happened to you?</w:t>
      </w:r>
      <w:r w:rsidR="009C50B1">
        <w:rPr>
          <w:rFonts w:ascii="Arial" w:hAnsi="Arial" w:cs="Arial"/>
          <w:color w:val="000000" w:themeColor="text1"/>
          <w:sz w:val="22"/>
          <w:szCs w:val="22"/>
        </w:rPr>
        <w:t>"</w:t>
      </w:r>
      <w:r w:rsidR="003E7A6B" w:rsidRPr="00D53254">
        <w:rPr>
          <w:rFonts w:ascii="Arial" w:hAnsi="Arial" w:cs="Arial"/>
          <w:color w:val="000000" w:themeColor="text1"/>
          <w:sz w:val="22"/>
          <w:szCs w:val="22"/>
        </w:rPr>
        <w:t xml:space="preserve"> rather than </w:t>
      </w:r>
      <w:r w:rsidR="009C50B1">
        <w:rPr>
          <w:rFonts w:ascii="Arial" w:hAnsi="Arial" w:cs="Arial"/>
          <w:color w:val="000000" w:themeColor="text1"/>
          <w:sz w:val="22"/>
          <w:szCs w:val="22"/>
        </w:rPr>
        <w:t>"</w:t>
      </w:r>
      <w:r w:rsidR="003E7A6B" w:rsidRPr="00D53254">
        <w:rPr>
          <w:rFonts w:ascii="Arial" w:hAnsi="Arial" w:cs="Arial"/>
          <w:color w:val="000000" w:themeColor="text1"/>
          <w:sz w:val="22"/>
          <w:szCs w:val="22"/>
        </w:rPr>
        <w:t>What</w:t>
      </w:r>
      <w:r w:rsidR="0077449A" w:rsidRPr="00D53254">
        <w:rPr>
          <w:rFonts w:ascii="Arial" w:hAnsi="Arial" w:cs="Arial"/>
          <w:color w:val="000000" w:themeColor="text1"/>
          <w:sz w:val="22"/>
          <w:szCs w:val="22"/>
        </w:rPr>
        <w:t xml:space="preserve"> is wrong with you?</w:t>
      </w:r>
      <w:r w:rsidR="009C50B1">
        <w:rPr>
          <w:rFonts w:ascii="Arial" w:hAnsi="Arial" w:cs="Arial"/>
          <w:color w:val="000000" w:themeColor="text1"/>
          <w:sz w:val="22"/>
          <w:szCs w:val="22"/>
        </w:rPr>
        <w:t>"</w:t>
      </w:r>
      <w:r w:rsidR="00832297" w:rsidRPr="00D53254">
        <w:rPr>
          <w:rFonts w:ascii="Arial" w:hAnsi="Arial" w:cs="Arial"/>
          <w:color w:val="000000" w:themeColor="text1"/>
          <w:sz w:val="22"/>
          <w:szCs w:val="22"/>
        </w:rPr>
        <w:t xml:space="preserve">, shifting the perspective on </w:t>
      </w:r>
      <w:r w:rsidR="00F86836" w:rsidRPr="00D53254">
        <w:rPr>
          <w:rFonts w:ascii="Arial" w:hAnsi="Arial" w:cs="Arial"/>
          <w:color w:val="000000" w:themeColor="text1"/>
          <w:sz w:val="22"/>
          <w:szCs w:val="22"/>
        </w:rPr>
        <w:t>behaviour</w:t>
      </w:r>
      <w:r w:rsidR="00832297" w:rsidRPr="00D53254">
        <w:rPr>
          <w:rFonts w:ascii="Arial" w:hAnsi="Arial" w:cs="Arial"/>
          <w:color w:val="000000" w:themeColor="text1"/>
          <w:sz w:val="22"/>
          <w:szCs w:val="22"/>
        </w:rPr>
        <w:t xml:space="preserve"> as an expression of unmet needs</w:t>
      </w:r>
      <w:r w:rsidR="00F86836" w:rsidRPr="00D53254">
        <w:rPr>
          <w:rFonts w:ascii="Arial" w:hAnsi="Arial" w:cs="Arial"/>
          <w:color w:val="000000" w:themeColor="text1"/>
          <w:sz w:val="22"/>
          <w:szCs w:val="22"/>
        </w:rPr>
        <w:t xml:space="preserve"> (Sweeney </w:t>
      </w:r>
      <w:r w:rsidR="00F86836" w:rsidRPr="00D53254">
        <w:rPr>
          <w:rFonts w:ascii="Arial" w:hAnsi="Arial" w:cs="Arial"/>
          <w:i/>
          <w:iCs/>
          <w:color w:val="000000" w:themeColor="text1"/>
          <w:sz w:val="22"/>
          <w:szCs w:val="22"/>
        </w:rPr>
        <w:t>et al</w:t>
      </w:r>
      <w:r w:rsidR="00F86836" w:rsidRPr="00D53254">
        <w:rPr>
          <w:rFonts w:ascii="Arial" w:hAnsi="Arial" w:cs="Arial"/>
          <w:color w:val="000000" w:themeColor="text1"/>
          <w:sz w:val="22"/>
          <w:szCs w:val="22"/>
        </w:rPr>
        <w:t>., 2023)</w:t>
      </w:r>
      <w:r w:rsidR="00832297" w:rsidRPr="00D53254">
        <w:rPr>
          <w:rFonts w:ascii="Arial" w:hAnsi="Arial" w:cs="Arial"/>
          <w:color w:val="000000" w:themeColor="text1"/>
          <w:sz w:val="22"/>
          <w:szCs w:val="22"/>
        </w:rPr>
        <w:t>.</w:t>
      </w:r>
      <w:r w:rsidR="00EA2657" w:rsidRPr="00D53254">
        <w:rPr>
          <w:rFonts w:ascii="Arial" w:hAnsi="Arial" w:cs="Arial"/>
          <w:color w:val="000000" w:themeColor="text1"/>
          <w:sz w:val="22"/>
          <w:szCs w:val="22"/>
        </w:rPr>
        <w:t>Research-based Trauma-Informed Practice (TIP) interventions help address both the psychological and physiological effects of trauma by targeting maladaptive thought and stress patterns</w:t>
      </w:r>
      <w:r w:rsidR="004F2417" w:rsidRPr="00D53254">
        <w:rPr>
          <w:rFonts w:ascii="Arial" w:hAnsi="Arial" w:cs="Arial"/>
          <w:color w:val="000000" w:themeColor="text1"/>
          <w:sz w:val="22"/>
          <w:szCs w:val="22"/>
        </w:rPr>
        <w:t xml:space="preserve">. </w:t>
      </w:r>
      <w:r w:rsidR="003844F8" w:rsidRPr="00D53254">
        <w:rPr>
          <w:rFonts w:ascii="Arial" w:hAnsi="Arial" w:cs="Arial"/>
          <w:color w:val="000000" w:themeColor="text1"/>
          <w:sz w:val="22"/>
          <w:szCs w:val="22"/>
        </w:rPr>
        <w:t xml:space="preserve">Cognitive Behavioural Therapy (CBT) assists young people in </w:t>
      </w:r>
      <w:r w:rsidR="00C439A5" w:rsidRPr="00D53254">
        <w:rPr>
          <w:rFonts w:ascii="Arial" w:hAnsi="Arial" w:cs="Arial"/>
          <w:color w:val="000000" w:themeColor="text1"/>
          <w:sz w:val="22"/>
          <w:szCs w:val="22"/>
        </w:rPr>
        <w:t>recognising</w:t>
      </w:r>
      <w:r w:rsidR="003844F8" w:rsidRPr="00D53254">
        <w:rPr>
          <w:rFonts w:ascii="Arial" w:hAnsi="Arial" w:cs="Arial"/>
          <w:color w:val="000000" w:themeColor="text1"/>
          <w:sz w:val="22"/>
          <w:szCs w:val="22"/>
        </w:rPr>
        <w:t xml:space="preserve"> and reframing negative thoughts, which lowers anxiety and self-</w:t>
      </w:r>
      <w:r w:rsidR="004F2417" w:rsidRPr="00D53254">
        <w:rPr>
          <w:rFonts w:ascii="Arial" w:hAnsi="Arial" w:cs="Arial"/>
          <w:color w:val="000000" w:themeColor="text1"/>
          <w:sz w:val="22"/>
          <w:szCs w:val="22"/>
        </w:rPr>
        <w:t>criticism</w:t>
      </w:r>
      <w:r w:rsidR="003844F8" w:rsidRPr="00D53254">
        <w:rPr>
          <w:rFonts w:ascii="Arial" w:hAnsi="Arial" w:cs="Arial"/>
          <w:color w:val="000000" w:themeColor="text1"/>
          <w:sz w:val="22"/>
          <w:szCs w:val="22"/>
        </w:rPr>
        <w:t xml:space="preserve">, and is more effective than other common therapies. It incorporates evidence-based techniques </w:t>
      </w:r>
      <w:r w:rsidR="009C50B1">
        <w:rPr>
          <w:rFonts w:ascii="Arial" w:hAnsi="Arial" w:cs="Arial"/>
          <w:color w:val="000000" w:themeColor="text1"/>
          <w:sz w:val="22"/>
          <w:szCs w:val="22"/>
        </w:rPr>
        <w:t>such as cognitive restructuring, exposure therapy, parent-child therapy, parent training, supportive counselling, and family therapy</w:t>
      </w:r>
      <w:r w:rsidR="00C439A5" w:rsidRPr="00D53254">
        <w:rPr>
          <w:rFonts w:ascii="Arial" w:hAnsi="Arial" w:cs="Arial"/>
          <w:color w:val="000000" w:themeColor="text1"/>
          <w:sz w:val="22"/>
          <w:szCs w:val="22"/>
          <w:shd w:val="clear" w:color="auto" w:fill="FFFFFF"/>
        </w:rPr>
        <w:t xml:space="preserve"> (</w:t>
      </w:r>
      <w:r w:rsidR="004D059E" w:rsidRPr="00D53254">
        <w:rPr>
          <w:rFonts w:ascii="Arial" w:hAnsi="Arial" w:cs="Arial"/>
          <w:color w:val="000000" w:themeColor="text1"/>
          <w:sz w:val="22"/>
          <w:szCs w:val="22"/>
          <w:shd w:val="clear" w:color="auto" w:fill="FFFFFF"/>
        </w:rPr>
        <w:t xml:space="preserve">Spiegel </w:t>
      </w:r>
      <w:r w:rsidR="004D059E" w:rsidRPr="00D53254">
        <w:rPr>
          <w:rFonts w:ascii="Arial" w:hAnsi="Arial" w:cs="Arial"/>
          <w:i/>
          <w:iCs/>
          <w:color w:val="000000" w:themeColor="text1"/>
          <w:sz w:val="22"/>
          <w:szCs w:val="22"/>
          <w:shd w:val="clear" w:color="auto" w:fill="FFFFFF"/>
        </w:rPr>
        <w:t>et al.</w:t>
      </w:r>
      <w:r w:rsidR="004D059E" w:rsidRPr="00D53254">
        <w:rPr>
          <w:rFonts w:ascii="Arial" w:hAnsi="Arial" w:cs="Arial"/>
          <w:color w:val="000000" w:themeColor="text1"/>
          <w:sz w:val="22"/>
          <w:szCs w:val="22"/>
          <w:shd w:val="clear" w:color="auto" w:fill="FFFFFF"/>
        </w:rPr>
        <w:t>, 2022)</w:t>
      </w:r>
      <w:r w:rsidR="00EA2657" w:rsidRPr="00D53254">
        <w:rPr>
          <w:rFonts w:ascii="Arial" w:hAnsi="Arial" w:cs="Arial"/>
          <w:color w:val="000000" w:themeColor="text1"/>
          <w:sz w:val="22"/>
          <w:szCs w:val="22"/>
        </w:rPr>
        <w:t xml:space="preserve">. </w:t>
      </w:r>
      <w:r w:rsidR="00EA2657" w:rsidRPr="00D53254">
        <w:rPr>
          <w:rStyle w:val="Strong"/>
          <w:rFonts w:ascii="Arial" w:eastAsiaTheme="majorEastAsia" w:hAnsi="Arial" w:cs="Arial"/>
          <w:b w:val="0"/>
          <w:bCs w:val="0"/>
          <w:color w:val="000000" w:themeColor="text1"/>
          <w:sz w:val="22"/>
          <w:szCs w:val="22"/>
        </w:rPr>
        <w:t>Eye Movement Desensitisation and Reprocessing (EMDR</w:t>
      </w:r>
      <w:r w:rsidR="00EA2657" w:rsidRPr="00D53254">
        <w:rPr>
          <w:rStyle w:val="Strong"/>
          <w:rFonts w:ascii="Arial" w:eastAsiaTheme="majorEastAsia" w:hAnsi="Arial" w:cs="Arial"/>
          <w:color w:val="000000" w:themeColor="text1"/>
          <w:sz w:val="22"/>
          <w:szCs w:val="22"/>
        </w:rPr>
        <w:t>)</w:t>
      </w:r>
      <w:r w:rsidR="00EA2657" w:rsidRPr="00D53254">
        <w:rPr>
          <w:rFonts w:ascii="Arial" w:hAnsi="Arial" w:cs="Arial"/>
          <w:color w:val="000000" w:themeColor="text1"/>
          <w:sz w:val="22"/>
          <w:szCs w:val="22"/>
        </w:rPr>
        <w:t xml:space="preserve"> </w:t>
      </w:r>
      <w:r w:rsidR="00EA62E2" w:rsidRPr="00D53254">
        <w:rPr>
          <w:rFonts w:ascii="Arial" w:hAnsi="Arial" w:cs="Arial"/>
          <w:color w:val="000000" w:themeColor="text1"/>
          <w:sz w:val="22"/>
          <w:szCs w:val="22"/>
          <w:shd w:val="clear" w:color="auto" w:fill="FFFFFF"/>
        </w:rPr>
        <w:t>(de Jongh, de Roos and El</w:t>
      </w:r>
      <w:r w:rsidR="00EA62E2" w:rsidRPr="00D53254">
        <w:rPr>
          <w:rFonts w:ascii="Cambria Math" w:hAnsi="Cambria Math" w:cs="Cambria Math"/>
          <w:color w:val="000000" w:themeColor="text1"/>
          <w:sz w:val="22"/>
          <w:szCs w:val="22"/>
          <w:shd w:val="clear" w:color="auto" w:fill="FFFFFF"/>
        </w:rPr>
        <w:t>‐</w:t>
      </w:r>
      <w:r w:rsidR="00EA62E2" w:rsidRPr="00D53254">
        <w:rPr>
          <w:rFonts w:ascii="Arial" w:hAnsi="Arial" w:cs="Arial"/>
          <w:color w:val="000000" w:themeColor="text1"/>
          <w:sz w:val="22"/>
          <w:szCs w:val="22"/>
          <w:shd w:val="clear" w:color="auto" w:fill="FFFFFF"/>
        </w:rPr>
        <w:t xml:space="preserve">Leithy, 2024) </w:t>
      </w:r>
      <w:r w:rsidR="00EA2657" w:rsidRPr="00D53254">
        <w:rPr>
          <w:rFonts w:ascii="Arial" w:hAnsi="Arial" w:cs="Arial"/>
          <w:color w:val="000000" w:themeColor="text1"/>
          <w:sz w:val="22"/>
          <w:szCs w:val="22"/>
        </w:rPr>
        <w:t xml:space="preserve">and </w:t>
      </w:r>
      <w:r w:rsidR="00EA2657" w:rsidRPr="00D53254">
        <w:rPr>
          <w:rStyle w:val="Strong"/>
          <w:rFonts w:ascii="Arial" w:eastAsiaTheme="majorEastAsia" w:hAnsi="Arial" w:cs="Arial"/>
          <w:b w:val="0"/>
          <w:bCs w:val="0"/>
          <w:color w:val="000000" w:themeColor="text1"/>
          <w:sz w:val="22"/>
          <w:szCs w:val="22"/>
        </w:rPr>
        <w:t>mindfulness-based programmes</w:t>
      </w:r>
      <w:r w:rsidR="00EA2657" w:rsidRPr="00D53254">
        <w:rPr>
          <w:rFonts w:ascii="Arial" w:hAnsi="Arial" w:cs="Arial"/>
          <w:color w:val="000000" w:themeColor="text1"/>
          <w:sz w:val="22"/>
          <w:szCs w:val="22"/>
        </w:rPr>
        <w:t xml:space="preserve"> further promote emotional regulation by helping individuals process traumatic memories safely and restore a sense of calm and control</w:t>
      </w:r>
      <w:r w:rsidR="00EA62E2" w:rsidRPr="00D53254">
        <w:rPr>
          <w:rFonts w:ascii="Arial" w:hAnsi="Arial" w:cs="Arial"/>
          <w:color w:val="000000" w:themeColor="text1"/>
          <w:sz w:val="22"/>
          <w:szCs w:val="22"/>
        </w:rPr>
        <w:t xml:space="preserve"> </w:t>
      </w:r>
      <w:r w:rsidR="007C10AF" w:rsidRPr="00D53254">
        <w:rPr>
          <w:rFonts w:ascii="Arial" w:hAnsi="Arial" w:cs="Arial"/>
          <w:color w:val="000000" w:themeColor="text1"/>
          <w:sz w:val="22"/>
          <w:szCs w:val="22"/>
          <w:shd w:val="clear" w:color="auto" w:fill="FFFFFF"/>
        </w:rPr>
        <w:t>(Joss and Teicher, 2021)</w:t>
      </w:r>
      <w:r w:rsidR="0062277F" w:rsidRPr="00D53254">
        <w:rPr>
          <w:rFonts w:ascii="Arial" w:hAnsi="Arial" w:cs="Arial"/>
          <w:color w:val="000000" w:themeColor="text1"/>
          <w:sz w:val="22"/>
          <w:szCs w:val="22"/>
        </w:rPr>
        <w:t>.</w:t>
      </w:r>
    </w:p>
    <w:p w14:paraId="40AF0044" w14:textId="2C20EC5E" w:rsidR="00FA4517" w:rsidRPr="00D53254" w:rsidRDefault="00A01315" w:rsidP="00D53254">
      <w:pPr>
        <w:pStyle w:val="NormalWeb"/>
        <w:spacing w:line="360" w:lineRule="auto"/>
        <w:jc w:val="both"/>
        <w:rPr>
          <w:rFonts w:ascii="Arial" w:hAnsi="Arial" w:cs="Arial"/>
          <w:color w:val="000000" w:themeColor="text1"/>
          <w:sz w:val="22"/>
          <w:szCs w:val="22"/>
        </w:rPr>
      </w:pPr>
      <w:r w:rsidRPr="00D53254">
        <w:rPr>
          <w:rFonts w:ascii="Arial" w:hAnsi="Arial" w:cs="Arial"/>
          <w:color w:val="000000" w:themeColor="text1"/>
          <w:sz w:val="22"/>
          <w:szCs w:val="22"/>
        </w:rPr>
        <w:t xml:space="preserve">       </w:t>
      </w:r>
      <w:r w:rsidR="00266243" w:rsidRPr="00D53254">
        <w:rPr>
          <w:rFonts w:ascii="Arial" w:hAnsi="Arial" w:cs="Arial"/>
          <w:color w:val="000000" w:themeColor="text1"/>
          <w:sz w:val="22"/>
          <w:szCs w:val="22"/>
        </w:rPr>
        <w:t xml:space="preserve">Trauma-informed care involves systemic change across health, education, and social care sectors. </w:t>
      </w:r>
      <w:r w:rsidR="00C418A9" w:rsidRPr="00D53254">
        <w:rPr>
          <w:rFonts w:ascii="Arial" w:hAnsi="Arial" w:cs="Arial"/>
          <w:color w:val="000000" w:themeColor="text1"/>
          <w:sz w:val="22"/>
          <w:szCs w:val="22"/>
        </w:rPr>
        <w:t>Thus</w:t>
      </w:r>
      <w:r w:rsidR="00860D13" w:rsidRPr="00D53254">
        <w:rPr>
          <w:rFonts w:ascii="Arial" w:hAnsi="Arial" w:cs="Arial"/>
          <w:color w:val="000000" w:themeColor="text1"/>
          <w:sz w:val="22"/>
          <w:szCs w:val="22"/>
        </w:rPr>
        <w:t>,</w:t>
      </w:r>
      <w:r w:rsidR="00C418A9" w:rsidRPr="00D53254">
        <w:rPr>
          <w:rFonts w:ascii="Arial" w:hAnsi="Arial" w:cs="Arial"/>
          <w:color w:val="000000" w:themeColor="text1"/>
          <w:sz w:val="22"/>
          <w:szCs w:val="22"/>
        </w:rPr>
        <w:t xml:space="preserve"> professionals must</w:t>
      </w:r>
      <w:r w:rsidR="00266243" w:rsidRPr="00D53254">
        <w:rPr>
          <w:rFonts w:ascii="Arial" w:hAnsi="Arial" w:cs="Arial"/>
          <w:color w:val="000000" w:themeColor="text1"/>
          <w:sz w:val="22"/>
          <w:szCs w:val="22"/>
        </w:rPr>
        <w:t xml:space="preserve"> collaborate to identify trauma indicators early and provide tailored support to each child, preventing re-</w:t>
      </w:r>
      <w:r w:rsidR="00200CCC" w:rsidRPr="00D53254">
        <w:rPr>
          <w:rFonts w:ascii="Arial" w:hAnsi="Arial" w:cs="Arial"/>
          <w:color w:val="000000" w:themeColor="text1"/>
          <w:sz w:val="22"/>
          <w:szCs w:val="22"/>
        </w:rPr>
        <w:t>traumatisation</w:t>
      </w:r>
      <w:r w:rsidR="00200CCC" w:rsidRPr="00D53254">
        <w:rPr>
          <w:rFonts w:ascii="Arial" w:hAnsi="Arial" w:cs="Arial"/>
          <w:color w:val="000000" w:themeColor="text1"/>
          <w:sz w:val="22"/>
          <w:szCs w:val="22"/>
          <w:shd w:val="clear" w:color="auto" w:fill="FFFFFF"/>
        </w:rPr>
        <w:t xml:space="preserve"> (</w:t>
      </w:r>
      <w:r w:rsidR="00B066B6" w:rsidRPr="00D53254">
        <w:rPr>
          <w:rFonts w:ascii="Arial" w:hAnsi="Arial" w:cs="Arial"/>
          <w:color w:val="000000" w:themeColor="text1"/>
          <w:sz w:val="22"/>
          <w:szCs w:val="22"/>
          <w:shd w:val="clear" w:color="auto" w:fill="FFFFFF"/>
        </w:rPr>
        <w:t>ACE Hub Wales, 2022)</w:t>
      </w:r>
      <w:r w:rsidR="00FA4517" w:rsidRPr="00D53254">
        <w:rPr>
          <w:rFonts w:ascii="Arial" w:hAnsi="Arial" w:cs="Arial"/>
          <w:color w:val="000000" w:themeColor="text1"/>
          <w:sz w:val="22"/>
          <w:szCs w:val="22"/>
        </w:rPr>
        <w:t xml:space="preserve">. </w:t>
      </w:r>
      <w:r w:rsidR="004B0AA1" w:rsidRPr="00D53254">
        <w:rPr>
          <w:rFonts w:ascii="Arial" w:hAnsi="Arial" w:cs="Arial"/>
          <w:color w:val="000000" w:themeColor="text1"/>
          <w:sz w:val="22"/>
          <w:szCs w:val="22"/>
        </w:rPr>
        <w:t>However, implement</w:t>
      </w:r>
      <w:r w:rsidR="009C50B1">
        <w:rPr>
          <w:rFonts w:ascii="Arial" w:hAnsi="Arial" w:cs="Arial"/>
          <w:color w:val="000000" w:themeColor="text1"/>
          <w:sz w:val="22"/>
          <w:szCs w:val="22"/>
        </w:rPr>
        <w:t>ing TIP faces challenges, including</w:t>
      </w:r>
      <w:r w:rsidR="004B0AA1" w:rsidRPr="00D53254">
        <w:rPr>
          <w:rFonts w:ascii="Arial" w:hAnsi="Arial" w:cs="Arial"/>
          <w:color w:val="000000" w:themeColor="text1"/>
          <w:sz w:val="22"/>
          <w:szCs w:val="22"/>
        </w:rPr>
        <w:t xml:space="preserve"> inconsistencies in training, limited resources, and variations in organisational commitment across services (Social Care Wales, 2023). </w:t>
      </w:r>
      <w:r w:rsidR="00B118B7" w:rsidRPr="00D53254">
        <w:rPr>
          <w:rFonts w:ascii="Arial" w:hAnsi="Arial" w:cs="Arial"/>
          <w:color w:val="000000" w:themeColor="text1"/>
          <w:sz w:val="22"/>
          <w:szCs w:val="22"/>
        </w:rPr>
        <w:t>T</w:t>
      </w:r>
      <w:r w:rsidR="008F39C1" w:rsidRPr="00D53254">
        <w:rPr>
          <w:rFonts w:ascii="Arial" w:hAnsi="Arial" w:cs="Arial"/>
          <w:color w:val="000000" w:themeColor="text1"/>
          <w:sz w:val="22"/>
          <w:szCs w:val="22"/>
        </w:rPr>
        <w:t xml:space="preserve">rauma-informed practices require long-term commitment, careful supervision, and collaboration between organisations to ensure services are sensitive to </w:t>
      </w:r>
      <w:r w:rsidR="00CC49E4">
        <w:rPr>
          <w:rFonts w:ascii="Arial" w:hAnsi="Arial" w:cs="Arial"/>
          <w:color w:val="000000" w:themeColor="text1"/>
          <w:sz w:val="22"/>
          <w:szCs w:val="22"/>
        </w:rPr>
        <w:t>the complexities of trauma</w:t>
      </w:r>
      <w:r w:rsidR="008F39C1" w:rsidRPr="00D53254">
        <w:rPr>
          <w:rFonts w:ascii="Arial" w:hAnsi="Arial" w:cs="Arial"/>
          <w:color w:val="000000" w:themeColor="text1"/>
          <w:sz w:val="22"/>
          <w:szCs w:val="22"/>
        </w:rPr>
        <w:t>, th</w:t>
      </w:r>
      <w:r w:rsidR="009C50B1">
        <w:rPr>
          <w:rFonts w:ascii="Arial" w:hAnsi="Arial" w:cs="Arial"/>
          <w:color w:val="000000" w:themeColor="text1"/>
          <w:sz w:val="22"/>
          <w:szCs w:val="22"/>
        </w:rPr>
        <w:t>ereby encouraging resilience, supporting recovery, and fostering</w:t>
      </w:r>
      <w:r w:rsidR="008F39C1" w:rsidRPr="00D53254">
        <w:rPr>
          <w:rFonts w:ascii="Arial" w:hAnsi="Arial" w:cs="Arial"/>
          <w:color w:val="000000" w:themeColor="text1"/>
          <w:sz w:val="22"/>
          <w:szCs w:val="22"/>
        </w:rPr>
        <w:t xml:space="preserve"> relational safety, giving children and young people the chance to thrive</w:t>
      </w:r>
      <w:r w:rsidR="009C1A71" w:rsidRPr="00D53254">
        <w:rPr>
          <w:rFonts w:ascii="Arial" w:hAnsi="Arial" w:cs="Arial"/>
          <w:color w:val="000000" w:themeColor="text1"/>
          <w:sz w:val="22"/>
          <w:szCs w:val="22"/>
        </w:rPr>
        <w:t xml:space="preserve"> </w:t>
      </w:r>
      <w:r w:rsidR="009C1A71" w:rsidRPr="00D53254">
        <w:rPr>
          <w:rFonts w:ascii="Arial" w:hAnsi="Arial" w:cs="Arial"/>
          <w:color w:val="000000" w:themeColor="text1"/>
          <w:sz w:val="22"/>
          <w:szCs w:val="22"/>
          <w:shd w:val="clear" w:color="auto" w:fill="FFFFFF"/>
        </w:rPr>
        <w:t>(ACE Hub Wales, 2022)</w:t>
      </w:r>
      <w:r w:rsidR="008F39C1" w:rsidRPr="00D53254">
        <w:rPr>
          <w:rFonts w:ascii="Arial" w:hAnsi="Arial" w:cs="Arial"/>
          <w:color w:val="000000" w:themeColor="text1"/>
          <w:sz w:val="22"/>
          <w:szCs w:val="22"/>
        </w:rPr>
        <w:t>.</w:t>
      </w:r>
    </w:p>
    <w:p w14:paraId="14A9FCE8" w14:textId="5F9CDCFF" w:rsidR="00FA4517" w:rsidRPr="00D53254" w:rsidRDefault="00A01315" w:rsidP="00D53254">
      <w:pPr>
        <w:pStyle w:val="NormalWeb"/>
        <w:spacing w:line="360" w:lineRule="auto"/>
        <w:jc w:val="both"/>
        <w:rPr>
          <w:rFonts w:ascii="Arial" w:hAnsi="Arial" w:cs="Arial"/>
          <w:color w:val="000000" w:themeColor="text1"/>
          <w:sz w:val="22"/>
          <w:szCs w:val="22"/>
        </w:rPr>
      </w:pPr>
      <w:r w:rsidRPr="00D53254">
        <w:rPr>
          <w:rFonts w:ascii="Arial" w:hAnsi="Arial" w:cs="Arial"/>
          <w:color w:val="000000" w:themeColor="text1"/>
          <w:sz w:val="22"/>
          <w:szCs w:val="22"/>
        </w:rPr>
        <w:t xml:space="preserve">      </w:t>
      </w:r>
      <w:r w:rsidR="004B0AA1" w:rsidRPr="00D53254">
        <w:rPr>
          <w:rFonts w:ascii="Arial" w:hAnsi="Arial" w:cs="Arial"/>
          <w:color w:val="000000" w:themeColor="text1"/>
          <w:sz w:val="22"/>
          <w:szCs w:val="22"/>
        </w:rPr>
        <w:t xml:space="preserve"> </w:t>
      </w:r>
      <w:r w:rsidR="00AF12D4" w:rsidRPr="00D53254">
        <w:rPr>
          <w:rFonts w:ascii="Arial" w:hAnsi="Arial" w:cs="Arial"/>
          <w:color w:val="000000" w:themeColor="text1"/>
          <w:sz w:val="22"/>
          <w:szCs w:val="22"/>
        </w:rPr>
        <w:t xml:space="preserve">Experiences of trauma and ACEs significantly influence the physical and emotional growth of children and adolescents, impacting their health, </w:t>
      </w:r>
      <w:r w:rsidRPr="00D53254">
        <w:rPr>
          <w:rFonts w:ascii="Arial" w:hAnsi="Arial" w:cs="Arial"/>
          <w:color w:val="000000" w:themeColor="text1"/>
          <w:sz w:val="22"/>
          <w:szCs w:val="22"/>
        </w:rPr>
        <w:t>behaviours</w:t>
      </w:r>
      <w:r w:rsidR="00AF12D4" w:rsidRPr="00D53254">
        <w:rPr>
          <w:rFonts w:ascii="Arial" w:hAnsi="Arial" w:cs="Arial"/>
          <w:color w:val="000000" w:themeColor="text1"/>
          <w:sz w:val="22"/>
          <w:szCs w:val="22"/>
        </w:rPr>
        <w:t xml:space="preserve">, and relationships throughout their lives. The ongoing activation of the stress response system alters the </w:t>
      </w:r>
      <w:r w:rsidR="00B82987" w:rsidRPr="00D53254">
        <w:rPr>
          <w:rFonts w:ascii="Arial" w:hAnsi="Arial" w:cs="Arial"/>
          <w:color w:val="000000" w:themeColor="text1"/>
          <w:sz w:val="22"/>
          <w:szCs w:val="22"/>
        </w:rPr>
        <w:t>brain's structure</w:t>
      </w:r>
      <w:r w:rsidR="00AF12D4" w:rsidRPr="00D53254">
        <w:rPr>
          <w:rFonts w:ascii="Arial" w:hAnsi="Arial" w:cs="Arial"/>
          <w:color w:val="000000" w:themeColor="text1"/>
          <w:sz w:val="22"/>
          <w:szCs w:val="22"/>
        </w:rPr>
        <w:t>, affects immune functioning, and disrupts hormonal balance, while difficulties regulating emotions and disrupted attachments impair psychological well-being. Examining trauma through developmental and ecological frameworks provides insight into its systemic nature, highlighting the critical need for safe and supportive environments to facilitate recovery. Trauma-Informed Practice offers an ethical</w:t>
      </w:r>
      <w:r w:rsidR="009C50B1">
        <w:rPr>
          <w:rFonts w:ascii="Arial" w:hAnsi="Arial" w:cs="Arial"/>
          <w:color w:val="000000" w:themeColor="text1"/>
          <w:sz w:val="22"/>
          <w:szCs w:val="22"/>
        </w:rPr>
        <w:t>, evidence-bas</w:t>
      </w:r>
      <w:r w:rsidR="00AF12D4" w:rsidRPr="00D53254">
        <w:rPr>
          <w:rFonts w:ascii="Arial" w:hAnsi="Arial" w:cs="Arial"/>
          <w:color w:val="000000" w:themeColor="text1"/>
          <w:sz w:val="22"/>
          <w:szCs w:val="22"/>
        </w:rPr>
        <w:t xml:space="preserve">ed approach to addressing these issues, shifting the emphasis from punitive measures to relational healing. With early intervention, interdisciplinary collaboration, and empathetic care, professionals can aid children in overcoming the enduring impacts of trauma and enhance their ability to </w:t>
      </w:r>
      <w:r w:rsidRPr="00D53254">
        <w:rPr>
          <w:rFonts w:ascii="Arial" w:hAnsi="Arial" w:cs="Arial"/>
          <w:color w:val="000000" w:themeColor="text1"/>
          <w:sz w:val="22"/>
          <w:szCs w:val="22"/>
        </w:rPr>
        <w:t>succeed</w:t>
      </w:r>
      <w:r w:rsidR="00AF12D4" w:rsidRPr="00D53254">
        <w:rPr>
          <w:rFonts w:ascii="Arial" w:hAnsi="Arial" w:cs="Arial"/>
          <w:color w:val="000000" w:themeColor="text1"/>
          <w:sz w:val="22"/>
          <w:szCs w:val="22"/>
        </w:rPr>
        <w:t>.</w:t>
      </w:r>
    </w:p>
    <w:p w14:paraId="4BFF7366" w14:textId="444EF4F7" w:rsidR="00092A0D" w:rsidRDefault="00092A0D" w:rsidP="0098215B">
      <w:pPr>
        <w:pStyle w:val="NormalWeb"/>
        <w:spacing w:before="240" w:beforeAutospacing="0" w:line="360" w:lineRule="auto"/>
        <w:rPr>
          <w:rFonts w:ascii="Arial" w:hAnsi="Arial" w:cs="Arial"/>
          <w:color w:val="000000"/>
        </w:rPr>
      </w:pPr>
    </w:p>
    <w:p w14:paraId="53980EDF" w14:textId="789D7787" w:rsidR="0098215B" w:rsidRPr="005C33DB" w:rsidRDefault="0098215B" w:rsidP="00C2360B">
      <w:pPr>
        <w:pStyle w:val="NormalWeb"/>
        <w:spacing w:before="240" w:beforeAutospacing="0" w:line="360" w:lineRule="auto"/>
        <w:jc w:val="both"/>
        <w:rPr>
          <w:rFonts w:ascii="Arial" w:hAnsi="Arial" w:cs="Arial"/>
          <w:b/>
          <w:bCs/>
          <w:color w:val="000000"/>
          <w:sz w:val="22"/>
          <w:szCs w:val="22"/>
        </w:rPr>
      </w:pPr>
      <w:r w:rsidRPr="005C33DB">
        <w:rPr>
          <w:rFonts w:ascii="Arial" w:hAnsi="Arial" w:cs="Arial"/>
          <w:b/>
          <w:bCs/>
          <w:color w:val="000000"/>
          <w:sz w:val="22"/>
          <w:szCs w:val="22"/>
        </w:rPr>
        <w:t>Reference:</w:t>
      </w:r>
    </w:p>
    <w:p w14:paraId="01404FBD" w14:textId="36F97477" w:rsidR="00663FA0" w:rsidRPr="00C2360B" w:rsidRDefault="00663FA0" w:rsidP="00C2360B">
      <w:pPr>
        <w:pStyle w:val="NormalWeb"/>
        <w:spacing w:before="240" w:beforeAutospacing="0" w:after="0" w:afterAutospacing="0" w:line="360" w:lineRule="auto"/>
        <w:jc w:val="both"/>
        <w:rPr>
          <w:rFonts w:ascii="Arial" w:hAnsi="Arial" w:cs="Arial"/>
          <w:color w:val="000000"/>
          <w:sz w:val="22"/>
          <w:szCs w:val="22"/>
        </w:rPr>
      </w:pPr>
      <w:r w:rsidRPr="00C2360B">
        <w:rPr>
          <w:rFonts w:ascii="Arial" w:hAnsi="Arial" w:cs="Arial"/>
          <w:color w:val="000000"/>
          <w:sz w:val="22"/>
          <w:szCs w:val="22"/>
        </w:rPr>
        <w:t>ACE Hub Wales (2022) </w:t>
      </w:r>
      <w:r w:rsidRPr="00C2360B">
        <w:rPr>
          <w:rFonts w:ascii="Arial" w:hAnsi="Arial" w:cs="Arial"/>
          <w:i/>
          <w:iCs/>
          <w:color w:val="000000"/>
          <w:sz w:val="22"/>
          <w:szCs w:val="22"/>
        </w:rPr>
        <w:t>Trauma-Informed Wales: A Societal Approach to Understanding, Preventing and Supporting the Impacts of Trauma and Adversity</w:t>
      </w:r>
      <w:r w:rsidR="00CC49E4">
        <w:rPr>
          <w:rFonts w:ascii="Arial" w:hAnsi="Arial" w:cs="Arial"/>
          <w:i/>
          <w:iCs/>
          <w:color w:val="000000"/>
          <w:sz w:val="22"/>
          <w:szCs w:val="22"/>
        </w:rPr>
        <w:t>.</w:t>
      </w:r>
      <w:r w:rsidRPr="00C2360B">
        <w:rPr>
          <w:rFonts w:ascii="Arial" w:hAnsi="Arial" w:cs="Arial"/>
          <w:i/>
          <w:iCs/>
          <w:color w:val="000000"/>
          <w:sz w:val="22"/>
          <w:szCs w:val="22"/>
        </w:rPr>
        <w:t xml:space="preserve"> Developed in co-production with people and organisations across Wales and supported by Welsh Government</w:t>
      </w:r>
      <w:r w:rsidRPr="00C2360B">
        <w:rPr>
          <w:rFonts w:ascii="Arial" w:hAnsi="Arial" w:cs="Arial"/>
          <w:color w:val="000000"/>
          <w:sz w:val="22"/>
          <w:szCs w:val="22"/>
        </w:rPr>
        <w:t xml:space="preserve">. Available at: </w:t>
      </w:r>
      <w:r w:rsidRPr="00394956">
        <w:rPr>
          <w:rFonts w:ascii="Arial" w:hAnsi="Arial" w:cs="Arial"/>
          <w:sz w:val="22"/>
          <w:szCs w:val="22"/>
        </w:rPr>
        <w:t>https://traumaframeworkcymru.com/wp-content/uploads/2022/07/Trauma-Informed-Wales-Framework.pdf</w:t>
      </w:r>
      <w:r w:rsidRPr="00C2360B">
        <w:rPr>
          <w:rFonts w:ascii="Arial" w:hAnsi="Arial" w:cs="Arial"/>
          <w:color w:val="000000"/>
          <w:sz w:val="22"/>
          <w:szCs w:val="22"/>
        </w:rPr>
        <w:t xml:space="preserve"> (Accessed 03 November 2025).</w:t>
      </w:r>
    </w:p>
    <w:p w14:paraId="1B3FC341" w14:textId="497A5AA3" w:rsidR="00663FA0" w:rsidRPr="00C2360B" w:rsidRDefault="00663FA0" w:rsidP="00C2360B">
      <w:pPr>
        <w:pStyle w:val="NormalWeb"/>
        <w:spacing w:before="240" w:beforeAutospacing="0" w:line="360" w:lineRule="auto"/>
        <w:jc w:val="both"/>
        <w:rPr>
          <w:rFonts w:ascii="Arial" w:hAnsi="Arial" w:cs="Arial"/>
          <w:color w:val="000000"/>
          <w:sz w:val="22"/>
          <w:szCs w:val="22"/>
        </w:rPr>
      </w:pPr>
      <w:r w:rsidRPr="00C2360B">
        <w:rPr>
          <w:rFonts w:ascii="Arial" w:hAnsi="Arial" w:cs="Arial"/>
          <w:sz w:val="22"/>
          <w:szCs w:val="22"/>
        </w:rPr>
        <w:t xml:space="preserve">Antony, E. M. (2022) </w:t>
      </w:r>
      <w:r w:rsidR="009C50B1">
        <w:rPr>
          <w:rFonts w:ascii="Arial" w:hAnsi="Arial" w:cs="Arial"/>
          <w:sz w:val="22"/>
          <w:szCs w:val="22"/>
        </w:rPr>
        <w:t>'</w:t>
      </w:r>
      <w:r w:rsidRPr="00C2360B">
        <w:rPr>
          <w:rFonts w:ascii="Arial" w:hAnsi="Arial" w:cs="Arial"/>
          <w:sz w:val="22"/>
          <w:szCs w:val="22"/>
        </w:rPr>
        <w:t>Framing Childhood Resilience Through Bronfenbrenner</w:t>
      </w:r>
      <w:r w:rsidR="009C50B1">
        <w:rPr>
          <w:rFonts w:ascii="Arial" w:hAnsi="Arial" w:cs="Arial"/>
          <w:sz w:val="22"/>
          <w:szCs w:val="22"/>
        </w:rPr>
        <w:t>'</w:t>
      </w:r>
      <w:r w:rsidRPr="00C2360B">
        <w:rPr>
          <w:rFonts w:ascii="Arial" w:hAnsi="Arial" w:cs="Arial"/>
          <w:sz w:val="22"/>
          <w:szCs w:val="22"/>
        </w:rPr>
        <w:t>s Ecological Systems Theory: A Discussion Paper</w:t>
      </w:r>
      <w:r w:rsidR="009C50B1">
        <w:rPr>
          <w:rFonts w:ascii="Arial" w:hAnsi="Arial" w:cs="Arial"/>
          <w:sz w:val="22"/>
          <w:szCs w:val="22"/>
        </w:rPr>
        <w:t>'</w:t>
      </w:r>
      <w:r w:rsidRPr="00C2360B">
        <w:rPr>
          <w:rFonts w:ascii="Arial" w:hAnsi="Arial" w:cs="Arial"/>
          <w:i/>
          <w:iCs/>
          <w:sz w:val="22"/>
          <w:szCs w:val="22"/>
        </w:rPr>
        <w:t>, Cambridge Educational Research e-Jounal</w:t>
      </w:r>
      <w:r w:rsidRPr="00C2360B">
        <w:rPr>
          <w:rFonts w:ascii="Arial" w:hAnsi="Arial" w:cs="Arial"/>
          <w:sz w:val="22"/>
          <w:szCs w:val="22"/>
        </w:rPr>
        <w:t xml:space="preserve">, 9, 244-257. </w:t>
      </w:r>
      <w:r w:rsidRPr="00C2360B">
        <w:rPr>
          <w:rFonts w:ascii="Arial" w:hAnsi="Arial" w:cs="Arial"/>
          <w:color w:val="000000"/>
          <w:sz w:val="22"/>
          <w:szCs w:val="22"/>
        </w:rPr>
        <w:t xml:space="preserve">Available at: </w:t>
      </w:r>
      <w:r w:rsidRPr="00394956">
        <w:rPr>
          <w:rFonts w:ascii="Arial" w:hAnsi="Arial" w:cs="Arial"/>
          <w:sz w:val="22"/>
          <w:szCs w:val="22"/>
        </w:rPr>
        <w:t>https://doi.org/10.17863/CAM.90564</w:t>
      </w:r>
      <w:r w:rsidRPr="00C2360B">
        <w:rPr>
          <w:rFonts w:ascii="Arial" w:hAnsi="Arial" w:cs="Arial"/>
          <w:color w:val="000000"/>
          <w:sz w:val="22"/>
          <w:szCs w:val="22"/>
        </w:rPr>
        <w:t xml:space="preserve"> .</w:t>
      </w:r>
    </w:p>
    <w:p w14:paraId="783253ED" w14:textId="77777777" w:rsidR="00663FA0" w:rsidRPr="00C2360B" w:rsidRDefault="00663FA0" w:rsidP="00C2360B">
      <w:pPr>
        <w:pStyle w:val="NormalWeb"/>
        <w:spacing w:before="240" w:beforeAutospacing="0" w:after="0" w:afterAutospacing="0" w:line="360" w:lineRule="auto"/>
        <w:jc w:val="both"/>
        <w:rPr>
          <w:rFonts w:ascii="Arial" w:hAnsi="Arial" w:cs="Arial"/>
          <w:color w:val="000000"/>
          <w:sz w:val="22"/>
          <w:szCs w:val="22"/>
        </w:rPr>
      </w:pPr>
      <w:r w:rsidRPr="00C2360B">
        <w:rPr>
          <w:rFonts w:ascii="Arial" w:hAnsi="Arial" w:cs="Arial"/>
          <w:color w:val="000000"/>
          <w:sz w:val="22"/>
          <w:szCs w:val="22"/>
        </w:rPr>
        <w:t>Bowlby, J. (1969) </w:t>
      </w:r>
      <w:r w:rsidRPr="00C2360B">
        <w:rPr>
          <w:rFonts w:ascii="Arial" w:hAnsi="Arial" w:cs="Arial"/>
          <w:i/>
          <w:iCs/>
          <w:color w:val="000000"/>
          <w:sz w:val="22"/>
          <w:szCs w:val="22"/>
        </w:rPr>
        <w:t>Attachment and loss</w:t>
      </w:r>
      <w:r w:rsidRPr="00C2360B">
        <w:rPr>
          <w:rFonts w:ascii="Arial" w:hAnsi="Arial" w:cs="Arial"/>
          <w:color w:val="000000"/>
          <w:sz w:val="22"/>
          <w:szCs w:val="22"/>
        </w:rPr>
        <w:t>. London: Pimlico.</w:t>
      </w:r>
    </w:p>
    <w:p w14:paraId="3DCAA319" w14:textId="77777777" w:rsidR="00663FA0" w:rsidRPr="00C2360B" w:rsidRDefault="00663FA0" w:rsidP="00C2360B">
      <w:pPr>
        <w:pStyle w:val="NormalWeb"/>
        <w:spacing w:before="240" w:beforeAutospacing="0" w:after="0" w:afterAutospacing="0" w:line="360" w:lineRule="auto"/>
        <w:jc w:val="both"/>
        <w:rPr>
          <w:rFonts w:ascii="Arial" w:hAnsi="Arial" w:cs="Arial"/>
          <w:color w:val="000000"/>
          <w:sz w:val="22"/>
          <w:szCs w:val="22"/>
        </w:rPr>
      </w:pPr>
      <w:r w:rsidRPr="00C2360B">
        <w:rPr>
          <w:rFonts w:ascii="Arial" w:hAnsi="Arial" w:cs="Arial"/>
          <w:color w:val="000000"/>
          <w:sz w:val="22"/>
          <w:szCs w:val="22"/>
        </w:rPr>
        <w:t>Bronfenbrenner, U. (2005) </w:t>
      </w:r>
      <w:r w:rsidRPr="00C2360B">
        <w:rPr>
          <w:rFonts w:ascii="Arial" w:hAnsi="Arial" w:cs="Arial"/>
          <w:i/>
          <w:iCs/>
          <w:color w:val="000000"/>
          <w:sz w:val="22"/>
          <w:szCs w:val="22"/>
        </w:rPr>
        <w:t>Making human beings human : bioecological perspectives on human development</w:t>
      </w:r>
      <w:r w:rsidRPr="00C2360B">
        <w:rPr>
          <w:rFonts w:ascii="Arial" w:hAnsi="Arial" w:cs="Arial"/>
          <w:color w:val="000000"/>
          <w:sz w:val="22"/>
          <w:szCs w:val="22"/>
        </w:rPr>
        <w:t>. Sage Publications.</w:t>
      </w:r>
    </w:p>
    <w:p w14:paraId="21DFB8D8" w14:textId="2961B9E2" w:rsidR="00663FA0" w:rsidRPr="00C2360B" w:rsidRDefault="00663FA0" w:rsidP="00C2360B">
      <w:pPr>
        <w:pStyle w:val="NormalWeb"/>
        <w:spacing w:before="240" w:beforeAutospacing="0" w:after="0" w:afterAutospacing="0" w:line="360" w:lineRule="auto"/>
        <w:jc w:val="both"/>
        <w:rPr>
          <w:rFonts w:ascii="Arial" w:hAnsi="Arial" w:cs="Arial"/>
          <w:color w:val="000000"/>
          <w:sz w:val="22"/>
          <w:szCs w:val="22"/>
        </w:rPr>
      </w:pPr>
      <w:r w:rsidRPr="00C2360B">
        <w:rPr>
          <w:rFonts w:ascii="Arial" w:hAnsi="Arial" w:cs="Arial"/>
          <w:color w:val="000000"/>
          <w:sz w:val="22"/>
          <w:szCs w:val="22"/>
        </w:rPr>
        <w:t xml:space="preserve">Casey, B.J., Lin, Y.-C. and Meyer, H.C. (2024) </w:t>
      </w:r>
      <w:r w:rsidR="009C50B1">
        <w:rPr>
          <w:rFonts w:ascii="Arial" w:hAnsi="Arial" w:cs="Arial"/>
          <w:color w:val="000000"/>
          <w:sz w:val="22"/>
          <w:szCs w:val="22"/>
        </w:rPr>
        <w:t>'</w:t>
      </w:r>
      <w:r w:rsidRPr="00C2360B">
        <w:rPr>
          <w:rFonts w:ascii="Arial" w:hAnsi="Arial" w:cs="Arial"/>
          <w:color w:val="000000"/>
          <w:sz w:val="22"/>
          <w:szCs w:val="22"/>
        </w:rPr>
        <w:t>Examining threat responses through a developmental lens</w:t>
      </w:r>
      <w:r w:rsidR="009C50B1">
        <w:rPr>
          <w:rFonts w:ascii="Arial" w:hAnsi="Arial" w:cs="Arial"/>
          <w:color w:val="000000"/>
          <w:sz w:val="22"/>
          <w:szCs w:val="22"/>
        </w:rPr>
        <w:t>'</w:t>
      </w:r>
      <w:r w:rsidRPr="00C2360B">
        <w:rPr>
          <w:rFonts w:ascii="Arial" w:hAnsi="Arial" w:cs="Arial"/>
          <w:color w:val="000000"/>
          <w:sz w:val="22"/>
          <w:szCs w:val="22"/>
        </w:rPr>
        <w:t>, </w:t>
      </w:r>
      <w:r w:rsidRPr="00C2360B">
        <w:rPr>
          <w:rFonts w:ascii="Arial" w:hAnsi="Arial" w:cs="Arial"/>
          <w:i/>
          <w:iCs/>
          <w:color w:val="000000"/>
          <w:sz w:val="22"/>
          <w:szCs w:val="22"/>
        </w:rPr>
        <w:t>Cerebral Cortex</w:t>
      </w:r>
      <w:r w:rsidRPr="00C2360B">
        <w:rPr>
          <w:rFonts w:ascii="Arial" w:hAnsi="Arial" w:cs="Arial"/>
          <w:color w:val="000000"/>
          <w:sz w:val="22"/>
          <w:szCs w:val="22"/>
        </w:rPr>
        <w:t xml:space="preserve">, 35(1), pp.19–33. Available at: </w:t>
      </w:r>
      <w:r w:rsidRPr="00394956">
        <w:rPr>
          <w:rFonts w:ascii="Arial" w:hAnsi="Arial" w:cs="Arial"/>
          <w:sz w:val="22"/>
          <w:szCs w:val="22"/>
        </w:rPr>
        <w:t>https://doi.org/10.1093/cercor/bhae449</w:t>
      </w:r>
      <w:r w:rsidRPr="00C2360B">
        <w:rPr>
          <w:rFonts w:ascii="Arial" w:hAnsi="Arial" w:cs="Arial"/>
          <w:color w:val="000000"/>
          <w:sz w:val="22"/>
          <w:szCs w:val="22"/>
        </w:rPr>
        <w:t xml:space="preserve"> .</w:t>
      </w:r>
    </w:p>
    <w:p w14:paraId="1EC30A3E" w14:textId="77777777" w:rsidR="00663FA0" w:rsidRPr="00C2360B" w:rsidRDefault="00663FA0" w:rsidP="00C2360B">
      <w:pPr>
        <w:pStyle w:val="NormalWeb"/>
        <w:spacing w:before="240" w:beforeAutospacing="0" w:after="0" w:afterAutospacing="0" w:line="360" w:lineRule="auto"/>
        <w:jc w:val="both"/>
        <w:rPr>
          <w:rFonts w:ascii="Arial" w:hAnsi="Arial" w:cs="Arial"/>
          <w:color w:val="000000"/>
          <w:sz w:val="22"/>
          <w:szCs w:val="22"/>
        </w:rPr>
      </w:pPr>
      <w:r w:rsidRPr="00C2360B">
        <w:rPr>
          <w:rFonts w:ascii="Arial" w:hAnsi="Arial" w:cs="Arial"/>
          <w:color w:val="000000"/>
          <w:sz w:val="22"/>
          <w:szCs w:val="22"/>
        </w:rPr>
        <w:t>Cassiers, L.L.M., Sabbe, B.G.C., Schmaal, L., Veltman, D.J., Penninx, B.W.J.H. and Van Den Eede, F. (2018). Structural and Functional Brain Abnormalities Associated With Exposure to Different Childhood Trauma Subtypes: A Systematic Review of Neuroimaging Findings. </w:t>
      </w:r>
      <w:r w:rsidRPr="00C2360B">
        <w:rPr>
          <w:rFonts w:ascii="Arial" w:hAnsi="Arial" w:cs="Arial"/>
          <w:i/>
          <w:iCs/>
          <w:color w:val="000000"/>
          <w:sz w:val="22"/>
          <w:szCs w:val="22"/>
        </w:rPr>
        <w:t>Frontiers in Psychiatry</w:t>
      </w:r>
      <w:r w:rsidRPr="00C2360B">
        <w:rPr>
          <w:rFonts w:ascii="Arial" w:hAnsi="Arial" w:cs="Arial"/>
          <w:color w:val="000000"/>
          <w:sz w:val="22"/>
          <w:szCs w:val="22"/>
        </w:rPr>
        <w:t>, 9(329). Available at: https://doi.org/10.3389/fpsyt.2018.00329.</w:t>
      </w:r>
    </w:p>
    <w:p w14:paraId="3B6CA2D9" w14:textId="12D6BFEB" w:rsidR="00663FA0" w:rsidRPr="00C2360B" w:rsidRDefault="00663FA0" w:rsidP="00D53254">
      <w:pPr>
        <w:pStyle w:val="NormalWeb"/>
        <w:spacing w:before="240" w:beforeAutospacing="0" w:after="240" w:afterAutospacing="0" w:line="360" w:lineRule="auto"/>
        <w:jc w:val="both"/>
        <w:rPr>
          <w:rFonts w:ascii="Arial" w:hAnsi="Arial" w:cs="Arial"/>
          <w:color w:val="000000"/>
          <w:sz w:val="22"/>
          <w:szCs w:val="22"/>
        </w:rPr>
      </w:pPr>
      <w:r w:rsidRPr="00C2360B">
        <w:rPr>
          <w:rFonts w:ascii="Arial" w:hAnsi="Arial" w:cs="Arial"/>
          <w:color w:val="000000"/>
          <w:sz w:val="22"/>
          <w:szCs w:val="22"/>
        </w:rPr>
        <w:t xml:space="preserve">Centers for Disease Control and Prevention (2021) </w:t>
      </w:r>
      <w:r w:rsidRPr="00C2360B">
        <w:rPr>
          <w:rFonts w:ascii="Arial" w:hAnsi="Arial" w:cs="Arial"/>
          <w:i/>
          <w:iCs/>
          <w:color w:val="000000"/>
          <w:sz w:val="22"/>
          <w:szCs w:val="22"/>
        </w:rPr>
        <w:t>Adverse childhood experiences (ACEs)</w:t>
      </w:r>
      <w:r w:rsidRPr="00C2360B">
        <w:rPr>
          <w:rFonts w:ascii="Arial" w:hAnsi="Arial" w:cs="Arial"/>
          <w:color w:val="000000"/>
          <w:sz w:val="22"/>
          <w:szCs w:val="22"/>
        </w:rPr>
        <w:t xml:space="preserve">. Available at: </w:t>
      </w:r>
      <w:r w:rsidRPr="00394956">
        <w:rPr>
          <w:rFonts w:ascii="Arial" w:hAnsi="Arial" w:cs="Arial"/>
          <w:sz w:val="22"/>
          <w:szCs w:val="22"/>
        </w:rPr>
        <w:t>https://www.cdc.gov/vitalsigns/aces/index.html</w:t>
      </w:r>
      <w:r w:rsidRPr="00C2360B">
        <w:rPr>
          <w:rFonts w:ascii="Arial" w:hAnsi="Arial" w:cs="Arial"/>
          <w:color w:val="000000"/>
          <w:sz w:val="22"/>
          <w:szCs w:val="22"/>
        </w:rPr>
        <w:t xml:space="preserve"> (Accessed 31 October 2025).</w:t>
      </w:r>
    </w:p>
    <w:p w14:paraId="2ACC633C" w14:textId="26DDF6A3" w:rsidR="00B055A6" w:rsidRPr="00C2360B" w:rsidRDefault="00B055A6" w:rsidP="00D53254">
      <w:pPr>
        <w:pStyle w:val="NormalWeb"/>
        <w:spacing w:before="0" w:beforeAutospacing="0" w:after="240" w:afterAutospacing="0" w:line="360" w:lineRule="auto"/>
        <w:jc w:val="both"/>
        <w:rPr>
          <w:rFonts w:ascii="Arial" w:hAnsi="Arial" w:cs="Arial"/>
          <w:color w:val="000000"/>
          <w:sz w:val="22"/>
          <w:szCs w:val="22"/>
        </w:rPr>
      </w:pPr>
      <w:r w:rsidRPr="00C2360B">
        <w:rPr>
          <w:rFonts w:ascii="Arial" w:hAnsi="Arial" w:cs="Arial"/>
          <w:color w:val="000000"/>
          <w:sz w:val="22"/>
          <w:szCs w:val="22"/>
        </w:rPr>
        <w:t xml:space="preserve">Danese, A. (2019) </w:t>
      </w:r>
      <w:r w:rsidR="009C50B1">
        <w:rPr>
          <w:rFonts w:ascii="Arial" w:hAnsi="Arial" w:cs="Arial"/>
          <w:color w:val="000000"/>
          <w:sz w:val="22"/>
          <w:szCs w:val="22"/>
        </w:rPr>
        <w:t>'</w:t>
      </w:r>
      <w:r w:rsidRPr="00C2360B">
        <w:rPr>
          <w:rFonts w:ascii="Arial" w:hAnsi="Arial" w:cs="Arial"/>
          <w:color w:val="000000"/>
          <w:sz w:val="22"/>
          <w:szCs w:val="22"/>
        </w:rPr>
        <w:t>Annual Research Review: Rethinking childhood trauma</w:t>
      </w:r>
      <w:r w:rsidRPr="00C2360B">
        <w:rPr>
          <w:rFonts w:ascii="Cambria Math" w:hAnsi="Cambria Math" w:cs="Cambria Math"/>
          <w:color w:val="000000"/>
          <w:sz w:val="22"/>
          <w:szCs w:val="22"/>
        </w:rPr>
        <w:t>‐</w:t>
      </w:r>
      <w:r w:rsidRPr="00C2360B">
        <w:rPr>
          <w:rFonts w:ascii="Arial" w:hAnsi="Arial" w:cs="Arial"/>
          <w:color w:val="000000"/>
          <w:sz w:val="22"/>
          <w:szCs w:val="22"/>
        </w:rPr>
        <w:t>new research directions for measurement, study design and analytical strategies</w:t>
      </w:r>
      <w:r w:rsidR="009C50B1">
        <w:rPr>
          <w:rFonts w:ascii="Arial" w:hAnsi="Arial" w:cs="Arial"/>
          <w:color w:val="000000"/>
          <w:sz w:val="22"/>
          <w:szCs w:val="22"/>
        </w:rPr>
        <w:t>'</w:t>
      </w:r>
      <w:r w:rsidR="00C2360B" w:rsidRPr="00C2360B">
        <w:rPr>
          <w:rFonts w:ascii="Arial" w:hAnsi="Arial" w:cs="Arial"/>
          <w:color w:val="000000"/>
          <w:sz w:val="22"/>
          <w:szCs w:val="22"/>
        </w:rPr>
        <w:t>,</w:t>
      </w:r>
      <w:r w:rsidRPr="00C2360B">
        <w:rPr>
          <w:rFonts w:ascii="Arial" w:hAnsi="Arial" w:cs="Arial"/>
          <w:color w:val="000000"/>
          <w:sz w:val="22"/>
          <w:szCs w:val="22"/>
        </w:rPr>
        <w:t> </w:t>
      </w:r>
      <w:r w:rsidRPr="00C2360B">
        <w:rPr>
          <w:rFonts w:ascii="Arial" w:hAnsi="Arial" w:cs="Arial"/>
          <w:i/>
          <w:iCs/>
          <w:color w:val="000000"/>
          <w:sz w:val="22"/>
          <w:szCs w:val="22"/>
        </w:rPr>
        <w:t>Journal of Child Psychology and Psychiatry</w:t>
      </w:r>
      <w:r w:rsidRPr="00C2360B">
        <w:rPr>
          <w:rFonts w:ascii="Arial" w:hAnsi="Arial" w:cs="Arial"/>
          <w:color w:val="000000"/>
          <w:sz w:val="22"/>
          <w:szCs w:val="22"/>
        </w:rPr>
        <w:t xml:space="preserve">, 61(3), pp.236–250. </w:t>
      </w:r>
      <w:r w:rsidR="00394956">
        <w:rPr>
          <w:rFonts w:ascii="Arial" w:hAnsi="Arial" w:cs="Arial"/>
          <w:color w:val="000000"/>
          <w:sz w:val="22"/>
          <w:szCs w:val="22"/>
        </w:rPr>
        <w:t>Available at</w:t>
      </w:r>
      <w:r w:rsidRPr="00C2360B">
        <w:rPr>
          <w:rFonts w:ascii="Arial" w:hAnsi="Arial" w:cs="Arial"/>
          <w:color w:val="000000"/>
          <w:sz w:val="22"/>
          <w:szCs w:val="22"/>
        </w:rPr>
        <w:t>:</w:t>
      </w:r>
      <w:r w:rsidR="00394956">
        <w:rPr>
          <w:rFonts w:ascii="Arial" w:hAnsi="Arial" w:cs="Arial"/>
          <w:color w:val="000000"/>
          <w:sz w:val="22"/>
          <w:szCs w:val="22"/>
        </w:rPr>
        <w:t xml:space="preserve"> </w:t>
      </w:r>
      <w:r w:rsidRPr="00C2360B">
        <w:rPr>
          <w:rFonts w:ascii="Arial" w:hAnsi="Arial" w:cs="Arial"/>
          <w:color w:val="000000"/>
          <w:sz w:val="22"/>
          <w:szCs w:val="22"/>
        </w:rPr>
        <w:t>https://doi.org/10.1111/jcpp.13160.</w:t>
      </w:r>
    </w:p>
    <w:p w14:paraId="51B02CC2" w14:textId="4613141A" w:rsidR="00663FA0" w:rsidRPr="00C2360B" w:rsidRDefault="00663FA0" w:rsidP="00C2360B">
      <w:pPr>
        <w:pStyle w:val="NormalWeb"/>
        <w:spacing w:before="240" w:beforeAutospacing="0" w:after="0" w:afterAutospacing="0" w:line="360" w:lineRule="auto"/>
        <w:jc w:val="both"/>
        <w:rPr>
          <w:rFonts w:ascii="Arial" w:hAnsi="Arial" w:cs="Arial"/>
          <w:color w:val="000000"/>
          <w:sz w:val="22"/>
          <w:szCs w:val="22"/>
        </w:rPr>
      </w:pPr>
      <w:r w:rsidRPr="00C2360B">
        <w:rPr>
          <w:rFonts w:ascii="Arial" w:hAnsi="Arial" w:cs="Arial"/>
          <w:color w:val="000000"/>
          <w:sz w:val="22"/>
          <w:szCs w:val="22"/>
        </w:rPr>
        <w:t>de Jongh, A., de Roos, C. and El</w:t>
      </w:r>
      <w:r w:rsidRPr="00C2360B">
        <w:rPr>
          <w:rFonts w:ascii="Cambria Math" w:hAnsi="Cambria Math" w:cs="Cambria Math"/>
          <w:color w:val="000000"/>
          <w:sz w:val="22"/>
          <w:szCs w:val="22"/>
        </w:rPr>
        <w:t>‐</w:t>
      </w:r>
      <w:r w:rsidRPr="00C2360B">
        <w:rPr>
          <w:rFonts w:ascii="Arial" w:hAnsi="Arial" w:cs="Arial"/>
          <w:color w:val="000000"/>
          <w:sz w:val="22"/>
          <w:szCs w:val="22"/>
        </w:rPr>
        <w:t xml:space="preserve">Leithy, S. (2024) </w:t>
      </w:r>
      <w:r w:rsidR="009C50B1">
        <w:rPr>
          <w:rFonts w:ascii="Arial" w:hAnsi="Arial" w:cs="Arial"/>
          <w:color w:val="000000"/>
          <w:sz w:val="22"/>
          <w:szCs w:val="22"/>
        </w:rPr>
        <w:t>'</w:t>
      </w:r>
      <w:r w:rsidRPr="00C2360B">
        <w:rPr>
          <w:rFonts w:ascii="Arial" w:hAnsi="Arial" w:cs="Arial"/>
          <w:color w:val="000000"/>
          <w:sz w:val="22"/>
          <w:szCs w:val="22"/>
        </w:rPr>
        <w:t>State of the science: Eye movement desensiti</w:t>
      </w:r>
      <w:r w:rsidR="009C50B1">
        <w:rPr>
          <w:rFonts w:ascii="Arial" w:hAnsi="Arial" w:cs="Arial"/>
          <w:color w:val="000000"/>
          <w:sz w:val="22"/>
          <w:szCs w:val="22"/>
        </w:rPr>
        <w:t>s</w:t>
      </w:r>
      <w:r w:rsidRPr="00C2360B">
        <w:rPr>
          <w:rFonts w:ascii="Arial" w:hAnsi="Arial" w:cs="Arial"/>
          <w:color w:val="000000"/>
          <w:sz w:val="22"/>
          <w:szCs w:val="22"/>
        </w:rPr>
        <w:t>ation and reprocessing (EMDR) therapy</w:t>
      </w:r>
      <w:r w:rsidR="009C50B1">
        <w:rPr>
          <w:rFonts w:ascii="Arial" w:hAnsi="Arial" w:cs="Arial"/>
          <w:color w:val="000000"/>
          <w:sz w:val="22"/>
          <w:szCs w:val="22"/>
        </w:rPr>
        <w:t>'</w:t>
      </w:r>
      <w:r w:rsidRPr="00C2360B">
        <w:rPr>
          <w:rFonts w:ascii="Arial" w:hAnsi="Arial" w:cs="Arial"/>
          <w:color w:val="000000"/>
          <w:sz w:val="22"/>
          <w:szCs w:val="22"/>
        </w:rPr>
        <w:t>, </w:t>
      </w:r>
      <w:r w:rsidRPr="00C2360B">
        <w:rPr>
          <w:rFonts w:ascii="Arial" w:hAnsi="Arial" w:cs="Arial"/>
          <w:i/>
          <w:iCs/>
          <w:color w:val="000000"/>
          <w:sz w:val="22"/>
          <w:szCs w:val="22"/>
        </w:rPr>
        <w:t>Journal of Traumatic Stress</w:t>
      </w:r>
      <w:r w:rsidRPr="00C2360B">
        <w:rPr>
          <w:rFonts w:ascii="Arial" w:hAnsi="Arial" w:cs="Arial"/>
          <w:color w:val="000000"/>
          <w:sz w:val="22"/>
          <w:szCs w:val="22"/>
        </w:rPr>
        <w:t xml:space="preserve">,37(2). Available at: </w:t>
      </w:r>
      <w:r w:rsidRPr="009E071A">
        <w:rPr>
          <w:rFonts w:ascii="Arial" w:hAnsi="Arial" w:cs="Arial"/>
          <w:sz w:val="22"/>
          <w:szCs w:val="22"/>
        </w:rPr>
        <w:t>https://doi.org/10.1002/jts.23012</w:t>
      </w:r>
      <w:r w:rsidRPr="00C2360B">
        <w:rPr>
          <w:rFonts w:ascii="Arial" w:hAnsi="Arial" w:cs="Arial"/>
          <w:color w:val="000000"/>
          <w:sz w:val="22"/>
          <w:szCs w:val="22"/>
        </w:rPr>
        <w:t xml:space="preserve"> .</w:t>
      </w:r>
    </w:p>
    <w:p w14:paraId="6EB1E4B7" w14:textId="75C6DC59" w:rsidR="00663FA0" w:rsidRPr="00C2360B" w:rsidRDefault="00663FA0" w:rsidP="00C2360B">
      <w:pPr>
        <w:pStyle w:val="NormalWeb"/>
        <w:spacing w:before="240" w:beforeAutospacing="0" w:after="0" w:afterAutospacing="0" w:line="360" w:lineRule="auto"/>
        <w:jc w:val="both"/>
        <w:rPr>
          <w:rFonts w:ascii="Arial" w:hAnsi="Arial" w:cs="Arial"/>
          <w:color w:val="000000"/>
          <w:sz w:val="22"/>
          <w:szCs w:val="22"/>
        </w:rPr>
      </w:pPr>
      <w:r w:rsidRPr="00C2360B">
        <w:rPr>
          <w:rFonts w:ascii="Arial" w:hAnsi="Arial" w:cs="Arial"/>
          <w:color w:val="000000"/>
          <w:sz w:val="22"/>
          <w:szCs w:val="22"/>
        </w:rPr>
        <w:lastRenderedPageBreak/>
        <w:t>Department for Education (2023) </w:t>
      </w:r>
      <w:r w:rsidRPr="00C2360B">
        <w:rPr>
          <w:rFonts w:ascii="Arial" w:hAnsi="Arial" w:cs="Arial"/>
          <w:i/>
          <w:iCs/>
          <w:color w:val="000000"/>
          <w:sz w:val="22"/>
          <w:szCs w:val="22"/>
        </w:rPr>
        <w:t>Children in need: 2022 to 2023</w:t>
      </w:r>
      <w:r w:rsidRPr="00C2360B">
        <w:rPr>
          <w:rFonts w:ascii="Arial" w:hAnsi="Arial" w:cs="Arial"/>
          <w:color w:val="000000"/>
          <w:sz w:val="22"/>
          <w:szCs w:val="22"/>
        </w:rPr>
        <w:t xml:space="preserve">. Available at: </w:t>
      </w:r>
      <w:r w:rsidRPr="009E071A">
        <w:rPr>
          <w:rFonts w:ascii="Arial" w:hAnsi="Arial" w:cs="Arial"/>
          <w:sz w:val="22"/>
          <w:szCs w:val="22"/>
        </w:rPr>
        <w:t>https://www.gov.uk/government/statistics/children-in-need-2022-to-2023</w:t>
      </w:r>
      <w:r w:rsidRPr="00C2360B">
        <w:rPr>
          <w:rFonts w:ascii="Arial" w:hAnsi="Arial" w:cs="Arial"/>
          <w:color w:val="000000"/>
          <w:sz w:val="22"/>
          <w:szCs w:val="22"/>
        </w:rPr>
        <w:t xml:space="preserve"> (Accessed 31 October 2025).</w:t>
      </w:r>
    </w:p>
    <w:p w14:paraId="39A0434E" w14:textId="77777777" w:rsidR="00663FA0" w:rsidRPr="00C2360B" w:rsidRDefault="00663FA0" w:rsidP="00C2360B">
      <w:pPr>
        <w:pStyle w:val="NormalWeb"/>
        <w:spacing w:before="240" w:beforeAutospacing="0" w:after="0" w:afterAutospacing="0" w:line="360" w:lineRule="auto"/>
        <w:jc w:val="both"/>
        <w:rPr>
          <w:rFonts w:ascii="Arial" w:hAnsi="Arial" w:cs="Arial"/>
          <w:color w:val="000000"/>
          <w:sz w:val="22"/>
          <w:szCs w:val="22"/>
        </w:rPr>
      </w:pPr>
      <w:r w:rsidRPr="00C2360B">
        <w:rPr>
          <w:rFonts w:ascii="Arial" w:hAnsi="Arial" w:cs="Arial"/>
          <w:color w:val="000000"/>
          <w:sz w:val="22"/>
          <w:szCs w:val="22"/>
        </w:rPr>
        <w:t>Erikson, E.H. (1950) </w:t>
      </w:r>
      <w:r w:rsidRPr="00C2360B">
        <w:rPr>
          <w:rFonts w:ascii="Arial" w:hAnsi="Arial" w:cs="Arial"/>
          <w:i/>
          <w:iCs/>
          <w:color w:val="000000"/>
          <w:sz w:val="22"/>
          <w:szCs w:val="22"/>
        </w:rPr>
        <w:t>Childhood and Society</w:t>
      </w:r>
      <w:r w:rsidRPr="00C2360B">
        <w:rPr>
          <w:rFonts w:ascii="Arial" w:hAnsi="Arial" w:cs="Arial"/>
          <w:color w:val="000000"/>
          <w:sz w:val="22"/>
          <w:szCs w:val="22"/>
        </w:rPr>
        <w:t>. W. W. Norton &amp; Company.</w:t>
      </w:r>
    </w:p>
    <w:p w14:paraId="5442E6DE" w14:textId="4A36313E" w:rsidR="00663FA0" w:rsidRPr="00C2360B" w:rsidRDefault="00663FA0" w:rsidP="00C2360B">
      <w:pPr>
        <w:pStyle w:val="NormalWeb"/>
        <w:spacing w:before="240" w:beforeAutospacing="0" w:after="0" w:afterAutospacing="0" w:line="360" w:lineRule="auto"/>
        <w:jc w:val="both"/>
        <w:rPr>
          <w:rFonts w:ascii="Arial" w:hAnsi="Arial" w:cs="Arial"/>
          <w:color w:val="000000"/>
          <w:sz w:val="22"/>
          <w:szCs w:val="22"/>
        </w:rPr>
      </w:pPr>
      <w:r w:rsidRPr="00C2360B">
        <w:rPr>
          <w:rFonts w:ascii="Arial" w:hAnsi="Arial" w:cs="Arial"/>
          <w:color w:val="000000"/>
          <w:sz w:val="22"/>
          <w:szCs w:val="22"/>
        </w:rPr>
        <w:t xml:space="preserve">Hughes, K., Bellis, M.A., Hardcastle, K.A., Sethi, D., Butchart, A., Mikton, C., Jones, L. and Dunne, M.P. (2017) </w:t>
      </w:r>
      <w:r w:rsidR="009C50B1">
        <w:rPr>
          <w:rFonts w:ascii="Arial" w:hAnsi="Arial" w:cs="Arial"/>
          <w:color w:val="000000"/>
          <w:sz w:val="22"/>
          <w:szCs w:val="22"/>
        </w:rPr>
        <w:t>'</w:t>
      </w:r>
      <w:r w:rsidRPr="00C2360B">
        <w:rPr>
          <w:rFonts w:ascii="Arial" w:hAnsi="Arial" w:cs="Arial"/>
          <w:color w:val="000000"/>
          <w:sz w:val="22"/>
          <w:szCs w:val="22"/>
        </w:rPr>
        <w:t>The effect of multiple adverse childhood experiences on health: a systematic review and meta-analysis</w:t>
      </w:r>
      <w:r w:rsidR="009C50B1">
        <w:rPr>
          <w:rFonts w:ascii="Arial" w:hAnsi="Arial" w:cs="Arial"/>
          <w:color w:val="000000"/>
          <w:sz w:val="22"/>
          <w:szCs w:val="22"/>
        </w:rPr>
        <w:t>'</w:t>
      </w:r>
      <w:r w:rsidRPr="00C2360B">
        <w:rPr>
          <w:rFonts w:ascii="Arial" w:hAnsi="Arial" w:cs="Arial"/>
          <w:color w:val="000000"/>
          <w:sz w:val="22"/>
          <w:szCs w:val="22"/>
        </w:rPr>
        <w:t>, </w:t>
      </w:r>
      <w:r w:rsidRPr="00C2360B">
        <w:rPr>
          <w:rFonts w:ascii="Arial" w:hAnsi="Arial" w:cs="Arial"/>
          <w:i/>
          <w:iCs/>
          <w:color w:val="000000"/>
          <w:sz w:val="22"/>
          <w:szCs w:val="22"/>
        </w:rPr>
        <w:t>The Lancet Public Health</w:t>
      </w:r>
      <w:r w:rsidRPr="00C2360B">
        <w:rPr>
          <w:rFonts w:ascii="Arial" w:hAnsi="Arial" w:cs="Arial"/>
          <w:color w:val="000000"/>
          <w:sz w:val="22"/>
          <w:szCs w:val="22"/>
        </w:rPr>
        <w:t xml:space="preserve">, 2(8), pp.356–366. Available at: </w:t>
      </w:r>
      <w:r w:rsidRPr="009E071A">
        <w:rPr>
          <w:rFonts w:ascii="Arial" w:hAnsi="Arial" w:cs="Arial"/>
          <w:sz w:val="22"/>
          <w:szCs w:val="22"/>
        </w:rPr>
        <w:t>https://www.thelancet.com/journals/lanpub/article/PIIS2468-2667(17)30118-4/fulltext</w:t>
      </w:r>
      <w:r w:rsidRPr="00C2360B">
        <w:rPr>
          <w:rFonts w:ascii="Arial" w:hAnsi="Arial" w:cs="Arial"/>
          <w:color w:val="000000"/>
          <w:sz w:val="22"/>
          <w:szCs w:val="22"/>
        </w:rPr>
        <w:t xml:space="preserve"> .</w:t>
      </w:r>
    </w:p>
    <w:p w14:paraId="259FC331" w14:textId="1225E3BA" w:rsidR="00663FA0" w:rsidRPr="00C2360B" w:rsidRDefault="00663FA0" w:rsidP="00C2360B">
      <w:pPr>
        <w:pStyle w:val="NormalWeb"/>
        <w:spacing w:before="240" w:beforeAutospacing="0" w:after="0" w:afterAutospacing="0" w:line="360" w:lineRule="auto"/>
        <w:jc w:val="both"/>
        <w:rPr>
          <w:rFonts w:ascii="Arial" w:hAnsi="Arial" w:cs="Arial"/>
          <w:color w:val="000000"/>
          <w:sz w:val="22"/>
          <w:szCs w:val="22"/>
        </w:rPr>
      </w:pPr>
      <w:r w:rsidRPr="00C2360B">
        <w:rPr>
          <w:rFonts w:ascii="Arial" w:hAnsi="Arial" w:cs="Arial"/>
          <w:color w:val="000000"/>
          <w:sz w:val="22"/>
          <w:szCs w:val="22"/>
        </w:rPr>
        <w:t xml:space="preserve">Joss, D. and Teicher, M.H. (2021) </w:t>
      </w:r>
      <w:r w:rsidR="009C50B1">
        <w:rPr>
          <w:rFonts w:ascii="Arial" w:hAnsi="Arial" w:cs="Arial"/>
          <w:color w:val="000000"/>
          <w:sz w:val="22"/>
          <w:szCs w:val="22"/>
        </w:rPr>
        <w:t>'</w:t>
      </w:r>
      <w:r w:rsidRPr="00C2360B">
        <w:rPr>
          <w:rFonts w:ascii="Arial" w:hAnsi="Arial" w:cs="Arial"/>
          <w:color w:val="000000"/>
          <w:sz w:val="22"/>
          <w:szCs w:val="22"/>
        </w:rPr>
        <w:t>Clinical Effects of Mindfulness-Based Interventions for Adults with a History of Childhood Maltreatment: a Scoping Review</w:t>
      </w:r>
      <w:r w:rsidR="009C50B1">
        <w:rPr>
          <w:rFonts w:ascii="Arial" w:hAnsi="Arial" w:cs="Arial"/>
          <w:color w:val="000000"/>
          <w:sz w:val="22"/>
          <w:szCs w:val="22"/>
        </w:rPr>
        <w:t>'</w:t>
      </w:r>
      <w:r w:rsidRPr="00C2360B">
        <w:rPr>
          <w:rFonts w:ascii="Arial" w:hAnsi="Arial" w:cs="Arial"/>
          <w:color w:val="000000"/>
          <w:sz w:val="22"/>
          <w:szCs w:val="22"/>
        </w:rPr>
        <w:t>, </w:t>
      </w:r>
      <w:r w:rsidRPr="00C2360B">
        <w:rPr>
          <w:rFonts w:ascii="Arial" w:hAnsi="Arial" w:cs="Arial"/>
          <w:i/>
          <w:iCs/>
          <w:color w:val="000000"/>
          <w:sz w:val="22"/>
          <w:szCs w:val="22"/>
        </w:rPr>
        <w:t>Current Treatment Options in Psychiatry</w:t>
      </w:r>
      <w:r w:rsidRPr="00C2360B">
        <w:rPr>
          <w:rFonts w:ascii="Arial" w:hAnsi="Arial" w:cs="Arial"/>
          <w:color w:val="000000"/>
          <w:sz w:val="22"/>
          <w:szCs w:val="22"/>
        </w:rPr>
        <w:t xml:space="preserve">, 8(2), pp.31–46. Available at: </w:t>
      </w:r>
      <w:r w:rsidRPr="009E071A">
        <w:rPr>
          <w:rFonts w:ascii="Arial" w:hAnsi="Arial" w:cs="Arial"/>
          <w:sz w:val="22"/>
          <w:szCs w:val="22"/>
        </w:rPr>
        <w:t>https://doi.org/10.1007/s40501-021-00240-4</w:t>
      </w:r>
      <w:r w:rsidRPr="00C2360B">
        <w:rPr>
          <w:rFonts w:ascii="Arial" w:hAnsi="Arial" w:cs="Arial"/>
          <w:color w:val="000000"/>
          <w:sz w:val="22"/>
          <w:szCs w:val="22"/>
        </w:rPr>
        <w:t xml:space="preserve"> .</w:t>
      </w:r>
    </w:p>
    <w:p w14:paraId="7D1001E5" w14:textId="145E9B40" w:rsidR="00663FA0" w:rsidRPr="00C2360B" w:rsidRDefault="00663FA0" w:rsidP="00C2360B">
      <w:pPr>
        <w:pStyle w:val="NormalWeb"/>
        <w:spacing w:before="240" w:beforeAutospacing="0" w:after="0" w:afterAutospacing="0" w:line="360" w:lineRule="auto"/>
        <w:jc w:val="both"/>
        <w:rPr>
          <w:rFonts w:ascii="Arial" w:hAnsi="Arial" w:cs="Arial"/>
          <w:color w:val="000000"/>
          <w:sz w:val="22"/>
          <w:szCs w:val="22"/>
        </w:rPr>
      </w:pPr>
      <w:r w:rsidRPr="00C2360B">
        <w:rPr>
          <w:rFonts w:ascii="Arial" w:hAnsi="Arial" w:cs="Arial"/>
          <w:color w:val="000000"/>
          <w:sz w:val="22"/>
          <w:szCs w:val="22"/>
        </w:rPr>
        <w:t xml:space="preserve">Kerig, P.K. (2018) </w:t>
      </w:r>
      <w:r w:rsidR="009C50B1">
        <w:rPr>
          <w:rFonts w:ascii="Arial" w:hAnsi="Arial" w:cs="Arial"/>
          <w:color w:val="000000"/>
          <w:sz w:val="22"/>
          <w:szCs w:val="22"/>
        </w:rPr>
        <w:t>'</w:t>
      </w:r>
      <w:r w:rsidRPr="00C2360B">
        <w:rPr>
          <w:rFonts w:ascii="Arial" w:hAnsi="Arial" w:cs="Arial"/>
          <w:color w:val="000000"/>
          <w:sz w:val="22"/>
          <w:szCs w:val="22"/>
        </w:rPr>
        <w:t>Emotion Dysregulation and Childhood Trauma</w:t>
      </w:r>
      <w:r w:rsidR="009C50B1">
        <w:rPr>
          <w:rFonts w:ascii="Arial" w:hAnsi="Arial" w:cs="Arial"/>
          <w:color w:val="000000"/>
          <w:sz w:val="22"/>
          <w:szCs w:val="22"/>
        </w:rPr>
        <w:t>'</w:t>
      </w:r>
      <w:r w:rsidRPr="00C2360B">
        <w:rPr>
          <w:rFonts w:ascii="Arial" w:hAnsi="Arial" w:cs="Arial"/>
          <w:color w:val="000000"/>
          <w:sz w:val="22"/>
          <w:szCs w:val="22"/>
        </w:rPr>
        <w:t>, </w:t>
      </w:r>
      <w:r w:rsidRPr="00C2360B">
        <w:rPr>
          <w:rFonts w:ascii="Arial" w:hAnsi="Arial" w:cs="Arial"/>
          <w:i/>
          <w:iCs/>
          <w:color w:val="000000"/>
          <w:sz w:val="22"/>
          <w:szCs w:val="22"/>
        </w:rPr>
        <w:t>The Oxford Handbook of Emotion Dysregulation</w:t>
      </w:r>
      <w:r w:rsidRPr="00C2360B">
        <w:rPr>
          <w:rFonts w:ascii="Arial" w:hAnsi="Arial" w:cs="Arial"/>
          <w:color w:val="000000"/>
          <w:sz w:val="22"/>
          <w:szCs w:val="22"/>
        </w:rPr>
        <w:t xml:space="preserve">, pp.263–282. Available at: </w:t>
      </w:r>
      <w:r w:rsidRPr="009E071A">
        <w:rPr>
          <w:rFonts w:ascii="Arial" w:hAnsi="Arial" w:cs="Arial"/>
          <w:sz w:val="22"/>
          <w:szCs w:val="22"/>
        </w:rPr>
        <w:t>https://doi.org/10.1093/oxfordhb/9780190689285.013.19</w:t>
      </w:r>
      <w:r w:rsidRPr="00C2360B">
        <w:rPr>
          <w:rFonts w:ascii="Arial" w:hAnsi="Arial" w:cs="Arial"/>
          <w:color w:val="000000"/>
          <w:sz w:val="22"/>
          <w:szCs w:val="22"/>
        </w:rPr>
        <w:t xml:space="preserve"> .</w:t>
      </w:r>
    </w:p>
    <w:p w14:paraId="6A2598E3" w14:textId="77777777" w:rsidR="00663FA0" w:rsidRPr="00C2360B" w:rsidRDefault="00663FA0" w:rsidP="00C2360B">
      <w:pPr>
        <w:pStyle w:val="NormalWeb"/>
        <w:spacing w:before="240" w:beforeAutospacing="0" w:after="0" w:afterAutospacing="0" w:line="360" w:lineRule="auto"/>
        <w:jc w:val="both"/>
        <w:rPr>
          <w:rFonts w:ascii="Arial" w:hAnsi="Arial" w:cs="Arial"/>
          <w:color w:val="000000"/>
          <w:sz w:val="22"/>
          <w:szCs w:val="22"/>
        </w:rPr>
      </w:pPr>
      <w:r w:rsidRPr="00C2360B">
        <w:rPr>
          <w:rFonts w:ascii="Arial" w:hAnsi="Arial" w:cs="Arial"/>
          <w:color w:val="000000"/>
          <w:sz w:val="22"/>
          <w:szCs w:val="22"/>
        </w:rPr>
        <w:t>Kim, Y.-K. (2023) </w:t>
      </w:r>
      <w:r w:rsidRPr="00C2360B">
        <w:rPr>
          <w:rFonts w:ascii="Arial" w:hAnsi="Arial" w:cs="Arial"/>
          <w:i/>
          <w:iCs/>
          <w:color w:val="000000"/>
          <w:sz w:val="22"/>
          <w:szCs w:val="22"/>
        </w:rPr>
        <w:t>Neuroinflammation, Gut-Brain Axis and Immunity in Neuropsychiatric Disorders</w:t>
      </w:r>
      <w:r w:rsidRPr="00C2360B">
        <w:rPr>
          <w:rFonts w:ascii="Arial" w:hAnsi="Arial" w:cs="Arial"/>
          <w:color w:val="000000"/>
          <w:sz w:val="22"/>
          <w:szCs w:val="22"/>
        </w:rPr>
        <w:t>.</w:t>
      </w:r>
    </w:p>
    <w:p w14:paraId="3F672F7B" w14:textId="3D086556" w:rsidR="00663FA0" w:rsidRPr="00C2360B" w:rsidRDefault="00663FA0" w:rsidP="00C2360B">
      <w:pPr>
        <w:pStyle w:val="NormalWeb"/>
        <w:spacing w:before="240" w:beforeAutospacing="0" w:after="0" w:afterAutospacing="0" w:line="360" w:lineRule="auto"/>
        <w:jc w:val="both"/>
        <w:rPr>
          <w:rFonts w:ascii="Arial" w:hAnsi="Arial" w:cs="Arial"/>
          <w:color w:val="000000"/>
          <w:sz w:val="22"/>
          <w:szCs w:val="22"/>
        </w:rPr>
      </w:pPr>
      <w:r w:rsidRPr="00C2360B">
        <w:rPr>
          <w:rFonts w:ascii="Arial" w:hAnsi="Arial" w:cs="Arial"/>
          <w:color w:val="000000"/>
          <w:sz w:val="22"/>
          <w:szCs w:val="22"/>
        </w:rPr>
        <w:t>Murphy, F., Nasa, A., Cullinane, D., Raajakesary, K., Gazzaz, A., Sooknarine, V., Haines, M., Roman, E., Kelly, L., O</w:t>
      </w:r>
      <w:r w:rsidR="009C50B1">
        <w:rPr>
          <w:rFonts w:ascii="Arial" w:hAnsi="Arial" w:cs="Arial"/>
          <w:color w:val="000000"/>
          <w:sz w:val="22"/>
          <w:szCs w:val="22"/>
        </w:rPr>
        <w:t>'</w:t>
      </w:r>
      <w:r w:rsidRPr="00C2360B">
        <w:rPr>
          <w:rFonts w:ascii="Arial" w:hAnsi="Arial" w:cs="Arial"/>
          <w:color w:val="000000"/>
          <w:sz w:val="22"/>
          <w:szCs w:val="22"/>
        </w:rPr>
        <w:t xml:space="preserve">Neill, A., Cannon, M. and Roddy, D.W. (2022) </w:t>
      </w:r>
      <w:r w:rsidR="009C50B1">
        <w:rPr>
          <w:rFonts w:ascii="Arial" w:hAnsi="Arial" w:cs="Arial"/>
          <w:color w:val="000000"/>
          <w:sz w:val="22"/>
          <w:szCs w:val="22"/>
        </w:rPr>
        <w:t>'</w:t>
      </w:r>
      <w:r w:rsidRPr="00C2360B">
        <w:rPr>
          <w:rFonts w:ascii="Arial" w:hAnsi="Arial" w:cs="Arial"/>
          <w:color w:val="000000"/>
          <w:sz w:val="22"/>
          <w:szCs w:val="22"/>
        </w:rPr>
        <w:t>Childhood Trauma, the HPA Axis and Psychiatric Illnesses: A Targeted Literature Synthesis</w:t>
      </w:r>
      <w:r w:rsidR="009C50B1">
        <w:rPr>
          <w:rFonts w:ascii="Arial" w:hAnsi="Arial" w:cs="Arial"/>
          <w:color w:val="000000"/>
          <w:sz w:val="22"/>
          <w:szCs w:val="22"/>
        </w:rPr>
        <w:t>'</w:t>
      </w:r>
      <w:r w:rsidRPr="00C2360B">
        <w:rPr>
          <w:rFonts w:ascii="Arial" w:hAnsi="Arial" w:cs="Arial"/>
          <w:color w:val="000000"/>
          <w:sz w:val="22"/>
          <w:szCs w:val="22"/>
        </w:rPr>
        <w:t>, </w:t>
      </w:r>
      <w:r w:rsidRPr="00C2360B">
        <w:rPr>
          <w:rFonts w:ascii="Arial" w:hAnsi="Arial" w:cs="Arial"/>
          <w:i/>
          <w:iCs/>
          <w:color w:val="000000"/>
          <w:sz w:val="22"/>
          <w:szCs w:val="22"/>
        </w:rPr>
        <w:t>Frontiers in Psychiatry</w:t>
      </w:r>
      <w:r w:rsidRPr="00C2360B">
        <w:rPr>
          <w:rFonts w:ascii="Arial" w:hAnsi="Arial" w:cs="Arial"/>
          <w:color w:val="000000"/>
          <w:sz w:val="22"/>
          <w:szCs w:val="22"/>
        </w:rPr>
        <w:t xml:space="preserve">, 13(748372). Available at: </w:t>
      </w:r>
      <w:r w:rsidRPr="009E071A">
        <w:rPr>
          <w:rFonts w:ascii="Arial" w:hAnsi="Arial" w:cs="Arial"/>
          <w:sz w:val="22"/>
          <w:szCs w:val="22"/>
        </w:rPr>
        <w:t>https://doi.org/10.3389/fpsyt.2022.748372</w:t>
      </w:r>
      <w:r w:rsidRPr="00C2360B">
        <w:rPr>
          <w:rFonts w:ascii="Arial" w:hAnsi="Arial" w:cs="Arial"/>
          <w:color w:val="000000"/>
          <w:sz w:val="22"/>
          <w:szCs w:val="22"/>
        </w:rPr>
        <w:t xml:space="preserve"> .</w:t>
      </w:r>
    </w:p>
    <w:p w14:paraId="7495548D" w14:textId="7FF9D9A7" w:rsidR="00663FA0" w:rsidRPr="00C2360B" w:rsidRDefault="00663FA0" w:rsidP="00C2360B">
      <w:pPr>
        <w:pStyle w:val="NormalWeb"/>
        <w:spacing w:before="240" w:beforeAutospacing="0" w:after="0" w:afterAutospacing="0" w:line="360" w:lineRule="auto"/>
        <w:jc w:val="both"/>
        <w:rPr>
          <w:rFonts w:ascii="Arial" w:hAnsi="Arial" w:cs="Arial"/>
          <w:color w:val="000000"/>
          <w:sz w:val="22"/>
          <w:szCs w:val="22"/>
        </w:rPr>
      </w:pPr>
      <w:r w:rsidRPr="00C2360B">
        <w:rPr>
          <w:rFonts w:ascii="Arial" w:hAnsi="Arial" w:cs="Arial"/>
          <w:color w:val="000000"/>
          <w:sz w:val="22"/>
          <w:szCs w:val="22"/>
        </w:rPr>
        <w:t>NHS England (2025)</w:t>
      </w:r>
      <w:r w:rsidRPr="00C2360B">
        <w:rPr>
          <w:rFonts w:ascii="Arial" w:hAnsi="Arial" w:cs="Arial"/>
          <w:i/>
          <w:iCs/>
          <w:color w:val="000000"/>
          <w:sz w:val="22"/>
          <w:szCs w:val="22"/>
        </w:rPr>
        <w:t xml:space="preserve"> Trauma-informed and harm-aware inpatient care</w:t>
      </w:r>
      <w:r w:rsidRPr="00C2360B">
        <w:rPr>
          <w:rFonts w:ascii="Arial" w:hAnsi="Arial" w:cs="Arial"/>
          <w:color w:val="000000"/>
          <w:sz w:val="22"/>
          <w:szCs w:val="22"/>
        </w:rPr>
        <w:t xml:space="preserve">. Available at: </w:t>
      </w:r>
      <w:r w:rsidRPr="00180EEF">
        <w:rPr>
          <w:rFonts w:ascii="Arial" w:hAnsi="Arial" w:cs="Arial"/>
          <w:sz w:val="22"/>
          <w:szCs w:val="22"/>
        </w:rPr>
        <w:t>https://www.england.nhs.uk/long-read/trauma-informed-harm-aware-inpatient-care/</w:t>
      </w:r>
      <w:r w:rsidRPr="00C2360B">
        <w:rPr>
          <w:rFonts w:ascii="Arial" w:hAnsi="Arial" w:cs="Arial"/>
          <w:color w:val="000000"/>
          <w:sz w:val="22"/>
          <w:szCs w:val="22"/>
        </w:rPr>
        <w:t xml:space="preserve"> (Accessed 02 November 2025).</w:t>
      </w:r>
    </w:p>
    <w:p w14:paraId="1FD9A162" w14:textId="71FE3CCF" w:rsidR="00663FA0" w:rsidRPr="00C2360B" w:rsidRDefault="00663FA0" w:rsidP="00C2360B">
      <w:pPr>
        <w:pStyle w:val="NormalWeb"/>
        <w:spacing w:before="240" w:beforeAutospacing="0" w:after="0" w:afterAutospacing="0" w:line="360" w:lineRule="auto"/>
        <w:jc w:val="both"/>
        <w:rPr>
          <w:rFonts w:ascii="Arial" w:hAnsi="Arial" w:cs="Arial"/>
          <w:color w:val="000000"/>
          <w:sz w:val="22"/>
          <w:szCs w:val="22"/>
        </w:rPr>
      </w:pPr>
      <w:r w:rsidRPr="00C2360B">
        <w:rPr>
          <w:rFonts w:ascii="Arial" w:hAnsi="Arial" w:cs="Arial"/>
          <w:sz w:val="22"/>
          <w:szCs w:val="22"/>
        </w:rPr>
        <w:t>Office for National Statistics (</w:t>
      </w:r>
      <w:r w:rsidRPr="00C2360B">
        <w:rPr>
          <w:rFonts w:ascii="Arial" w:hAnsi="Arial" w:cs="Arial"/>
          <w:color w:val="000000"/>
          <w:sz w:val="22"/>
          <w:szCs w:val="22"/>
        </w:rPr>
        <w:t xml:space="preserve">2020) </w:t>
      </w:r>
      <w:r w:rsidRPr="00C2360B">
        <w:rPr>
          <w:rFonts w:ascii="Arial" w:hAnsi="Arial" w:cs="Arial"/>
          <w:i/>
          <w:iCs/>
          <w:color w:val="000000"/>
          <w:sz w:val="22"/>
          <w:szCs w:val="22"/>
        </w:rPr>
        <w:t>Child abuse in England and Wales</w:t>
      </w:r>
      <w:r w:rsidRPr="00C2360B">
        <w:rPr>
          <w:rFonts w:ascii="Arial" w:hAnsi="Arial" w:cs="Arial"/>
          <w:color w:val="000000"/>
          <w:sz w:val="22"/>
          <w:szCs w:val="22"/>
        </w:rPr>
        <w:t xml:space="preserve">. Available at: </w:t>
      </w:r>
      <w:r w:rsidRPr="00180EEF">
        <w:rPr>
          <w:rFonts w:ascii="Arial" w:hAnsi="Arial" w:cs="Arial"/>
          <w:sz w:val="22"/>
          <w:szCs w:val="22"/>
        </w:rPr>
        <w:t>https://www.ons.gov.uk/peoplepopulationandcommunity/crimeandjustice/bulletins/childabuseinenglandandwales/january2020</w:t>
      </w:r>
      <w:r w:rsidRPr="00C2360B">
        <w:rPr>
          <w:rFonts w:ascii="Arial" w:hAnsi="Arial" w:cs="Arial"/>
          <w:color w:val="000000"/>
          <w:sz w:val="22"/>
          <w:szCs w:val="22"/>
        </w:rPr>
        <w:t xml:space="preserve"> (Accessed 31 October 2025).</w:t>
      </w:r>
    </w:p>
    <w:p w14:paraId="7B10DF53" w14:textId="77777777" w:rsidR="00663FA0" w:rsidRPr="00C2360B" w:rsidRDefault="00663FA0" w:rsidP="00C2360B">
      <w:pPr>
        <w:pStyle w:val="NormalWeb"/>
        <w:spacing w:before="240" w:beforeAutospacing="0" w:line="360" w:lineRule="auto"/>
        <w:jc w:val="both"/>
        <w:rPr>
          <w:rFonts w:ascii="Arial" w:hAnsi="Arial" w:cs="Arial"/>
          <w:sz w:val="22"/>
          <w:szCs w:val="22"/>
        </w:rPr>
      </w:pPr>
      <w:r w:rsidRPr="00C2360B">
        <w:rPr>
          <w:rFonts w:ascii="Arial" w:hAnsi="Arial" w:cs="Arial"/>
          <w:sz w:val="22"/>
          <w:szCs w:val="22"/>
        </w:rPr>
        <w:t xml:space="preserve">Perry, B.D. and Winfrey, O. (2021) </w:t>
      </w:r>
      <w:r w:rsidRPr="00C2360B">
        <w:rPr>
          <w:rStyle w:val="Emphasis"/>
          <w:rFonts w:ascii="Arial" w:eastAsiaTheme="majorEastAsia" w:hAnsi="Arial" w:cs="Arial"/>
          <w:sz w:val="22"/>
          <w:szCs w:val="22"/>
        </w:rPr>
        <w:t>What Happened to You?</w:t>
      </w:r>
      <w:r w:rsidRPr="00C2360B">
        <w:rPr>
          <w:rFonts w:ascii="Arial" w:hAnsi="Arial" w:cs="Arial"/>
          <w:sz w:val="22"/>
          <w:szCs w:val="22"/>
        </w:rPr>
        <w:t>. Flatiron Books.</w:t>
      </w:r>
    </w:p>
    <w:p w14:paraId="5154723B" w14:textId="76997294" w:rsidR="00663FA0" w:rsidRPr="00C2360B" w:rsidRDefault="00663FA0" w:rsidP="00C2360B">
      <w:pPr>
        <w:pStyle w:val="NormalWeb"/>
        <w:spacing w:before="240" w:beforeAutospacing="0" w:after="0" w:afterAutospacing="0" w:line="360" w:lineRule="auto"/>
        <w:jc w:val="both"/>
        <w:rPr>
          <w:rFonts w:ascii="Arial" w:hAnsi="Arial" w:cs="Arial"/>
          <w:color w:val="000000"/>
          <w:sz w:val="22"/>
          <w:szCs w:val="22"/>
        </w:rPr>
      </w:pPr>
      <w:r w:rsidRPr="00C2360B">
        <w:rPr>
          <w:rFonts w:ascii="Arial" w:hAnsi="Arial" w:cs="Arial"/>
          <w:color w:val="000000"/>
          <w:sz w:val="22"/>
          <w:szCs w:val="22"/>
        </w:rPr>
        <w:lastRenderedPageBreak/>
        <w:t xml:space="preserve">Public Health Wales (2020) </w:t>
      </w:r>
      <w:r w:rsidRPr="00C2360B">
        <w:rPr>
          <w:rFonts w:ascii="Arial" w:hAnsi="Arial" w:cs="Arial"/>
          <w:i/>
          <w:iCs/>
          <w:color w:val="000000"/>
          <w:sz w:val="22"/>
          <w:szCs w:val="22"/>
        </w:rPr>
        <w:t>Adverse Childhood Experiences - Public Health Wales</w:t>
      </w:r>
      <w:r w:rsidRPr="00C2360B">
        <w:rPr>
          <w:rFonts w:ascii="Arial" w:hAnsi="Arial" w:cs="Arial"/>
          <w:color w:val="000000"/>
          <w:sz w:val="22"/>
          <w:szCs w:val="22"/>
        </w:rPr>
        <w:t xml:space="preserve">. Available at: </w:t>
      </w:r>
      <w:r w:rsidRPr="00180EEF">
        <w:rPr>
          <w:rFonts w:ascii="Arial" w:hAnsi="Arial" w:cs="Arial"/>
          <w:sz w:val="22"/>
          <w:szCs w:val="22"/>
        </w:rPr>
        <w:t>https://phw.nhs.wales/topics/adverse-childhood-experiences/</w:t>
      </w:r>
      <w:r w:rsidRPr="00C2360B">
        <w:rPr>
          <w:rFonts w:ascii="Arial" w:hAnsi="Arial" w:cs="Arial"/>
          <w:color w:val="000000"/>
          <w:sz w:val="22"/>
          <w:szCs w:val="22"/>
        </w:rPr>
        <w:t xml:space="preserve"> (Accessed 31 October 2025).</w:t>
      </w:r>
    </w:p>
    <w:p w14:paraId="2FAF1DAC" w14:textId="22A29591" w:rsidR="00663FA0" w:rsidRPr="00C2360B" w:rsidRDefault="00663FA0" w:rsidP="00C2360B">
      <w:pPr>
        <w:pStyle w:val="NormalWeb"/>
        <w:spacing w:before="240" w:beforeAutospacing="0" w:after="0" w:afterAutospacing="0" w:line="360" w:lineRule="auto"/>
        <w:jc w:val="both"/>
        <w:rPr>
          <w:rFonts w:ascii="Arial" w:hAnsi="Arial" w:cs="Arial"/>
          <w:color w:val="000000"/>
          <w:sz w:val="22"/>
          <w:szCs w:val="22"/>
        </w:rPr>
      </w:pPr>
      <w:r w:rsidRPr="00C2360B">
        <w:rPr>
          <w:rFonts w:ascii="Arial" w:hAnsi="Arial" w:cs="Arial"/>
          <w:color w:val="000000"/>
          <w:sz w:val="22"/>
          <w:szCs w:val="22"/>
        </w:rPr>
        <w:t>SAMHSA (2014) </w:t>
      </w:r>
      <w:r w:rsidRPr="00C2360B">
        <w:rPr>
          <w:rFonts w:ascii="Arial" w:hAnsi="Arial" w:cs="Arial"/>
          <w:i/>
          <w:iCs/>
          <w:color w:val="000000"/>
          <w:sz w:val="22"/>
          <w:szCs w:val="22"/>
        </w:rPr>
        <w:t>SAMHSA</w:t>
      </w:r>
      <w:r w:rsidR="009C50B1">
        <w:rPr>
          <w:rFonts w:ascii="Arial" w:hAnsi="Arial" w:cs="Arial"/>
          <w:i/>
          <w:iCs/>
          <w:color w:val="000000"/>
          <w:sz w:val="22"/>
          <w:szCs w:val="22"/>
        </w:rPr>
        <w:t>'</w:t>
      </w:r>
      <w:r w:rsidRPr="00C2360B">
        <w:rPr>
          <w:rFonts w:ascii="Arial" w:hAnsi="Arial" w:cs="Arial"/>
          <w:i/>
          <w:iCs/>
          <w:color w:val="000000"/>
          <w:sz w:val="22"/>
          <w:szCs w:val="22"/>
        </w:rPr>
        <w:t>s Concept of Trauma and Guidance for a Trauma-Informed Approach Prepared by SAMHSA</w:t>
      </w:r>
      <w:r w:rsidR="009C50B1">
        <w:rPr>
          <w:rFonts w:ascii="Arial" w:hAnsi="Arial" w:cs="Arial"/>
          <w:i/>
          <w:iCs/>
          <w:color w:val="000000"/>
          <w:sz w:val="22"/>
          <w:szCs w:val="22"/>
        </w:rPr>
        <w:t>'</w:t>
      </w:r>
      <w:r w:rsidRPr="00C2360B">
        <w:rPr>
          <w:rFonts w:ascii="Arial" w:hAnsi="Arial" w:cs="Arial"/>
          <w:i/>
          <w:iCs/>
          <w:color w:val="000000"/>
          <w:sz w:val="22"/>
          <w:szCs w:val="22"/>
        </w:rPr>
        <w:t>s Trauma and Justice Strategic Initiative</w:t>
      </w:r>
      <w:r w:rsidRPr="00C2360B">
        <w:rPr>
          <w:rFonts w:ascii="Arial" w:hAnsi="Arial" w:cs="Arial"/>
          <w:color w:val="000000"/>
          <w:sz w:val="22"/>
          <w:szCs w:val="22"/>
        </w:rPr>
        <w:t xml:space="preserve">. Available at: </w:t>
      </w:r>
      <w:r w:rsidRPr="00180EEF">
        <w:rPr>
          <w:rFonts w:ascii="Arial" w:hAnsi="Arial" w:cs="Arial"/>
          <w:sz w:val="22"/>
          <w:szCs w:val="22"/>
        </w:rPr>
        <w:t>https://www.nctsn.org/sites/default/files/resources/resource-guide/samhsa_trauma.pdf</w:t>
      </w:r>
      <w:r w:rsidRPr="00C2360B">
        <w:rPr>
          <w:rFonts w:ascii="Arial" w:hAnsi="Arial" w:cs="Arial"/>
          <w:color w:val="000000"/>
          <w:sz w:val="22"/>
          <w:szCs w:val="22"/>
        </w:rPr>
        <w:t xml:space="preserve"> (Accessed 29 October 2025).</w:t>
      </w:r>
    </w:p>
    <w:p w14:paraId="6C1219F6" w14:textId="7C3C6709" w:rsidR="00663FA0" w:rsidRPr="00C2360B" w:rsidRDefault="00663FA0" w:rsidP="00C2360B">
      <w:pPr>
        <w:pStyle w:val="NormalWeb"/>
        <w:spacing w:before="240" w:beforeAutospacing="0" w:after="0" w:afterAutospacing="0" w:line="360" w:lineRule="auto"/>
        <w:jc w:val="both"/>
        <w:rPr>
          <w:rFonts w:ascii="Arial" w:hAnsi="Arial" w:cs="Arial"/>
          <w:color w:val="000000"/>
          <w:sz w:val="22"/>
          <w:szCs w:val="22"/>
        </w:rPr>
      </w:pPr>
      <w:r w:rsidRPr="00C2360B">
        <w:rPr>
          <w:rFonts w:ascii="Arial" w:hAnsi="Arial" w:cs="Arial"/>
          <w:color w:val="000000"/>
          <w:sz w:val="22"/>
          <w:szCs w:val="22"/>
        </w:rPr>
        <w:t xml:space="preserve">Social Care Wales (2023) </w:t>
      </w:r>
      <w:r w:rsidRPr="00C2360B">
        <w:rPr>
          <w:rFonts w:ascii="Arial" w:hAnsi="Arial" w:cs="Arial"/>
          <w:i/>
          <w:iCs/>
          <w:color w:val="000000"/>
          <w:sz w:val="22"/>
          <w:szCs w:val="22"/>
        </w:rPr>
        <w:t>Trauma-informed approaches - Social Care Wales - Research, Data &amp; Innovation</w:t>
      </w:r>
      <w:r w:rsidRPr="00C2360B">
        <w:rPr>
          <w:rFonts w:ascii="Arial" w:hAnsi="Arial" w:cs="Arial"/>
          <w:color w:val="000000"/>
          <w:sz w:val="22"/>
          <w:szCs w:val="22"/>
        </w:rPr>
        <w:t xml:space="preserve">. Available at: </w:t>
      </w:r>
      <w:r w:rsidRPr="00180EEF">
        <w:rPr>
          <w:rFonts w:ascii="Arial" w:hAnsi="Arial" w:cs="Arial"/>
          <w:sz w:val="22"/>
          <w:szCs w:val="22"/>
        </w:rPr>
        <w:t>https://insightcollective.socialcare.wales/evidence-summaries/trauma-informed-approaches</w:t>
      </w:r>
      <w:r w:rsidRPr="00C2360B">
        <w:rPr>
          <w:rFonts w:ascii="Arial" w:hAnsi="Arial" w:cs="Arial"/>
          <w:color w:val="000000"/>
          <w:sz w:val="22"/>
          <w:szCs w:val="22"/>
        </w:rPr>
        <w:t xml:space="preserve"> (Accessed 03 November 2025).</w:t>
      </w:r>
    </w:p>
    <w:p w14:paraId="0D7AE157" w14:textId="0EBDD3CA" w:rsidR="00663FA0" w:rsidRPr="00C2360B" w:rsidRDefault="00663FA0" w:rsidP="00C2360B">
      <w:pPr>
        <w:pStyle w:val="NormalWeb"/>
        <w:spacing w:before="240" w:beforeAutospacing="0" w:after="0" w:afterAutospacing="0" w:line="360" w:lineRule="auto"/>
        <w:jc w:val="both"/>
        <w:rPr>
          <w:rFonts w:ascii="Arial" w:hAnsi="Arial" w:cs="Arial"/>
          <w:color w:val="000000"/>
          <w:sz w:val="22"/>
          <w:szCs w:val="22"/>
        </w:rPr>
      </w:pPr>
      <w:r w:rsidRPr="00C2360B">
        <w:rPr>
          <w:rFonts w:ascii="Arial" w:hAnsi="Arial" w:cs="Arial"/>
          <w:color w:val="000000"/>
          <w:sz w:val="22"/>
          <w:szCs w:val="22"/>
        </w:rPr>
        <w:t>Spiegel, J.A., Graziano, P.A., Arcia, E., Cox, S.K., Ayala, M., Carnero, N.A. and O</w:t>
      </w:r>
      <w:r w:rsidR="009C50B1">
        <w:rPr>
          <w:rFonts w:ascii="Arial" w:hAnsi="Arial" w:cs="Arial"/>
          <w:color w:val="000000"/>
          <w:sz w:val="22"/>
          <w:szCs w:val="22"/>
        </w:rPr>
        <w:t>'</w:t>
      </w:r>
      <w:r w:rsidRPr="00C2360B">
        <w:rPr>
          <w:rFonts w:ascii="Arial" w:hAnsi="Arial" w:cs="Arial"/>
          <w:color w:val="000000"/>
          <w:sz w:val="22"/>
          <w:szCs w:val="22"/>
        </w:rPr>
        <w:t xml:space="preserve">Mara, N.L. (2022) </w:t>
      </w:r>
      <w:r w:rsidR="009C50B1">
        <w:rPr>
          <w:rFonts w:ascii="Arial" w:hAnsi="Arial" w:cs="Arial"/>
          <w:color w:val="000000"/>
          <w:sz w:val="22"/>
          <w:szCs w:val="22"/>
        </w:rPr>
        <w:t>'</w:t>
      </w:r>
      <w:r w:rsidRPr="00C2360B">
        <w:rPr>
          <w:rFonts w:ascii="Arial" w:hAnsi="Arial" w:cs="Arial"/>
          <w:color w:val="000000"/>
          <w:sz w:val="22"/>
          <w:szCs w:val="22"/>
        </w:rPr>
        <w:t>Addressing Mental Health and Trauma-Related Needs of Sheltered Children and Families with Trauma-Focused Cognitive-Behavioral Therapy (TF-CBT)</w:t>
      </w:r>
      <w:r w:rsidR="009C50B1">
        <w:rPr>
          <w:rFonts w:ascii="Arial" w:hAnsi="Arial" w:cs="Arial"/>
          <w:color w:val="000000"/>
          <w:sz w:val="22"/>
          <w:szCs w:val="22"/>
        </w:rPr>
        <w:t>'</w:t>
      </w:r>
      <w:r w:rsidRPr="00C2360B">
        <w:rPr>
          <w:rFonts w:ascii="Arial" w:hAnsi="Arial" w:cs="Arial"/>
          <w:color w:val="000000"/>
          <w:sz w:val="22"/>
          <w:szCs w:val="22"/>
        </w:rPr>
        <w:t>, </w:t>
      </w:r>
      <w:r w:rsidRPr="00C2360B">
        <w:rPr>
          <w:rFonts w:ascii="Arial" w:hAnsi="Arial" w:cs="Arial"/>
          <w:i/>
          <w:iCs/>
          <w:color w:val="000000"/>
          <w:sz w:val="22"/>
          <w:szCs w:val="22"/>
        </w:rPr>
        <w:t>Administration and Policy in Mental Health and Mental Health Services Research</w:t>
      </w:r>
      <w:r w:rsidRPr="00C2360B">
        <w:rPr>
          <w:rFonts w:ascii="Arial" w:hAnsi="Arial" w:cs="Arial"/>
          <w:color w:val="000000"/>
          <w:sz w:val="22"/>
          <w:szCs w:val="22"/>
        </w:rPr>
        <w:t xml:space="preserve">, 49(5). Available at: </w:t>
      </w:r>
      <w:r w:rsidRPr="00180EEF">
        <w:rPr>
          <w:rFonts w:ascii="Arial" w:hAnsi="Arial" w:cs="Arial"/>
          <w:sz w:val="22"/>
          <w:szCs w:val="22"/>
        </w:rPr>
        <w:t>https://doi.org/10.1007/s10488-022-01207-0</w:t>
      </w:r>
      <w:r w:rsidRPr="00C2360B">
        <w:rPr>
          <w:rFonts w:ascii="Arial" w:hAnsi="Arial" w:cs="Arial"/>
          <w:color w:val="000000"/>
          <w:sz w:val="22"/>
          <w:szCs w:val="22"/>
        </w:rPr>
        <w:t xml:space="preserve"> .</w:t>
      </w:r>
    </w:p>
    <w:p w14:paraId="3E237A88" w14:textId="03064316" w:rsidR="00663FA0" w:rsidRPr="00C2360B" w:rsidRDefault="00663FA0" w:rsidP="00C2360B">
      <w:pPr>
        <w:pStyle w:val="NormalWeb"/>
        <w:spacing w:before="240" w:beforeAutospacing="0" w:after="0" w:afterAutospacing="0" w:line="360" w:lineRule="auto"/>
        <w:jc w:val="both"/>
        <w:rPr>
          <w:rFonts w:ascii="Arial" w:hAnsi="Arial" w:cs="Arial"/>
          <w:color w:val="000000"/>
          <w:sz w:val="22"/>
          <w:szCs w:val="22"/>
        </w:rPr>
      </w:pPr>
      <w:r w:rsidRPr="00C2360B">
        <w:rPr>
          <w:rFonts w:ascii="Arial" w:hAnsi="Arial" w:cs="Arial"/>
          <w:color w:val="000000"/>
          <w:sz w:val="22"/>
          <w:szCs w:val="22"/>
        </w:rPr>
        <w:t xml:space="preserve">Sweeney, A., Filson, B., Kennedy, A., Collinson, L. and Gillard, S. (2018) </w:t>
      </w:r>
      <w:r w:rsidR="009C50B1">
        <w:rPr>
          <w:rFonts w:ascii="Arial" w:hAnsi="Arial" w:cs="Arial"/>
          <w:color w:val="000000"/>
          <w:sz w:val="22"/>
          <w:szCs w:val="22"/>
        </w:rPr>
        <w:t>'</w:t>
      </w:r>
      <w:r w:rsidRPr="00C2360B">
        <w:rPr>
          <w:rFonts w:ascii="Arial" w:hAnsi="Arial" w:cs="Arial"/>
          <w:color w:val="000000"/>
          <w:sz w:val="22"/>
          <w:szCs w:val="22"/>
        </w:rPr>
        <w:t>A Paradigm shift: Relationships in trauma-informed Mental Health Services</w:t>
      </w:r>
      <w:r w:rsidR="009C50B1">
        <w:rPr>
          <w:rFonts w:ascii="Arial" w:hAnsi="Arial" w:cs="Arial"/>
          <w:color w:val="000000"/>
          <w:sz w:val="22"/>
          <w:szCs w:val="22"/>
        </w:rPr>
        <w:t>'</w:t>
      </w:r>
      <w:r w:rsidRPr="00C2360B">
        <w:rPr>
          <w:rFonts w:ascii="Arial" w:hAnsi="Arial" w:cs="Arial"/>
          <w:color w:val="000000"/>
          <w:sz w:val="22"/>
          <w:szCs w:val="22"/>
        </w:rPr>
        <w:t>, </w:t>
      </w:r>
      <w:r w:rsidRPr="00C2360B">
        <w:rPr>
          <w:rFonts w:ascii="Arial" w:hAnsi="Arial" w:cs="Arial"/>
          <w:i/>
          <w:iCs/>
          <w:color w:val="000000"/>
          <w:sz w:val="22"/>
          <w:szCs w:val="22"/>
        </w:rPr>
        <w:t>BJPsych Advances</w:t>
      </w:r>
      <w:r w:rsidRPr="00C2360B">
        <w:rPr>
          <w:rFonts w:ascii="Arial" w:hAnsi="Arial" w:cs="Arial"/>
          <w:color w:val="000000"/>
          <w:sz w:val="22"/>
          <w:szCs w:val="22"/>
        </w:rPr>
        <w:t xml:space="preserve">, 24(5), pp.319–333. Available at: </w:t>
      </w:r>
      <w:r w:rsidRPr="00180EEF">
        <w:rPr>
          <w:rFonts w:ascii="Arial" w:hAnsi="Arial" w:cs="Arial"/>
          <w:sz w:val="22"/>
          <w:szCs w:val="22"/>
        </w:rPr>
        <w:t>https://doi.org/10.1192/bja.2018.29</w:t>
      </w:r>
      <w:r w:rsidRPr="00C2360B">
        <w:rPr>
          <w:rFonts w:ascii="Arial" w:hAnsi="Arial" w:cs="Arial"/>
          <w:color w:val="000000"/>
          <w:sz w:val="22"/>
          <w:szCs w:val="22"/>
        </w:rPr>
        <w:t xml:space="preserve"> .</w:t>
      </w:r>
    </w:p>
    <w:p w14:paraId="72208886" w14:textId="4952CBFD" w:rsidR="00663FA0" w:rsidRPr="00C2360B" w:rsidRDefault="00663FA0" w:rsidP="00C2360B">
      <w:pPr>
        <w:pStyle w:val="NormalWeb"/>
        <w:spacing w:before="240" w:beforeAutospacing="0" w:after="0" w:afterAutospacing="0" w:line="360" w:lineRule="auto"/>
        <w:jc w:val="both"/>
        <w:rPr>
          <w:rFonts w:ascii="Arial" w:hAnsi="Arial" w:cs="Arial"/>
          <w:color w:val="000000"/>
          <w:sz w:val="22"/>
          <w:szCs w:val="22"/>
        </w:rPr>
      </w:pPr>
      <w:r w:rsidRPr="00C2360B">
        <w:rPr>
          <w:rFonts w:ascii="Arial" w:hAnsi="Arial" w:cs="Arial"/>
          <w:color w:val="000000"/>
          <w:sz w:val="22"/>
          <w:szCs w:val="22"/>
        </w:rPr>
        <w:t xml:space="preserve">UK Government (2024) </w:t>
      </w:r>
      <w:r w:rsidRPr="00C2360B">
        <w:rPr>
          <w:rFonts w:ascii="Arial" w:hAnsi="Arial" w:cs="Arial"/>
          <w:i/>
          <w:iCs/>
          <w:color w:val="000000"/>
          <w:sz w:val="22"/>
          <w:szCs w:val="22"/>
        </w:rPr>
        <w:t>Trauma-Informed Practice Member Guidance October 2024 (v1.0)</w:t>
      </w:r>
      <w:r w:rsidRPr="00C2360B">
        <w:rPr>
          <w:rFonts w:ascii="Arial" w:hAnsi="Arial" w:cs="Arial"/>
          <w:color w:val="000000"/>
          <w:sz w:val="22"/>
          <w:szCs w:val="22"/>
        </w:rPr>
        <w:t xml:space="preserve">. Available at: </w:t>
      </w:r>
      <w:r w:rsidRPr="00180EEF">
        <w:rPr>
          <w:rFonts w:ascii="Arial" w:hAnsi="Arial" w:cs="Arial"/>
          <w:sz w:val="22"/>
          <w:szCs w:val="22"/>
        </w:rPr>
        <w:t>https://assets.publishing.service.gov.uk/media/6731dfa90d90eee304badacf/Trauma_Informed_Practice_Guidance_October_2024_-_External_version.pdf</w:t>
      </w:r>
      <w:r w:rsidRPr="00C2360B">
        <w:rPr>
          <w:rFonts w:ascii="Arial" w:hAnsi="Arial" w:cs="Arial"/>
          <w:color w:val="000000"/>
          <w:sz w:val="22"/>
          <w:szCs w:val="22"/>
        </w:rPr>
        <w:t xml:space="preserve"> (Accessed 02 November 2025).</w:t>
      </w:r>
    </w:p>
    <w:p w14:paraId="7273EC31" w14:textId="58581FB4" w:rsidR="00B363EC" w:rsidRDefault="00B363EC" w:rsidP="00FA4517">
      <w:pPr>
        <w:spacing w:before="100" w:beforeAutospacing="1" w:after="100" w:afterAutospacing="1" w:line="240" w:lineRule="auto"/>
      </w:pPr>
    </w:p>
    <w:sectPr w:rsidR="00B363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FF69C5"/>
    <w:multiLevelType w:val="hybridMultilevel"/>
    <w:tmpl w:val="12EAE0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F5697D"/>
    <w:multiLevelType w:val="hybridMultilevel"/>
    <w:tmpl w:val="3C1425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69351301">
    <w:abstractNumId w:val="1"/>
  </w:num>
  <w:num w:numId="2" w16cid:durableId="12023997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DQ3MDAwtDC0NDYzszBV0lEKTi0uzszPAykwqgUAN9vRnCwAAAA="/>
  </w:docVars>
  <w:rsids>
    <w:rsidRoot w:val="005A2D9D"/>
    <w:rsid w:val="00004650"/>
    <w:rsid w:val="000136D2"/>
    <w:rsid w:val="0001764B"/>
    <w:rsid w:val="000250A5"/>
    <w:rsid w:val="0003149D"/>
    <w:rsid w:val="00044E09"/>
    <w:rsid w:val="00092A0D"/>
    <w:rsid w:val="000B07B2"/>
    <w:rsid w:val="000C5D0A"/>
    <w:rsid w:val="000C7B90"/>
    <w:rsid w:val="000E66A3"/>
    <w:rsid w:val="000F0249"/>
    <w:rsid w:val="00126E0F"/>
    <w:rsid w:val="00154264"/>
    <w:rsid w:val="00161050"/>
    <w:rsid w:val="00180EEF"/>
    <w:rsid w:val="0018429B"/>
    <w:rsid w:val="00185E97"/>
    <w:rsid w:val="001912C8"/>
    <w:rsid w:val="001977C9"/>
    <w:rsid w:val="001C6765"/>
    <w:rsid w:val="001C79AC"/>
    <w:rsid w:val="00200CCC"/>
    <w:rsid w:val="00231AA8"/>
    <w:rsid w:val="0025089E"/>
    <w:rsid w:val="00266243"/>
    <w:rsid w:val="00273F48"/>
    <w:rsid w:val="002A69AF"/>
    <w:rsid w:val="002C25BA"/>
    <w:rsid w:val="002C3FCF"/>
    <w:rsid w:val="002D2664"/>
    <w:rsid w:val="002D69FD"/>
    <w:rsid w:val="002E04D1"/>
    <w:rsid w:val="00304E65"/>
    <w:rsid w:val="0035490E"/>
    <w:rsid w:val="00354B82"/>
    <w:rsid w:val="00381484"/>
    <w:rsid w:val="003844F8"/>
    <w:rsid w:val="00394956"/>
    <w:rsid w:val="003A321F"/>
    <w:rsid w:val="003E2348"/>
    <w:rsid w:val="003E7A6B"/>
    <w:rsid w:val="003F1915"/>
    <w:rsid w:val="003F2D3B"/>
    <w:rsid w:val="00414AA9"/>
    <w:rsid w:val="00433821"/>
    <w:rsid w:val="00444849"/>
    <w:rsid w:val="0045122D"/>
    <w:rsid w:val="00466CA2"/>
    <w:rsid w:val="004720ED"/>
    <w:rsid w:val="00491559"/>
    <w:rsid w:val="0049507C"/>
    <w:rsid w:val="004A660E"/>
    <w:rsid w:val="004B0AA1"/>
    <w:rsid w:val="004B4059"/>
    <w:rsid w:val="004D059E"/>
    <w:rsid w:val="004D2AC2"/>
    <w:rsid w:val="004F2417"/>
    <w:rsid w:val="004F57BD"/>
    <w:rsid w:val="004F6A9A"/>
    <w:rsid w:val="00504D59"/>
    <w:rsid w:val="005146D7"/>
    <w:rsid w:val="00515AA1"/>
    <w:rsid w:val="00525C20"/>
    <w:rsid w:val="00525FB5"/>
    <w:rsid w:val="00541C69"/>
    <w:rsid w:val="005A2D9D"/>
    <w:rsid w:val="005C2AB9"/>
    <w:rsid w:val="005C33DB"/>
    <w:rsid w:val="005E0358"/>
    <w:rsid w:val="005E1134"/>
    <w:rsid w:val="00600DDE"/>
    <w:rsid w:val="00610A5B"/>
    <w:rsid w:val="0062277F"/>
    <w:rsid w:val="00650300"/>
    <w:rsid w:val="00661C01"/>
    <w:rsid w:val="00663FA0"/>
    <w:rsid w:val="00665514"/>
    <w:rsid w:val="00693517"/>
    <w:rsid w:val="00697680"/>
    <w:rsid w:val="006D0C81"/>
    <w:rsid w:val="006D1F54"/>
    <w:rsid w:val="006D2167"/>
    <w:rsid w:val="006D29C1"/>
    <w:rsid w:val="006E015F"/>
    <w:rsid w:val="006E6D7D"/>
    <w:rsid w:val="006F1914"/>
    <w:rsid w:val="00711787"/>
    <w:rsid w:val="00743CC5"/>
    <w:rsid w:val="00765B1B"/>
    <w:rsid w:val="007661AC"/>
    <w:rsid w:val="0077449A"/>
    <w:rsid w:val="007C10AF"/>
    <w:rsid w:val="007C70E6"/>
    <w:rsid w:val="007C76C4"/>
    <w:rsid w:val="008130A6"/>
    <w:rsid w:val="00823EDC"/>
    <w:rsid w:val="00832297"/>
    <w:rsid w:val="00860609"/>
    <w:rsid w:val="00860D13"/>
    <w:rsid w:val="00887216"/>
    <w:rsid w:val="00896C34"/>
    <w:rsid w:val="008C2B98"/>
    <w:rsid w:val="008D0525"/>
    <w:rsid w:val="008D4F7E"/>
    <w:rsid w:val="008E34EA"/>
    <w:rsid w:val="008F39C1"/>
    <w:rsid w:val="00902CCE"/>
    <w:rsid w:val="00920402"/>
    <w:rsid w:val="0098215B"/>
    <w:rsid w:val="009853D8"/>
    <w:rsid w:val="00996C13"/>
    <w:rsid w:val="009A409A"/>
    <w:rsid w:val="009A5077"/>
    <w:rsid w:val="009C184A"/>
    <w:rsid w:val="009C1A71"/>
    <w:rsid w:val="009C50B1"/>
    <w:rsid w:val="009E071A"/>
    <w:rsid w:val="009E526F"/>
    <w:rsid w:val="00A01315"/>
    <w:rsid w:val="00A147D8"/>
    <w:rsid w:val="00A27E8D"/>
    <w:rsid w:val="00A770D0"/>
    <w:rsid w:val="00AC51E1"/>
    <w:rsid w:val="00AC59CD"/>
    <w:rsid w:val="00AF12D4"/>
    <w:rsid w:val="00B055A6"/>
    <w:rsid w:val="00B066B6"/>
    <w:rsid w:val="00B118B7"/>
    <w:rsid w:val="00B12950"/>
    <w:rsid w:val="00B32EE3"/>
    <w:rsid w:val="00B3354B"/>
    <w:rsid w:val="00B363EC"/>
    <w:rsid w:val="00B6187C"/>
    <w:rsid w:val="00B71A19"/>
    <w:rsid w:val="00B82987"/>
    <w:rsid w:val="00BA1380"/>
    <w:rsid w:val="00BA433C"/>
    <w:rsid w:val="00BD532A"/>
    <w:rsid w:val="00BE7533"/>
    <w:rsid w:val="00C00189"/>
    <w:rsid w:val="00C00596"/>
    <w:rsid w:val="00C2360B"/>
    <w:rsid w:val="00C418A9"/>
    <w:rsid w:val="00C439A5"/>
    <w:rsid w:val="00C62C85"/>
    <w:rsid w:val="00C66E7D"/>
    <w:rsid w:val="00C91DCB"/>
    <w:rsid w:val="00CC23E3"/>
    <w:rsid w:val="00CC49E4"/>
    <w:rsid w:val="00CD0317"/>
    <w:rsid w:val="00CF11D3"/>
    <w:rsid w:val="00D12922"/>
    <w:rsid w:val="00D35E72"/>
    <w:rsid w:val="00D52575"/>
    <w:rsid w:val="00D53254"/>
    <w:rsid w:val="00D605D7"/>
    <w:rsid w:val="00D66104"/>
    <w:rsid w:val="00D67289"/>
    <w:rsid w:val="00D70B14"/>
    <w:rsid w:val="00D73F12"/>
    <w:rsid w:val="00D77FD1"/>
    <w:rsid w:val="00DA3B6E"/>
    <w:rsid w:val="00DB2E64"/>
    <w:rsid w:val="00DD2CEB"/>
    <w:rsid w:val="00DF2BF4"/>
    <w:rsid w:val="00DF5D96"/>
    <w:rsid w:val="00DF76AD"/>
    <w:rsid w:val="00E23D42"/>
    <w:rsid w:val="00E3019D"/>
    <w:rsid w:val="00E36CF4"/>
    <w:rsid w:val="00E56FCD"/>
    <w:rsid w:val="00E74928"/>
    <w:rsid w:val="00E856B5"/>
    <w:rsid w:val="00EA2657"/>
    <w:rsid w:val="00EA62E2"/>
    <w:rsid w:val="00ED6064"/>
    <w:rsid w:val="00EF39DE"/>
    <w:rsid w:val="00F07F51"/>
    <w:rsid w:val="00F279F9"/>
    <w:rsid w:val="00F527BA"/>
    <w:rsid w:val="00F86836"/>
    <w:rsid w:val="00F9055A"/>
    <w:rsid w:val="00FA4517"/>
    <w:rsid w:val="00FC7C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C8049C"/>
  <w15:chartTrackingRefBased/>
  <w15:docId w15:val="{CC2185CA-A497-4CCE-B110-A33DDD8599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2D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A2D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2D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2D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2D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2D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2D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2D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2D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2D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A2D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2D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2D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2D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2D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2D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2D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2D9D"/>
    <w:rPr>
      <w:rFonts w:eastAsiaTheme="majorEastAsia" w:cstheme="majorBidi"/>
      <w:color w:val="272727" w:themeColor="text1" w:themeTint="D8"/>
    </w:rPr>
  </w:style>
  <w:style w:type="paragraph" w:styleId="Title">
    <w:name w:val="Title"/>
    <w:basedOn w:val="Normal"/>
    <w:next w:val="Normal"/>
    <w:link w:val="TitleChar"/>
    <w:uiPriority w:val="10"/>
    <w:qFormat/>
    <w:rsid w:val="005A2D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2D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2D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2D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2D9D"/>
    <w:pPr>
      <w:spacing w:before="160"/>
      <w:jc w:val="center"/>
    </w:pPr>
    <w:rPr>
      <w:i/>
      <w:iCs/>
      <w:color w:val="404040" w:themeColor="text1" w:themeTint="BF"/>
    </w:rPr>
  </w:style>
  <w:style w:type="character" w:customStyle="1" w:styleId="QuoteChar">
    <w:name w:val="Quote Char"/>
    <w:basedOn w:val="DefaultParagraphFont"/>
    <w:link w:val="Quote"/>
    <w:uiPriority w:val="29"/>
    <w:rsid w:val="005A2D9D"/>
    <w:rPr>
      <w:i/>
      <w:iCs/>
      <w:color w:val="404040" w:themeColor="text1" w:themeTint="BF"/>
    </w:rPr>
  </w:style>
  <w:style w:type="paragraph" w:styleId="ListParagraph">
    <w:name w:val="List Paragraph"/>
    <w:basedOn w:val="Normal"/>
    <w:uiPriority w:val="34"/>
    <w:qFormat/>
    <w:rsid w:val="005A2D9D"/>
    <w:pPr>
      <w:ind w:left="720"/>
      <w:contextualSpacing/>
    </w:pPr>
  </w:style>
  <w:style w:type="character" w:styleId="IntenseEmphasis">
    <w:name w:val="Intense Emphasis"/>
    <w:basedOn w:val="DefaultParagraphFont"/>
    <w:uiPriority w:val="21"/>
    <w:qFormat/>
    <w:rsid w:val="005A2D9D"/>
    <w:rPr>
      <w:i/>
      <w:iCs/>
      <w:color w:val="0F4761" w:themeColor="accent1" w:themeShade="BF"/>
    </w:rPr>
  </w:style>
  <w:style w:type="paragraph" w:styleId="IntenseQuote">
    <w:name w:val="Intense Quote"/>
    <w:basedOn w:val="Normal"/>
    <w:next w:val="Normal"/>
    <w:link w:val="IntenseQuoteChar"/>
    <w:uiPriority w:val="30"/>
    <w:qFormat/>
    <w:rsid w:val="005A2D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2D9D"/>
    <w:rPr>
      <w:i/>
      <w:iCs/>
      <w:color w:val="0F4761" w:themeColor="accent1" w:themeShade="BF"/>
    </w:rPr>
  </w:style>
  <w:style w:type="character" w:styleId="IntenseReference">
    <w:name w:val="Intense Reference"/>
    <w:basedOn w:val="DefaultParagraphFont"/>
    <w:uiPriority w:val="32"/>
    <w:qFormat/>
    <w:rsid w:val="005A2D9D"/>
    <w:rPr>
      <w:b/>
      <w:bCs/>
      <w:smallCaps/>
      <w:color w:val="0F4761" w:themeColor="accent1" w:themeShade="BF"/>
      <w:spacing w:val="5"/>
    </w:rPr>
  </w:style>
  <w:style w:type="paragraph" w:styleId="NormalWeb">
    <w:name w:val="Normal (Web)"/>
    <w:basedOn w:val="Normal"/>
    <w:uiPriority w:val="99"/>
    <w:unhideWhenUsed/>
    <w:rsid w:val="005A2D9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5A2D9D"/>
    <w:rPr>
      <w:b/>
      <w:bCs/>
    </w:rPr>
  </w:style>
  <w:style w:type="character" w:customStyle="1" w:styleId="ms-1">
    <w:name w:val="ms-1"/>
    <w:basedOn w:val="DefaultParagraphFont"/>
    <w:rsid w:val="005A2D9D"/>
  </w:style>
  <w:style w:type="character" w:customStyle="1" w:styleId="max-w-15ch">
    <w:name w:val="max-w-[15ch]"/>
    <w:basedOn w:val="DefaultParagraphFont"/>
    <w:rsid w:val="005A2D9D"/>
  </w:style>
  <w:style w:type="character" w:customStyle="1" w:styleId="-me-1">
    <w:name w:val="-me-1"/>
    <w:basedOn w:val="DefaultParagraphFont"/>
    <w:rsid w:val="005A2D9D"/>
  </w:style>
  <w:style w:type="character" w:styleId="Hyperlink">
    <w:name w:val="Hyperlink"/>
    <w:basedOn w:val="DefaultParagraphFont"/>
    <w:uiPriority w:val="99"/>
    <w:unhideWhenUsed/>
    <w:rsid w:val="00FA4517"/>
    <w:rPr>
      <w:color w:val="467886" w:themeColor="hyperlink"/>
      <w:u w:val="single"/>
    </w:rPr>
  </w:style>
  <w:style w:type="character" w:styleId="UnresolvedMention">
    <w:name w:val="Unresolved Mention"/>
    <w:basedOn w:val="DefaultParagraphFont"/>
    <w:uiPriority w:val="99"/>
    <w:semiHidden/>
    <w:unhideWhenUsed/>
    <w:rsid w:val="00FA4517"/>
    <w:rPr>
      <w:color w:val="605E5C"/>
      <w:shd w:val="clear" w:color="auto" w:fill="E1DFDD"/>
    </w:rPr>
  </w:style>
  <w:style w:type="character" w:styleId="FollowedHyperlink">
    <w:name w:val="FollowedHyperlink"/>
    <w:basedOn w:val="DefaultParagraphFont"/>
    <w:uiPriority w:val="99"/>
    <w:semiHidden/>
    <w:unhideWhenUsed/>
    <w:rsid w:val="00161050"/>
    <w:rPr>
      <w:color w:val="96607D" w:themeColor="followedHyperlink"/>
      <w:u w:val="single"/>
    </w:rPr>
  </w:style>
  <w:style w:type="character" w:styleId="Emphasis">
    <w:name w:val="Emphasis"/>
    <w:basedOn w:val="DefaultParagraphFont"/>
    <w:uiPriority w:val="20"/>
    <w:qFormat/>
    <w:rsid w:val="003F191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424</TotalTime>
  <Pages>7</Pages>
  <Words>2199</Words>
  <Characters>15290</Characters>
  <Application>Microsoft Office Word</Application>
  <DocSecurity>0</DocSecurity>
  <Lines>127</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Tanase</dc:creator>
  <cp:keywords/>
  <dc:description/>
  <cp:lastModifiedBy>Ana Tanase</cp:lastModifiedBy>
  <cp:revision>171</cp:revision>
  <dcterms:created xsi:type="dcterms:W3CDTF">2025-10-29T17:21:00Z</dcterms:created>
  <dcterms:modified xsi:type="dcterms:W3CDTF">2025-12-10T08:31:00Z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ca6177cc-5685-4cb7-87e1-c5b1c48597b5</vt:lpwstr>
  </property>
</Properties>
</file>