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E44D1E" w14:textId="77777777" w:rsidR="00946C34" w:rsidRDefault="00946C34">
      <w:pPr>
        <w:spacing w:line="360" w:lineRule="auto"/>
        <w:jc w:val="center"/>
        <w:rPr>
          <w:rFonts w:ascii="Calibri" w:hAnsi="Calibri" w:cs="Calibri"/>
          <w:b/>
          <w:bCs/>
        </w:rPr>
      </w:pPr>
    </w:p>
    <w:p w14:paraId="102A60C7" w14:textId="34C0EA07" w:rsidR="00946C34" w:rsidRPr="00946C34" w:rsidRDefault="00946C34" w:rsidP="00946C34">
      <w:pPr>
        <w:spacing w:line="360" w:lineRule="auto"/>
        <w:jc w:val="both"/>
        <w:rPr>
          <w:rFonts w:ascii="Arial" w:hAnsi="Arial"/>
          <w:b/>
          <w:bCs/>
          <w:sz w:val="22"/>
          <w:szCs w:val="22"/>
          <w:lang w:val="en-US"/>
        </w:rPr>
      </w:pPr>
      <w:r w:rsidRPr="00946C34">
        <w:rPr>
          <w:rFonts w:ascii="Arial" w:hAnsi="Arial"/>
          <w:b/>
          <w:noProof/>
          <w:sz w:val="22"/>
          <w:szCs w:val="22"/>
          <w:lang w:val="en-US"/>
        </w:rPr>
        <w:drawing>
          <wp:inline distT="0" distB="0" distL="0" distR="0" wp14:anchorId="43A44651" wp14:editId="3247DF86">
            <wp:extent cx="1841500" cy="749300"/>
            <wp:effectExtent l="0" t="0" r="6350" b="0"/>
            <wp:docPr id="1195540636"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841500" cy="749300"/>
                    </a:xfrm>
                    <a:prstGeom prst="rect">
                      <a:avLst/>
                    </a:prstGeom>
                    <a:noFill/>
                    <a:ln>
                      <a:noFill/>
                    </a:ln>
                  </pic:spPr>
                </pic:pic>
              </a:graphicData>
            </a:graphic>
          </wp:inline>
        </w:drawing>
      </w:r>
    </w:p>
    <w:p w14:paraId="44CF737B" w14:textId="77777777" w:rsidR="00946C34" w:rsidRPr="00946C34" w:rsidRDefault="00946C34" w:rsidP="00946C34">
      <w:pPr>
        <w:spacing w:line="360" w:lineRule="auto"/>
        <w:jc w:val="both"/>
        <w:rPr>
          <w:rFonts w:ascii="Arial" w:hAnsi="Arial"/>
          <w:b/>
          <w:bCs/>
          <w:sz w:val="22"/>
          <w:szCs w:val="22"/>
          <w:lang w:val="en-US"/>
        </w:rPr>
      </w:pPr>
    </w:p>
    <w:p w14:paraId="658E1092" w14:textId="77777777" w:rsidR="00946C34" w:rsidRPr="00946C34" w:rsidRDefault="00946C34" w:rsidP="00946C34">
      <w:pPr>
        <w:spacing w:line="360" w:lineRule="auto"/>
        <w:jc w:val="both"/>
        <w:rPr>
          <w:rFonts w:ascii="Arial" w:hAnsi="Arial"/>
          <w:b/>
          <w:bCs/>
          <w:sz w:val="22"/>
          <w:szCs w:val="22"/>
          <w:lang w:val="en-US"/>
        </w:rPr>
      </w:pPr>
      <w:r w:rsidRPr="00946C34">
        <w:rPr>
          <w:rFonts w:ascii="Arial" w:hAnsi="Arial"/>
          <w:b/>
          <w:bCs/>
          <w:sz w:val="22"/>
          <w:szCs w:val="22"/>
          <w:lang w:val="en-US"/>
        </w:rPr>
        <w:t xml:space="preserve">NAME: </w:t>
      </w:r>
      <w:r w:rsidRPr="00946C34">
        <w:rPr>
          <w:rFonts w:ascii="Arial" w:hAnsi="Arial"/>
          <w:sz w:val="22"/>
          <w:szCs w:val="22"/>
          <w:lang w:val="en-US"/>
        </w:rPr>
        <w:t>Mrs Patricia Kelly-Lambo</w:t>
      </w:r>
    </w:p>
    <w:p w14:paraId="161E978B" w14:textId="77777777" w:rsidR="00946C34" w:rsidRPr="00946C34" w:rsidRDefault="00946C34" w:rsidP="00946C34">
      <w:pPr>
        <w:spacing w:line="360" w:lineRule="auto"/>
        <w:jc w:val="both"/>
        <w:rPr>
          <w:rFonts w:ascii="Arial" w:hAnsi="Arial"/>
          <w:b/>
          <w:bCs/>
          <w:sz w:val="22"/>
          <w:szCs w:val="22"/>
          <w:lang w:val="en-US"/>
        </w:rPr>
      </w:pPr>
      <w:r w:rsidRPr="00946C34">
        <w:rPr>
          <w:rFonts w:ascii="Arial" w:hAnsi="Arial"/>
          <w:b/>
          <w:bCs/>
          <w:sz w:val="22"/>
          <w:szCs w:val="22"/>
          <w:lang w:val="en-US"/>
        </w:rPr>
        <w:t>STUDENT NUMBER:</w:t>
      </w:r>
      <w:r w:rsidRPr="00946C34">
        <w:rPr>
          <w:rFonts w:ascii="Segoe UI Variable Text" w:hAnsi="Segoe UI Variable Text" w:cs="Times New Roman"/>
          <w:color w:val="323130"/>
          <w:sz w:val="22"/>
          <w:szCs w:val="22"/>
          <w:shd w:val="clear" w:color="auto" w:fill="FFFFFF"/>
          <w:lang w:val="en-US"/>
        </w:rPr>
        <w:t xml:space="preserve"> </w:t>
      </w:r>
      <w:r w:rsidRPr="00946C34">
        <w:rPr>
          <w:rFonts w:ascii="Arial" w:hAnsi="Arial"/>
          <w:sz w:val="22"/>
          <w:szCs w:val="22"/>
          <w:lang w:val="en-US"/>
        </w:rPr>
        <w:t>2215117</w:t>
      </w:r>
    </w:p>
    <w:p w14:paraId="2EA8758E" w14:textId="725C62AC" w:rsidR="00946C34" w:rsidRPr="00946C34" w:rsidRDefault="00946C34" w:rsidP="00946C34">
      <w:pPr>
        <w:spacing w:line="360" w:lineRule="auto"/>
        <w:jc w:val="both"/>
        <w:rPr>
          <w:rFonts w:ascii="Arial" w:hAnsi="Arial"/>
          <w:sz w:val="22"/>
          <w:szCs w:val="22"/>
        </w:rPr>
      </w:pPr>
      <w:r w:rsidRPr="00946C34">
        <w:rPr>
          <w:rFonts w:ascii="Arial" w:hAnsi="Arial"/>
          <w:b/>
          <w:bCs/>
          <w:sz w:val="22"/>
          <w:szCs w:val="22"/>
          <w:lang w:val="en-US"/>
        </w:rPr>
        <w:t>MODULE CODE AND TITLE</w:t>
      </w:r>
      <w:r w:rsidRPr="00946C34">
        <w:rPr>
          <w:rFonts w:ascii="Arial" w:hAnsi="Arial"/>
          <w:sz w:val="22"/>
          <w:szCs w:val="22"/>
          <w:lang w:val="en-US"/>
        </w:rPr>
        <w:t>:</w:t>
      </w:r>
      <w:r w:rsidRPr="00946C34">
        <w:rPr>
          <w:rFonts w:ascii="Arial" w:hAnsi="Arial"/>
          <w:sz w:val="22"/>
          <w:szCs w:val="22"/>
        </w:rPr>
        <w:t> LCHS7000</w:t>
      </w:r>
      <w:r w:rsidRPr="00946C34">
        <w:rPr>
          <w:rFonts w:ascii="Arial" w:hAnsi="Arial"/>
          <w:sz w:val="22"/>
          <w:szCs w:val="22"/>
          <w:lang w:val="en-US"/>
        </w:rPr>
        <w:t>,</w:t>
      </w:r>
      <w:r w:rsidRPr="00946C34">
        <w:rPr>
          <w:rFonts w:ascii="Arial" w:eastAsia="Times New Roman" w:hAnsi="Arial"/>
          <w:color w:val="1D2125"/>
          <w:kern w:val="0"/>
          <w:sz w:val="22"/>
          <w:szCs w:val="22"/>
          <w:lang w:eastAsia="en-GB"/>
        </w:rPr>
        <w:t xml:space="preserve"> </w:t>
      </w:r>
      <w:r w:rsidRPr="00946C34">
        <w:rPr>
          <w:rFonts w:ascii="Arial" w:hAnsi="Arial"/>
          <w:sz w:val="22"/>
          <w:szCs w:val="22"/>
        </w:rPr>
        <w:t>Social Epidemiology and Public Health Development</w:t>
      </w:r>
    </w:p>
    <w:p w14:paraId="0FB29C0F" w14:textId="52ADB766" w:rsidR="00946C34" w:rsidRPr="00946C34" w:rsidRDefault="00946C34" w:rsidP="00946C34">
      <w:pPr>
        <w:spacing w:line="360" w:lineRule="auto"/>
        <w:jc w:val="both"/>
        <w:rPr>
          <w:rFonts w:ascii="Arial" w:hAnsi="Arial"/>
          <w:b/>
          <w:bCs/>
          <w:sz w:val="22"/>
          <w:szCs w:val="22"/>
          <w:lang w:val="en-US"/>
        </w:rPr>
      </w:pPr>
      <w:r w:rsidRPr="00946C34">
        <w:rPr>
          <w:rFonts w:ascii="Arial" w:hAnsi="Arial"/>
          <w:b/>
          <w:bCs/>
          <w:sz w:val="22"/>
          <w:szCs w:val="22"/>
          <w:lang w:val="en-US"/>
        </w:rPr>
        <w:t xml:space="preserve">LECTURER'S NAME: </w:t>
      </w:r>
      <w:r w:rsidRPr="00946C34">
        <w:rPr>
          <w:rFonts w:ascii="Arial" w:hAnsi="Arial"/>
          <w:sz w:val="22"/>
          <w:szCs w:val="22"/>
          <w:lang w:val="en-US"/>
        </w:rPr>
        <w:t xml:space="preserve">Dr </w:t>
      </w:r>
      <w:r>
        <w:rPr>
          <w:rFonts w:ascii="Arial" w:hAnsi="Arial"/>
          <w:sz w:val="22"/>
          <w:szCs w:val="22"/>
          <w:lang w:val="en-US"/>
        </w:rPr>
        <w:t>Joll</w:t>
      </w:r>
      <w:r w:rsidR="00457AA5">
        <w:rPr>
          <w:rFonts w:ascii="Arial" w:hAnsi="Arial"/>
          <w:sz w:val="22"/>
          <w:szCs w:val="22"/>
          <w:lang w:val="en-US"/>
        </w:rPr>
        <w:t>y Nwankwo</w:t>
      </w:r>
    </w:p>
    <w:p w14:paraId="36F46BAA" w14:textId="03E1DA59" w:rsidR="00457AA5" w:rsidRDefault="00946C34" w:rsidP="00457AA5">
      <w:pPr>
        <w:spacing w:line="360" w:lineRule="auto"/>
        <w:rPr>
          <w:rFonts w:ascii="Calibri" w:hAnsi="Calibri" w:cs="Calibri"/>
          <w:b/>
          <w:bCs/>
        </w:rPr>
      </w:pPr>
      <w:r w:rsidRPr="00946C34">
        <w:rPr>
          <w:rFonts w:ascii="Arial" w:hAnsi="Arial"/>
          <w:b/>
          <w:bCs/>
          <w:sz w:val="22"/>
          <w:szCs w:val="22"/>
          <w:lang w:val="en-US"/>
        </w:rPr>
        <w:t>ASSIGNMENT TITLE</w:t>
      </w:r>
      <w:r w:rsidR="00457AA5" w:rsidRPr="00457AA5">
        <w:rPr>
          <w:rFonts w:ascii="Arial" w:hAnsi="Arial"/>
          <w:sz w:val="22"/>
          <w:szCs w:val="22"/>
          <w:lang w:val="en-US"/>
        </w:rPr>
        <w:t xml:space="preserve">: </w:t>
      </w:r>
      <w:r w:rsidR="00457AA5" w:rsidRPr="00457AA5">
        <w:rPr>
          <w:rFonts w:ascii="Arial" w:hAnsi="Arial"/>
          <w:sz w:val="22"/>
          <w:szCs w:val="22"/>
        </w:rPr>
        <w:t>Component 2 Analytical Report</w:t>
      </w:r>
      <w:r w:rsidR="00457AA5" w:rsidRPr="00457AA5">
        <w:rPr>
          <w:rFonts w:ascii="Arial" w:hAnsi="Arial"/>
          <w:sz w:val="22"/>
          <w:szCs w:val="22"/>
        </w:rPr>
        <w:t xml:space="preserve"> </w:t>
      </w:r>
      <w:r w:rsidR="00457AA5">
        <w:rPr>
          <w:rFonts w:ascii="Arial" w:hAnsi="Arial"/>
          <w:b/>
          <w:bCs/>
          <w:sz w:val="22"/>
          <w:szCs w:val="22"/>
        </w:rPr>
        <w:t>‘</w:t>
      </w:r>
      <w:r w:rsidR="00457AA5">
        <w:rPr>
          <w:rFonts w:ascii="Calibri" w:hAnsi="Calibri" w:cs="Calibri"/>
          <w:b/>
          <w:bCs/>
        </w:rPr>
        <w:t>Ethnicity and Health Inequality Among Black African Populations in the UK</w:t>
      </w:r>
      <w:r w:rsidR="00457AA5">
        <w:rPr>
          <w:rFonts w:ascii="Calibri" w:hAnsi="Calibri" w:cs="Calibri"/>
          <w:b/>
          <w:bCs/>
        </w:rPr>
        <w:t>’</w:t>
      </w:r>
    </w:p>
    <w:p w14:paraId="5219AC43" w14:textId="59D32FE6" w:rsidR="00946C34" w:rsidRPr="00946C34" w:rsidRDefault="00946C34" w:rsidP="00946C34">
      <w:pPr>
        <w:spacing w:line="360" w:lineRule="auto"/>
        <w:jc w:val="both"/>
        <w:rPr>
          <w:rFonts w:ascii="Arial" w:hAnsi="Arial"/>
          <w:sz w:val="22"/>
          <w:szCs w:val="22"/>
          <w:lang w:val="en-US"/>
        </w:rPr>
      </w:pPr>
    </w:p>
    <w:p w14:paraId="2B8DCF94" w14:textId="77777777" w:rsidR="00946C34" w:rsidRDefault="00946C34">
      <w:pPr>
        <w:spacing w:line="360" w:lineRule="auto"/>
        <w:jc w:val="center"/>
        <w:rPr>
          <w:rFonts w:ascii="Calibri" w:hAnsi="Calibri" w:cs="Calibri"/>
          <w:b/>
          <w:bCs/>
        </w:rPr>
      </w:pPr>
    </w:p>
    <w:p w14:paraId="7ECD2115" w14:textId="77777777" w:rsidR="00946C34" w:rsidRDefault="00946C34">
      <w:pPr>
        <w:spacing w:line="360" w:lineRule="auto"/>
        <w:jc w:val="center"/>
        <w:rPr>
          <w:rFonts w:ascii="Calibri" w:hAnsi="Calibri" w:cs="Calibri"/>
          <w:b/>
          <w:bCs/>
        </w:rPr>
      </w:pPr>
    </w:p>
    <w:p w14:paraId="727BB393" w14:textId="77777777" w:rsidR="00946C34" w:rsidRDefault="00946C34">
      <w:pPr>
        <w:spacing w:line="360" w:lineRule="auto"/>
        <w:jc w:val="center"/>
        <w:rPr>
          <w:rFonts w:ascii="Calibri" w:hAnsi="Calibri" w:cs="Calibri"/>
          <w:b/>
          <w:bCs/>
        </w:rPr>
      </w:pPr>
    </w:p>
    <w:p w14:paraId="6C0BCF31" w14:textId="77777777" w:rsidR="00946C34" w:rsidRDefault="00946C34">
      <w:pPr>
        <w:spacing w:line="360" w:lineRule="auto"/>
        <w:jc w:val="center"/>
        <w:rPr>
          <w:rFonts w:ascii="Calibri" w:hAnsi="Calibri" w:cs="Calibri"/>
          <w:b/>
          <w:bCs/>
        </w:rPr>
      </w:pPr>
    </w:p>
    <w:p w14:paraId="7001CC14" w14:textId="77777777" w:rsidR="00946C34" w:rsidRDefault="00946C34">
      <w:pPr>
        <w:spacing w:line="360" w:lineRule="auto"/>
        <w:jc w:val="center"/>
        <w:rPr>
          <w:rFonts w:ascii="Calibri" w:hAnsi="Calibri" w:cs="Calibri"/>
          <w:b/>
          <w:bCs/>
        </w:rPr>
      </w:pPr>
    </w:p>
    <w:p w14:paraId="44B46B9F" w14:textId="77777777" w:rsidR="00946C34" w:rsidRDefault="00946C34">
      <w:pPr>
        <w:spacing w:line="360" w:lineRule="auto"/>
        <w:jc w:val="center"/>
        <w:rPr>
          <w:rFonts w:ascii="Calibri" w:hAnsi="Calibri" w:cs="Calibri"/>
          <w:b/>
          <w:bCs/>
        </w:rPr>
      </w:pPr>
    </w:p>
    <w:p w14:paraId="6044FEB7" w14:textId="77777777" w:rsidR="00946C34" w:rsidRDefault="00946C34">
      <w:pPr>
        <w:spacing w:line="360" w:lineRule="auto"/>
        <w:jc w:val="center"/>
        <w:rPr>
          <w:rFonts w:ascii="Calibri" w:hAnsi="Calibri" w:cs="Calibri"/>
          <w:b/>
          <w:bCs/>
        </w:rPr>
      </w:pPr>
    </w:p>
    <w:p w14:paraId="7BB8CCFB" w14:textId="77777777" w:rsidR="00946C34" w:rsidRDefault="00946C34">
      <w:pPr>
        <w:spacing w:line="360" w:lineRule="auto"/>
        <w:jc w:val="center"/>
        <w:rPr>
          <w:rFonts w:ascii="Calibri" w:hAnsi="Calibri" w:cs="Calibri"/>
          <w:b/>
          <w:bCs/>
        </w:rPr>
      </w:pPr>
    </w:p>
    <w:p w14:paraId="482769C7" w14:textId="77777777" w:rsidR="00946C34" w:rsidRDefault="00946C34">
      <w:pPr>
        <w:spacing w:line="360" w:lineRule="auto"/>
        <w:jc w:val="center"/>
        <w:rPr>
          <w:rFonts w:ascii="Calibri" w:hAnsi="Calibri" w:cs="Calibri"/>
          <w:b/>
          <w:bCs/>
        </w:rPr>
      </w:pPr>
    </w:p>
    <w:p w14:paraId="630CF3FE" w14:textId="77777777" w:rsidR="00946C34" w:rsidRDefault="00946C34">
      <w:pPr>
        <w:spacing w:line="360" w:lineRule="auto"/>
        <w:jc w:val="center"/>
        <w:rPr>
          <w:rFonts w:ascii="Calibri" w:hAnsi="Calibri" w:cs="Calibri"/>
          <w:b/>
          <w:bCs/>
        </w:rPr>
      </w:pPr>
    </w:p>
    <w:p w14:paraId="2D28B3D9" w14:textId="77777777" w:rsidR="00946C34" w:rsidRDefault="00946C34">
      <w:pPr>
        <w:spacing w:line="360" w:lineRule="auto"/>
        <w:jc w:val="center"/>
        <w:rPr>
          <w:rFonts w:ascii="Calibri" w:hAnsi="Calibri" w:cs="Calibri"/>
          <w:b/>
          <w:bCs/>
        </w:rPr>
      </w:pPr>
    </w:p>
    <w:sdt>
      <w:sdtPr>
        <w:id w:val="152650449"/>
        <w:docPartObj>
          <w:docPartGallery w:val="Table of Contents"/>
          <w:docPartUnique/>
        </w:docPartObj>
      </w:sdtPr>
      <w:sdtEndPr>
        <w:rPr>
          <w:rFonts w:ascii="Aptos" w:eastAsia="Aptos" w:hAnsi="Aptos" w:cs="Arial"/>
          <w:b/>
          <w:bCs/>
          <w:color w:val="auto"/>
          <w:kern w:val="2"/>
          <w:sz w:val="24"/>
          <w:szCs w:val="24"/>
          <w:lang w:eastAsia="en-US"/>
        </w:rPr>
      </w:sdtEndPr>
      <w:sdtContent>
        <w:p w14:paraId="60A72FB5" w14:textId="35D341B5" w:rsidR="00457AA5" w:rsidRDefault="00457AA5" w:rsidP="00457AA5">
          <w:pPr>
            <w:pStyle w:val="TOCHeading"/>
            <w:jc w:val="center"/>
          </w:pPr>
          <w:r>
            <w:t>Table of Contents</w:t>
          </w:r>
        </w:p>
        <w:p w14:paraId="1C835466" w14:textId="3E90E974" w:rsidR="00A34F12" w:rsidRDefault="00457AA5">
          <w:pPr>
            <w:pStyle w:val="TOC1"/>
            <w:tabs>
              <w:tab w:val="right" w:leader="dot" w:pos="9350"/>
            </w:tabs>
            <w:rPr>
              <w:rFonts w:asciiTheme="minorHAnsi" w:eastAsiaTheme="minorEastAsia" w:hAnsiTheme="minorHAnsi" w:cstheme="minorBidi"/>
              <w:noProof/>
              <w:lang w:eastAsia="en-GB"/>
              <w14:ligatures w14:val="standardContextual"/>
            </w:rPr>
          </w:pPr>
          <w:r>
            <w:fldChar w:fldCharType="begin"/>
          </w:r>
          <w:r>
            <w:instrText xml:space="preserve"> TOC \o "1-3" \h \z \u </w:instrText>
          </w:r>
          <w:r>
            <w:fldChar w:fldCharType="separate"/>
          </w:r>
          <w:hyperlink w:anchor="_Toc218824986" w:history="1">
            <w:r w:rsidR="00A34F12" w:rsidRPr="00E775E1">
              <w:rPr>
                <w:rStyle w:val="Hyperlink"/>
                <w:rFonts w:ascii="Calibri" w:hAnsi="Calibri" w:cs="Calibri"/>
                <w:b/>
                <w:bCs/>
                <w:noProof/>
              </w:rPr>
              <w:t>Task 1: Social Epidemiological Analysis</w:t>
            </w:r>
            <w:r w:rsidR="00A34F12">
              <w:rPr>
                <w:noProof/>
                <w:webHidden/>
              </w:rPr>
              <w:tab/>
            </w:r>
            <w:r w:rsidR="00A34F12">
              <w:rPr>
                <w:noProof/>
                <w:webHidden/>
              </w:rPr>
              <w:fldChar w:fldCharType="begin"/>
            </w:r>
            <w:r w:rsidR="00A34F12">
              <w:rPr>
                <w:noProof/>
                <w:webHidden/>
              </w:rPr>
              <w:instrText xml:space="preserve"> PAGEREF _Toc218824986 \h </w:instrText>
            </w:r>
            <w:r w:rsidR="00A34F12">
              <w:rPr>
                <w:noProof/>
                <w:webHidden/>
              </w:rPr>
            </w:r>
            <w:r w:rsidR="00A34F12">
              <w:rPr>
                <w:noProof/>
                <w:webHidden/>
              </w:rPr>
              <w:fldChar w:fldCharType="separate"/>
            </w:r>
            <w:r w:rsidR="00A34F12">
              <w:rPr>
                <w:noProof/>
                <w:webHidden/>
              </w:rPr>
              <w:t>3</w:t>
            </w:r>
            <w:r w:rsidR="00A34F12">
              <w:rPr>
                <w:noProof/>
                <w:webHidden/>
              </w:rPr>
              <w:fldChar w:fldCharType="end"/>
            </w:r>
          </w:hyperlink>
        </w:p>
        <w:p w14:paraId="7549900A" w14:textId="61E1AFB4" w:rsidR="00A34F12" w:rsidRDefault="00A34F12">
          <w:pPr>
            <w:pStyle w:val="TOC1"/>
            <w:tabs>
              <w:tab w:val="right" w:leader="dot" w:pos="9350"/>
            </w:tabs>
            <w:rPr>
              <w:rFonts w:asciiTheme="minorHAnsi" w:eastAsiaTheme="minorEastAsia" w:hAnsiTheme="minorHAnsi" w:cstheme="minorBidi"/>
              <w:noProof/>
              <w:lang w:eastAsia="en-GB"/>
              <w14:ligatures w14:val="standardContextual"/>
            </w:rPr>
          </w:pPr>
          <w:hyperlink w:anchor="_Toc218824987" w:history="1">
            <w:r w:rsidRPr="00E775E1">
              <w:rPr>
                <w:rStyle w:val="Hyperlink"/>
                <w:rFonts w:ascii="Calibri" w:hAnsi="Calibri" w:cs="Calibri"/>
                <w:b/>
                <w:bCs/>
                <w:noProof/>
              </w:rPr>
              <w:t>1.0 Introduction</w:t>
            </w:r>
            <w:r>
              <w:rPr>
                <w:noProof/>
                <w:webHidden/>
              </w:rPr>
              <w:tab/>
            </w:r>
            <w:r>
              <w:rPr>
                <w:noProof/>
                <w:webHidden/>
              </w:rPr>
              <w:fldChar w:fldCharType="begin"/>
            </w:r>
            <w:r>
              <w:rPr>
                <w:noProof/>
                <w:webHidden/>
              </w:rPr>
              <w:instrText xml:space="preserve"> PAGEREF _Toc218824987 \h </w:instrText>
            </w:r>
            <w:r>
              <w:rPr>
                <w:noProof/>
                <w:webHidden/>
              </w:rPr>
            </w:r>
            <w:r>
              <w:rPr>
                <w:noProof/>
                <w:webHidden/>
              </w:rPr>
              <w:fldChar w:fldCharType="separate"/>
            </w:r>
            <w:r>
              <w:rPr>
                <w:noProof/>
                <w:webHidden/>
              </w:rPr>
              <w:t>3</w:t>
            </w:r>
            <w:r>
              <w:rPr>
                <w:noProof/>
                <w:webHidden/>
              </w:rPr>
              <w:fldChar w:fldCharType="end"/>
            </w:r>
          </w:hyperlink>
        </w:p>
        <w:p w14:paraId="2227B84F" w14:textId="6CD724FF" w:rsidR="00A34F12" w:rsidRDefault="00A34F12">
          <w:pPr>
            <w:pStyle w:val="TOC2"/>
            <w:tabs>
              <w:tab w:val="right" w:leader="dot" w:pos="9350"/>
            </w:tabs>
            <w:rPr>
              <w:rFonts w:asciiTheme="minorHAnsi" w:eastAsiaTheme="minorEastAsia" w:hAnsiTheme="minorHAnsi" w:cstheme="minorBidi"/>
              <w:noProof/>
              <w:lang w:eastAsia="en-GB"/>
              <w14:ligatures w14:val="standardContextual"/>
            </w:rPr>
          </w:pPr>
          <w:hyperlink w:anchor="_Toc218824988" w:history="1">
            <w:r w:rsidRPr="00E775E1">
              <w:rPr>
                <w:rStyle w:val="Hyperlink"/>
                <w:rFonts w:ascii="Calibri" w:hAnsi="Calibri" w:cs="Calibri"/>
                <w:b/>
                <w:bCs/>
                <w:noProof/>
              </w:rPr>
              <w:t>2.0 Contextual Background &amp; Underlying Factors</w:t>
            </w:r>
            <w:r>
              <w:rPr>
                <w:noProof/>
                <w:webHidden/>
              </w:rPr>
              <w:tab/>
            </w:r>
            <w:r>
              <w:rPr>
                <w:noProof/>
                <w:webHidden/>
              </w:rPr>
              <w:fldChar w:fldCharType="begin"/>
            </w:r>
            <w:r>
              <w:rPr>
                <w:noProof/>
                <w:webHidden/>
              </w:rPr>
              <w:instrText xml:space="preserve"> PAGEREF _Toc218824988 \h </w:instrText>
            </w:r>
            <w:r>
              <w:rPr>
                <w:noProof/>
                <w:webHidden/>
              </w:rPr>
            </w:r>
            <w:r>
              <w:rPr>
                <w:noProof/>
                <w:webHidden/>
              </w:rPr>
              <w:fldChar w:fldCharType="separate"/>
            </w:r>
            <w:r>
              <w:rPr>
                <w:noProof/>
                <w:webHidden/>
              </w:rPr>
              <w:t>3</w:t>
            </w:r>
            <w:r>
              <w:rPr>
                <w:noProof/>
                <w:webHidden/>
              </w:rPr>
              <w:fldChar w:fldCharType="end"/>
            </w:r>
          </w:hyperlink>
        </w:p>
        <w:p w14:paraId="68D67F18" w14:textId="3D002F37" w:rsidR="00A34F12" w:rsidRDefault="00A34F12">
          <w:pPr>
            <w:pStyle w:val="TOC2"/>
            <w:tabs>
              <w:tab w:val="right" w:leader="dot" w:pos="9350"/>
            </w:tabs>
            <w:rPr>
              <w:rFonts w:asciiTheme="minorHAnsi" w:eastAsiaTheme="minorEastAsia" w:hAnsiTheme="minorHAnsi" w:cstheme="minorBidi"/>
              <w:noProof/>
              <w:lang w:eastAsia="en-GB"/>
              <w14:ligatures w14:val="standardContextual"/>
            </w:rPr>
          </w:pPr>
          <w:hyperlink w:anchor="_Toc218824989" w:history="1">
            <w:r w:rsidRPr="00E775E1">
              <w:rPr>
                <w:rStyle w:val="Hyperlink"/>
                <w:rFonts w:ascii="Calibri" w:hAnsi="Calibri" w:cs="Calibri"/>
                <w:b/>
                <w:bCs/>
                <w:noProof/>
              </w:rPr>
              <w:t>2.1 Disease/Illness Inequalities</w:t>
            </w:r>
            <w:r>
              <w:rPr>
                <w:noProof/>
                <w:webHidden/>
              </w:rPr>
              <w:tab/>
            </w:r>
            <w:r>
              <w:rPr>
                <w:noProof/>
                <w:webHidden/>
              </w:rPr>
              <w:fldChar w:fldCharType="begin"/>
            </w:r>
            <w:r>
              <w:rPr>
                <w:noProof/>
                <w:webHidden/>
              </w:rPr>
              <w:instrText xml:space="preserve"> PAGEREF _Toc218824989 \h </w:instrText>
            </w:r>
            <w:r>
              <w:rPr>
                <w:noProof/>
                <w:webHidden/>
              </w:rPr>
            </w:r>
            <w:r>
              <w:rPr>
                <w:noProof/>
                <w:webHidden/>
              </w:rPr>
              <w:fldChar w:fldCharType="separate"/>
            </w:r>
            <w:r>
              <w:rPr>
                <w:noProof/>
                <w:webHidden/>
              </w:rPr>
              <w:t>3</w:t>
            </w:r>
            <w:r>
              <w:rPr>
                <w:noProof/>
                <w:webHidden/>
              </w:rPr>
              <w:fldChar w:fldCharType="end"/>
            </w:r>
          </w:hyperlink>
        </w:p>
        <w:p w14:paraId="07D6B81A" w14:textId="2BE0EE6B" w:rsidR="00A34F12" w:rsidRDefault="00A34F12">
          <w:pPr>
            <w:pStyle w:val="TOC3"/>
            <w:tabs>
              <w:tab w:val="right" w:leader="dot" w:pos="9350"/>
            </w:tabs>
            <w:rPr>
              <w:rFonts w:asciiTheme="minorHAnsi" w:eastAsiaTheme="minorEastAsia" w:hAnsiTheme="minorHAnsi" w:cstheme="minorBidi"/>
              <w:noProof/>
              <w:lang w:eastAsia="en-GB"/>
              <w14:ligatures w14:val="standardContextual"/>
            </w:rPr>
          </w:pPr>
          <w:hyperlink w:anchor="_Toc218824990" w:history="1">
            <w:r w:rsidRPr="00E775E1">
              <w:rPr>
                <w:rStyle w:val="Hyperlink"/>
                <w:rFonts w:ascii="Calibri" w:hAnsi="Calibri" w:cs="Calibri"/>
                <w:b/>
                <w:bCs/>
                <w:noProof/>
              </w:rPr>
              <w:t>2.1.1 Higher Rates of Hypertension</w:t>
            </w:r>
            <w:r>
              <w:rPr>
                <w:noProof/>
                <w:webHidden/>
              </w:rPr>
              <w:tab/>
            </w:r>
            <w:r>
              <w:rPr>
                <w:noProof/>
                <w:webHidden/>
              </w:rPr>
              <w:fldChar w:fldCharType="begin"/>
            </w:r>
            <w:r>
              <w:rPr>
                <w:noProof/>
                <w:webHidden/>
              </w:rPr>
              <w:instrText xml:space="preserve"> PAGEREF _Toc218824990 \h </w:instrText>
            </w:r>
            <w:r>
              <w:rPr>
                <w:noProof/>
                <w:webHidden/>
              </w:rPr>
            </w:r>
            <w:r>
              <w:rPr>
                <w:noProof/>
                <w:webHidden/>
              </w:rPr>
              <w:fldChar w:fldCharType="separate"/>
            </w:r>
            <w:r>
              <w:rPr>
                <w:noProof/>
                <w:webHidden/>
              </w:rPr>
              <w:t>3</w:t>
            </w:r>
            <w:r>
              <w:rPr>
                <w:noProof/>
                <w:webHidden/>
              </w:rPr>
              <w:fldChar w:fldCharType="end"/>
            </w:r>
          </w:hyperlink>
        </w:p>
        <w:p w14:paraId="53618500" w14:textId="53AE2DD9" w:rsidR="00A34F12" w:rsidRDefault="00A34F12">
          <w:pPr>
            <w:pStyle w:val="TOC3"/>
            <w:tabs>
              <w:tab w:val="right" w:leader="dot" w:pos="9350"/>
            </w:tabs>
            <w:rPr>
              <w:rFonts w:asciiTheme="minorHAnsi" w:eastAsiaTheme="minorEastAsia" w:hAnsiTheme="minorHAnsi" w:cstheme="minorBidi"/>
              <w:noProof/>
              <w:lang w:eastAsia="en-GB"/>
              <w14:ligatures w14:val="standardContextual"/>
            </w:rPr>
          </w:pPr>
          <w:hyperlink w:anchor="_Toc218824991" w:history="1">
            <w:r w:rsidRPr="00E775E1">
              <w:rPr>
                <w:rStyle w:val="Hyperlink"/>
                <w:rFonts w:ascii="Calibri" w:hAnsi="Calibri" w:cs="Calibri"/>
                <w:b/>
                <w:bCs/>
                <w:noProof/>
              </w:rPr>
              <w:t>2.1.2 Increased Risk of Type 2 Diabetes</w:t>
            </w:r>
            <w:r>
              <w:rPr>
                <w:noProof/>
                <w:webHidden/>
              </w:rPr>
              <w:tab/>
            </w:r>
            <w:r>
              <w:rPr>
                <w:noProof/>
                <w:webHidden/>
              </w:rPr>
              <w:fldChar w:fldCharType="begin"/>
            </w:r>
            <w:r>
              <w:rPr>
                <w:noProof/>
                <w:webHidden/>
              </w:rPr>
              <w:instrText xml:space="preserve"> PAGEREF _Toc218824991 \h </w:instrText>
            </w:r>
            <w:r>
              <w:rPr>
                <w:noProof/>
                <w:webHidden/>
              </w:rPr>
            </w:r>
            <w:r>
              <w:rPr>
                <w:noProof/>
                <w:webHidden/>
              </w:rPr>
              <w:fldChar w:fldCharType="separate"/>
            </w:r>
            <w:r>
              <w:rPr>
                <w:noProof/>
                <w:webHidden/>
              </w:rPr>
              <w:t>4</w:t>
            </w:r>
            <w:r>
              <w:rPr>
                <w:noProof/>
                <w:webHidden/>
              </w:rPr>
              <w:fldChar w:fldCharType="end"/>
            </w:r>
          </w:hyperlink>
        </w:p>
        <w:p w14:paraId="5F383CBF" w14:textId="16BDBA12" w:rsidR="00A34F12" w:rsidRDefault="00A34F12">
          <w:pPr>
            <w:pStyle w:val="TOC3"/>
            <w:tabs>
              <w:tab w:val="right" w:leader="dot" w:pos="9350"/>
            </w:tabs>
            <w:rPr>
              <w:rFonts w:asciiTheme="minorHAnsi" w:eastAsiaTheme="minorEastAsia" w:hAnsiTheme="minorHAnsi" w:cstheme="minorBidi"/>
              <w:noProof/>
              <w:lang w:eastAsia="en-GB"/>
              <w14:ligatures w14:val="standardContextual"/>
            </w:rPr>
          </w:pPr>
          <w:hyperlink w:anchor="_Toc218824992" w:history="1">
            <w:r w:rsidRPr="00E775E1">
              <w:rPr>
                <w:rStyle w:val="Hyperlink"/>
                <w:rFonts w:ascii="Calibri" w:hAnsi="Calibri" w:cs="Calibri"/>
                <w:b/>
                <w:bCs/>
                <w:noProof/>
              </w:rPr>
              <w:t>2.1.3 Maternal Health Inequalities</w:t>
            </w:r>
            <w:r>
              <w:rPr>
                <w:noProof/>
                <w:webHidden/>
              </w:rPr>
              <w:tab/>
            </w:r>
            <w:r>
              <w:rPr>
                <w:noProof/>
                <w:webHidden/>
              </w:rPr>
              <w:fldChar w:fldCharType="begin"/>
            </w:r>
            <w:r>
              <w:rPr>
                <w:noProof/>
                <w:webHidden/>
              </w:rPr>
              <w:instrText xml:space="preserve"> PAGEREF _Toc218824992 \h </w:instrText>
            </w:r>
            <w:r>
              <w:rPr>
                <w:noProof/>
                <w:webHidden/>
              </w:rPr>
            </w:r>
            <w:r>
              <w:rPr>
                <w:noProof/>
                <w:webHidden/>
              </w:rPr>
              <w:fldChar w:fldCharType="separate"/>
            </w:r>
            <w:r>
              <w:rPr>
                <w:noProof/>
                <w:webHidden/>
              </w:rPr>
              <w:t>5</w:t>
            </w:r>
            <w:r>
              <w:rPr>
                <w:noProof/>
                <w:webHidden/>
              </w:rPr>
              <w:fldChar w:fldCharType="end"/>
            </w:r>
          </w:hyperlink>
        </w:p>
        <w:p w14:paraId="0B7F4CDF" w14:textId="6CECF94B" w:rsidR="00A34F12" w:rsidRDefault="00A34F12">
          <w:pPr>
            <w:pStyle w:val="TOC2"/>
            <w:tabs>
              <w:tab w:val="right" w:leader="dot" w:pos="9350"/>
            </w:tabs>
            <w:rPr>
              <w:rFonts w:asciiTheme="minorHAnsi" w:eastAsiaTheme="minorEastAsia" w:hAnsiTheme="minorHAnsi" w:cstheme="minorBidi"/>
              <w:noProof/>
              <w:lang w:eastAsia="en-GB"/>
              <w14:ligatures w14:val="standardContextual"/>
            </w:rPr>
          </w:pPr>
          <w:hyperlink w:anchor="_Toc218824993" w:history="1">
            <w:r w:rsidRPr="00E775E1">
              <w:rPr>
                <w:rStyle w:val="Hyperlink"/>
                <w:rFonts w:ascii="Calibri" w:hAnsi="Calibri" w:cs="Calibri"/>
                <w:b/>
                <w:bCs/>
                <w:noProof/>
              </w:rPr>
              <w:t>2.2 Social Issues</w:t>
            </w:r>
            <w:r>
              <w:rPr>
                <w:noProof/>
                <w:webHidden/>
              </w:rPr>
              <w:tab/>
            </w:r>
            <w:r>
              <w:rPr>
                <w:noProof/>
                <w:webHidden/>
              </w:rPr>
              <w:fldChar w:fldCharType="begin"/>
            </w:r>
            <w:r>
              <w:rPr>
                <w:noProof/>
                <w:webHidden/>
              </w:rPr>
              <w:instrText xml:space="preserve"> PAGEREF _Toc218824993 \h </w:instrText>
            </w:r>
            <w:r>
              <w:rPr>
                <w:noProof/>
                <w:webHidden/>
              </w:rPr>
            </w:r>
            <w:r>
              <w:rPr>
                <w:noProof/>
                <w:webHidden/>
              </w:rPr>
              <w:fldChar w:fldCharType="separate"/>
            </w:r>
            <w:r>
              <w:rPr>
                <w:noProof/>
                <w:webHidden/>
              </w:rPr>
              <w:t>5</w:t>
            </w:r>
            <w:r>
              <w:rPr>
                <w:noProof/>
                <w:webHidden/>
              </w:rPr>
              <w:fldChar w:fldCharType="end"/>
            </w:r>
          </w:hyperlink>
        </w:p>
        <w:p w14:paraId="2DB4C68D" w14:textId="4BDC032A" w:rsidR="00A34F12" w:rsidRDefault="00A34F12">
          <w:pPr>
            <w:pStyle w:val="TOC3"/>
            <w:tabs>
              <w:tab w:val="right" w:leader="dot" w:pos="9350"/>
            </w:tabs>
            <w:rPr>
              <w:rFonts w:asciiTheme="minorHAnsi" w:eastAsiaTheme="minorEastAsia" w:hAnsiTheme="minorHAnsi" w:cstheme="minorBidi"/>
              <w:noProof/>
              <w:lang w:eastAsia="en-GB"/>
              <w14:ligatures w14:val="standardContextual"/>
            </w:rPr>
          </w:pPr>
          <w:hyperlink w:anchor="_Toc218824994" w:history="1">
            <w:r w:rsidRPr="00E775E1">
              <w:rPr>
                <w:rStyle w:val="Hyperlink"/>
                <w:rFonts w:ascii="Calibri" w:hAnsi="Calibri" w:cs="Calibri"/>
                <w:b/>
                <w:bCs/>
                <w:noProof/>
              </w:rPr>
              <w:t>2.2.1 Socioeconomic Disadvantage and Poverty</w:t>
            </w:r>
            <w:r>
              <w:rPr>
                <w:noProof/>
                <w:webHidden/>
              </w:rPr>
              <w:tab/>
            </w:r>
            <w:r>
              <w:rPr>
                <w:noProof/>
                <w:webHidden/>
              </w:rPr>
              <w:fldChar w:fldCharType="begin"/>
            </w:r>
            <w:r>
              <w:rPr>
                <w:noProof/>
                <w:webHidden/>
              </w:rPr>
              <w:instrText xml:space="preserve"> PAGEREF _Toc218824994 \h </w:instrText>
            </w:r>
            <w:r>
              <w:rPr>
                <w:noProof/>
                <w:webHidden/>
              </w:rPr>
            </w:r>
            <w:r>
              <w:rPr>
                <w:noProof/>
                <w:webHidden/>
              </w:rPr>
              <w:fldChar w:fldCharType="separate"/>
            </w:r>
            <w:r>
              <w:rPr>
                <w:noProof/>
                <w:webHidden/>
              </w:rPr>
              <w:t>5</w:t>
            </w:r>
            <w:r>
              <w:rPr>
                <w:noProof/>
                <w:webHidden/>
              </w:rPr>
              <w:fldChar w:fldCharType="end"/>
            </w:r>
          </w:hyperlink>
        </w:p>
        <w:p w14:paraId="0B31EA44" w14:textId="0289C77E" w:rsidR="00A34F12" w:rsidRDefault="00A34F12">
          <w:pPr>
            <w:pStyle w:val="TOC3"/>
            <w:tabs>
              <w:tab w:val="right" w:leader="dot" w:pos="9350"/>
            </w:tabs>
            <w:rPr>
              <w:rFonts w:asciiTheme="minorHAnsi" w:eastAsiaTheme="minorEastAsia" w:hAnsiTheme="minorHAnsi" w:cstheme="minorBidi"/>
              <w:noProof/>
              <w:lang w:eastAsia="en-GB"/>
              <w14:ligatures w14:val="standardContextual"/>
            </w:rPr>
          </w:pPr>
          <w:hyperlink w:anchor="_Toc218824995" w:history="1">
            <w:r w:rsidRPr="00E775E1">
              <w:rPr>
                <w:rStyle w:val="Hyperlink"/>
                <w:rFonts w:ascii="Calibri" w:hAnsi="Calibri" w:cs="Calibri"/>
                <w:b/>
                <w:bCs/>
                <w:noProof/>
              </w:rPr>
              <w:t>2.2.2 Racism and Discrimination in Healthcare</w:t>
            </w:r>
            <w:r>
              <w:rPr>
                <w:noProof/>
                <w:webHidden/>
              </w:rPr>
              <w:tab/>
            </w:r>
            <w:r>
              <w:rPr>
                <w:noProof/>
                <w:webHidden/>
              </w:rPr>
              <w:fldChar w:fldCharType="begin"/>
            </w:r>
            <w:r>
              <w:rPr>
                <w:noProof/>
                <w:webHidden/>
              </w:rPr>
              <w:instrText xml:space="preserve"> PAGEREF _Toc218824995 \h </w:instrText>
            </w:r>
            <w:r>
              <w:rPr>
                <w:noProof/>
                <w:webHidden/>
              </w:rPr>
            </w:r>
            <w:r>
              <w:rPr>
                <w:noProof/>
                <w:webHidden/>
              </w:rPr>
              <w:fldChar w:fldCharType="separate"/>
            </w:r>
            <w:r>
              <w:rPr>
                <w:noProof/>
                <w:webHidden/>
              </w:rPr>
              <w:t>5</w:t>
            </w:r>
            <w:r>
              <w:rPr>
                <w:noProof/>
                <w:webHidden/>
              </w:rPr>
              <w:fldChar w:fldCharType="end"/>
            </w:r>
          </w:hyperlink>
        </w:p>
        <w:p w14:paraId="14F4DA6B" w14:textId="5438EF43" w:rsidR="00A34F12" w:rsidRDefault="00A34F12">
          <w:pPr>
            <w:pStyle w:val="TOC3"/>
            <w:tabs>
              <w:tab w:val="right" w:leader="dot" w:pos="9350"/>
            </w:tabs>
            <w:rPr>
              <w:rFonts w:asciiTheme="minorHAnsi" w:eastAsiaTheme="minorEastAsia" w:hAnsiTheme="minorHAnsi" w:cstheme="minorBidi"/>
              <w:noProof/>
              <w:lang w:eastAsia="en-GB"/>
              <w14:ligatures w14:val="standardContextual"/>
            </w:rPr>
          </w:pPr>
          <w:hyperlink w:anchor="_Toc218824996" w:history="1">
            <w:r w:rsidRPr="00E775E1">
              <w:rPr>
                <w:rStyle w:val="Hyperlink"/>
                <w:rFonts w:ascii="Calibri" w:hAnsi="Calibri" w:cs="Calibri"/>
                <w:b/>
                <w:bCs/>
                <w:noProof/>
              </w:rPr>
              <w:t>2.2.3 Language and Cultural Barriers to Accessing Healthcare</w:t>
            </w:r>
            <w:r>
              <w:rPr>
                <w:noProof/>
                <w:webHidden/>
              </w:rPr>
              <w:tab/>
            </w:r>
            <w:r>
              <w:rPr>
                <w:noProof/>
                <w:webHidden/>
              </w:rPr>
              <w:fldChar w:fldCharType="begin"/>
            </w:r>
            <w:r>
              <w:rPr>
                <w:noProof/>
                <w:webHidden/>
              </w:rPr>
              <w:instrText xml:space="preserve"> PAGEREF _Toc218824996 \h </w:instrText>
            </w:r>
            <w:r>
              <w:rPr>
                <w:noProof/>
                <w:webHidden/>
              </w:rPr>
            </w:r>
            <w:r>
              <w:rPr>
                <w:noProof/>
                <w:webHidden/>
              </w:rPr>
              <w:fldChar w:fldCharType="separate"/>
            </w:r>
            <w:r>
              <w:rPr>
                <w:noProof/>
                <w:webHidden/>
              </w:rPr>
              <w:t>6</w:t>
            </w:r>
            <w:r>
              <w:rPr>
                <w:noProof/>
                <w:webHidden/>
              </w:rPr>
              <w:fldChar w:fldCharType="end"/>
            </w:r>
          </w:hyperlink>
        </w:p>
        <w:p w14:paraId="106BF8B1" w14:textId="5188BB36" w:rsidR="00A34F12" w:rsidRDefault="00A34F12">
          <w:pPr>
            <w:pStyle w:val="TOC1"/>
            <w:tabs>
              <w:tab w:val="right" w:leader="dot" w:pos="9350"/>
            </w:tabs>
            <w:rPr>
              <w:rFonts w:asciiTheme="minorHAnsi" w:eastAsiaTheme="minorEastAsia" w:hAnsiTheme="minorHAnsi" w:cstheme="minorBidi"/>
              <w:noProof/>
              <w:lang w:eastAsia="en-GB"/>
              <w14:ligatures w14:val="standardContextual"/>
            </w:rPr>
          </w:pPr>
          <w:hyperlink w:anchor="_Toc218824997" w:history="1">
            <w:r w:rsidRPr="00E775E1">
              <w:rPr>
                <w:rStyle w:val="Hyperlink"/>
                <w:rFonts w:ascii="Calibri" w:hAnsi="Calibri" w:cs="Calibri"/>
                <w:b/>
                <w:bCs/>
                <w:noProof/>
              </w:rPr>
              <w:t>3.0</w:t>
            </w:r>
            <w:r w:rsidRPr="00E775E1">
              <w:rPr>
                <w:rStyle w:val="Hyperlink"/>
                <w:rFonts w:ascii="Calibri" w:hAnsi="Calibri" w:cs="Calibri"/>
                <w:noProof/>
              </w:rPr>
              <w:t xml:space="preserve"> </w:t>
            </w:r>
            <w:r w:rsidRPr="00E775E1">
              <w:rPr>
                <w:rStyle w:val="Hyperlink"/>
                <w:rFonts w:ascii="Calibri" w:hAnsi="Calibri" w:cs="Calibri"/>
                <w:b/>
                <w:bCs/>
                <w:noProof/>
              </w:rPr>
              <w:t>National Response to Reduce Health Inequalities</w:t>
            </w:r>
            <w:r>
              <w:rPr>
                <w:noProof/>
                <w:webHidden/>
              </w:rPr>
              <w:tab/>
            </w:r>
            <w:r>
              <w:rPr>
                <w:noProof/>
                <w:webHidden/>
              </w:rPr>
              <w:fldChar w:fldCharType="begin"/>
            </w:r>
            <w:r>
              <w:rPr>
                <w:noProof/>
                <w:webHidden/>
              </w:rPr>
              <w:instrText xml:space="preserve"> PAGEREF _Toc218824997 \h </w:instrText>
            </w:r>
            <w:r>
              <w:rPr>
                <w:noProof/>
                <w:webHidden/>
              </w:rPr>
            </w:r>
            <w:r>
              <w:rPr>
                <w:noProof/>
                <w:webHidden/>
              </w:rPr>
              <w:fldChar w:fldCharType="separate"/>
            </w:r>
            <w:r>
              <w:rPr>
                <w:noProof/>
                <w:webHidden/>
              </w:rPr>
              <w:t>6</w:t>
            </w:r>
            <w:r>
              <w:rPr>
                <w:noProof/>
                <w:webHidden/>
              </w:rPr>
              <w:fldChar w:fldCharType="end"/>
            </w:r>
          </w:hyperlink>
        </w:p>
        <w:p w14:paraId="19304C29" w14:textId="09C9F018" w:rsidR="00A34F12" w:rsidRDefault="00A34F12">
          <w:pPr>
            <w:pStyle w:val="TOC1"/>
            <w:tabs>
              <w:tab w:val="right" w:leader="dot" w:pos="9350"/>
            </w:tabs>
            <w:rPr>
              <w:rFonts w:asciiTheme="minorHAnsi" w:eastAsiaTheme="minorEastAsia" w:hAnsiTheme="minorHAnsi" w:cstheme="minorBidi"/>
              <w:noProof/>
              <w:lang w:eastAsia="en-GB"/>
              <w14:ligatures w14:val="standardContextual"/>
            </w:rPr>
          </w:pPr>
          <w:hyperlink w:anchor="_Toc218824998" w:history="1">
            <w:r w:rsidRPr="00E775E1">
              <w:rPr>
                <w:rStyle w:val="Hyperlink"/>
                <w:rFonts w:ascii="Calibri" w:hAnsi="Calibri" w:cs="Calibri"/>
                <w:b/>
                <w:bCs/>
                <w:noProof/>
              </w:rPr>
              <w:t>4.0 Organisations Supporting the Group</w:t>
            </w:r>
            <w:r>
              <w:rPr>
                <w:noProof/>
                <w:webHidden/>
              </w:rPr>
              <w:tab/>
            </w:r>
            <w:r>
              <w:rPr>
                <w:noProof/>
                <w:webHidden/>
              </w:rPr>
              <w:fldChar w:fldCharType="begin"/>
            </w:r>
            <w:r>
              <w:rPr>
                <w:noProof/>
                <w:webHidden/>
              </w:rPr>
              <w:instrText xml:space="preserve"> PAGEREF _Toc218824998 \h </w:instrText>
            </w:r>
            <w:r>
              <w:rPr>
                <w:noProof/>
                <w:webHidden/>
              </w:rPr>
            </w:r>
            <w:r>
              <w:rPr>
                <w:noProof/>
                <w:webHidden/>
              </w:rPr>
              <w:fldChar w:fldCharType="separate"/>
            </w:r>
            <w:r>
              <w:rPr>
                <w:noProof/>
                <w:webHidden/>
              </w:rPr>
              <w:t>7</w:t>
            </w:r>
            <w:r>
              <w:rPr>
                <w:noProof/>
                <w:webHidden/>
              </w:rPr>
              <w:fldChar w:fldCharType="end"/>
            </w:r>
          </w:hyperlink>
        </w:p>
        <w:p w14:paraId="6CE67AA9" w14:textId="2EC675B4" w:rsidR="00A34F12" w:rsidRDefault="00A34F12">
          <w:pPr>
            <w:pStyle w:val="TOC1"/>
            <w:tabs>
              <w:tab w:val="right" w:leader="dot" w:pos="9350"/>
            </w:tabs>
            <w:rPr>
              <w:rFonts w:asciiTheme="minorHAnsi" w:eastAsiaTheme="minorEastAsia" w:hAnsiTheme="minorHAnsi" w:cstheme="minorBidi"/>
              <w:noProof/>
              <w:lang w:eastAsia="en-GB"/>
              <w14:ligatures w14:val="standardContextual"/>
            </w:rPr>
          </w:pPr>
          <w:hyperlink w:anchor="_Toc218824999" w:history="1">
            <w:r w:rsidRPr="00E775E1">
              <w:rPr>
                <w:rStyle w:val="Hyperlink"/>
                <w:rFonts w:ascii="Calibri" w:hAnsi="Calibri" w:cs="Calibri"/>
                <w:b/>
                <w:bCs/>
                <w:noProof/>
              </w:rPr>
              <w:t>Conclusion</w:t>
            </w:r>
            <w:r>
              <w:rPr>
                <w:noProof/>
                <w:webHidden/>
              </w:rPr>
              <w:tab/>
            </w:r>
            <w:r>
              <w:rPr>
                <w:noProof/>
                <w:webHidden/>
              </w:rPr>
              <w:fldChar w:fldCharType="begin"/>
            </w:r>
            <w:r>
              <w:rPr>
                <w:noProof/>
                <w:webHidden/>
              </w:rPr>
              <w:instrText xml:space="preserve"> PAGEREF _Toc218824999 \h </w:instrText>
            </w:r>
            <w:r>
              <w:rPr>
                <w:noProof/>
                <w:webHidden/>
              </w:rPr>
            </w:r>
            <w:r>
              <w:rPr>
                <w:noProof/>
                <w:webHidden/>
              </w:rPr>
              <w:fldChar w:fldCharType="separate"/>
            </w:r>
            <w:r>
              <w:rPr>
                <w:noProof/>
                <w:webHidden/>
              </w:rPr>
              <w:t>7</w:t>
            </w:r>
            <w:r>
              <w:rPr>
                <w:noProof/>
                <w:webHidden/>
              </w:rPr>
              <w:fldChar w:fldCharType="end"/>
            </w:r>
          </w:hyperlink>
        </w:p>
        <w:p w14:paraId="60FCA752" w14:textId="680A1005" w:rsidR="00A34F12" w:rsidRDefault="00A34F12">
          <w:pPr>
            <w:pStyle w:val="TOC1"/>
            <w:tabs>
              <w:tab w:val="right" w:leader="dot" w:pos="9350"/>
            </w:tabs>
            <w:rPr>
              <w:rFonts w:asciiTheme="minorHAnsi" w:eastAsiaTheme="minorEastAsia" w:hAnsiTheme="minorHAnsi" w:cstheme="minorBidi"/>
              <w:noProof/>
              <w:lang w:eastAsia="en-GB"/>
              <w14:ligatures w14:val="standardContextual"/>
            </w:rPr>
          </w:pPr>
          <w:hyperlink w:anchor="_Toc218825000" w:history="1">
            <w:r w:rsidRPr="00E775E1">
              <w:rPr>
                <w:rStyle w:val="Hyperlink"/>
                <w:rFonts w:ascii="Calibri" w:hAnsi="Calibri" w:cs="Calibri"/>
                <w:b/>
                <w:bCs/>
                <w:noProof/>
              </w:rPr>
              <w:t>Task 2: Epidemiological Analysis</w:t>
            </w:r>
            <w:r>
              <w:rPr>
                <w:noProof/>
                <w:webHidden/>
              </w:rPr>
              <w:tab/>
            </w:r>
            <w:r>
              <w:rPr>
                <w:noProof/>
                <w:webHidden/>
              </w:rPr>
              <w:fldChar w:fldCharType="begin"/>
            </w:r>
            <w:r>
              <w:rPr>
                <w:noProof/>
                <w:webHidden/>
              </w:rPr>
              <w:instrText xml:space="preserve"> PAGEREF _Toc218825000 \h </w:instrText>
            </w:r>
            <w:r>
              <w:rPr>
                <w:noProof/>
                <w:webHidden/>
              </w:rPr>
            </w:r>
            <w:r>
              <w:rPr>
                <w:noProof/>
                <w:webHidden/>
              </w:rPr>
              <w:fldChar w:fldCharType="separate"/>
            </w:r>
            <w:r>
              <w:rPr>
                <w:noProof/>
                <w:webHidden/>
              </w:rPr>
              <w:t>8</w:t>
            </w:r>
            <w:r>
              <w:rPr>
                <w:noProof/>
                <w:webHidden/>
              </w:rPr>
              <w:fldChar w:fldCharType="end"/>
            </w:r>
          </w:hyperlink>
        </w:p>
        <w:p w14:paraId="57ABCD6E" w14:textId="07376202" w:rsidR="00A34F12" w:rsidRDefault="00A34F12">
          <w:pPr>
            <w:pStyle w:val="TOC1"/>
            <w:tabs>
              <w:tab w:val="right" w:leader="dot" w:pos="9350"/>
            </w:tabs>
            <w:rPr>
              <w:rFonts w:asciiTheme="minorHAnsi" w:eastAsiaTheme="minorEastAsia" w:hAnsiTheme="minorHAnsi" w:cstheme="minorBidi"/>
              <w:noProof/>
              <w:lang w:eastAsia="en-GB"/>
              <w14:ligatures w14:val="standardContextual"/>
            </w:rPr>
          </w:pPr>
          <w:hyperlink w:anchor="_Toc218825001" w:history="1">
            <w:r w:rsidRPr="00E775E1">
              <w:rPr>
                <w:rStyle w:val="Hyperlink"/>
                <w:rFonts w:ascii="Calibri" w:hAnsi="Calibri" w:cs="Calibri"/>
                <w:b/>
                <w:bCs/>
                <w:noProof/>
              </w:rPr>
              <w:t>1.0 Introduction</w:t>
            </w:r>
            <w:r>
              <w:rPr>
                <w:noProof/>
                <w:webHidden/>
              </w:rPr>
              <w:tab/>
            </w:r>
            <w:r>
              <w:rPr>
                <w:noProof/>
                <w:webHidden/>
              </w:rPr>
              <w:fldChar w:fldCharType="begin"/>
            </w:r>
            <w:r>
              <w:rPr>
                <w:noProof/>
                <w:webHidden/>
              </w:rPr>
              <w:instrText xml:space="preserve"> PAGEREF _Toc218825001 \h </w:instrText>
            </w:r>
            <w:r>
              <w:rPr>
                <w:noProof/>
                <w:webHidden/>
              </w:rPr>
            </w:r>
            <w:r>
              <w:rPr>
                <w:noProof/>
                <w:webHidden/>
              </w:rPr>
              <w:fldChar w:fldCharType="separate"/>
            </w:r>
            <w:r>
              <w:rPr>
                <w:noProof/>
                <w:webHidden/>
              </w:rPr>
              <w:t>8</w:t>
            </w:r>
            <w:r>
              <w:rPr>
                <w:noProof/>
                <w:webHidden/>
              </w:rPr>
              <w:fldChar w:fldCharType="end"/>
            </w:r>
          </w:hyperlink>
        </w:p>
        <w:p w14:paraId="74F4CA3A" w14:textId="0B0AB2E4" w:rsidR="00A34F12" w:rsidRDefault="00A34F12">
          <w:pPr>
            <w:pStyle w:val="TOC1"/>
            <w:tabs>
              <w:tab w:val="right" w:leader="dot" w:pos="9350"/>
            </w:tabs>
            <w:rPr>
              <w:rFonts w:asciiTheme="minorHAnsi" w:eastAsiaTheme="minorEastAsia" w:hAnsiTheme="minorHAnsi" w:cstheme="minorBidi"/>
              <w:noProof/>
              <w:lang w:eastAsia="en-GB"/>
              <w14:ligatures w14:val="standardContextual"/>
            </w:rPr>
          </w:pPr>
          <w:hyperlink w:anchor="_Toc218825002" w:history="1">
            <w:r w:rsidRPr="00E775E1">
              <w:rPr>
                <w:rStyle w:val="Hyperlink"/>
                <w:rFonts w:ascii="Calibri" w:hAnsi="Calibri" w:cs="Calibri"/>
                <w:b/>
                <w:bCs/>
                <w:noProof/>
              </w:rPr>
              <w:t>2.0 Public Health Measures Using the 3 P’s</w:t>
            </w:r>
            <w:r>
              <w:rPr>
                <w:noProof/>
                <w:webHidden/>
              </w:rPr>
              <w:tab/>
            </w:r>
            <w:r>
              <w:rPr>
                <w:noProof/>
                <w:webHidden/>
              </w:rPr>
              <w:fldChar w:fldCharType="begin"/>
            </w:r>
            <w:r>
              <w:rPr>
                <w:noProof/>
                <w:webHidden/>
              </w:rPr>
              <w:instrText xml:space="preserve"> PAGEREF _Toc218825002 \h </w:instrText>
            </w:r>
            <w:r>
              <w:rPr>
                <w:noProof/>
                <w:webHidden/>
              </w:rPr>
            </w:r>
            <w:r>
              <w:rPr>
                <w:noProof/>
                <w:webHidden/>
              </w:rPr>
              <w:fldChar w:fldCharType="separate"/>
            </w:r>
            <w:r>
              <w:rPr>
                <w:noProof/>
                <w:webHidden/>
              </w:rPr>
              <w:t>8</w:t>
            </w:r>
            <w:r>
              <w:rPr>
                <w:noProof/>
                <w:webHidden/>
              </w:rPr>
              <w:fldChar w:fldCharType="end"/>
            </w:r>
          </w:hyperlink>
        </w:p>
        <w:p w14:paraId="6DFF0808" w14:textId="4EE2EA02" w:rsidR="00A34F12" w:rsidRDefault="00A34F12">
          <w:pPr>
            <w:pStyle w:val="TOC2"/>
            <w:tabs>
              <w:tab w:val="right" w:leader="dot" w:pos="9350"/>
            </w:tabs>
            <w:rPr>
              <w:rFonts w:asciiTheme="minorHAnsi" w:eastAsiaTheme="minorEastAsia" w:hAnsiTheme="minorHAnsi" w:cstheme="minorBidi"/>
              <w:noProof/>
              <w:lang w:eastAsia="en-GB"/>
              <w14:ligatures w14:val="standardContextual"/>
            </w:rPr>
          </w:pPr>
          <w:hyperlink w:anchor="_Toc218825003" w:history="1">
            <w:r w:rsidRPr="00E775E1">
              <w:rPr>
                <w:rStyle w:val="Hyperlink"/>
                <w:rFonts w:ascii="Calibri" w:hAnsi="Calibri" w:cs="Calibri"/>
                <w:b/>
                <w:bCs/>
                <w:noProof/>
              </w:rPr>
              <w:t>2.1 Primary Prevention (Prevent)</w:t>
            </w:r>
            <w:r>
              <w:rPr>
                <w:noProof/>
                <w:webHidden/>
              </w:rPr>
              <w:tab/>
            </w:r>
            <w:r>
              <w:rPr>
                <w:noProof/>
                <w:webHidden/>
              </w:rPr>
              <w:fldChar w:fldCharType="begin"/>
            </w:r>
            <w:r>
              <w:rPr>
                <w:noProof/>
                <w:webHidden/>
              </w:rPr>
              <w:instrText xml:space="preserve"> PAGEREF _Toc218825003 \h </w:instrText>
            </w:r>
            <w:r>
              <w:rPr>
                <w:noProof/>
                <w:webHidden/>
              </w:rPr>
            </w:r>
            <w:r>
              <w:rPr>
                <w:noProof/>
                <w:webHidden/>
              </w:rPr>
              <w:fldChar w:fldCharType="separate"/>
            </w:r>
            <w:r>
              <w:rPr>
                <w:noProof/>
                <w:webHidden/>
              </w:rPr>
              <w:t>8</w:t>
            </w:r>
            <w:r>
              <w:rPr>
                <w:noProof/>
                <w:webHidden/>
              </w:rPr>
              <w:fldChar w:fldCharType="end"/>
            </w:r>
          </w:hyperlink>
        </w:p>
        <w:p w14:paraId="6BE40993" w14:textId="6F67D51F" w:rsidR="00A34F12" w:rsidRDefault="00A34F12">
          <w:pPr>
            <w:pStyle w:val="TOC2"/>
            <w:tabs>
              <w:tab w:val="right" w:leader="dot" w:pos="9350"/>
            </w:tabs>
            <w:rPr>
              <w:rFonts w:asciiTheme="minorHAnsi" w:eastAsiaTheme="minorEastAsia" w:hAnsiTheme="minorHAnsi" w:cstheme="minorBidi"/>
              <w:noProof/>
              <w:lang w:eastAsia="en-GB"/>
              <w14:ligatures w14:val="standardContextual"/>
            </w:rPr>
          </w:pPr>
          <w:hyperlink w:anchor="_Toc218825004" w:history="1">
            <w:r w:rsidRPr="00E775E1">
              <w:rPr>
                <w:rStyle w:val="Hyperlink"/>
                <w:rFonts w:ascii="Calibri" w:hAnsi="Calibri" w:cs="Calibri"/>
                <w:b/>
                <w:bCs/>
                <w:noProof/>
              </w:rPr>
              <w:t>2.2 Secondary Prevention (Protect)</w:t>
            </w:r>
            <w:r>
              <w:rPr>
                <w:noProof/>
                <w:webHidden/>
              </w:rPr>
              <w:tab/>
            </w:r>
            <w:r>
              <w:rPr>
                <w:noProof/>
                <w:webHidden/>
              </w:rPr>
              <w:fldChar w:fldCharType="begin"/>
            </w:r>
            <w:r>
              <w:rPr>
                <w:noProof/>
                <w:webHidden/>
              </w:rPr>
              <w:instrText xml:space="preserve"> PAGEREF _Toc218825004 \h </w:instrText>
            </w:r>
            <w:r>
              <w:rPr>
                <w:noProof/>
                <w:webHidden/>
              </w:rPr>
            </w:r>
            <w:r>
              <w:rPr>
                <w:noProof/>
                <w:webHidden/>
              </w:rPr>
              <w:fldChar w:fldCharType="separate"/>
            </w:r>
            <w:r>
              <w:rPr>
                <w:noProof/>
                <w:webHidden/>
              </w:rPr>
              <w:t>9</w:t>
            </w:r>
            <w:r>
              <w:rPr>
                <w:noProof/>
                <w:webHidden/>
              </w:rPr>
              <w:fldChar w:fldCharType="end"/>
            </w:r>
          </w:hyperlink>
        </w:p>
        <w:p w14:paraId="2650312F" w14:textId="18B06D4B" w:rsidR="00A34F12" w:rsidRDefault="00A34F12">
          <w:pPr>
            <w:pStyle w:val="TOC2"/>
            <w:tabs>
              <w:tab w:val="right" w:leader="dot" w:pos="9350"/>
            </w:tabs>
            <w:rPr>
              <w:rFonts w:asciiTheme="minorHAnsi" w:eastAsiaTheme="minorEastAsia" w:hAnsiTheme="minorHAnsi" w:cstheme="minorBidi"/>
              <w:noProof/>
              <w:lang w:eastAsia="en-GB"/>
              <w14:ligatures w14:val="standardContextual"/>
            </w:rPr>
          </w:pPr>
          <w:hyperlink w:anchor="_Toc218825005" w:history="1">
            <w:r w:rsidRPr="00E775E1">
              <w:rPr>
                <w:rStyle w:val="Hyperlink"/>
                <w:rFonts w:ascii="Calibri" w:hAnsi="Calibri" w:cs="Calibri"/>
                <w:b/>
                <w:bCs/>
                <w:noProof/>
              </w:rPr>
              <w:t>2.3 Tertiary Prevention (Provide)</w:t>
            </w:r>
            <w:r>
              <w:rPr>
                <w:noProof/>
                <w:webHidden/>
              </w:rPr>
              <w:tab/>
            </w:r>
            <w:r>
              <w:rPr>
                <w:noProof/>
                <w:webHidden/>
              </w:rPr>
              <w:fldChar w:fldCharType="begin"/>
            </w:r>
            <w:r>
              <w:rPr>
                <w:noProof/>
                <w:webHidden/>
              </w:rPr>
              <w:instrText xml:space="preserve"> PAGEREF _Toc218825005 \h </w:instrText>
            </w:r>
            <w:r>
              <w:rPr>
                <w:noProof/>
                <w:webHidden/>
              </w:rPr>
            </w:r>
            <w:r>
              <w:rPr>
                <w:noProof/>
                <w:webHidden/>
              </w:rPr>
              <w:fldChar w:fldCharType="separate"/>
            </w:r>
            <w:r>
              <w:rPr>
                <w:noProof/>
                <w:webHidden/>
              </w:rPr>
              <w:t>9</w:t>
            </w:r>
            <w:r>
              <w:rPr>
                <w:noProof/>
                <w:webHidden/>
              </w:rPr>
              <w:fldChar w:fldCharType="end"/>
            </w:r>
          </w:hyperlink>
        </w:p>
        <w:p w14:paraId="6D7B9763" w14:textId="7895B790" w:rsidR="00A34F12" w:rsidRDefault="00A34F12">
          <w:pPr>
            <w:pStyle w:val="TOC2"/>
            <w:tabs>
              <w:tab w:val="right" w:leader="dot" w:pos="9350"/>
            </w:tabs>
            <w:rPr>
              <w:rFonts w:asciiTheme="minorHAnsi" w:eastAsiaTheme="minorEastAsia" w:hAnsiTheme="minorHAnsi" w:cstheme="minorBidi"/>
              <w:noProof/>
              <w:lang w:eastAsia="en-GB"/>
              <w14:ligatures w14:val="standardContextual"/>
            </w:rPr>
          </w:pPr>
          <w:hyperlink w:anchor="_Toc218825006" w:history="1">
            <w:r w:rsidRPr="00E775E1">
              <w:rPr>
                <w:rStyle w:val="Hyperlink"/>
                <w:rFonts w:ascii="Calibri" w:hAnsi="Calibri" w:cs="Calibri"/>
                <w:b/>
                <w:bCs/>
                <w:noProof/>
              </w:rPr>
              <w:t>3.0 Key Determinants/Risk Factors of Obesity</w:t>
            </w:r>
            <w:r>
              <w:rPr>
                <w:noProof/>
                <w:webHidden/>
              </w:rPr>
              <w:tab/>
            </w:r>
            <w:r>
              <w:rPr>
                <w:noProof/>
                <w:webHidden/>
              </w:rPr>
              <w:fldChar w:fldCharType="begin"/>
            </w:r>
            <w:r>
              <w:rPr>
                <w:noProof/>
                <w:webHidden/>
              </w:rPr>
              <w:instrText xml:space="preserve"> PAGEREF _Toc218825006 \h </w:instrText>
            </w:r>
            <w:r>
              <w:rPr>
                <w:noProof/>
                <w:webHidden/>
              </w:rPr>
            </w:r>
            <w:r>
              <w:rPr>
                <w:noProof/>
                <w:webHidden/>
              </w:rPr>
              <w:fldChar w:fldCharType="separate"/>
            </w:r>
            <w:r>
              <w:rPr>
                <w:noProof/>
                <w:webHidden/>
              </w:rPr>
              <w:t>9</w:t>
            </w:r>
            <w:r>
              <w:rPr>
                <w:noProof/>
                <w:webHidden/>
              </w:rPr>
              <w:fldChar w:fldCharType="end"/>
            </w:r>
          </w:hyperlink>
        </w:p>
        <w:p w14:paraId="396B9D76" w14:textId="561F5A68" w:rsidR="00A34F12" w:rsidRDefault="00A34F12">
          <w:pPr>
            <w:pStyle w:val="TOC2"/>
            <w:tabs>
              <w:tab w:val="right" w:leader="dot" w:pos="9350"/>
            </w:tabs>
            <w:rPr>
              <w:rFonts w:asciiTheme="minorHAnsi" w:eastAsiaTheme="minorEastAsia" w:hAnsiTheme="minorHAnsi" w:cstheme="minorBidi"/>
              <w:noProof/>
              <w:lang w:eastAsia="en-GB"/>
              <w14:ligatures w14:val="standardContextual"/>
            </w:rPr>
          </w:pPr>
          <w:hyperlink w:anchor="_Toc218825007" w:history="1">
            <w:r w:rsidRPr="00E775E1">
              <w:rPr>
                <w:rStyle w:val="Hyperlink"/>
                <w:rFonts w:ascii="Calibri" w:hAnsi="Calibri" w:cs="Calibri"/>
                <w:b/>
                <w:bCs/>
                <w:noProof/>
              </w:rPr>
              <w:t>4.0 Epidemiological Studies &amp; Health Needs Assessment (HNA) in Newham</w:t>
            </w:r>
            <w:r>
              <w:rPr>
                <w:noProof/>
                <w:webHidden/>
              </w:rPr>
              <w:tab/>
            </w:r>
            <w:r>
              <w:rPr>
                <w:noProof/>
                <w:webHidden/>
              </w:rPr>
              <w:fldChar w:fldCharType="begin"/>
            </w:r>
            <w:r>
              <w:rPr>
                <w:noProof/>
                <w:webHidden/>
              </w:rPr>
              <w:instrText xml:space="preserve"> PAGEREF _Toc218825007 \h </w:instrText>
            </w:r>
            <w:r>
              <w:rPr>
                <w:noProof/>
                <w:webHidden/>
              </w:rPr>
            </w:r>
            <w:r>
              <w:rPr>
                <w:noProof/>
                <w:webHidden/>
              </w:rPr>
              <w:fldChar w:fldCharType="separate"/>
            </w:r>
            <w:r>
              <w:rPr>
                <w:noProof/>
                <w:webHidden/>
              </w:rPr>
              <w:t>10</w:t>
            </w:r>
            <w:r>
              <w:rPr>
                <w:noProof/>
                <w:webHidden/>
              </w:rPr>
              <w:fldChar w:fldCharType="end"/>
            </w:r>
          </w:hyperlink>
        </w:p>
        <w:p w14:paraId="7084924E" w14:textId="1A35DD94" w:rsidR="00A34F12" w:rsidRDefault="00A34F12">
          <w:pPr>
            <w:pStyle w:val="TOC2"/>
            <w:tabs>
              <w:tab w:val="right" w:leader="dot" w:pos="9350"/>
            </w:tabs>
            <w:rPr>
              <w:rFonts w:asciiTheme="minorHAnsi" w:eastAsiaTheme="minorEastAsia" w:hAnsiTheme="minorHAnsi" w:cstheme="minorBidi"/>
              <w:noProof/>
              <w:lang w:eastAsia="en-GB"/>
              <w14:ligatures w14:val="standardContextual"/>
            </w:rPr>
          </w:pPr>
          <w:hyperlink w:anchor="_Toc218825008" w:history="1">
            <w:r w:rsidRPr="00E775E1">
              <w:rPr>
                <w:rStyle w:val="Hyperlink"/>
                <w:rFonts w:ascii="Calibri" w:hAnsi="Calibri" w:cs="Calibri"/>
                <w:b/>
                <w:bCs/>
                <w:noProof/>
              </w:rPr>
              <w:t>5.0 Public Health Surveillance and Monitoring Systems</w:t>
            </w:r>
            <w:r>
              <w:rPr>
                <w:noProof/>
                <w:webHidden/>
              </w:rPr>
              <w:tab/>
            </w:r>
            <w:r>
              <w:rPr>
                <w:noProof/>
                <w:webHidden/>
              </w:rPr>
              <w:fldChar w:fldCharType="begin"/>
            </w:r>
            <w:r>
              <w:rPr>
                <w:noProof/>
                <w:webHidden/>
              </w:rPr>
              <w:instrText xml:space="preserve"> PAGEREF _Toc218825008 \h </w:instrText>
            </w:r>
            <w:r>
              <w:rPr>
                <w:noProof/>
                <w:webHidden/>
              </w:rPr>
            </w:r>
            <w:r>
              <w:rPr>
                <w:noProof/>
                <w:webHidden/>
              </w:rPr>
              <w:fldChar w:fldCharType="separate"/>
            </w:r>
            <w:r>
              <w:rPr>
                <w:noProof/>
                <w:webHidden/>
              </w:rPr>
              <w:t>11</w:t>
            </w:r>
            <w:r>
              <w:rPr>
                <w:noProof/>
                <w:webHidden/>
              </w:rPr>
              <w:fldChar w:fldCharType="end"/>
            </w:r>
          </w:hyperlink>
        </w:p>
        <w:p w14:paraId="28ED9D65" w14:textId="61C0657E" w:rsidR="00A34F12" w:rsidRDefault="00A34F12">
          <w:pPr>
            <w:pStyle w:val="TOC1"/>
            <w:tabs>
              <w:tab w:val="right" w:leader="dot" w:pos="9350"/>
            </w:tabs>
            <w:rPr>
              <w:rFonts w:asciiTheme="minorHAnsi" w:eastAsiaTheme="minorEastAsia" w:hAnsiTheme="minorHAnsi" w:cstheme="minorBidi"/>
              <w:noProof/>
              <w:lang w:eastAsia="en-GB"/>
              <w14:ligatures w14:val="standardContextual"/>
            </w:rPr>
          </w:pPr>
          <w:hyperlink w:anchor="_Toc218825009" w:history="1">
            <w:r w:rsidRPr="00E775E1">
              <w:rPr>
                <w:rStyle w:val="Hyperlink"/>
                <w:rFonts w:ascii="Calibri" w:hAnsi="Calibri" w:cs="Calibri"/>
                <w:b/>
                <w:bCs/>
                <w:noProof/>
              </w:rPr>
              <w:t>6.0 Plan and Use of Epidemiology to Assess Impact of Obesity</w:t>
            </w:r>
            <w:r>
              <w:rPr>
                <w:noProof/>
                <w:webHidden/>
              </w:rPr>
              <w:tab/>
            </w:r>
            <w:r>
              <w:rPr>
                <w:noProof/>
                <w:webHidden/>
              </w:rPr>
              <w:fldChar w:fldCharType="begin"/>
            </w:r>
            <w:r>
              <w:rPr>
                <w:noProof/>
                <w:webHidden/>
              </w:rPr>
              <w:instrText xml:space="preserve"> PAGEREF _Toc218825009 \h </w:instrText>
            </w:r>
            <w:r>
              <w:rPr>
                <w:noProof/>
                <w:webHidden/>
              </w:rPr>
            </w:r>
            <w:r>
              <w:rPr>
                <w:noProof/>
                <w:webHidden/>
              </w:rPr>
              <w:fldChar w:fldCharType="separate"/>
            </w:r>
            <w:r>
              <w:rPr>
                <w:noProof/>
                <w:webHidden/>
              </w:rPr>
              <w:t>11</w:t>
            </w:r>
            <w:r>
              <w:rPr>
                <w:noProof/>
                <w:webHidden/>
              </w:rPr>
              <w:fldChar w:fldCharType="end"/>
            </w:r>
          </w:hyperlink>
        </w:p>
        <w:p w14:paraId="3EBBE443" w14:textId="53C2558A" w:rsidR="00A34F12" w:rsidRDefault="00A34F12">
          <w:pPr>
            <w:pStyle w:val="TOC1"/>
            <w:tabs>
              <w:tab w:val="right" w:leader="dot" w:pos="9350"/>
            </w:tabs>
            <w:rPr>
              <w:rFonts w:asciiTheme="minorHAnsi" w:eastAsiaTheme="minorEastAsia" w:hAnsiTheme="minorHAnsi" w:cstheme="minorBidi"/>
              <w:noProof/>
              <w:lang w:eastAsia="en-GB"/>
              <w14:ligatures w14:val="standardContextual"/>
            </w:rPr>
          </w:pPr>
          <w:hyperlink w:anchor="_Toc218825010" w:history="1">
            <w:r w:rsidRPr="00E775E1">
              <w:rPr>
                <w:rStyle w:val="Hyperlink"/>
                <w:rFonts w:ascii="Calibri" w:hAnsi="Calibri" w:cs="Calibri"/>
                <w:b/>
                <w:bCs/>
                <w:noProof/>
              </w:rPr>
              <w:t>7.0 Health Intervention Programme</w:t>
            </w:r>
            <w:r>
              <w:rPr>
                <w:noProof/>
                <w:webHidden/>
              </w:rPr>
              <w:tab/>
            </w:r>
            <w:r>
              <w:rPr>
                <w:noProof/>
                <w:webHidden/>
              </w:rPr>
              <w:fldChar w:fldCharType="begin"/>
            </w:r>
            <w:r>
              <w:rPr>
                <w:noProof/>
                <w:webHidden/>
              </w:rPr>
              <w:instrText xml:space="preserve"> PAGEREF _Toc218825010 \h </w:instrText>
            </w:r>
            <w:r>
              <w:rPr>
                <w:noProof/>
                <w:webHidden/>
              </w:rPr>
            </w:r>
            <w:r>
              <w:rPr>
                <w:noProof/>
                <w:webHidden/>
              </w:rPr>
              <w:fldChar w:fldCharType="separate"/>
            </w:r>
            <w:r>
              <w:rPr>
                <w:noProof/>
                <w:webHidden/>
              </w:rPr>
              <w:t>12</w:t>
            </w:r>
            <w:r>
              <w:rPr>
                <w:noProof/>
                <w:webHidden/>
              </w:rPr>
              <w:fldChar w:fldCharType="end"/>
            </w:r>
          </w:hyperlink>
        </w:p>
        <w:p w14:paraId="4930BD80" w14:textId="18528389" w:rsidR="00A34F12" w:rsidRDefault="00A34F12">
          <w:pPr>
            <w:pStyle w:val="TOC1"/>
            <w:tabs>
              <w:tab w:val="right" w:leader="dot" w:pos="9350"/>
            </w:tabs>
            <w:rPr>
              <w:rFonts w:asciiTheme="minorHAnsi" w:eastAsiaTheme="minorEastAsia" w:hAnsiTheme="minorHAnsi" w:cstheme="minorBidi"/>
              <w:noProof/>
              <w:lang w:eastAsia="en-GB"/>
              <w14:ligatures w14:val="standardContextual"/>
            </w:rPr>
          </w:pPr>
          <w:hyperlink w:anchor="_Toc218825011" w:history="1">
            <w:r w:rsidRPr="00E775E1">
              <w:rPr>
                <w:rStyle w:val="Hyperlink"/>
                <w:rFonts w:ascii="Calibri" w:hAnsi="Calibri" w:cs="Calibri"/>
                <w:b/>
                <w:bCs/>
                <w:noProof/>
              </w:rPr>
              <w:t>8.0 Strengths &amp; Weaknesses of the Epidemiological Approach</w:t>
            </w:r>
            <w:r>
              <w:rPr>
                <w:noProof/>
                <w:webHidden/>
              </w:rPr>
              <w:tab/>
            </w:r>
            <w:r>
              <w:rPr>
                <w:noProof/>
                <w:webHidden/>
              </w:rPr>
              <w:fldChar w:fldCharType="begin"/>
            </w:r>
            <w:r>
              <w:rPr>
                <w:noProof/>
                <w:webHidden/>
              </w:rPr>
              <w:instrText xml:space="preserve"> PAGEREF _Toc218825011 \h </w:instrText>
            </w:r>
            <w:r>
              <w:rPr>
                <w:noProof/>
                <w:webHidden/>
              </w:rPr>
            </w:r>
            <w:r>
              <w:rPr>
                <w:noProof/>
                <w:webHidden/>
              </w:rPr>
              <w:fldChar w:fldCharType="separate"/>
            </w:r>
            <w:r>
              <w:rPr>
                <w:noProof/>
                <w:webHidden/>
              </w:rPr>
              <w:t>13</w:t>
            </w:r>
            <w:r>
              <w:rPr>
                <w:noProof/>
                <w:webHidden/>
              </w:rPr>
              <w:fldChar w:fldCharType="end"/>
            </w:r>
          </w:hyperlink>
        </w:p>
        <w:p w14:paraId="6DE2A533" w14:textId="2858CACE" w:rsidR="00A34F12" w:rsidRDefault="00A34F12">
          <w:pPr>
            <w:pStyle w:val="TOC1"/>
            <w:tabs>
              <w:tab w:val="right" w:leader="dot" w:pos="9350"/>
            </w:tabs>
            <w:rPr>
              <w:rFonts w:asciiTheme="minorHAnsi" w:eastAsiaTheme="minorEastAsia" w:hAnsiTheme="minorHAnsi" w:cstheme="minorBidi"/>
              <w:noProof/>
              <w:lang w:eastAsia="en-GB"/>
              <w14:ligatures w14:val="standardContextual"/>
            </w:rPr>
          </w:pPr>
          <w:hyperlink w:anchor="_Toc218825012" w:history="1">
            <w:r w:rsidRPr="00E775E1">
              <w:rPr>
                <w:rStyle w:val="Hyperlink"/>
                <w:rFonts w:ascii="Calibri" w:hAnsi="Calibri" w:cs="Calibri"/>
                <w:b/>
                <w:bCs/>
                <w:noProof/>
              </w:rPr>
              <w:t>References</w:t>
            </w:r>
            <w:r>
              <w:rPr>
                <w:noProof/>
                <w:webHidden/>
              </w:rPr>
              <w:tab/>
            </w:r>
            <w:r>
              <w:rPr>
                <w:noProof/>
                <w:webHidden/>
              </w:rPr>
              <w:fldChar w:fldCharType="begin"/>
            </w:r>
            <w:r>
              <w:rPr>
                <w:noProof/>
                <w:webHidden/>
              </w:rPr>
              <w:instrText xml:space="preserve"> PAGEREF _Toc218825012 \h </w:instrText>
            </w:r>
            <w:r>
              <w:rPr>
                <w:noProof/>
                <w:webHidden/>
              </w:rPr>
            </w:r>
            <w:r>
              <w:rPr>
                <w:noProof/>
                <w:webHidden/>
              </w:rPr>
              <w:fldChar w:fldCharType="separate"/>
            </w:r>
            <w:r>
              <w:rPr>
                <w:noProof/>
                <w:webHidden/>
              </w:rPr>
              <w:t>15</w:t>
            </w:r>
            <w:r>
              <w:rPr>
                <w:noProof/>
                <w:webHidden/>
              </w:rPr>
              <w:fldChar w:fldCharType="end"/>
            </w:r>
          </w:hyperlink>
        </w:p>
        <w:p w14:paraId="08DE1331" w14:textId="2AE87D3B" w:rsidR="00457AA5" w:rsidRDefault="00457AA5">
          <w:r>
            <w:rPr>
              <w:b/>
              <w:bCs/>
            </w:rPr>
            <w:fldChar w:fldCharType="end"/>
          </w:r>
        </w:p>
      </w:sdtContent>
    </w:sdt>
    <w:p w14:paraId="7C477C63" w14:textId="77777777" w:rsidR="005D5DB3" w:rsidRDefault="00000000">
      <w:pPr>
        <w:pStyle w:val="Heading1"/>
        <w:spacing w:before="0"/>
        <w:jc w:val="center"/>
        <w:rPr>
          <w:rFonts w:ascii="Calibri" w:hAnsi="Calibri" w:cs="Calibri"/>
          <w:b/>
          <w:bCs/>
          <w:color w:val="auto"/>
          <w:sz w:val="24"/>
          <w:szCs w:val="24"/>
        </w:rPr>
      </w:pPr>
      <w:bookmarkStart w:id="0" w:name="_Toc214709700"/>
      <w:bookmarkStart w:id="1" w:name="_Toc218824986"/>
      <w:r>
        <w:rPr>
          <w:rFonts w:ascii="Calibri" w:hAnsi="Calibri" w:cs="Calibri"/>
          <w:b/>
          <w:bCs/>
          <w:color w:val="auto"/>
          <w:sz w:val="24"/>
          <w:szCs w:val="24"/>
        </w:rPr>
        <w:lastRenderedPageBreak/>
        <w:t>Task 1: Social Epidemiological Analysis</w:t>
      </w:r>
      <w:bookmarkEnd w:id="0"/>
      <w:bookmarkEnd w:id="1"/>
    </w:p>
    <w:p w14:paraId="5D7BD5CD" w14:textId="77777777" w:rsidR="005D5DB3" w:rsidRDefault="00000000">
      <w:pPr>
        <w:pStyle w:val="Heading1"/>
        <w:rPr>
          <w:rFonts w:ascii="Calibri" w:hAnsi="Calibri" w:cs="Calibri"/>
          <w:b/>
          <w:bCs/>
          <w:color w:val="auto"/>
          <w:sz w:val="24"/>
          <w:szCs w:val="24"/>
        </w:rPr>
      </w:pPr>
      <w:bookmarkStart w:id="2" w:name="_Toc214709701"/>
      <w:bookmarkStart w:id="3" w:name="_Toc218824987"/>
      <w:r>
        <w:rPr>
          <w:rFonts w:ascii="Calibri" w:hAnsi="Calibri" w:cs="Calibri"/>
          <w:b/>
          <w:bCs/>
          <w:color w:val="auto"/>
          <w:sz w:val="24"/>
          <w:szCs w:val="24"/>
        </w:rPr>
        <w:t>1.0 Introduction</w:t>
      </w:r>
      <w:bookmarkEnd w:id="2"/>
      <w:bookmarkEnd w:id="3"/>
      <w:r>
        <w:rPr>
          <w:rFonts w:ascii="Calibri" w:hAnsi="Calibri" w:cs="Calibri"/>
          <w:b/>
          <w:bCs/>
          <w:color w:val="auto"/>
          <w:sz w:val="24"/>
          <w:szCs w:val="24"/>
        </w:rPr>
        <w:t xml:space="preserve"> </w:t>
      </w:r>
    </w:p>
    <w:p w14:paraId="72C612C7" w14:textId="77777777" w:rsidR="005D5DB3" w:rsidRDefault="00000000">
      <w:pPr>
        <w:spacing w:line="360" w:lineRule="auto"/>
        <w:jc w:val="both"/>
        <w:rPr>
          <w:rFonts w:ascii="Calibri" w:hAnsi="Calibri" w:cs="Calibri"/>
        </w:rPr>
      </w:pPr>
      <w:r>
        <w:rPr>
          <w:rFonts w:ascii="Calibri" w:hAnsi="Calibri" w:cs="Calibri"/>
        </w:rPr>
        <w:t xml:space="preserve">The health disparities experienced by Black Africans in the UK are caused by both the socioeconomic disadvantage, structural racism and postulates about the challenge of accessing culturally-sensitive </w:t>
      </w:r>
      <w:r w:rsidRPr="00AD4F77">
        <w:rPr>
          <w:rFonts w:ascii="Calibri" w:hAnsi="Calibri" w:cs="Calibri"/>
        </w:rPr>
        <w:t xml:space="preserve">healthcare (Otu et al., 2020). Research </w:t>
      </w:r>
      <w:r>
        <w:rPr>
          <w:rFonts w:ascii="Calibri" w:hAnsi="Calibri" w:cs="Calibri"/>
        </w:rPr>
        <w:t xml:space="preserve">indicates that black African people are more prone to </w:t>
      </w:r>
      <w:r w:rsidRPr="00AD4F77">
        <w:rPr>
          <w:rFonts w:ascii="Calibri" w:hAnsi="Calibri" w:cs="Calibri"/>
        </w:rPr>
        <w:t xml:space="preserve">hypertension and diabetes than white British citizens and this increases the health risks over the long term (Institute of Race Relations, 2025; Onuorah and Draper, 2025). </w:t>
      </w:r>
      <w:r>
        <w:rPr>
          <w:rFonts w:ascii="Calibri" w:hAnsi="Calibri" w:cs="Calibri"/>
        </w:rPr>
        <w:t xml:space="preserve">In addition, the health outcomes of black African women </w:t>
      </w:r>
      <w:r w:rsidRPr="00AD4F77">
        <w:rPr>
          <w:rFonts w:ascii="Calibri" w:hAnsi="Calibri" w:cs="Calibri"/>
        </w:rPr>
        <w:t xml:space="preserve">during childbirth are uneven, the incidence of hypertensive disorders during pregnancy is also higher (Thomas, 2024). These </w:t>
      </w:r>
      <w:r>
        <w:rPr>
          <w:rFonts w:ascii="Calibri" w:hAnsi="Calibri" w:cs="Calibri"/>
        </w:rPr>
        <w:t>differences are critical to understanding to inform the discriminative policy and health of the population.</w:t>
      </w:r>
    </w:p>
    <w:p w14:paraId="33CB5F6B" w14:textId="77777777" w:rsidR="005D5DB3" w:rsidRDefault="00000000">
      <w:pPr>
        <w:pStyle w:val="Heading2"/>
        <w:rPr>
          <w:rFonts w:ascii="Calibri" w:hAnsi="Calibri" w:cs="Calibri"/>
          <w:b/>
          <w:bCs/>
          <w:color w:val="auto"/>
          <w:sz w:val="24"/>
          <w:szCs w:val="24"/>
        </w:rPr>
      </w:pPr>
      <w:bookmarkStart w:id="4" w:name="_Toc214709702"/>
      <w:bookmarkStart w:id="5" w:name="_Toc218824988"/>
      <w:r>
        <w:rPr>
          <w:rFonts w:ascii="Calibri" w:hAnsi="Calibri" w:cs="Calibri"/>
          <w:b/>
          <w:bCs/>
          <w:color w:val="auto"/>
          <w:sz w:val="24"/>
          <w:szCs w:val="24"/>
        </w:rPr>
        <w:t>2.0 Contextual Background &amp; Underlying Factors</w:t>
      </w:r>
      <w:bookmarkEnd w:id="4"/>
      <w:bookmarkEnd w:id="5"/>
    </w:p>
    <w:p w14:paraId="1C1860EB" w14:textId="77777777" w:rsidR="005D5DB3" w:rsidRDefault="00000000">
      <w:pPr>
        <w:pStyle w:val="Heading2"/>
        <w:rPr>
          <w:rFonts w:ascii="Calibri" w:hAnsi="Calibri" w:cs="Calibri"/>
          <w:b/>
          <w:bCs/>
          <w:color w:val="auto"/>
          <w:sz w:val="24"/>
          <w:szCs w:val="24"/>
        </w:rPr>
      </w:pPr>
      <w:bookmarkStart w:id="6" w:name="_Toc214709703"/>
      <w:bookmarkStart w:id="7" w:name="_Toc218824989"/>
      <w:r>
        <w:rPr>
          <w:rFonts w:ascii="Calibri" w:hAnsi="Calibri" w:cs="Calibri"/>
          <w:b/>
          <w:bCs/>
          <w:color w:val="auto"/>
          <w:sz w:val="24"/>
          <w:szCs w:val="24"/>
        </w:rPr>
        <w:t>2.1 Disease/Illness Inequalities</w:t>
      </w:r>
      <w:bookmarkEnd w:id="6"/>
      <w:bookmarkEnd w:id="7"/>
    </w:p>
    <w:p w14:paraId="6E4AD110" w14:textId="77777777" w:rsidR="005D5DB3" w:rsidRDefault="00000000">
      <w:pPr>
        <w:pStyle w:val="Heading3"/>
        <w:rPr>
          <w:rFonts w:ascii="Calibri" w:hAnsi="Calibri" w:cs="Calibri"/>
          <w:b/>
          <w:bCs/>
          <w:color w:val="auto"/>
          <w:sz w:val="24"/>
          <w:szCs w:val="24"/>
        </w:rPr>
      </w:pPr>
      <w:bookmarkStart w:id="8" w:name="_Toc214709704"/>
      <w:bookmarkStart w:id="9" w:name="_Toc218824990"/>
      <w:r>
        <w:rPr>
          <w:rFonts w:ascii="Calibri" w:hAnsi="Calibri" w:cs="Calibri"/>
          <w:b/>
          <w:bCs/>
          <w:color w:val="auto"/>
          <w:sz w:val="24"/>
          <w:szCs w:val="24"/>
        </w:rPr>
        <w:t>2.1.1 Higher Rates of Hypertension</w:t>
      </w:r>
      <w:bookmarkEnd w:id="8"/>
      <w:bookmarkEnd w:id="9"/>
    </w:p>
    <w:p w14:paraId="47434DC5" w14:textId="77777777" w:rsidR="005D5DB3" w:rsidRDefault="00000000">
      <w:pPr>
        <w:spacing w:line="360" w:lineRule="auto"/>
        <w:jc w:val="both"/>
        <w:rPr>
          <w:rFonts w:ascii="Calibri" w:hAnsi="Calibri" w:cs="Calibri"/>
        </w:rPr>
      </w:pPr>
      <w:r>
        <w:rPr>
          <w:rFonts w:ascii="Calibri" w:hAnsi="Calibri" w:cs="Calibri"/>
        </w:rPr>
        <w:t>The proportion of hypertension among black African adults in the UK is disproportionately high, and the age-adjusted rates of the condition are among the highest among the ethnic groups, being about 39% (see figure 1</w:t>
      </w:r>
      <w:r w:rsidRPr="00AD4F77">
        <w:rPr>
          <w:rFonts w:ascii="Calibri" w:hAnsi="Calibri" w:cs="Calibri"/>
        </w:rPr>
        <w:t xml:space="preserve">) (NHS England, 2022). </w:t>
      </w:r>
    </w:p>
    <w:p w14:paraId="7C0B5B40" w14:textId="77777777" w:rsidR="005D5DB3" w:rsidRDefault="005D5DB3">
      <w:pPr>
        <w:spacing w:line="360" w:lineRule="auto"/>
        <w:jc w:val="both"/>
        <w:rPr>
          <w:rFonts w:ascii="Calibri" w:hAnsi="Calibri" w:cs="Calibri"/>
        </w:rPr>
      </w:pPr>
    </w:p>
    <w:p w14:paraId="5AB89A8A" w14:textId="77777777" w:rsidR="005D5DB3" w:rsidRDefault="005D5DB3">
      <w:pPr>
        <w:spacing w:line="360" w:lineRule="auto"/>
        <w:jc w:val="both"/>
        <w:rPr>
          <w:rFonts w:ascii="Calibri" w:hAnsi="Calibri" w:cs="Calibri"/>
        </w:rPr>
      </w:pPr>
    </w:p>
    <w:p w14:paraId="770D765F" w14:textId="77777777" w:rsidR="005D5DB3" w:rsidRDefault="005D5DB3">
      <w:pPr>
        <w:spacing w:line="360" w:lineRule="auto"/>
        <w:jc w:val="both"/>
        <w:rPr>
          <w:rFonts w:ascii="Calibri" w:hAnsi="Calibri" w:cs="Calibri"/>
        </w:rPr>
      </w:pPr>
    </w:p>
    <w:p w14:paraId="5A831D56" w14:textId="77777777" w:rsidR="005D5DB3" w:rsidRDefault="005D5DB3">
      <w:pPr>
        <w:spacing w:line="360" w:lineRule="auto"/>
        <w:jc w:val="both"/>
        <w:rPr>
          <w:rFonts w:ascii="Calibri" w:hAnsi="Calibri" w:cs="Calibri"/>
        </w:rPr>
      </w:pPr>
    </w:p>
    <w:p w14:paraId="73094BC6" w14:textId="77777777" w:rsidR="005D5DB3" w:rsidRDefault="00000000">
      <w:pPr>
        <w:spacing w:line="360" w:lineRule="auto"/>
        <w:jc w:val="both"/>
        <w:rPr>
          <w:rFonts w:ascii="Calibri" w:hAnsi="Calibri" w:cs="Calibri"/>
        </w:rPr>
      </w:pPr>
      <w:r>
        <w:rPr>
          <w:rFonts w:ascii="Calibri" w:hAnsi="Calibri" w:cs="Calibri"/>
          <w:noProof/>
        </w:rPr>
        <w:lastRenderedPageBreak/>
        <w:drawing>
          <wp:inline distT="0" distB="0" distL="0" distR="0" wp14:anchorId="051D682F" wp14:editId="543293D0">
            <wp:extent cx="6005665" cy="3179061"/>
            <wp:effectExtent l="0" t="0" r="0" b="0"/>
            <wp:docPr id="1" name="Images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s 3"/>
                    <pic:cNvPicPr/>
                  </pic:nvPicPr>
                  <pic:blipFill>
                    <a:blip r:embed="rId8"/>
                    <a:srcRect l="1309" t="1492" r="2748" b="3318"/>
                    <a:stretch>
                      <a:fillRect/>
                    </a:stretch>
                  </pic:blipFill>
                  <pic:spPr>
                    <a:xfrm>
                      <a:off x="0" y="0"/>
                      <a:ext cx="6005665" cy="3179061"/>
                    </a:xfrm>
                    <a:prstGeom prst="rect">
                      <a:avLst/>
                    </a:prstGeom>
                    <a:noFill/>
                    <a:ln w="12700" cap="flat" cmpd="sng">
                      <a:noFill/>
                      <a:prstDash val="solid"/>
                      <a:round/>
                    </a:ln>
                  </pic:spPr>
                </pic:pic>
              </a:graphicData>
            </a:graphic>
          </wp:inline>
        </w:drawing>
      </w:r>
    </w:p>
    <w:p w14:paraId="46ACDB79" w14:textId="77777777" w:rsidR="005D5DB3" w:rsidRDefault="00000000">
      <w:pPr>
        <w:spacing w:line="360" w:lineRule="auto"/>
        <w:jc w:val="center"/>
        <w:rPr>
          <w:rFonts w:ascii="Calibri" w:hAnsi="Calibri" w:cs="Calibri"/>
        </w:rPr>
      </w:pPr>
      <w:r>
        <w:rPr>
          <w:rFonts w:ascii="Calibri" w:hAnsi="Calibri" w:cs="Calibri"/>
        </w:rPr>
        <w:t>Figure 1: Prevalence of Hypertension among adult by ethnic group (Source: NHS England, 2022)</w:t>
      </w:r>
    </w:p>
    <w:p w14:paraId="706C8433" w14:textId="6010C028" w:rsidR="005D5DB3" w:rsidRDefault="00000000">
      <w:pPr>
        <w:spacing w:line="360" w:lineRule="auto"/>
        <w:jc w:val="both"/>
        <w:rPr>
          <w:rFonts w:ascii="Calibri" w:hAnsi="Calibri" w:cs="Calibri"/>
        </w:rPr>
      </w:pPr>
      <w:r>
        <w:rPr>
          <w:rFonts w:ascii="Calibri" w:hAnsi="Calibri" w:cs="Calibri"/>
        </w:rPr>
        <w:t xml:space="preserve">This disparity is motivated by both genetic </w:t>
      </w:r>
      <w:r w:rsidR="00A34F12">
        <w:rPr>
          <w:rFonts w:ascii="Calibri" w:hAnsi="Calibri" w:cs="Calibri"/>
        </w:rPr>
        <w:t>orientations</w:t>
      </w:r>
      <w:r>
        <w:rPr>
          <w:rFonts w:ascii="Calibri" w:hAnsi="Calibri" w:cs="Calibri"/>
        </w:rPr>
        <w:t xml:space="preserve">, such as increased salt sensitivity and low-renin hypertension, as well as environmental stressors and fewer access to culturally needed </w:t>
      </w:r>
      <w:r w:rsidRPr="00E32998">
        <w:rPr>
          <w:rFonts w:ascii="Calibri" w:hAnsi="Calibri" w:cs="Calibri"/>
        </w:rPr>
        <w:t xml:space="preserve">care (Action on Salt, 2024; Faconti et al., 2020). </w:t>
      </w:r>
      <w:r>
        <w:rPr>
          <w:rFonts w:ascii="Calibri" w:hAnsi="Calibri" w:cs="Calibri"/>
        </w:rPr>
        <w:t xml:space="preserve">Its impact is serious and causes increased risks of cardiovascular illness, damage to kidneys, and </w:t>
      </w:r>
      <w:r w:rsidRPr="00E32998">
        <w:rPr>
          <w:rFonts w:ascii="Calibri" w:hAnsi="Calibri" w:cs="Calibri"/>
        </w:rPr>
        <w:t xml:space="preserve">stroke (Campbell et al., 2023). </w:t>
      </w:r>
      <w:r>
        <w:rPr>
          <w:rFonts w:ascii="Calibri" w:hAnsi="Calibri" w:cs="Calibri"/>
        </w:rPr>
        <w:t>Among the measures to help minimize this gap, the following strategies may be identified: community-based BP monitoring, culturally specific dietary interventions, and an improved GP outreach programme (in relation to Black African communities) (</w:t>
      </w:r>
      <w:r w:rsidR="00AD4F77">
        <w:rPr>
          <w:rFonts w:ascii="Calibri" w:hAnsi="Calibri" w:cs="Calibri"/>
        </w:rPr>
        <w:t>Lambeth Together, 2023)</w:t>
      </w:r>
      <w:r>
        <w:rPr>
          <w:rFonts w:ascii="Calibri" w:hAnsi="Calibri" w:cs="Calibri"/>
        </w:rPr>
        <w:t>.</w:t>
      </w:r>
    </w:p>
    <w:p w14:paraId="0E18912A" w14:textId="77777777" w:rsidR="005D5DB3" w:rsidRDefault="00000000">
      <w:pPr>
        <w:pStyle w:val="Heading3"/>
        <w:rPr>
          <w:rFonts w:ascii="Calibri" w:hAnsi="Calibri" w:cs="Calibri"/>
          <w:b/>
          <w:bCs/>
          <w:color w:val="auto"/>
          <w:sz w:val="24"/>
          <w:szCs w:val="24"/>
        </w:rPr>
      </w:pPr>
      <w:bookmarkStart w:id="10" w:name="_Toc214709705"/>
      <w:bookmarkStart w:id="11" w:name="_Toc218824991"/>
      <w:r>
        <w:rPr>
          <w:rFonts w:ascii="Calibri" w:hAnsi="Calibri" w:cs="Calibri"/>
          <w:b/>
          <w:bCs/>
          <w:color w:val="auto"/>
          <w:sz w:val="24"/>
          <w:szCs w:val="24"/>
        </w:rPr>
        <w:t>2.1.2 Increased Risk of Type 2 Diabetes</w:t>
      </w:r>
      <w:bookmarkEnd w:id="10"/>
      <w:bookmarkEnd w:id="11"/>
    </w:p>
    <w:p w14:paraId="5F85BCD1" w14:textId="634C3024" w:rsidR="005D5DB3" w:rsidRDefault="00000000">
      <w:pPr>
        <w:spacing w:line="360" w:lineRule="auto"/>
        <w:jc w:val="both"/>
        <w:rPr>
          <w:rFonts w:ascii="Calibri" w:hAnsi="Calibri" w:cs="Calibri"/>
        </w:rPr>
      </w:pPr>
      <w:r>
        <w:rPr>
          <w:rFonts w:ascii="Calibri" w:hAnsi="Calibri" w:cs="Calibri"/>
        </w:rPr>
        <w:t xml:space="preserve">According </w:t>
      </w:r>
      <w:r w:rsidRPr="00AD4F77">
        <w:rPr>
          <w:rFonts w:ascii="Calibri" w:hAnsi="Calibri" w:cs="Calibri"/>
        </w:rPr>
        <w:t xml:space="preserve">to Pham et al., (2019) Black Africans in the UK have a high rate of type 2 diabetes, prevalence of Black ethnic groups is approximately </w:t>
      </w:r>
      <w:r>
        <w:rPr>
          <w:rFonts w:ascii="Calibri" w:hAnsi="Calibri" w:cs="Calibri"/>
        </w:rPr>
        <w:t xml:space="preserve">5.6% vs. 5.0% in the White British, and adjusted odds ratio of the disease diagnosis is 1.65. The biological issues are biological factors such as reduced insulin receptor number of insulin receptor antennae and cultural and socioeconomic factors like poverty and dietary choices and </w:t>
      </w:r>
      <w:r w:rsidRPr="00AD4F77">
        <w:rPr>
          <w:rFonts w:ascii="Calibri" w:hAnsi="Calibri" w:cs="Calibri"/>
        </w:rPr>
        <w:t>stigma (Diabetes UK, 202</w:t>
      </w:r>
      <w:r w:rsidR="00AD4F77" w:rsidRPr="00AD4F77">
        <w:rPr>
          <w:rFonts w:ascii="Calibri" w:hAnsi="Calibri" w:cs="Calibri"/>
        </w:rPr>
        <w:t>5</w:t>
      </w:r>
      <w:r w:rsidRPr="00AD4F77">
        <w:rPr>
          <w:rFonts w:ascii="Calibri" w:hAnsi="Calibri" w:cs="Calibri"/>
        </w:rPr>
        <w:t xml:space="preserve">). The </w:t>
      </w:r>
      <w:r>
        <w:rPr>
          <w:rFonts w:ascii="Calibri" w:hAnsi="Calibri" w:cs="Calibri"/>
        </w:rPr>
        <w:t xml:space="preserve">resultant impacts are the earlier onset, more complicated, and worse glycaemic control. The strategies to tackle these discrepancies include culturally sensitive lifestyle intervention, </w:t>
      </w:r>
      <w:r w:rsidRPr="00FB649C">
        <w:rPr>
          <w:rFonts w:ascii="Calibri" w:hAnsi="Calibri" w:cs="Calibri"/>
        </w:rPr>
        <w:lastRenderedPageBreak/>
        <w:t>community-based screening, and enhancing access to timely and equal care with diabetes (Diabetes UK, 2023).</w:t>
      </w:r>
    </w:p>
    <w:p w14:paraId="28A97F7C" w14:textId="77777777" w:rsidR="005D5DB3" w:rsidRDefault="00000000">
      <w:pPr>
        <w:pStyle w:val="Heading3"/>
        <w:rPr>
          <w:rFonts w:ascii="Calibri" w:hAnsi="Calibri" w:cs="Calibri"/>
          <w:b/>
          <w:bCs/>
          <w:color w:val="auto"/>
          <w:sz w:val="24"/>
          <w:szCs w:val="24"/>
        </w:rPr>
      </w:pPr>
      <w:bookmarkStart w:id="12" w:name="_Toc214709706"/>
      <w:bookmarkStart w:id="13" w:name="_Toc218824992"/>
      <w:r>
        <w:rPr>
          <w:rFonts w:ascii="Calibri" w:hAnsi="Calibri" w:cs="Calibri"/>
          <w:b/>
          <w:bCs/>
          <w:color w:val="auto"/>
          <w:sz w:val="24"/>
          <w:szCs w:val="24"/>
        </w:rPr>
        <w:t>2.1.3 Maternal Health Inequalities</w:t>
      </w:r>
      <w:bookmarkEnd w:id="12"/>
      <w:bookmarkEnd w:id="13"/>
    </w:p>
    <w:p w14:paraId="098C7E8F" w14:textId="77777777" w:rsidR="005D5DB3" w:rsidRDefault="00000000">
      <w:pPr>
        <w:spacing w:line="360" w:lineRule="auto"/>
        <w:jc w:val="both"/>
        <w:rPr>
          <w:rFonts w:ascii="Calibri" w:hAnsi="Calibri" w:cs="Calibri"/>
        </w:rPr>
      </w:pPr>
      <w:r>
        <w:rPr>
          <w:rFonts w:ascii="Calibri" w:hAnsi="Calibri" w:cs="Calibri"/>
        </w:rPr>
        <w:t xml:space="preserve">Maternal mortality rates are highly disproportionate against Black African women in the UK with statistics in 202022 indicating that women of Black ethnicity have nearly three times higher maternal death rates than women of White ethnicity (MBRRACE UK, 2023). Systemic racism, unconscious bias, and negative experience of care are some of the barriers to this disparity; most black women report that their concerns in labour are ignored, and they might not receive pain relief </w:t>
      </w:r>
      <w:r w:rsidRPr="00360DD2">
        <w:rPr>
          <w:rFonts w:ascii="Calibri" w:hAnsi="Calibri" w:cs="Calibri"/>
          <w:color w:val="000000" w:themeColor="text1"/>
        </w:rPr>
        <w:t xml:space="preserve">(Onanuga et al., 2023). </w:t>
      </w:r>
      <w:r>
        <w:rPr>
          <w:rFonts w:ascii="Calibri" w:hAnsi="Calibri" w:cs="Calibri"/>
        </w:rPr>
        <w:t>According to Adesina et al., (2025) propose strategies to deal with this, such as enhancing cultural competence in maternity staff, enhancing maternal outcomes monitoring by ethnicity, and special outreach to the Black African communities to achieve trust and enhanced care.</w:t>
      </w:r>
    </w:p>
    <w:p w14:paraId="6DDFE480" w14:textId="77777777" w:rsidR="005D5DB3" w:rsidRDefault="00000000">
      <w:pPr>
        <w:pStyle w:val="Heading2"/>
        <w:rPr>
          <w:rFonts w:ascii="Calibri" w:hAnsi="Calibri" w:cs="Calibri"/>
          <w:b/>
          <w:bCs/>
          <w:color w:val="auto"/>
          <w:sz w:val="24"/>
          <w:szCs w:val="24"/>
        </w:rPr>
      </w:pPr>
      <w:bookmarkStart w:id="14" w:name="_Toc214709707"/>
      <w:bookmarkStart w:id="15" w:name="_Toc218824993"/>
      <w:r>
        <w:rPr>
          <w:rFonts w:ascii="Calibri" w:hAnsi="Calibri" w:cs="Calibri"/>
          <w:b/>
          <w:bCs/>
          <w:color w:val="auto"/>
          <w:sz w:val="24"/>
          <w:szCs w:val="24"/>
        </w:rPr>
        <w:t>2.2 Social Issues</w:t>
      </w:r>
      <w:bookmarkEnd w:id="14"/>
      <w:bookmarkEnd w:id="15"/>
    </w:p>
    <w:p w14:paraId="414DF750" w14:textId="77777777" w:rsidR="005D5DB3" w:rsidRDefault="00000000">
      <w:pPr>
        <w:pStyle w:val="Heading3"/>
        <w:rPr>
          <w:rFonts w:ascii="Calibri" w:hAnsi="Calibri" w:cs="Calibri"/>
          <w:b/>
          <w:bCs/>
          <w:color w:val="auto"/>
          <w:sz w:val="24"/>
          <w:szCs w:val="24"/>
        </w:rPr>
      </w:pPr>
      <w:bookmarkStart w:id="16" w:name="_Toc214709708"/>
      <w:bookmarkStart w:id="17" w:name="_Toc218824994"/>
      <w:r>
        <w:rPr>
          <w:rFonts w:ascii="Calibri" w:hAnsi="Calibri" w:cs="Calibri"/>
          <w:b/>
          <w:bCs/>
          <w:color w:val="auto"/>
          <w:sz w:val="24"/>
          <w:szCs w:val="24"/>
        </w:rPr>
        <w:t>2.2.1 Socioeconomic Disadvantage and Poverty</w:t>
      </w:r>
      <w:bookmarkEnd w:id="16"/>
      <w:bookmarkEnd w:id="17"/>
    </w:p>
    <w:p w14:paraId="671598CB" w14:textId="74E2ABBB" w:rsidR="005D5DB3" w:rsidRDefault="00000000">
      <w:pPr>
        <w:spacing w:line="360" w:lineRule="auto"/>
        <w:jc w:val="both"/>
        <w:rPr>
          <w:rFonts w:ascii="Calibri" w:hAnsi="Calibri" w:cs="Calibri"/>
        </w:rPr>
      </w:pPr>
      <w:r>
        <w:rPr>
          <w:rFonts w:ascii="Calibri" w:hAnsi="Calibri" w:cs="Calibri"/>
        </w:rPr>
        <w:t>Black African communities in the UK are characterized by significant socioeconomic disadvantage when approximately 22% of the Black households have been living in persistent low income after housing costs versus 12% of the White British households (GOV.UK, 2025). They also have a higher number of very deep poverty, which is 2 3 times more likely to endure a long period of the poor compared to White households (</w:t>
      </w:r>
      <w:r w:rsidR="005910D8" w:rsidRPr="007E5850">
        <w:rPr>
          <w:rFonts w:ascii="Calibri" w:hAnsi="Calibri" w:cs="Calibri"/>
        </w:rPr>
        <w:t>Matejic</w:t>
      </w:r>
      <w:r w:rsidR="005910D8">
        <w:rPr>
          <w:rFonts w:ascii="Calibri" w:hAnsi="Calibri" w:cs="Calibri"/>
        </w:rPr>
        <w:t>, P.</w:t>
      </w:r>
      <w:r w:rsidR="005910D8">
        <w:rPr>
          <w:rFonts w:ascii="Calibri" w:hAnsi="Calibri" w:cs="Calibri"/>
        </w:rPr>
        <w:t xml:space="preserve"> et al</w:t>
      </w:r>
      <w:r>
        <w:rPr>
          <w:rFonts w:ascii="Calibri" w:hAnsi="Calibri" w:cs="Calibri"/>
        </w:rPr>
        <w:t>, 2024). Housing is the only area where Black African families are only 20% homeowners with 44% residing in social housing (Institute of Race Relations, 202</w:t>
      </w:r>
      <w:r w:rsidR="005910D8">
        <w:rPr>
          <w:rFonts w:ascii="Calibri" w:hAnsi="Calibri" w:cs="Calibri"/>
        </w:rPr>
        <w:t>4</w:t>
      </w:r>
      <w:r>
        <w:rPr>
          <w:rFonts w:ascii="Calibri" w:hAnsi="Calibri" w:cs="Calibri"/>
        </w:rPr>
        <w:t xml:space="preserve">; </w:t>
      </w:r>
      <w:r w:rsidR="006649A5" w:rsidRPr="006649A5">
        <w:rPr>
          <w:rFonts w:ascii="Calibri" w:hAnsi="Calibri" w:cs="Calibri"/>
        </w:rPr>
        <w:t>Mohdin and García, 2023). </w:t>
      </w:r>
      <w:r w:rsidR="004978E7" w:rsidRPr="004978E7">
        <w:rPr>
          <w:rFonts w:ascii="Calibri" w:hAnsi="Calibri" w:cs="Calibri"/>
        </w:rPr>
        <w:t>Such conditions are the cause of health inequalities because they expose individuals to stress, worse living conditions, and obstacles to care access (People's Health Trust, 202</w:t>
      </w:r>
      <w:r w:rsidR="004978E7">
        <w:rPr>
          <w:rFonts w:ascii="Calibri" w:hAnsi="Calibri" w:cs="Calibri"/>
        </w:rPr>
        <w:t>0</w:t>
      </w:r>
      <w:r w:rsidR="004978E7" w:rsidRPr="004978E7">
        <w:rPr>
          <w:rFonts w:ascii="Calibri" w:hAnsi="Calibri" w:cs="Calibri"/>
        </w:rPr>
        <w:t>).</w:t>
      </w:r>
      <w:r w:rsidR="004978E7">
        <w:rPr>
          <w:rFonts w:ascii="Calibri" w:hAnsi="Calibri" w:cs="Calibri"/>
        </w:rPr>
        <w:t xml:space="preserve"> </w:t>
      </w:r>
      <w:r>
        <w:rPr>
          <w:rFonts w:ascii="Calibri" w:hAnsi="Calibri" w:cs="Calibri"/>
        </w:rPr>
        <w:t>These can be remedied by implementing living wage employment policy, cheaper housing and social safety nets.</w:t>
      </w:r>
    </w:p>
    <w:p w14:paraId="429390B1" w14:textId="77777777" w:rsidR="005D5DB3" w:rsidRDefault="00000000">
      <w:pPr>
        <w:pStyle w:val="Heading3"/>
        <w:rPr>
          <w:rFonts w:ascii="Calibri" w:hAnsi="Calibri" w:cs="Calibri"/>
          <w:b/>
          <w:bCs/>
          <w:color w:val="auto"/>
          <w:sz w:val="24"/>
          <w:szCs w:val="24"/>
        </w:rPr>
      </w:pPr>
      <w:bookmarkStart w:id="18" w:name="_Toc214709709"/>
      <w:bookmarkStart w:id="19" w:name="_Toc218824995"/>
      <w:r>
        <w:rPr>
          <w:rFonts w:ascii="Calibri" w:hAnsi="Calibri" w:cs="Calibri"/>
          <w:b/>
          <w:bCs/>
          <w:color w:val="auto"/>
          <w:sz w:val="24"/>
          <w:szCs w:val="24"/>
        </w:rPr>
        <w:t>2.2.2 Racism and Discrimination in Healthcare</w:t>
      </w:r>
      <w:bookmarkEnd w:id="18"/>
      <w:bookmarkEnd w:id="19"/>
    </w:p>
    <w:p w14:paraId="3222B430" w14:textId="48A28754" w:rsidR="005D5DB3" w:rsidRDefault="00000000">
      <w:pPr>
        <w:spacing w:line="360" w:lineRule="auto"/>
        <w:jc w:val="both"/>
        <w:rPr>
          <w:rFonts w:ascii="Calibri" w:hAnsi="Calibri" w:cs="Calibri"/>
        </w:rPr>
      </w:pPr>
      <w:r>
        <w:rPr>
          <w:rFonts w:ascii="Calibri" w:hAnsi="Calibri" w:cs="Calibri"/>
        </w:rPr>
        <w:t xml:space="preserve">There is also high evidence that black African patients are prejudiced and unequally treated in the UK health care settings. It has been found that one out of five ethnic minorities has experienced racial discrimination in healthcare, which is associated with poorer self-rated </w:t>
      </w:r>
      <w:r>
        <w:rPr>
          <w:rFonts w:ascii="Calibri" w:hAnsi="Calibri" w:cs="Calibri"/>
        </w:rPr>
        <w:lastRenderedPageBreak/>
        <w:t>health and increased chronic disease (Hackett et al., 2020). CQC has also reported that ethnic minority patients feel disrespected or ignored, or stereotyped by the treatment (CQC, 2023). Such discrimination leads to distrust, tardiness in pursuing care, and poor performance (Abdisamad, 2023). Some of the interventions involve implicit bias training of clinicians, reinforcing cultural competency, and integrating anti-racism policies in the NHS organisations (</w:t>
      </w:r>
      <w:r w:rsidR="00BD1F73" w:rsidRPr="00BD1F73">
        <w:rPr>
          <w:rFonts w:ascii="Calibri" w:hAnsi="Calibri" w:cs="Calibri"/>
        </w:rPr>
        <w:t>Bryan</w:t>
      </w:r>
      <w:r w:rsidR="00BD1F73">
        <w:rPr>
          <w:rFonts w:ascii="Calibri" w:hAnsi="Calibri" w:cs="Calibri"/>
        </w:rPr>
        <w:t xml:space="preserve"> and</w:t>
      </w:r>
      <w:r w:rsidR="00BD1F73" w:rsidRPr="00BD1F73">
        <w:rPr>
          <w:rFonts w:ascii="Calibri" w:hAnsi="Calibri" w:cs="Calibri"/>
        </w:rPr>
        <w:t xml:space="preserve"> Farah</w:t>
      </w:r>
      <w:r>
        <w:rPr>
          <w:rFonts w:ascii="Calibri" w:hAnsi="Calibri" w:cs="Calibri"/>
        </w:rPr>
        <w:t>, 2024).</w:t>
      </w:r>
    </w:p>
    <w:p w14:paraId="78675FC3" w14:textId="77777777" w:rsidR="005D5DB3" w:rsidRDefault="00000000">
      <w:pPr>
        <w:pStyle w:val="Heading3"/>
        <w:rPr>
          <w:rFonts w:ascii="Calibri" w:hAnsi="Calibri" w:cs="Calibri"/>
          <w:b/>
          <w:bCs/>
          <w:color w:val="auto"/>
          <w:sz w:val="24"/>
          <w:szCs w:val="24"/>
        </w:rPr>
      </w:pPr>
      <w:bookmarkStart w:id="20" w:name="_Toc214709710"/>
      <w:bookmarkStart w:id="21" w:name="_Toc218824996"/>
      <w:r>
        <w:rPr>
          <w:rFonts w:ascii="Calibri" w:hAnsi="Calibri" w:cs="Calibri"/>
          <w:b/>
          <w:bCs/>
          <w:color w:val="auto"/>
          <w:sz w:val="24"/>
          <w:szCs w:val="24"/>
        </w:rPr>
        <w:t>2.2.3 Language and Cultural Barriers to Accessing Healthcare</w:t>
      </w:r>
      <w:bookmarkEnd w:id="20"/>
      <w:bookmarkEnd w:id="21"/>
    </w:p>
    <w:p w14:paraId="30D1C33D" w14:textId="5BDBEAEF" w:rsidR="005D5DB3" w:rsidRDefault="00000000">
      <w:pPr>
        <w:spacing w:line="360" w:lineRule="auto"/>
        <w:jc w:val="both"/>
        <w:rPr>
          <w:rFonts w:ascii="Calibri" w:hAnsi="Calibri" w:cs="Calibri"/>
        </w:rPr>
      </w:pPr>
      <w:r>
        <w:rPr>
          <w:rFonts w:ascii="Calibri" w:hAnsi="Calibri" w:cs="Calibri"/>
        </w:rPr>
        <w:t xml:space="preserve">The language and cultural barrier </w:t>
      </w:r>
      <w:r w:rsidR="00A34F12">
        <w:rPr>
          <w:rFonts w:ascii="Calibri" w:hAnsi="Calibri" w:cs="Calibri"/>
        </w:rPr>
        <w:t>are</w:t>
      </w:r>
      <w:r>
        <w:rPr>
          <w:rFonts w:ascii="Calibri" w:hAnsi="Calibri" w:cs="Calibri"/>
        </w:rPr>
        <w:t xml:space="preserve"> a frequent issue faced by Black African people in the UK when seeking healthcare services since most of the reports reduced English proficiency, which weakens the capacity to report their symptoms, comprehend medical guidance, or even interpret appointment letters (Pandey et al., 2021). These communication challenges help to reduce cancer screening uptake and delayed diagnostics, particularly in the case of such services as breast and cervical screening (Bolarinwa and Holt, 2023). Some of the solutions to </w:t>
      </w:r>
      <w:r w:rsidRPr="00C8574B">
        <w:rPr>
          <w:rFonts w:ascii="Calibri" w:hAnsi="Calibri" w:cs="Calibri"/>
        </w:rPr>
        <w:t>these challenges involve availing health promotion materials that have been translated into the relevant African languages, having professional interpreters, and hiring community link workers who act as a bridge between the healthcare system and the Black African communities (</w:t>
      </w:r>
      <w:r w:rsidR="00C8574B" w:rsidRPr="00C8574B">
        <w:rPr>
          <w:rFonts w:ascii="Calibri" w:hAnsi="Calibri" w:cs="Calibri"/>
        </w:rPr>
        <w:t>National Voices, 2023)</w:t>
      </w:r>
      <w:r w:rsidRPr="00C8574B">
        <w:rPr>
          <w:rFonts w:ascii="Calibri" w:hAnsi="Calibri" w:cs="Calibri"/>
        </w:rPr>
        <w:t>.</w:t>
      </w:r>
    </w:p>
    <w:p w14:paraId="7A3BB753" w14:textId="77777777" w:rsidR="005D5DB3" w:rsidRDefault="00000000">
      <w:pPr>
        <w:pStyle w:val="Heading1"/>
        <w:rPr>
          <w:rFonts w:ascii="Calibri" w:hAnsi="Calibri" w:cs="Calibri"/>
          <w:b/>
          <w:bCs/>
          <w:color w:val="auto"/>
          <w:sz w:val="24"/>
          <w:szCs w:val="24"/>
        </w:rPr>
      </w:pPr>
      <w:bookmarkStart w:id="22" w:name="_Toc214709711"/>
      <w:bookmarkStart w:id="23" w:name="_Toc218824997"/>
      <w:r>
        <w:rPr>
          <w:rFonts w:ascii="Calibri" w:hAnsi="Calibri" w:cs="Calibri"/>
          <w:b/>
          <w:bCs/>
          <w:color w:val="auto"/>
          <w:sz w:val="24"/>
          <w:szCs w:val="24"/>
        </w:rPr>
        <w:t>3.0</w:t>
      </w:r>
      <w:r>
        <w:rPr>
          <w:rFonts w:ascii="Calibri" w:hAnsi="Calibri" w:cs="Calibri"/>
          <w:color w:val="auto"/>
          <w:sz w:val="24"/>
          <w:szCs w:val="24"/>
        </w:rPr>
        <w:t xml:space="preserve"> </w:t>
      </w:r>
      <w:r>
        <w:rPr>
          <w:rFonts w:ascii="Calibri" w:eastAsia="Aptos" w:hAnsi="Calibri" w:cs="Calibri"/>
          <w:b/>
          <w:bCs/>
          <w:color w:val="auto"/>
          <w:sz w:val="24"/>
          <w:szCs w:val="24"/>
        </w:rPr>
        <w:t>National Response to Reduce Health Inequalities</w:t>
      </w:r>
      <w:bookmarkEnd w:id="22"/>
      <w:bookmarkEnd w:id="23"/>
    </w:p>
    <w:p w14:paraId="5FF4E5E2" w14:textId="12C96D44" w:rsidR="005D5DB3" w:rsidRDefault="00000000">
      <w:pPr>
        <w:spacing w:line="360" w:lineRule="auto"/>
        <w:jc w:val="both"/>
        <w:rPr>
          <w:rFonts w:ascii="Calibri" w:hAnsi="Calibri" w:cs="Calibri"/>
        </w:rPr>
      </w:pPr>
      <w:r>
        <w:rPr>
          <w:rFonts w:ascii="Calibri" w:hAnsi="Calibri" w:cs="Calibri"/>
        </w:rPr>
        <w:t>At the national level, the government of the UK developed the Office of Health Improvement and Disparities (OHID) in 2021 to spearhead cross government efforts around health disparities that affect Black ethnicities disproportionately (GOV.UK, 202</w:t>
      </w:r>
      <w:r w:rsidR="00AE1C0E">
        <w:rPr>
          <w:rFonts w:ascii="Calibri" w:hAnsi="Calibri" w:cs="Calibri"/>
        </w:rPr>
        <w:t>2</w:t>
      </w:r>
      <w:r>
        <w:rPr>
          <w:rFonts w:ascii="Calibri" w:hAnsi="Calibri" w:cs="Calibri"/>
        </w:rPr>
        <w:t>). OHID is organi</w:t>
      </w:r>
      <w:r w:rsidR="00AE1C0E">
        <w:rPr>
          <w:rFonts w:ascii="Calibri" w:hAnsi="Calibri" w:cs="Calibri"/>
        </w:rPr>
        <w:t>s</w:t>
      </w:r>
      <w:r>
        <w:rPr>
          <w:rFonts w:ascii="Calibri" w:hAnsi="Calibri" w:cs="Calibri"/>
        </w:rPr>
        <w:t>ing interventions relating to prevention, lifestyle, and social determinants through the Inclusive Britain plan (GOV.UK, 2024). Moreover, NHS England introduced the London Inspire Programme (to develop health literacy, conduct screenings, and involve the Black African and Caribbean populations in health-related activities that are culturally relevant) was a community led initiative (along with the Caribbean and African Health Network) (</w:t>
      </w:r>
      <w:r w:rsidR="002F10E5">
        <w:rPr>
          <w:rFonts w:ascii="Calibri" w:hAnsi="Calibri" w:cs="Calibri"/>
        </w:rPr>
        <w:t>Hammond</w:t>
      </w:r>
      <w:r>
        <w:rPr>
          <w:rFonts w:ascii="Calibri" w:hAnsi="Calibri" w:cs="Calibri"/>
        </w:rPr>
        <w:t>, 2024).</w:t>
      </w:r>
    </w:p>
    <w:p w14:paraId="5123FD52" w14:textId="77777777" w:rsidR="005D5DB3" w:rsidRDefault="00000000">
      <w:pPr>
        <w:pStyle w:val="Heading1"/>
        <w:rPr>
          <w:rFonts w:ascii="Calibri" w:hAnsi="Calibri" w:cs="Calibri"/>
          <w:b/>
          <w:bCs/>
          <w:color w:val="auto"/>
          <w:sz w:val="24"/>
          <w:szCs w:val="24"/>
        </w:rPr>
      </w:pPr>
      <w:bookmarkStart w:id="24" w:name="_Toc214709712"/>
      <w:bookmarkStart w:id="25" w:name="_Toc218824998"/>
      <w:r>
        <w:rPr>
          <w:rFonts w:ascii="Calibri" w:hAnsi="Calibri" w:cs="Calibri"/>
          <w:b/>
          <w:bCs/>
          <w:color w:val="auto"/>
          <w:sz w:val="24"/>
          <w:szCs w:val="24"/>
        </w:rPr>
        <w:lastRenderedPageBreak/>
        <w:t>4.0 Organisations Supporting the Group</w:t>
      </w:r>
      <w:bookmarkEnd w:id="24"/>
      <w:bookmarkEnd w:id="25"/>
    </w:p>
    <w:p w14:paraId="6CBA140B" w14:textId="5BCCBA4B" w:rsidR="005D5DB3" w:rsidRDefault="00000000">
      <w:pPr>
        <w:spacing w:line="360" w:lineRule="auto"/>
        <w:jc w:val="both"/>
        <w:rPr>
          <w:rFonts w:ascii="Calibri" w:hAnsi="Calibri" w:cs="Calibri"/>
          <w:lang w:val="en-US"/>
        </w:rPr>
      </w:pPr>
      <w:r>
        <w:rPr>
          <w:rFonts w:ascii="Calibri" w:hAnsi="Calibri" w:cs="Calibri"/>
          <w:lang w:val="en-US"/>
        </w:rPr>
        <w:t xml:space="preserve">The African Health Policy Network (AHPN) is one of the organisations that help the Black African populations in the UK. This organisation aims at increasing the awareness of health disparities, performing chronic illness research that unfairly affects Black Africans, and providing culturally-specific health education </w:t>
      </w:r>
      <w:r w:rsidR="00E32998">
        <w:rPr>
          <w:rFonts w:ascii="Calibri" w:hAnsi="Calibri" w:cs="Calibri"/>
          <w:lang w:val="en-US"/>
        </w:rPr>
        <w:t>programs</w:t>
      </w:r>
      <w:r>
        <w:rPr>
          <w:rFonts w:ascii="Calibri" w:hAnsi="Calibri" w:cs="Calibri"/>
          <w:lang w:val="en-US"/>
        </w:rPr>
        <w:t xml:space="preserve"> (AHPN, 202</w:t>
      </w:r>
      <w:r w:rsidR="00ED7620">
        <w:rPr>
          <w:rFonts w:ascii="Calibri" w:hAnsi="Calibri" w:cs="Calibri"/>
          <w:lang w:val="en-US"/>
        </w:rPr>
        <w:t>1</w:t>
      </w:r>
      <w:r>
        <w:rPr>
          <w:rFonts w:ascii="Calibri" w:hAnsi="Calibri" w:cs="Calibri"/>
          <w:lang w:val="en-US"/>
        </w:rPr>
        <w:t>). The organisation also promotes fair access to healthcare and partners with NHS programs to enhance early diagnosis and prevention and community involvement (AHPN, 202</w:t>
      </w:r>
      <w:r w:rsidR="00ED7620">
        <w:rPr>
          <w:rFonts w:ascii="Calibri" w:hAnsi="Calibri" w:cs="Calibri"/>
          <w:lang w:val="en-US"/>
        </w:rPr>
        <w:t>1</w:t>
      </w:r>
      <w:r>
        <w:rPr>
          <w:rFonts w:ascii="Calibri" w:hAnsi="Calibri" w:cs="Calibri"/>
          <w:lang w:val="en-US"/>
        </w:rPr>
        <w:t xml:space="preserve">). </w:t>
      </w:r>
    </w:p>
    <w:p w14:paraId="399FE15C" w14:textId="77777777" w:rsidR="005D5DB3" w:rsidRDefault="00000000">
      <w:pPr>
        <w:pStyle w:val="Heading1"/>
        <w:rPr>
          <w:rFonts w:ascii="Calibri" w:hAnsi="Calibri" w:cs="Calibri"/>
          <w:b/>
          <w:bCs/>
          <w:color w:val="auto"/>
          <w:sz w:val="24"/>
          <w:szCs w:val="24"/>
        </w:rPr>
      </w:pPr>
      <w:bookmarkStart w:id="26" w:name="_Toc214709713"/>
      <w:bookmarkStart w:id="27" w:name="_Toc218824999"/>
      <w:r>
        <w:rPr>
          <w:rFonts w:ascii="Calibri" w:hAnsi="Calibri" w:cs="Calibri"/>
          <w:b/>
          <w:bCs/>
          <w:color w:val="auto"/>
          <w:sz w:val="24"/>
          <w:szCs w:val="24"/>
        </w:rPr>
        <w:t>Conclusion</w:t>
      </w:r>
      <w:bookmarkEnd w:id="26"/>
      <w:bookmarkEnd w:id="27"/>
      <w:r>
        <w:rPr>
          <w:rFonts w:ascii="Calibri" w:hAnsi="Calibri" w:cs="Calibri"/>
          <w:b/>
          <w:bCs/>
          <w:color w:val="auto"/>
          <w:sz w:val="24"/>
          <w:szCs w:val="24"/>
        </w:rPr>
        <w:t xml:space="preserve"> </w:t>
      </w:r>
    </w:p>
    <w:p w14:paraId="45954789" w14:textId="77777777" w:rsidR="005D5DB3" w:rsidRDefault="00000000">
      <w:pPr>
        <w:spacing w:line="360" w:lineRule="auto"/>
        <w:jc w:val="both"/>
        <w:rPr>
          <w:rFonts w:ascii="Calibri" w:hAnsi="Calibri" w:cs="Calibri"/>
        </w:rPr>
      </w:pPr>
      <w:r>
        <w:rPr>
          <w:rFonts w:ascii="Calibri" w:hAnsi="Calibri" w:cs="Calibri"/>
        </w:rPr>
        <w:t>The Black African population in the UK experiences significant health inequalities, including higher rates of hypertension, type 2 diabetes, and maternal mortality, compounded by socioeconomic disadvantage, racism, and cultural or language barriers. National initiatives, such as OHID and NHS community programmes, alongside charities like the African Health Policy Network, play a crucial role in addressing these disparities. Continued culturally sensitive interventions and policy action are essential to improve health outcomes and reduce inequality.</w:t>
      </w:r>
    </w:p>
    <w:p w14:paraId="0AE626B1" w14:textId="77777777" w:rsidR="005D5DB3" w:rsidRDefault="005D5DB3">
      <w:pPr>
        <w:spacing w:line="360" w:lineRule="auto"/>
        <w:jc w:val="both"/>
        <w:rPr>
          <w:rFonts w:ascii="Calibri" w:hAnsi="Calibri" w:cs="Calibri"/>
        </w:rPr>
      </w:pPr>
    </w:p>
    <w:p w14:paraId="3A671890" w14:textId="77777777" w:rsidR="005D5DB3" w:rsidRDefault="005D5DB3">
      <w:pPr>
        <w:spacing w:line="360" w:lineRule="auto"/>
        <w:jc w:val="both"/>
        <w:rPr>
          <w:rFonts w:ascii="Calibri" w:hAnsi="Calibri" w:cs="Calibri"/>
        </w:rPr>
      </w:pPr>
    </w:p>
    <w:p w14:paraId="20261200" w14:textId="77777777" w:rsidR="005D5DB3" w:rsidRDefault="005D5DB3">
      <w:pPr>
        <w:spacing w:line="360" w:lineRule="auto"/>
        <w:jc w:val="both"/>
        <w:rPr>
          <w:rFonts w:ascii="Calibri" w:hAnsi="Calibri" w:cs="Calibri"/>
        </w:rPr>
      </w:pPr>
    </w:p>
    <w:p w14:paraId="6F8D3AA0" w14:textId="77777777" w:rsidR="005D5DB3" w:rsidRDefault="005D5DB3">
      <w:pPr>
        <w:spacing w:line="360" w:lineRule="auto"/>
        <w:jc w:val="both"/>
        <w:rPr>
          <w:rFonts w:ascii="Calibri" w:hAnsi="Calibri" w:cs="Calibri"/>
        </w:rPr>
      </w:pPr>
    </w:p>
    <w:p w14:paraId="180F07E9" w14:textId="77777777" w:rsidR="005D5DB3" w:rsidRDefault="005D5DB3">
      <w:pPr>
        <w:spacing w:line="360" w:lineRule="auto"/>
        <w:jc w:val="both"/>
        <w:rPr>
          <w:rFonts w:ascii="Calibri" w:hAnsi="Calibri" w:cs="Calibri"/>
        </w:rPr>
      </w:pPr>
    </w:p>
    <w:p w14:paraId="13AF2BD2" w14:textId="77777777" w:rsidR="005D5DB3" w:rsidRDefault="005D5DB3">
      <w:pPr>
        <w:spacing w:line="360" w:lineRule="auto"/>
        <w:jc w:val="both"/>
        <w:rPr>
          <w:rFonts w:ascii="Calibri" w:hAnsi="Calibri" w:cs="Calibri"/>
        </w:rPr>
      </w:pPr>
    </w:p>
    <w:p w14:paraId="4230D747" w14:textId="77777777" w:rsidR="005D5DB3" w:rsidRDefault="005D5DB3">
      <w:pPr>
        <w:spacing w:line="360" w:lineRule="auto"/>
        <w:jc w:val="both"/>
        <w:rPr>
          <w:rFonts w:ascii="Calibri" w:hAnsi="Calibri" w:cs="Calibri"/>
        </w:rPr>
      </w:pPr>
    </w:p>
    <w:p w14:paraId="66BF9D47" w14:textId="77777777" w:rsidR="005D5DB3" w:rsidRDefault="005D5DB3">
      <w:pPr>
        <w:spacing w:line="360" w:lineRule="auto"/>
        <w:jc w:val="both"/>
        <w:rPr>
          <w:rFonts w:ascii="Calibri" w:hAnsi="Calibri" w:cs="Calibri"/>
        </w:rPr>
      </w:pPr>
    </w:p>
    <w:p w14:paraId="60018881" w14:textId="77777777" w:rsidR="005D5DB3" w:rsidRDefault="005D5DB3">
      <w:pPr>
        <w:spacing w:line="360" w:lineRule="auto"/>
        <w:jc w:val="both"/>
        <w:rPr>
          <w:rFonts w:ascii="Calibri" w:hAnsi="Calibri" w:cs="Calibri"/>
        </w:rPr>
      </w:pPr>
    </w:p>
    <w:p w14:paraId="35DEA34B" w14:textId="77777777" w:rsidR="005D5DB3" w:rsidRDefault="005D5DB3">
      <w:pPr>
        <w:spacing w:line="360" w:lineRule="auto"/>
        <w:jc w:val="both"/>
        <w:rPr>
          <w:rFonts w:ascii="Calibri" w:hAnsi="Calibri" w:cs="Calibri"/>
        </w:rPr>
      </w:pPr>
    </w:p>
    <w:p w14:paraId="392B3356" w14:textId="77777777" w:rsidR="005D5DB3" w:rsidRDefault="005D5DB3">
      <w:pPr>
        <w:spacing w:line="360" w:lineRule="auto"/>
        <w:jc w:val="both"/>
        <w:rPr>
          <w:rFonts w:ascii="Calibri" w:hAnsi="Calibri" w:cs="Calibri"/>
        </w:rPr>
      </w:pPr>
    </w:p>
    <w:p w14:paraId="495D41D5" w14:textId="77777777" w:rsidR="005D5DB3" w:rsidRDefault="00000000">
      <w:pPr>
        <w:pStyle w:val="Heading1"/>
        <w:rPr>
          <w:rFonts w:ascii="Calibri" w:hAnsi="Calibri" w:cs="Calibri"/>
          <w:b/>
          <w:bCs/>
          <w:color w:val="auto"/>
          <w:sz w:val="24"/>
          <w:szCs w:val="24"/>
        </w:rPr>
      </w:pPr>
      <w:bookmarkStart w:id="28" w:name="_Toc214709714"/>
      <w:bookmarkStart w:id="29" w:name="_Toc218825000"/>
      <w:r>
        <w:rPr>
          <w:rFonts w:ascii="Calibri" w:hAnsi="Calibri" w:cs="Calibri"/>
          <w:b/>
          <w:bCs/>
          <w:color w:val="auto"/>
          <w:sz w:val="24"/>
          <w:szCs w:val="24"/>
        </w:rPr>
        <w:lastRenderedPageBreak/>
        <w:t>Task 2: Epidemiological Analysis</w:t>
      </w:r>
      <w:bookmarkEnd w:id="28"/>
      <w:bookmarkEnd w:id="29"/>
    </w:p>
    <w:p w14:paraId="19B36F2F" w14:textId="77777777" w:rsidR="005D5DB3" w:rsidRDefault="00000000">
      <w:pPr>
        <w:pStyle w:val="Heading1"/>
        <w:rPr>
          <w:rFonts w:ascii="Calibri" w:hAnsi="Calibri" w:cs="Calibri"/>
          <w:b/>
          <w:bCs/>
          <w:color w:val="auto"/>
          <w:sz w:val="24"/>
          <w:szCs w:val="24"/>
        </w:rPr>
      </w:pPr>
      <w:bookmarkStart w:id="30" w:name="_Toc214709715"/>
      <w:bookmarkStart w:id="31" w:name="_Toc218825001"/>
      <w:r>
        <w:rPr>
          <w:rFonts w:ascii="Calibri" w:hAnsi="Calibri" w:cs="Calibri"/>
          <w:b/>
          <w:bCs/>
          <w:color w:val="auto"/>
          <w:sz w:val="24"/>
          <w:szCs w:val="24"/>
        </w:rPr>
        <w:t>1.0 Introduction</w:t>
      </w:r>
      <w:bookmarkEnd w:id="30"/>
      <w:bookmarkEnd w:id="31"/>
    </w:p>
    <w:p w14:paraId="13BD19A5" w14:textId="327008DB" w:rsidR="005D5DB3" w:rsidRDefault="00000000">
      <w:pPr>
        <w:spacing w:line="360" w:lineRule="auto"/>
        <w:jc w:val="both"/>
        <w:rPr>
          <w:rFonts w:ascii="Calibri" w:hAnsi="Calibri" w:cs="Calibri"/>
        </w:rPr>
      </w:pPr>
      <w:r>
        <w:rPr>
          <w:rFonts w:ascii="Calibri" w:hAnsi="Calibri" w:cs="Calibri"/>
        </w:rPr>
        <w:t>Obesity is a chronic, multifactorial condition defined by excessive adiposity, commonly measured by body mass index (BMI ≥30 kg/m²), that substantially increases risk of cardiometabolic disease, some cancers and reduced quality of life (WHO, 202</w:t>
      </w:r>
      <w:r w:rsidR="00ED7FBE">
        <w:rPr>
          <w:rFonts w:ascii="Calibri" w:hAnsi="Calibri" w:cs="Calibri"/>
        </w:rPr>
        <w:t>5</w:t>
      </w:r>
      <w:r>
        <w:rPr>
          <w:rFonts w:ascii="Calibri" w:hAnsi="Calibri" w:cs="Calibri"/>
        </w:rPr>
        <w:t>). Worldwide, adult overweight (BMI ≥25) affects about 43% of adults and some 16% are living with obesity (2022 data), reflecting a long-term global rise. This translates into over 890 million adults with obesity globally (WHO, 202</w:t>
      </w:r>
      <w:r w:rsidR="00ED7FBE">
        <w:rPr>
          <w:rFonts w:ascii="Calibri" w:hAnsi="Calibri" w:cs="Calibri"/>
        </w:rPr>
        <w:t>5</w:t>
      </w:r>
      <w:r>
        <w:rPr>
          <w:rFonts w:ascii="Calibri" w:hAnsi="Calibri" w:cs="Calibri"/>
        </w:rPr>
        <w:t xml:space="preserve">). </w:t>
      </w:r>
    </w:p>
    <w:p w14:paraId="588D91ED" w14:textId="42313E4B" w:rsidR="005D5DB3" w:rsidRDefault="00000000">
      <w:pPr>
        <w:spacing w:line="360" w:lineRule="auto"/>
        <w:jc w:val="both"/>
        <w:rPr>
          <w:rFonts w:ascii="Calibri" w:hAnsi="Calibri" w:cs="Calibri"/>
        </w:rPr>
      </w:pPr>
      <w:r>
        <w:rPr>
          <w:rFonts w:ascii="Calibri" w:hAnsi="Calibri" w:cs="Calibri"/>
        </w:rPr>
        <w:t>In England, recent surveillance estimates 64.5% of adults were overweight or living with obesity in 2023–24, with 26.5% classified as obese, figures that have trended upward since 2015–16 (NHS Digital, 202</w:t>
      </w:r>
      <w:r w:rsidR="00DB006C">
        <w:rPr>
          <w:rFonts w:ascii="Calibri" w:hAnsi="Calibri" w:cs="Calibri"/>
        </w:rPr>
        <w:t>1</w:t>
      </w:r>
      <w:r>
        <w:rPr>
          <w:rFonts w:ascii="Calibri" w:hAnsi="Calibri" w:cs="Calibri"/>
        </w:rPr>
        <w:t xml:space="preserve">). Locally, Newham demonstrates a disproportionate burden: the borough’s Joint Strategic Needs Assessment reports an estimated 62–63% of adults classified as overweight or obese in 2022/23, higher than the London average and similar to England, exacerbated by deprivation, ethnic diversity and low physical activity (Newham Council, 2025). </w:t>
      </w:r>
    </w:p>
    <w:p w14:paraId="4A2419C6" w14:textId="77777777" w:rsidR="005D5DB3" w:rsidRDefault="00000000">
      <w:pPr>
        <w:pStyle w:val="Heading1"/>
        <w:rPr>
          <w:rFonts w:ascii="Calibri" w:hAnsi="Calibri" w:cs="Calibri"/>
          <w:b/>
          <w:bCs/>
          <w:color w:val="auto"/>
          <w:sz w:val="24"/>
          <w:szCs w:val="24"/>
        </w:rPr>
      </w:pPr>
      <w:bookmarkStart w:id="32" w:name="_Toc214709716"/>
      <w:bookmarkStart w:id="33" w:name="_Toc218825002"/>
      <w:r>
        <w:rPr>
          <w:rFonts w:ascii="Calibri" w:hAnsi="Calibri" w:cs="Calibri"/>
          <w:b/>
          <w:bCs/>
          <w:color w:val="auto"/>
          <w:sz w:val="24"/>
          <w:szCs w:val="24"/>
        </w:rPr>
        <w:t>2.0 Public Health Measures Using the 3 P’s</w:t>
      </w:r>
      <w:bookmarkEnd w:id="32"/>
      <w:bookmarkEnd w:id="33"/>
    </w:p>
    <w:p w14:paraId="65FD9140" w14:textId="77777777" w:rsidR="005D5DB3" w:rsidRDefault="00000000">
      <w:pPr>
        <w:spacing w:line="360" w:lineRule="auto"/>
        <w:jc w:val="both"/>
        <w:rPr>
          <w:rFonts w:ascii="Calibri" w:hAnsi="Calibri" w:cs="Calibri"/>
        </w:rPr>
      </w:pPr>
      <w:r>
        <w:rPr>
          <w:rFonts w:ascii="Calibri" w:hAnsi="Calibri" w:cs="Calibri"/>
        </w:rPr>
        <w:t>A range of public health measures have been implemented in Newham to prevent, manage and reduce adult obesity. These actions operate across primary, secondary and tertiary prevention levels to address behavioural, environmental and clinical risks.</w:t>
      </w:r>
    </w:p>
    <w:p w14:paraId="4BBA39AA" w14:textId="77777777" w:rsidR="005D5DB3" w:rsidRDefault="00000000">
      <w:pPr>
        <w:pStyle w:val="Heading2"/>
        <w:rPr>
          <w:rFonts w:ascii="Calibri" w:hAnsi="Calibri" w:cs="Calibri"/>
          <w:b/>
          <w:bCs/>
          <w:color w:val="auto"/>
          <w:sz w:val="24"/>
          <w:szCs w:val="24"/>
        </w:rPr>
      </w:pPr>
      <w:bookmarkStart w:id="34" w:name="_Toc214709717"/>
      <w:bookmarkStart w:id="35" w:name="_Toc218825003"/>
      <w:r>
        <w:rPr>
          <w:rFonts w:ascii="Calibri" w:hAnsi="Calibri" w:cs="Calibri"/>
          <w:b/>
          <w:bCs/>
          <w:color w:val="auto"/>
          <w:sz w:val="24"/>
          <w:szCs w:val="24"/>
        </w:rPr>
        <w:t>2.1 Primary Prevention (Prevent)</w:t>
      </w:r>
      <w:bookmarkEnd w:id="34"/>
      <w:bookmarkEnd w:id="35"/>
    </w:p>
    <w:p w14:paraId="4242FA70" w14:textId="36760C6A" w:rsidR="005D5DB3" w:rsidRDefault="00000000">
      <w:pPr>
        <w:spacing w:line="360" w:lineRule="auto"/>
        <w:jc w:val="both"/>
        <w:rPr>
          <w:rFonts w:ascii="Calibri" w:hAnsi="Calibri" w:cs="Calibri"/>
        </w:rPr>
      </w:pPr>
      <w:r>
        <w:rPr>
          <w:rFonts w:ascii="Calibri" w:hAnsi="Calibri" w:cs="Calibri"/>
        </w:rPr>
        <w:t xml:space="preserve">Primary prevention in Newham focuses on creating healthier environments and promoting population-wide behaviour change. The borough delivers </w:t>
      </w:r>
      <w:r>
        <w:rPr>
          <w:rFonts w:ascii="Calibri" w:hAnsi="Calibri" w:cs="Calibri"/>
          <w:b/>
          <w:bCs/>
        </w:rPr>
        <w:t>Healthy Newham</w:t>
      </w:r>
      <w:r>
        <w:rPr>
          <w:rFonts w:ascii="Calibri" w:hAnsi="Calibri" w:cs="Calibri"/>
        </w:rPr>
        <w:t xml:space="preserve">, a community-based programme offering culturally tailored nutrition workshops, cooking classes for low-income families, and physical-activity sessions targeting South Asian and Black communities, who experience higher metabolic risk (Newham Council, 2024). The </w:t>
      </w:r>
      <w:r>
        <w:rPr>
          <w:rFonts w:ascii="Calibri" w:hAnsi="Calibri" w:cs="Calibri"/>
          <w:b/>
          <w:bCs/>
        </w:rPr>
        <w:t>Active Newham</w:t>
      </w:r>
      <w:r>
        <w:rPr>
          <w:rFonts w:ascii="Calibri" w:hAnsi="Calibri" w:cs="Calibri"/>
        </w:rPr>
        <w:t xml:space="preserve"> initiative supports access to low-cost gyms, walking clubs and outdoor fitness sessions, contributing to improved activity levels in deprived wards. Environmental prevention includes restrictions on new fast-food outlets near schools through planning policies, increased green-space </w:t>
      </w:r>
      <w:r>
        <w:rPr>
          <w:rFonts w:ascii="Calibri" w:hAnsi="Calibri" w:cs="Calibri"/>
        </w:rPr>
        <w:lastRenderedPageBreak/>
        <w:t>maintenance, and enhanced cycling infrastructure (</w:t>
      </w:r>
      <w:r w:rsidR="00E75F94">
        <w:rPr>
          <w:rFonts w:ascii="Calibri" w:hAnsi="Calibri" w:cs="Calibri"/>
        </w:rPr>
        <w:t>Newham Council</w:t>
      </w:r>
      <w:r>
        <w:rPr>
          <w:rFonts w:ascii="Calibri" w:hAnsi="Calibri" w:cs="Calibri"/>
        </w:rPr>
        <w:t>, 202</w:t>
      </w:r>
      <w:r w:rsidR="00E75F94">
        <w:rPr>
          <w:rFonts w:ascii="Calibri" w:hAnsi="Calibri" w:cs="Calibri"/>
        </w:rPr>
        <w:t>5</w:t>
      </w:r>
      <w:r>
        <w:rPr>
          <w:rFonts w:ascii="Calibri" w:hAnsi="Calibri" w:cs="Calibri"/>
        </w:rPr>
        <w:t xml:space="preserve">). Public Health England’s Change4Life campaign is locally embedded through schools, community centres and ethnic-minority health ambassadors </w:t>
      </w:r>
      <w:r w:rsidR="00E75F94" w:rsidRPr="00E75F94">
        <w:rPr>
          <w:rFonts w:ascii="Calibri" w:hAnsi="Calibri" w:cs="Calibri"/>
        </w:rPr>
        <w:t>(NSMC, 2020)</w:t>
      </w:r>
      <w:r>
        <w:rPr>
          <w:rFonts w:ascii="Calibri" w:hAnsi="Calibri" w:cs="Calibri"/>
        </w:rPr>
        <w:t>.</w:t>
      </w:r>
    </w:p>
    <w:p w14:paraId="1E8E5FB3" w14:textId="77777777" w:rsidR="005D5DB3" w:rsidRDefault="00000000">
      <w:pPr>
        <w:pStyle w:val="Heading2"/>
        <w:rPr>
          <w:rFonts w:ascii="Calibri" w:hAnsi="Calibri" w:cs="Calibri"/>
          <w:b/>
          <w:bCs/>
          <w:color w:val="auto"/>
          <w:sz w:val="24"/>
          <w:szCs w:val="24"/>
        </w:rPr>
      </w:pPr>
      <w:bookmarkStart w:id="36" w:name="_Toc214709718"/>
      <w:bookmarkStart w:id="37" w:name="_Toc218825004"/>
      <w:r>
        <w:rPr>
          <w:rFonts w:ascii="Calibri" w:hAnsi="Calibri" w:cs="Calibri"/>
          <w:b/>
          <w:bCs/>
          <w:color w:val="auto"/>
          <w:sz w:val="24"/>
          <w:szCs w:val="24"/>
        </w:rPr>
        <w:t>2.2 Secondary Prevention (Protect)</w:t>
      </w:r>
      <w:bookmarkEnd w:id="36"/>
      <w:bookmarkEnd w:id="37"/>
    </w:p>
    <w:p w14:paraId="56FA14AB" w14:textId="185A5CC9" w:rsidR="005D5DB3" w:rsidRDefault="00000000">
      <w:pPr>
        <w:spacing w:line="360" w:lineRule="auto"/>
        <w:jc w:val="both"/>
        <w:rPr>
          <w:rFonts w:ascii="Calibri" w:hAnsi="Calibri" w:cs="Calibri"/>
        </w:rPr>
      </w:pPr>
      <w:r>
        <w:rPr>
          <w:rFonts w:ascii="Calibri" w:hAnsi="Calibri" w:cs="Calibri"/>
        </w:rPr>
        <w:t xml:space="preserve">Secondary prevention aims to identify overweight and obese adults early. Newham GPs participate in enhanced BMI monitoring under the Quality and Outcomes Framework (QOF), enabling routine identification of adults with raised BMI (NHS England, 2024). High-risk individuals are referred to the NHS Digital Weight Management Programme, which offers structured remote support for diet, behaviour change and physical activity. Community pharmacies run locally commissioned services that include BMI checks, blood pressure screening and healthy-lifestyle counselling (Newham </w:t>
      </w:r>
      <w:r w:rsidR="00F57747">
        <w:rPr>
          <w:rFonts w:ascii="Calibri" w:hAnsi="Calibri" w:cs="Calibri"/>
        </w:rPr>
        <w:t>Council</w:t>
      </w:r>
      <w:r>
        <w:rPr>
          <w:rFonts w:ascii="Calibri" w:hAnsi="Calibri" w:cs="Calibri"/>
        </w:rPr>
        <w:t>, 2025).</w:t>
      </w:r>
    </w:p>
    <w:p w14:paraId="52F7B844" w14:textId="77777777" w:rsidR="005D5DB3" w:rsidRDefault="00000000">
      <w:pPr>
        <w:pStyle w:val="Heading2"/>
        <w:rPr>
          <w:rFonts w:ascii="Calibri" w:hAnsi="Calibri" w:cs="Calibri"/>
          <w:b/>
          <w:bCs/>
          <w:color w:val="auto"/>
          <w:sz w:val="24"/>
          <w:szCs w:val="24"/>
        </w:rPr>
      </w:pPr>
      <w:bookmarkStart w:id="38" w:name="_Toc214709719"/>
      <w:bookmarkStart w:id="39" w:name="_Toc218825005"/>
      <w:r>
        <w:rPr>
          <w:rFonts w:ascii="Calibri" w:hAnsi="Calibri" w:cs="Calibri"/>
          <w:b/>
          <w:bCs/>
          <w:color w:val="auto"/>
          <w:sz w:val="24"/>
          <w:szCs w:val="24"/>
        </w:rPr>
        <w:t>2.3 Tertiary Prevention (Provide)</w:t>
      </w:r>
      <w:bookmarkEnd w:id="38"/>
      <w:bookmarkEnd w:id="39"/>
    </w:p>
    <w:p w14:paraId="0464E1DF" w14:textId="41AD03A8" w:rsidR="005D5DB3" w:rsidRDefault="00000000">
      <w:pPr>
        <w:spacing w:line="360" w:lineRule="auto"/>
        <w:jc w:val="both"/>
        <w:rPr>
          <w:rFonts w:ascii="Calibri" w:hAnsi="Calibri" w:cs="Calibri"/>
        </w:rPr>
      </w:pPr>
      <w:r>
        <w:rPr>
          <w:rFonts w:ascii="Calibri" w:hAnsi="Calibri" w:cs="Calibri"/>
        </w:rPr>
        <w:t xml:space="preserve">Tertiary prevention supports adults already living with severe obesity and associated conditions. Newham provides </w:t>
      </w:r>
      <w:r>
        <w:rPr>
          <w:rFonts w:ascii="Calibri" w:hAnsi="Calibri" w:cs="Calibri"/>
          <w:b/>
          <w:bCs/>
        </w:rPr>
        <w:t>Tier 3 multidisciplinary weight-management services</w:t>
      </w:r>
      <w:r>
        <w:rPr>
          <w:rFonts w:ascii="Calibri" w:hAnsi="Calibri" w:cs="Calibri"/>
        </w:rPr>
        <w:t xml:space="preserve"> involving dietitians, psychologists and physiotherapists, targeting complex cases and individuals preparing for bariatric </w:t>
      </w:r>
      <w:r w:rsidRPr="002A7F6F">
        <w:rPr>
          <w:rFonts w:ascii="Calibri" w:hAnsi="Calibri" w:cs="Calibri"/>
        </w:rPr>
        <w:t xml:space="preserve">referral </w:t>
      </w:r>
      <w:r w:rsidR="002A7F6F" w:rsidRPr="002A7F6F">
        <w:rPr>
          <w:rFonts w:ascii="Calibri" w:hAnsi="Calibri" w:cs="Calibri"/>
        </w:rPr>
        <w:t>(East</w:t>
      </w:r>
      <w:r w:rsidR="002A7F6F" w:rsidRPr="002A7F6F">
        <w:rPr>
          <w:rFonts w:ascii="Calibri" w:hAnsi="Calibri" w:cs="Calibri"/>
        </w:rPr>
        <w:t xml:space="preserve"> E</w:t>
      </w:r>
      <w:r w:rsidR="002A7F6F" w:rsidRPr="002A7F6F">
        <w:rPr>
          <w:rFonts w:ascii="Calibri" w:hAnsi="Calibri" w:cs="Calibri"/>
        </w:rPr>
        <w:t>nd</w:t>
      </w:r>
      <w:r w:rsidR="002A7F6F" w:rsidRPr="002A7F6F">
        <w:rPr>
          <w:rFonts w:ascii="Calibri" w:hAnsi="Calibri" w:cs="Calibri"/>
        </w:rPr>
        <w:t xml:space="preserve"> M</w:t>
      </w:r>
      <w:r w:rsidR="002A7F6F" w:rsidRPr="002A7F6F">
        <w:rPr>
          <w:rFonts w:ascii="Calibri" w:hAnsi="Calibri" w:cs="Calibri"/>
        </w:rPr>
        <w:t>edical</w:t>
      </w:r>
      <w:r w:rsidR="002A7F6F" w:rsidRPr="002A7F6F">
        <w:rPr>
          <w:rFonts w:ascii="Calibri" w:hAnsi="Calibri" w:cs="Calibri"/>
        </w:rPr>
        <w:t xml:space="preserve"> C</w:t>
      </w:r>
      <w:r w:rsidR="002A7F6F" w:rsidRPr="002A7F6F">
        <w:rPr>
          <w:rFonts w:ascii="Calibri" w:hAnsi="Calibri" w:cs="Calibri"/>
        </w:rPr>
        <w:t>entre, 2024</w:t>
      </w:r>
      <w:r w:rsidRPr="002A7F6F">
        <w:rPr>
          <w:rFonts w:ascii="Calibri" w:hAnsi="Calibri" w:cs="Calibri"/>
        </w:rPr>
        <w:t xml:space="preserve">). </w:t>
      </w:r>
      <w:r>
        <w:rPr>
          <w:rFonts w:ascii="Calibri" w:hAnsi="Calibri" w:cs="Calibri"/>
        </w:rPr>
        <w:t>Integrated care pathways for obesity-related diabetes, hypertension and sleep apnoea ensure long-term management and reduction of complications. Behaviour-change counselling, culturally adapted dietary interventions and long-term physical-activity support aim to improve quality of life and reduce obesity-related morbidity (McSweeney et al., 2025).</w:t>
      </w:r>
    </w:p>
    <w:p w14:paraId="2D39E155" w14:textId="77777777" w:rsidR="005D5DB3" w:rsidRDefault="00000000">
      <w:pPr>
        <w:pStyle w:val="Heading2"/>
        <w:rPr>
          <w:rFonts w:ascii="Calibri" w:hAnsi="Calibri" w:cs="Calibri"/>
          <w:b/>
          <w:bCs/>
          <w:color w:val="auto"/>
          <w:sz w:val="24"/>
          <w:szCs w:val="24"/>
        </w:rPr>
      </w:pPr>
      <w:bookmarkStart w:id="40" w:name="_Toc214709720"/>
      <w:bookmarkStart w:id="41" w:name="_Toc218825006"/>
      <w:r>
        <w:rPr>
          <w:rFonts w:ascii="Calibri" w:hAnsi="Calibri" w:cs="Calibri"/>
          <w:b/>
          <w:bCs/>
          <w:color w:val="auto"/>
          <w:sz w:val="24"/>
          <w:szCs w:val="24"/>
        </w:rPr>
        <w:t>3.0 Key Determinants/Risk Factors of Obesity</w:t>
      </w:r>
      <w:bookmarkEnd w:id="40"/>
      <w:bookmarkEnd w:id="41"/>
    </w:p>
    <w:p w14:paraId="208651FF" w14:textId="77777777" w:rsidR="005D5DB3" w:rsidRDefault="00000000">
      <w:pPr>
        <w:spacing w:line="360" w:lineRule="auto"/>
        <w:jc w:val="both"/>
        <w:rPr>
          <w:rFonts w:ascii="Calibri" w:hAnsi="Calibri" w:cs="Calibri"/>
        </w:rPr>
      </w:pPr>
      <w:r>
        <w:rPr>
          <w:rFonts w:ascii="Calibri" w:hAnsi="Calibri" w:cs="Calibri"/>
        </w:rPr>
        <w:t xml:space="preserve">Obesity in adults reflects interacting biological, behavioural, environmental and social determinants rather than a single cause. Individual-level drivers, such as, dietary excess, physical inactivity, genetics, are important but increasingly mediated by an “obesogenic” environment, dense fast-food availability, aggressive high-calorie marketing, and limited access to affordable healthy options, which shapes choices and sustains population-level weight gain (Pineda et al., 2024). </w:t>
      </w:r>
    </w:p>
    <w:p w14:paraId="5C046E7D" w14:textId="168EA2CC" w:rsidR="005D5DB3" w:rsidRDefault="00000000">
      <w:pPr>
        <w:spacing w:line="360" w:lineRule="auto"/>
        <w:jc w:val="both"/>
        <w:rPr>
          <w:rFonts w:ascii="Calibri" w:hAnsi="Calibri" w:cs="Calibri"/>
        </w:rPr>
      </w:pPr>
      <w:r>
        <w:rPr>
          <w:rFonts w:ascii="Calibri" w:hAnsi="Calibri" w:cs="Calibri"/>
        </w:rPr>
        <w:lastRenderedPageBreak/>
        <w:t xml:space="preserve">Socioeconomic disadvantage strongly amplifies risk: low income, insecure employment, and low educational attainment restrict healthy food access and leisure opportunities, producing pronounced inequalities in excess weight across English local authorities </w:t>
      </w:r>
      <w:r w:rsidR="001825C8" w:rsidRPr="001825C8">
        <w:rPr>
          <w:rFonts w:ascii="Calibri" w:hAnsi="Calibri" w:cs="Calibri"/>
        </w:rPr>
        <w:t>(Candio, Mujica and Frew, 2023)</w:t>
      </w:r>
      <w:r>
        <w:rPr>
          <w:rFonts w:ascii="Calibri" w:hAnsi="Calibri" w:cs="Calibri"/>
        </w:rPr>
        <w:t xml:space="preserve">. In Newham, systems-mapping work highlights how cultural food practices, language barriers, and fragmented services interact with structural deprivation to entrench dietary risk and limit intervention uptake (Renzella et al., 2025). </w:t>
      </w:r>
    </w:p>
    <w:p w14:paraId="310F9CDC" w14:textId="4914C98E" w:rsidR="005D5DB3" w:rsidRDefault="00000000">
      <w:pPr>
        <w:spacing w:line="360" w:lineRule="auto"/>
        <w:jc w:val="both"/>
        <w:rPr>
          <w:rFonts w:ascii="Calibri" w:hAnsi="Calibri" w:cs="Calibri"/>
        </w:rPr>
      </w:pPr>
      <w:r>
        <w:rPr>
          <w:rFonts w:ascii="Calibri" w:hAnsi="Calibri" w:cs="Calibri"/>
        </w:rPr>
        <w:t xml:space="preserve">Critically, many observational studies are cross-sectional and subject to confounding and measurement bias (self-reported BMI), limiting causal inference; nevertheless, convergent evidence from ecological, cohort and qualitative work </w:t>
      </w:r>
      <w:r w:rsidR="00A34F12">
        <w:rPr>
          <w:rFonts w:ascii="Calibri" w:hAnsi="Calibri" w:cs="Calibri"/>
        </w:rPr>
        <w:t>support</w:t>
      </w:r>
      <w:r>
        <w:rPr>
          <w:rFonts w:ascii="Calibri" w:hAnsi="Calibri" w:cs="Calibri"/>
        </w:rPr>
        <w:t xml:space="preserve"> policy targeting food environments and socioeconomic drivers alongside individual behaviour change for effective, equitable obesity prevention (Pineda et al., 2024; </w:t>
      </w:r>
      <w:r w:rsidR="0062430F" w:rsidRPr="001825C8">
        <w:rPr>
          <w:rFonts w:ascii="Calibri" w:hAnsi="Calibri" w:cs="Calibri"/>
        </w:rPr>
        <w:t>Candio, Mujica and Frew, 2023</w:t>
      </w:r>
      <w:r>
        <w:rPr>
          <w:rFonts w:ascii="Calibri" w:hAnsi="Calibri" w:cs="Calibri"/>
        </w:rPr>
        <w:t>).</w:t>
      </w:r>
    </w:p>
    <w:p w14:paraId="3F016988" w14:textId="77777777" w:rsidR="005D5DB3" w:rsidRDefault="00000000">
      <w:pPr>
        <w:pStyle w:val="Heading2"/>
        <w:rPr>
          <w:rFonts w:ascii="Calibri" w:hAnsi="Calibri" w:cs="Calibri"/>
          <w:b/>
          <w:bCs/>
          <w:color w:val="auto"/>
          <w:sz w:val="24"/>
          <w:szCs w:val="24"/>
        </w:rPr>
      </w:pPr>
      <w:bookmarkStart w:id="42" w:name="_Toc214709721"/>
      <w:bookmarkStart w:id="43" w:name="_Toc218825007"/>
      <w:r>
        <w:rPr>
          <w:rFonts w:ascii="Calibri" w:hAnsi="Calibri" w:cs="Calibri"/>
          <w:b/>
          <w:bCs/>
          <w:color w:val="auto"/>
          <w:sz w:val="24"/>
          <w:szCs w:val="24"/>
        </w:rPr>
        <w:t>4.0 Epidemiological Studies &amp; Health Needs Assessment (HNA) in Newham</w:t>
      </w:r>
      <w:bookmarkEnd w:id="42"/>
      <w:bookmarkEnd w:id="43"/>
    </w:p>
    <w:p w14:paraId="343A566E" w14:textId="77777777" w:rsidR="005D5DB3" w:rsidRDefault="00000000">
      <w:pPr>
        <w:spacing w:line="360" w:lineRule="auto"/>
        <w:jc w:val="both"/>
        <w:rPr>
          <w:rFonts w:ascii="Calibri" w:hAnsi="Calibri" w:cs="Calibri"/>
        </w:rPr>
      </w:pPr>
      <w:r>
        <w:rPr>
          <w:rFonts w:ascii="Calibri" w:hAnsi="Calibri" w:cs="Calibri"/>
        </w:rPr>
        <w:t xml:space="preserve">Epidemiological studies indicate that in Newham, obesity is disproportionately prevalent among certain demographic, socioeconomic, ethnic groups of people, and there are clear priority populations to work with. The latest NHS and local authority surveillance has shown that more than 65 percent of adult residents of Newham are overweight or obese, which is considerably larger than the proportions in London and England (Newham Council, 2024). Health Needs Assessments (HNAs) also indicate that the risk is clustered between adults residing in the most deprived wards, with Plaistow South, Custom House, and Canning Town being the areas that have structural determinants of risk, including food insecurity, low income, low green space and high concentration of fast-food restaurants, aggravating the vulnerability (Renzella et al., 2025). </w:t>
      </w:r>
    </w:p>
    <w:p w14:paraId="3D129380" w14:textId="47EAAAE3" w:rsidR="005D5DB3" w:rsidRDefault="00000000">
      <w:pPr>
        <w:spacing w:line="360" w:lineRule="auto"/>
        <w:jc w:val="both"/>
        <w:rPr>
          <w:rFonts w:ascii="Calibri" w:hAnsi="Calibri" w:cs="Calibri"/>
        </w:rPr>
      </w:pPr>
      <w:r>
        <w:rPr>
          <w:rFonts w:ascii="Calibri" w:hAnsi="Calibri" w:cs="Calibri"/>
        </w:rPr>
        <w:t xml:space="preserve">The epidemiological literature has continued to show high rates of obesity within the Black African, Black Caribbean, Bangladeshi and Pakistani groups in urban UK contexts because of culturally patterned diets, lack of access to physical activities, and socioeconomic injustices (Ajetunmobi, 2024). More precisely, the findings of HNA in Newham indicate that migrant adults, low-income households, and those with a limited command of the English language are more at risk and with a worse access to preventive services, which exacerbates long-term disadvantage (Newham Council, 2024). Adults with comorbidities, such as type 2 diabetes, </w:t>
      </w:r>
      <w:r>
        <w:rPr>
          <w:rFonts w:ascii="Calibri" w:hAnsi="Calibri" w:cs="Calibri"/>
        </w:rPr>
        <w:lastRenderedPageBreak/>
        <w:t xml:space="preserve">hypertension and mental health disorders, are also disproportionately impacted, which indicates bidirectional correlations between the chronic disease and excess weight </w:t>
      </w:r>
      <w:r w:rsidR="00FA60E0" w:rsidRPr="00FA60E0">
        <w:rPr>
          <w:rFonts w:ascii="Calibri" w:hAnsi="Calibri" w:cs="Calibri"/>
        </w:rPr>
        <w:t>(Birch et al., 2025</w:t>
      </w:r>
      <w:r>
        <w:rPr>
          <w:rFonts w:ascii="Calibri" w:hAnsi="Calibri" w:cs="Calibri"/>
        </w:rPr>
        <w:t>).</w:t>
      </w:r>
    </w:p>
    <w:p w14:paraId="0CB171AA" w14:textId="77777777" w:rsidR="005D5DB3" w:rsidRDefault="00000000">
      <w:pPr>
        <w:pStyle w:val="Heading2"/>
        <w:rPr>
          <w:rFonts w:ascii="Calibri" w:hAnsi="Calibri" w:cs="Calibri"/>
          <w:b/>
          <w:bCs/>
          <w:color w:val="auto"/>
          <w:sz w:val="24"/>
          <w:szCs w:val="24"/>
        </w:rPr>
      </w:pPr>
      <w:bookmarkStart w:id="44" w:name="_Toc214709722"/>
      <w:bookmarkStart w:id="45" w:name="_Toc218825008"/>
      <w:r>
        <w:rPr>
          <w:rFonts w:ascii="Calibri" w:hAnsi="Calibri" w:cs="Calibri"/>
          <w:b/>
          <w:bCs/>
          <w:color w:val="auto"/>
          <w:sz w:val="24"/>
          <w:szCs w:val="24"/>
        </w:rPr>
        <w:t>5.0 Public Health Surveillance and Monitoring Systems</w:t>
      </w:r>
      <w:bookmarkEnd w:id="44"/>
      <w:bookmarkEnd w:id="45"/>
    </w:p>
    <w:p w14:paraId="0E624A46" w14:textId="391FC9C3" w:rsidR="005D5DB3" w:rsidRDefault="00000000">
      <w:pPr>
        <w:spacing w:line="360" w:lineRule="auto"/>
        <w:jc w:val="both"/>
        <w:rPr>
          <w:rFonts w:ascii="Calibri" w:hAnsi="Calibri" w:cs="Calibri"/>
        </w:rPr>
      </w:pPr>
      <w:r>
        <w:rPr>
          <w:rFonts w:ascii="Calibri" w:hAnsi="Calibri" w:cs="Calibri"/>
        </w:rPr>
        <w:t xml:space="preserve">The national and local public health surveillance systems, according to Patil et al., (2020), are a combination that the author intends to monitor obesity among adult people in Newham </w:t>
      </w:r>
      <w:r w:rsidR="00A34F12">
        <w:rPr>
          <w:rFonts w:ascii="Calibri" w:hAnsi="Calibri" w:cs="Calibri"/>
        </w:rPr>
        <w:t>to</w:t>
      </w:r>
      <w:r>
        <w:rPr>
          <w:rFonts w:ascii="Calibri" w:hAnsi="Calibri" w:cs="Calibri"/>
        </w:rPr>
        <w:t xml:space="preserve"> monitor the prevalence of obesity, the risk groups, and inform the interventions. Passive surveillance is performed by normal data collection within general practice and hospital environments, such as the Quality and Outcomes Framework (QOF), in which BMI, comorbidities, and weight-management referrals are recorded (NHS England, 2024). Active surveillance is done using population-based surveys including the Health Survey for England (HSE) and the National Child Measurement Programme (NCMP), adjusted in each region to monitor the trends of BMI in adults (Broadbent et al., 2024). </w:t>
      </w:r>
    </w:p>
    <w:p w14:paraId="6BC805CA" w14:textId="77777777" w:rsidR="005D5DB3" w:rsidRDefault="00000000">
      <w:pPr>
        <w:spacing w:line="360" w:lineRule="auto"/>
        <w:jc w:val="both"/>
        <w:rPr>
          <w:rFonts w:ascii="Calibri" w:hAnsi="Calibri" w:cs="Calibri"/>
        </w:rPr>
      </w:pPr>
      <w:r>
        <w:rPr>
          <w:rFonts w:ascii="Calibri" w:hAnsi="Calibri" w:cs="Calibri"/>
        </w:rPr>
        <w:t>Sentinel surveillance is the chosen GP practices reporting detailed data on obesity related measures to be used in research and early detection of increasing prevalence of obesity in particular wards. Obesity-related diseases, including type 2 diabetes and hypertension, are the syndromic surveillance of obesity to detect new trends (Renzella et al., 2025). On a local level, Newham Council uses such datasets as a part of the Joint Strategic Needs Assessment (JSNA) to generate borough-level obesity profiles that would help to introduce targeted interventions and track the progress over time (Newham Council, 2025).</w:t>
      </w:r>
    </w:p>
    <w:p w14:paraId="73931695" w14:textId="77777777" w:rsidR="005D5DB3" w:rsidRDefault="00000000">
      <w:pPr>
        <w:pStyle w:val="Heading1"/>
        <w:rPr>
          <w:rFonts w:ascii="Calibri" w:hAnsi="Calibri" w:cs="Calibri"/>
          <w:b/>
          <w:bCs/>
          <w:color w:val="auto"/>
          <w:sz w:val="24"/>
          <w:szCs w:val="24"/>
        </w:rPr>
      </w:pPr>
      <w:bookmarkStart w:id="46" w:name="_Toc214709723"/>
      <w:bookmarkStart w:id="47" w:name="_Toc218825009"/>
      <w:r>
        <w:rPr>
          <w:rFonts w:ascii="Calibri" w:hAnsi="Calibri" w:cs="Calibri"/>
          <w:b/>
          <w:bCs/>
          <w:color w:val="auto"/>
          <w:sz w:val="24"/>
          <w:szCs w:val="24"/>
        </w:rPr>
        <w:t>6.0 Plan and Use of Epidemiology to Assess Impact of Obesity</w:t>
      </w:r>
      <w:bookmarkEnd w:id="46"/>
      <w:bookmarkEnd w:id="47"/>
    </w:p>
    <w:p w14:paraId="6CD64A3D" w14:textId="77777777" w:rsidR="005D5DB3" w:rsidRDefault="00000000">
      <w:pPr>
        <w:spacing w:line="360" w:lineRule="auto"/>
        <w:jc w:val="both"/>
        <w:rPr>
          <w:rFonts w:ascii="Calibri" w:hAnsi="Calibri" w:cs="Calibri"/>
        </w:rPr>
      </w:pPr>
      <w:r>
        <w:rPr>
          <w:rFonts w:ascii="Calibri" w:hAnsi="Calibri" w:cs="Calibri"/>
        </w:rPr>
        <w:t>Epidemiology provides a structured approach to quantify the burden of obesity, identify at-risk populations, and assess short- and long-term health, social, and economic consequences in Newham. Data from local surveillance and national studies highlight disproportionate impacts in deprived wards as seen in Table 1</w:t>
      </w:r>
    </w:p>
    <w:p w14:paraId="4B2E56F9" w14:textId="77777777" w:rsidR="002B7D5B" w:rsidRDefault="002B7D5B">
      <w:pPr>
        <w:spacing w:line="360" w:lineRule="auto"/>
        <w:jc w:val="both"/>
        <w:rPr>
          <w:rFonts w:ascii="Calibri" w:hAnsi="Calibri" w:cs="Calibri"/>
        </w:rPr>
      </w:pPr>
    </w:p>
    <w:tbl>
      <w:tblPr>
        <w:tblW w:w="11250" w:type="dxa"/>
        <w:tblInd w:w="-9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2687"/>
        <w:gridCol w:w="5964"/>
        <w:gridCol w:w="2599"/>
      </w:tblGrid>
      <w:tr w:rsidR="005D5DB3" w14:paraId="49487734" w14:textId="77777777">
        <w:tc>
          <w:tcPr>
            <w:tcW w:w="2790" w:type="dxa"/>
            <w:vAlign w:val="center"/>
          </w:tcPr>
          <w:p w14:paraId="73EAE697" w14:textId="77777777" w:rsidR="005D5DB3" w:rsidRDefault="00000000">
            <w:pPr>
              <w:spacing w:line="360" w:lineRule="auto"/>
              <w:jc w:val="center"/>
              <w:rPr>
                <w:rFonts w:ascii="Calibri" w:hAnsi="Calibri" w:cs="Calibri"/>
              </w:rPr>
            </w:pPr>
            <w:r>
              <w:rPr>
                <w:rFonts w:ascii="Calibri" w:hAnsi="Calibri" w:cs="Calibri"/>
                <w:b/>
                <w:bCs/>
              </w:rPr>
              <w:lastRenderedPageBreak/>
              <w:t>Impact Level</w:t>
            </w:r>
          </w:p>
        </w:tc>
        <w:tc>
          <w:tcPr>
            <w:tcW w:w="5760" w:type="dxa"/>
            <w:vAlign w:val="center"/>
          </w:tcPr>
          <w:p w14:paraId="159D265E" w14:textId="77777777" w:rsidR="005D5DB3" w:rsidRDefault="00000000">
            <w:pPr>
              <w:spacing w:line="360" w:lineRule="auto"/>
              <w:jc w:val="center"/>
              <w:rPr>
                <w:rFonts w:ascii="Calibri" w:hAnsi="Calibri" w:cs="Calibri"/>
              </w:rPr>
            </w:pPr>
            <w:r>
              <w:rPr>
                <w:rFonts w:ascii="Calibri" w:hAnsi="Calibri" w:cs="Calibri"/>
                <w:b/>
                <w:bCs/>
              </w:rPr>
              <w:t>Economic Consequences</w:t>
            </w:r>
          </w:p>
        </w:tc>
        <w:tc>
          <w:tcPr>
            <w:tcW w:w="2700" w:type="dxa"/>
            <w:vAlign w:val="center"/>
          </w:tcPr>
          <w:p w14:paraId="48D5B333" w14:textId="77777777" w:rsidR="005D5DB3" w:rsidRDefault="00000000">
            <w:pPr>
              <w:spacing w:line="360" w:lineRule="auto"/>
              <w:jc w:val="center"/>
              <w:rPr>
                <w:rFonts w:ascii="Calibri" w:hAnsi="Calibri" w:cs="Calibri"/>
              </w:rPr>
            </w:pPr>
            <w:r>
              <w:rPr>
                <w:rFonts w:ascii="Calibri" w:hAnsi="Calibri" w:cs="Calibri"/>
                <w:b/>
                <w:bCs/>
              </w:rPr>
              <w:t>Evidence / Source</w:t>
            </w:r>
          </w:p>
        </w:tc>
      </w:tr>
      <w:tr w:rsidR="005D5DB3" w14:paraId="683301B3" w14:textId="77777777">
        <w:tc>
          <w:tcPr>
            <w:tcW w:w="2790" w:type="dxa"/>
            <w:vAlign w:val="center"/>
          </w:tcPr>
          <w:p w14:paraId="7C11F142" w14:textId="77777777" w:rsidR="005D5DB3" w:rsidRDefault="00000000">
            <w:pPr>
              <w:spacing w:line="360" w:lineRule="auto"/>
              <w:jc w:val="both"/>
              <w:rPr>
                <w:rFonts w:ascii="Calibri" w:hAnsi="Calibri" w:cs="Calibri"/>
              </w:rPr>
            </w:pPr>
            <w:r>
              <w:rPr>
                <w:rFonts w:ascii="Calibri" w:hAnsi="Calibri" w:cs="Calibri"/>
                <w:b/>
                <w:bCs/>
              </w:rPr>
              <w:t>Short-Term Health</w:t>
            </w:r>
          </w:p>
        </w:tc>
        <w:tc>
          <w:tcPr>
            <w:tcW w:w="5760" w:type="dxa"/>
            <w:vAlign w:val="center"/>
          </w:tcPr>
          <w:p w14:paraId="57617C58" w14:textId="77777777" w:rsidR="005D5DB3" w:rsidRDefault="00000000">
            <w:pPr>
              <w:spacing w:line="360" w:lineRule="auto"/>
              <w:jc w:val="both"/>
              <w:rPr>
                <w:rFonts w:ascii="Calibri" w:hAnsi="Calibri" w:cs="Calibri"/>
              </w:rPr>
            </w:pPr>
            <w:r>
              <w:rPr>
                <w:noProof/>
              </w:rPr>
              <w:drawing>
                <wp:inline distT="0" distB="0" distL="0" distR="0" wp14:anchorId="335D6A01" wp14:editId="21B8813B">
                  <wp:extent cx="3562350" cy="742950"/>
                  <wp:effectExtent l="0" t="0" r="0" b="0"/>
                  <wp:docPr id="4" name="Images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s 6"/>
                          <pic:cNvPicPr/>
                        </pic:nvPicPr>
                        <pic:blipFill>
                          <a:blip r:embed="rId9"/>
                          <a:stretch>
                            <a:fillRect/>
                          </a:stretch>
                        </pic:blipFill>
                        <pic:spPr>
                          <a:xfrm>
                            <a:off x="0" y="0"/>
                            <a:ext cx="3562350" cy="742950"/>
                          </a:xfrm>
                          <a:prstGeom prst="rect">
                            <a:avLst/>
                          </a:prstGeom>
                          <a:noFill/>
                          <a:ln w="12700" cap="flat" cmpd="sng">
                            <a:noFill/>
                            <a:prstDash val="solid"/>
                            <a:miter/>
                          </a:ln>
                        </pic:spPr>
                      </pic:pic>
                    </a:graphicData>
                  </a:graphic>
                </wp:inline>
              </w:drawing>
            </w:r>
          </w:p>
        </w:tc>
        <w:tc>
          <w:tcPr>
            <w:tcW w:w="2700" w:type="dxa"/>
            <w:vAlign w:val="center"/>
          </w:tcPr>
          <w:p w14:paraId="51EC101D" w14:textId="1E6B0094" w:rsidR="005D5DB3" w:rsidRDefault="00000000">
            <w:pPr>
              <w:spacing w:line="360" w:lineRule="auto"/>
              <w:jc w:val="both"/>
              <w:rPr>
                <w:rFonts w:ascii="Calibri" w:hAnsi="Calibri" w:cs="Calibri"/>
              </w:rPr>
            </w:pPr>
            <w:r>
              <w:rPr>
                <w:rFonts w:ascii="Calibri" w:hAnsi="Calibri" w:cs="Calibri"/>
              </w:rPr>
              <w:t xml:space="preserve">Newham </w:t>
            </w:r>
            <w:r w:rsidR="002B7D5B">
              <w:rPr>
                <w:rFonts w:ascii="Calibri" w:hAnsi="Calibri" w:cs="Calibri"/>
              </w:rPr>
              <w:t xml:space="preserve">Council </w:t>
            </w:r>
            <w:r>
              <w:rPr>
                <w:rFonts w:ascii="Calibri" w:hAnsi="Calibri" w:cs="Calibri"/>
              </w:rPr>
              <w:t>(2025)</w:t>
            </w:r>
          </w:p>
        </w:tc>
      </w:tr>
      <w:tr w:rsidR="005D5DB3" w14:paraId="78464CC0" w14:textId="77777777">
        <w:tc>
          <w:tcPr>
            <w:tcW w:w="2790" w:type="dxa"/>
            <w:vAlign w:val="center"/>
          </w:tcPr>
          <w:p w14:paraId="07D50FB7" w14:textId="77777777" w:rsidR="005D5DB3" w:rsidRDefault="00000000">
            <w:pPr>
              <w:spacing w:line="360" w:lineRule="auto"/>
              <w:jc w:val="both"/>
              <w:rPr>
                <w:rFonts w:ascii="Calibri" w:hAnsi="Calibri" w:cs="Calibri"/>
              </w:rPr>
            </w:pPr>
            <w:r>
              <w:rPr>
                <w:rFonts w:ascii="Calibri" w:hAnsi="Calibri" w:cs="Calibri"/>
                <w:b/>
                <w:bCs/>
              </w:rPr>
              <w:t>Short-Term Social</w:t>
            </w:r>
          </w:p>
        </w:tc>
        <w:tc>
          <w:tcPr>
            <w:tcW w:w="5760" w:type="dxa"/>
            <w:vAlign w:val="center"/>
          </w:tcPr>
          <w:p w14:paraId="13C8913C" w14:textId="77777777" w:rsidR="005D5DB3" w:rsidRDefault="00000000">
            <w:pPr>
              <w:spacing w:line="360" w:lineRule="auto"/>
              <w:jc w:val="both"/>
              <w:rPr>
                <w:rFonts w:ascii="Calibri" w:hAnsi="Calibri" w:cs="Calibri"/>
              </w:rPr>
            </w:pPr>
            <w:r>
              <w:rPr>
                <w:noProof/>
              </w:rPr>
              <w:drawing>
                <wp:inline distT="0" distB="0" distL="0" distR="0" wp14:anchorId="3E42783E" wp14:editId="170BCB20">
                  <wp:extent cx="3581400" cy="733425"/>
                  <wp:effectExtent l="0" t="0" r="0" b="0"/>
                  <wp:docPr id="7" name="Images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s 9"/>
                          <pic:cNvPicPr/>
                        </pic:nvPicPr>
                        <pic:blipFill>
                          <a:blip r:embed="rId10"/>
                          <a:stretch>
                            <a:fillRect/>
                          </a:stretch>
                        </pic:blipFill>
                        <pic:spPr>
                          <a:xfrm>
                            <a:off x="0" y="0"/>
                            <a:ext cx="3581400" cy="733425"/>
                          </a:xfrm>
                          <a:prstGeom prst="rect">
                            <a:avLst/>
                          </a:prstGeom>
                          <a:noFill/>
                          <a:ln w="12700" cap="flat" cmpd="sng">
                            <a:noFill/>
                            <a:prstDash val="solid"/>
                            <a:miter/>
                          </a:ln>
                        </pic:spPr>
                      </pic:pic>
                    </a:graphicData>
                  </a:graphic>
                </wp:inline>
              </w:drawing>
            </w:r>
          </w:p>
        </w:tc>
        <w:tc>
          <w:tcPr>
            <w:tcW w:w="2700" w:type="dxa"/>
            <w:vAlign w:val="center"/>
          </w:tcPr>
          <w:p w14:paraId="107875A7" w14:textId="77777777" w:rsidR="005D5DB3" w:rsidRDefault="00000000">
            <w:pPr>
              <w:spacing w:line="360" w:lineRule="auto"/>
              <w:jc w:val="both"/>
              <w:rPr>
                <w:rFonts w:ascii="Calibri" w:hAnsi="Calibri" w:cs="Calibri"/>
              </w:rPr>
            </w:pPr>
            <w:r>
              <w:rPr>
                <w:rFonts w:ascii="Calibri" w:hAnsi="Calibri" w:cs="Calibri"/>
              </w:rPr>
              <w:t>Renzella et al., 2025</w:t>
            </w:r>
          </w:p>
        </w:tc>
      </w:tr>
      <w:tr w:rsidR="005D5DB3" w14:paraId="06829883" w14:textId="77777777">
        <w:tc>
          <w:tcPr>
            <w:tcW w:w="2790" w:type="dxa"/>
            <w:vAlign w:val="center"/>
          </w:tcPr>
          <w:p w14:paraId="3BFB4DB9" w14:textId="77777777" w:rsidR="005D5DB3" w:rsidRDefault="00000000">
            <w:pPr>
              <w:spacing w:line="360" w:lineRule="auto"/>
              <w:jc w:val="both"/>
              <w:rPr>
                <w:rFonts w:ascii="Calibri" w:hAnsi="Calibri" w:cs="Calibri"/>
              </w:rPr>
            </w:pPr>
            <w:r>
              <w:rPr>
                <w:rFonts w:ascii="Calibri" w:hAnsi="Calibri" w:cs="Calibri"/>
                <w:b/>
                <w:bCs/>
              </w:rPr>
              <w:t>Short-Term Economic</w:t>
            </w:r>
          </w:p>
        </w:tc>
        <w:tc>
          <w:tcPr>
            <w:tcW w:w="5760" w:type="dxa"/>
            <w:vAlign w:val="center"/>
          </w:tcPr>
          <w:p w14:paraId="32E1824E" w14:textId="77777777" w:rsidR="005D5DB3" w:rsidRDefault="00000000">
            <w:pPr>
              <w:spacing w:line="360" w:lineRule="auto"/>
              <w:jc w:val="both"/>
              <w:rPr>
                <w:rFonts w:ascii="Calibri" w:hAnsi="Calibri" w:cs="Calibri"/>
              </w:rPr>
            </w:pPr>
            <w:r>
              <w:rPr>
                <w:noProof/>
              </w:rPr>
              <w:drawing>
                <wp:inline distT="0" distB="0" distL="0" distR="0" wp14:anchorId="3A7C53FB" wp14:editId="4EAE975A">
                  <wp:extent cx="3629023" cy="457200"/>
                  <wp:effectExtent l="0" t="0" r="0" b="0"/>
                  <wp:docPr id="10" name="Images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ages 12"/>
                          <pic:cNvPicPr/>
                        </pic:nvPicPr>
                        <pic:blipFill>
                          <a:blip r:embed="rId11"/>
                          <a:stretch>
                            <a:fillRect/>
                          </a:stretch>
                        </pic:blipFill>
                        <pic:spPr>
                          <a:xfrm>
                            <a:off x="0" y="0"/>
                            <a:ext cx="3629023" cy="457200"/>
                          </a:xfrm>
                          <a:prstGeom prst="rect">
                            <a:avLst/>
                          </a:prstGeom>
                          <a:noFill/>
                          <a:ln w="12700" cap="flat" cmpd="sng">
                            <a:noFill/>
                            <a:prstDash val="solid"/>
                            <a:miter/>
                          </a:ln>
                        </pic:spPr>
                      </pic:pic>
                    </a:graphicData>
                  </a:graphic>
                </wp:inline>
              </w:drawing>
            </w:r>
          </w:p>
        </w:tc>
        <w:tc>
          <w:tcPr>
            <w:tcW w:w="2700" w:type="dxa"/>
            <w:vAlign w:val="center"/>
          </w:tcPr>
          <w:p w14:paraId="1050CAD9" w14:textId="3E28AEDE" w:rsidR="005D5DB3" w:rsidRDefault="002B7D5B">
            <w:pPr>
              <w:spacing w:line="360" w:lineRule="auto"/>
              <w:jc w:val="both"/>
              <w:rPr>
                <w:rFonts w:ascii="Calibri" w:hAnsi="Calibri" w:cs="Calibri"/>
              </w:rPr>
            </w:pPr>
            <w:r w:rsidRPr="001825C8">
              <w:rPr>
                <w:rFonts w:ascii="Calibri" w:hAnsi="Calibri" w:cs="Calibri"/>
              </w:rPr>
              <w:t>Candio, Mujica and Frew, 2023</w:t>
            </w:r>
          </w:p>
        </w:tc>
      </w:tr>
      <w:tr w:rsidR="005D5DB3" w14:paraId="3755E157" w14:textId="77777777">
        <w:tc>
          <w:tcPr>
            <w:tcW w:w="2790" w:type="dxa"/>
            <w:vAlign w:val="center"/>
          </w:tcPr>
          <w:p w14:paraId="5B219D79" w14:textId="77777777" w:rsidR="005D5DB3" w:rsidRDefault="00000000">
            <w:pPr>
              <w:spacing w:line="360" w:lineRule="auto"/>
              <w:jc w:val="both"/>
              <w:rPr>
                <w:rFonts w:ascii="Calibri" w:hAnsi="Calibri" w:cs="Calibri"/>
              </w:rPr>
            </w:pPr>
            <w:r>
              <w:rPr>
                <w:rFonts w:ascii="Calibri" w:hAnsi="Calibri" w:cs="Calibri"/>
                <w:b/>
                <w:bCs/>
              </w:rPr>
              <w:t>Long-Term Health</w:t>
            </w:r>
          </w:p>
        </w:tc>
        <w:tc>
          <w:tcPr>
            <w:tcW w:w="5760" w:type="dxa"/>
            <w:vAlign w:val="center"/>
          </w:tcPr>
          <w:p w14:paraId="33A31A87" w14:textId="77777777" w:rsidR="005D5DB3" w:rsidRDefault="00000000">
            <w:pPr>
              <w:spacing w:line="360" w:lineRule="auto"/>
              <w:jc w:val="both"/>
              <w:rPr>
                <w:rFonts w:ascii="Calibri" w:hAnsi="Calibri" w:cs="Calibri"/>
              </w:rPr>
            </w:pPr>
            <w:r>
              <w:rPr>
                <w:noProof/>
              </w:rPr>
              <w:drawing>
                <wp:inline distT="0" distB="0" distL="0" distR="0" wp14:anchorId="1AF1495D" wp14:editId="35983D51">
                  <wp:extent cx="3667125" cy="457200"/>
                  <wp:effectExtent l="0" t="0" r="0" b="0"/>
                  <wp:docPr id="13" name="Images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Images 15"/>
                          <pic:cNvPicPr/>
                        </pic:nvPicPr>
                        <pic:blipFill>
                          <a:blip r:embed="rId12"/>
                          <a:stretch>
                            <a:fillRect/>
                          </a:stretch>
                        </pic:blipFill>
                        <pic:spPr>
                          <a:xfrm>
                            <a:off x="0" y="0"/>
                            <a:ext cx="3667125" cy="457200"/>
                          </a:xfrm>
                          <a:prstGeom prst="rect">
                            <a:avLst/>
                          </a:prstGeom>
                          <a:noFill/>
                          <a:ln w="12700" cap="flat" cmpd="sng">
                            <a:noFill/>
                            <a:prstDash val="solid"/>
                            <a:miter/>
                          </a:ln>
                        </pic:spPr>
                      </pic:pic>
                    </a:graphicData>
                  </a:graphic>
                </wp:inline>
              </w:drawing>
            </w:r>
          </w:p>
        </w:tc>
        <w:tc>
          <w:tcPr>
            <w:tcW w:w="2700" w:type="dxa"/>
            <w:vAlign w:val="center"/>
          </w:tcPr>
          <w:p w14:paraId="133D7248" w14:textId="77777777" w:rsidR="005D5DB3" w:rsidRDefault="00000000">
            <w:pPr>
              <w:spacing w:line="360" w:lineRule="auto"/>
              <w:jc w:val="both"/>
              <w:rPr>
                <w:rFonts w:ascii="Calibri" w:hAnsi="Calibri" w:cs="Calibri"/>
              </w:rPr>
            </w:pPr>
            <w:r>
              <w:rPr>
                <w:rFonts w:ascii="Calibri" w:hAnsi="Calibri" w:cs="Calibri"/>
              </w:rPr>
              <w:t>NHS England, 2024</w:t>
            </w:r>
          </w:p>
        </w:tc>
      </w:tr>
      <w:tr w:rsidR="005D5DB3" w14:paraId="2624CCD5" w14:textId="77777777">
        <w:tc>
          <w:tcPr>
            <w:tcW w:w="2790" w:type="dxa"/>
            <w:vAlign w:val="center"/>
          </w:tcPr>
          <w:p w14:paraId="74B28E62" w14:textId="77777777" w:rsidR="005D5DB3" w:rsidRDefault="00000000">
            <w:pPr>
              <w:spacing w:line="360" w:lineRule="auto"/>
              <w:jc w:val="both"/>
              <w:rPr>
                <w:rFonts w:ascii="Calibri" w:hAnsi="Calibri" w:cs="Calibri"/>
              </w:rPr>
            </w:pPr>
            <w:r>
              <w:rPr>
                <w:rFonts w:ascii="Calibri" w:hAnsi="Calibri" w:cs="Calibri"/>
                <w:b/>
                <w:bCs/>
              </w:rPr>
              <w:t>Long-Term Social</w:t>
            </w:r>
          </w:p>
        </w:tc>
        <w:tc>
          <w:tcPr>
            <w:tcW w:w="5760" w:type="dxa"/>
            <w:vAlign w:val="center"/>
          </w:tcPr>
          <w:p w14:paraId="010D4642" w14:textId="77777777" w:rsidR="005D5DB3" w:rsidRDefault="00000000">
            <w:pPr>
              <w:spacing w:line="360" w:lineRule="auto"/>
              <w:jc w:val="both"/>
              <w:rPr>
                <w:rFonts w:ascii="Calibri" w:hAnsi="Calibri" w:cs="Calibri"/>
              </w:rPr>
            </w:pPr>
            <w:r>
              <w:rPr>
                <w:noProof/>
              </w:rPr>
              <w:drawing>
                <wp:inline distT="0" distB="0" distL="0" distR="0" wp14:anchorId="2C751FAC" wp14:editId="244CDBC2">
                  <wp:extent cx="3714750" cy="523875"/>
                  <wp:effectExtent l="0" t="0" r="0" b="0"/>
                  <wp:docPr id="16" name="Images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Images 18"/>
                          <pic:cNvPicPr/>
                        </pic:nvPicPr>
                        <pic:blipFill>
                          <a:blip r:embed="rId13"/>
                          <a:stretch>
                            <a:fillRect/>
                          </a:stretch>
                        </pic:blipFill>
                        <pic:spPr>
                          <a:xfrm>
                            <a:off x="0" y="0"/>
                            <a:ext cx="3714750" cy="523875"/>
                          </a:xfrm>
                          <a:prstGeom prst="rect">
                            <a:avLst/>
                          </a:prstGeom>
                          <a:noFill/>
                          <a:ln w="12700" cap="flat" cmpd="sng">
                            <a:noFill/>
                            <a:prstDash val="solid"/>
                            <a:miter/>
                          </a:ln>
                        </pic:spPr>
                      </pic:pic>
                    </a:graphicData>
                  </a:graphic>
                </wp:inline>
              </w:drawing>
            </w:r>
          </w:p>
        </w:tc>
        <w:tc>
          <w:tcPr>
            <w:tcW w:w="2700" w:type="dxa"/>
            <w:vAlign w:val="center"/>
          </w:tcPr>
          <w:p w14:paraId="754D00CE" w14:textId="77777777" w:rsidR="005D5DB3" w:rsidRDefault="00000000">
            <w:pPr>
              <w:spacing w:line="360" w:lineRule="auto"/>
              <w:jc w:val="both"/>
              <w:rPr>
                <w:rFonts w:ascii="Calibri" w:hAnsi="Calibri" w:cs="Calibri"/>
              </w:rPr>
            </w:pPr>
            <w:r>
              <w:rPr>
                <w:rFonts w:ascii="Calibri" w:hAnsi="Calibri" w:cs="Calibri"/>
              </w:rPr>
              <w:t>Renzella et al., 2025</w:t>
            </w:r>
          </w:p>
        </w:tc>
      </w:tr>
      <w:tr w:rsidR="005D5DB3" w14:paraId="21A73C80" w14:textId="77777777">
        <w:tc>
          <w:tcPr>
            <w:tcW w:w="2790" w:type="dxa"/>
            <w:vAlign w:val="center"/>
          </w:tcPr>
          <w:p w14:paraId="6CD2DF44" w14:textId="77777777" w:rsidR="005D5DB3" w:rsidRDefault="00000000">
            <w:pPr>
              <w:spacing w:line="360" w:lineRule="auto"/>
              <w:jc w:val="both"/>
              <w:rPr>
                <w:rFonts w:ascii="Calibri" w:hAnsi="Calibri" w:cs="Calibri"/>
              </w:rPr>
            </w:pPr>
            <w:r>
              <w:rPr>
                <w:rFonts w:ascii="Calibri" w:hAnsi="Calibri" w:cs="Calibri"/>
                <w:b/>
                <w:bCs/>
              </w:rPr>
              <w:t>Long-Term Economic</w:t>
            </w:r>
          </w:p>
        </w:tc>
        <w:tc>
          <w:tcPr>
            <w:tcW w:w="5760" w:type="dxa"/>
            <w:vAlign w:val="center"/>
          </w:tcPr>
          <w:p w14:paraId="70CC3660" w14:textId="77777777" w:rsidR="005D5DB3" w:rsidRDefault="00000000">
            <w:pPr>
              <w:spacing w:line="360" w:lineRule="auto"/>
              <w:jc w:val="both"/>
              <w:rPr>
                <w:rFonts w:ascii="Calibri" w:hAnsi="Calibri" w:cs="Calibri"/>
              </w:rPr>
            </w:pPr>
            <w:r>
              <w:rPr>
                <w:noProof/>
              </w:rPr>
              <w:drawing>
                <wp:inline distT="0" distB="0" distL="0" distR="0" wp14:anchorId="339765E3" wp14:editId="522C8916">
                  <wp:extent cx="3781423" cy="485775"/>
                  <wp:effectExtent l="0" t="0" r="0" b="0"/>
                  <wp:docPr id="19" name="Images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Images 21"/>
                          <pic:cNvPicPr/>
                        </pic:nvPicPr>
                        <pic:blipFill>
                          <a:blip r:embed="rId14"/>
                          <a:stretch>
                            <a:fillRect/>
                          </a:stretch>
                        </pic:blipFill>
                        <pic:spPr>
                          <a:xfrm>
                            <a:off x="0" y="0"/>
                            <a:ext cx="3781423" cy="485775"/>
                          </a:xfrm>
                          <a:prstGeom prst="rect">
                            <a:avLst/>
                          </a:prstGeom>
                          <a:noFill/>
                          <a:ln w="12700" cap="flat" cmpd="sng">
                            <a:noFill/>
                            <a:prstDash val="solid"/>
                            <a:miter/>
                          </a:ln>
                        </pic:spPr>
                      </pic:pic>
                    </a:graphicData>
                  </a:graphic>
                </wp:inline>
              </w:drawing>
            </w:r>
          </w:p>
        </w:tc>
        <w:tc>
          <w:tcPr>
            <w:tcW w:w="2700" w:type="dxa"/>
            <w:vAlign w:val="center"/>
          </w:tcPr>
          <w:p w14:paraId="654EF8AF" w14:textId="6F3F3DAF" w:rsidR="005D5DB3" w:rsidRDefault="002B7D5B">
            <w:pPr>
              <w:spacing w:line="360" w:lineRule="auto"/>
              <w:jc w:val="both"/>
              <w:rPr>
                <w:rFonts w:ascii="Calibri" w:hAnsi="Calibri" w:cs="Calibri"/>
              </w:rPr>
            </w:pPr>
            <w:r w:rsidRPr="001825C8">
              <w:rPr>
                <w:rFonts w:ascii="Calibri" w:hAnsi="Calibri" w:cs="Calibri"/>
              </w:rPr>
              <w:t>Candio, Mujica and Frew, 2023</w:t>
            </w:r>
          </w:p>
        </w:tc>
      </w:tr>
    </w:tbl>
    <w:p w14:paraId="27C8B5B2" w14:textId="77777777" w:rsidR="005D5DB3" w:rsidRDefault="005D5DB3">
      <w:pPr>
        <w:spacing w:line="360" w:lineRule="auto"/>
        <w:jc w:val="both"/>
        <w:rPr>
          <w:rFonts w:ascii="Calibri" w:hAnsi="Calibri" w:cs="Calibri"/>
        </w:rPr>
      </w:pPr>
    </w:p>
    <w:p w14:paraId="59EF342C" w14:textId="77777777" w:rsidR="005D5DB3" w:rsidRDefault="00000000">
      <w:pPr>
        <w:pStyle w:val="Heading1"/>
        <w:rPr>
          <w:rFonts w:ascii="Calibri" w:hAnsi="Calibri" w:cs="Calibri"/>
          <w:b/>
          <w:bCs/>
          <w:color w:val="auto"/>
          <w:sz w:val="24"/>
          <w:szCs w:val="24"/>
        </w:rPr>
      </w:pPr>
      <w:bookmarkStart w:id="48" w:name="_Toc214709724"/>
      <w:bookmarkStart w:id="49" w:name="_Toc218825010"/>
      <w:r>
        <w:rPr>
          <w:rFonts w:ascii="Calibri" w:hAnsi="Calibri" w:cs="Calibri"/>
          <w:b/>
          <w:bCs/>
          <w:color w:val="auto"/>
          <w:sz w:val="24"/>
          <w:szCs w:val="24"/>
        </w:rPr>
        <w:t>7.0 Health Intervention Programme</w:t>
      </w:r>
      <w:bookmarkEnd w:id="48"/>
      <w:bookmarkEnd w:id="49"/>
    </w:p>
    <w:p w14:paraId="48B152E7" w14:textId="77777777" w:rsidR="005D5DB3" w:rsidRDefault="00000000">
      <w:pPr>
        <w:spacing w:line="360" w:lineRule="auto"/>
        <w:jc w:val="both"/>
        <w:rPr>
          <w:rFonts w:ascii="Calibri" w:hAnsi="Calibri" w:cs="Calibri"/>
        </w:rPr>
      </w:pPr>
      <w:r>
        <w:rPr>
          <w:rFonts w:ascii="Calibri" w:hAnsi="Calibri" w:cs="Calibri"/>
        </w:rPr>
        <w:t>Epidemiological planning allows public health professionals to design targeted interventions that address the specific risk factors, behaviours, and environmental influences contributing to adult obesity in Newham. The proposed programme integrates prevention, management, and behavioural support to reduce prevalence and improve health outcomes, as seen in Table 2 below.</w:t>
      </w:r>
    </w:p>
    <w:p w14:paraId="0A15E654" w14:textId="77777777" w:rsidR="002B7D5B" w:rsidRDefault="002B7D5B">
      <w:pPr>
        <w:spacing w:line="360" w:lineRule="auto"/>
        <w:jc w:val="both"/>
        <w:rPr>
          <w:rFonts w:ascii="Calibri" w:hAnsi="Calibri" w:cs="Calibri"/>
        </w:rPr>
      </w:pPr>
    </w:p>
    <w:p w14:paraId="66B9001B" w14:textId="77777777" w:rsidR="002B7D5B" w:rsidRDefault="002B7D5B">
      <w:pPr>
        <w:spacing w:line="360" w:lineRule="auto"/>
        <w:jc w:val="both"/>
        <w:rPr>
          <w:rFonts w:ascii="Calibri" w:hAnsi="Calibri" w:cs="Calibri"/>
        </w:rPr>
      </w:pPr>
    </w:p>
    <w:p w14:paraId="2EB8C0C8" w14:textId="77777777" w:rsidR="002B7D5B" w:rsidRDefault="002B7D5B">
      <w:pPr>
        <w:spacing w:line="360" w:lineRule="auto"/>
        <w:jc w:val="both"/>
        <w:rPr>
          <w:rFonts w:ascii="Calibri" w:hAnsi="Calibri" w:cs="Calibri"/>
        </w:rPr>
      </w:pPr>
    </w:p>
    <w:p w14:paraId="55C6365E" w14:textId="77777777" w:rsidR="005D5DB3" w:rsidRDefault="00000000">
      <w:pPr>
        <w:spacing w:line="360" w:lineRule="auto"/>
        <w:jc w:val="both"/>
        <w:rPr>
          <w:rFonts w:ascii="Calibri" w:hAnsi="Calibri" w:cs="Calibri"/>
        </w:rPr>
      </w:pPr>
      <w:r>
        <w:rPr>
          <w:rFonts w:ascii="Calibri" w:hAnsi="Calibri" w:cs="Calibri"/>
        </w:rPr>
        <w:lastRenderedPageBreak/>
        <w:t>Table 2: Health Intervention Programme for Adult Obesity in Newham</w:t>
      </w:r>
    </w:p>
    <w:tbl>
      <w:tblPr>
        <w:tblW w:w="10620" w:type="dxa"/>
        <w:tblInd w:w="-6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2660"/>
        <w:gridCol w:w="7960"/>
      </w:tblGrid>
      <w:tr w:rsidR="005D5DB3" w14:paraId="3C027592" w14:textId="77777777">
        <w:tc>
          <w:tcPr>
            <w:tcW w:w="2700" w:type="dxa"/>
            <w:vAlign w:val="center"/>
          </w:tcPr>
          <w:p w14:paraId="302094CF" w14:textId="77777777" w:rsidR="005D5DB3" w:rsidRDefault="00000000">
            <w:pPr>
              <w:spacing w:line="360" w:lineRule="auto"/>
              <w:jc w:val="center"/>
              <w:rPr>
                <w:rFonts w:ascii="Calibri" w:hAnsi="Calibri" w:cs="Calibri"/>
              </w:rPr>
            </w:pPr>
            <w:r>
              <w:rPr>
                <w:rStyle w:val="Strong"/>
                <w:rFonts w:ascii="Calibri" w:hAnsi="Calibri" w:cs="Calibri"/>
              </w:rPr>
              <w:t>Component</w:t>
            </w:r>
          </w:p>
        </w:tc>
        <w:tc>
          <w:tcPr>
            <w:tcW w:w="7920" w:type="dxa"/>
            <w:vAlign w:val="center"/>
          </w:tcPr>
          <w:p w14:paraId="6CF988D0" w14:textId="77777777" w:rsidR="005D5DB3" w:rsidRDefault="00000000">
            <w:pPr>
              <w:spacing w:line="360" w:lineRule="auto"/>
              <w:jc w:val="center"/>
              <w:rPr>
                <w:rFonts w:ascii="Calibri" w:hAnsi="Calibri" w:cs="Calibri"/>
              </w:rPr>
            </w:pPr>
            <w:r>
              <w:rPr>
                <w:rStyle w:val="Strong"/>
                <w:rFonts w:ascii="Calibri" w:hAnsi="Calibri" w:cs="Calibri"/>
              </w:rPr>
              <w:t>Details</w:t>
            </w:r>
          </w:p>
        </w:tc>
      </w:tr>
      <w:tr w:rsidR="005D5DB3" w14:paraId="4F14FCB6" w14:textId="77777777">
        <w:tc>
          <w:tcPr>
            <w:tcW w:w="2700" w:type="dxa"/>
            <w:vAlign w:val="center"/>
          </w:tcPr>
          <w:p w14:paraId="45652BFE" w14:textId="77777777" w:rsidR="005D5DB3" w:rsidRDefault="00000000">
            <w:pPr>
              <w:spacing w:line="360" w:lineRule="auto"/>
              <w:jc w:val="both"/>
              <w:rPr>
                <w:rFonts w:ascii="Calibri" w:hAnsi="Calibri" w:cs="Calibri"/>
              </w:rPr>
            </w:pPr>
            <w:r>
              <w:rPr>
                <w:rStyle w:val="Strong"/>
                <w:rFonts w:ascii="Calibri" w:hAnsi="Calibri" w:cs="Calibri"/>
              </w:rPr>
              <w:t>Programme Name</w:t>
            </w:r>
          </w:p>
        </w:tc>
        <w:tc>
          <w:tcPr>
            <w:tcW w:w="7920" w:type="dxa"/>
            <w:vAlign w:val="center"/>
          </w:tcPr>
          <w:p w14:paraId="555593D4" w14:textId="77777777" w:rsidR="005D5DB3" w:rsidRDefault="00000000">
            <w:pPr>
              <w:spacing w:line="360" w:lineRule="auto"/>
              <w:jc w:val="both"/>
              <w:rPr>
                <w:rFonts w:ascii="Calibri" w:hAnsi="Calibri" w:cs="Calibri"/>
              </w:rPr>
            </w:pPr>
            <w:r>
              <w:rPr>
                <w:noProof/>
              </w:rPr>
              <w:drawing>
                <wp:inline distT="0" distB="0" distL="0" distR="0" wp14:anchorId="1193DFBF" wp14:editId="70FB5230">
                  <wp:extent cx="3810000" cy="238125"/>
                  <wp:effectExtent l="0" t="0" r="0" b="0"/>
                  <wp:docPr id="22" name="Images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Images 24"/>
                          <pic:cNvPicPr/>
                        </pic:nvPicPr>
                        <pic:blipFill>
                          <a:blip r:embed="rId15"/>
                          <a:stretch>
                            <a:fillRect/>
                          </a:stretch>
                        </pic:blipFill>
                        <pic:spPr>
                          <a:xfrm>
                            <a:off x="0" y="0"/>
                            <a:ext cx="3810000" cy="238125"/>
                          </a:xfrm>
                          <a:prstGeom prst="rect">
                            <a:avLst/>
                          </a:prstGeom>
                          <a:noFill/>
                          <a:ln w="12700" cap="flat" cmpd="sng">
                            <a:noFill/>
                            <a:prstDash val="solid"/>
                            <a:miter/>
                          </a:ln>
                        </pic:spPr>
                      </pic:pic>
                    </a:graphicData>
                  </a:graphic>
                </wp:inline>
              </w:drawing>
            </w:r>
          </w:p>
        </w:tc>
      </w:tr>
      <w:tr w:rsidR="005D5DB3" w14:paraId="534C3837" w14:textId="77777777">
        <w:tc>
          <w:tcPr>
            <w:tcW w:w="2700" w:type="dxa"/>
            <w:vAlign w:val="center"/>
          </w:tcPr>
          <w:p w14:paraId="732FC401" w14:textId="77777777" w:rsidR="005D5DB3" w:rsidRDefault="00000000">
            <w:pPr>
              <w:spacing w:line="360" w:lineRule="auto"/>
              <w:jc w:val="both"/>
              <w:rPr>
                <w:rFonts w:ascii="Calibri" w:hAnsi="Calibri" w:cs="Calibri"/>
              </w:rPr>
            </w:pPr>
            <w:r>
              <w:rPr>
                <w:rStyle w:val="Strong"/>
                <w:rFonts w:ascii="Calibri" w:hAnsi="Calibri" w:cs="Calibri"/>
              </w:rPr>
              <w:t>Aim</w:t>
            </w:r>
          </w:p>
        </w:tc>
        <w:tc>
          <w:tcPr>
            <w:tcW w:w="7920" w:type="dxa"/>
            <w:vAlign w:val="center"/>
          </w:tcPr>
          <w:p w14:paraId="0A7F5E2A" w14:textId="77777777" w:rsidR="005D5DB3" w:rsidRDefault="00000000">
            <w:pPr>
              <w:spacing w:line="360" w:lineRule="auto"/>
              <w:jc w:val="both"/>
              <w:rPr>
                <w:rFonts w:ascii="Calibri" w:hAnsi="Calibri" w:cs="Calibri"/>
              </w:rPr>
            </w:pPr>
            <w:r>
              <w:rPr>
                <w:noProof/>
              </w:rPr>
              <w:drawing>
                <wp:inline distT="0" distB="0" distL="0" distR="0" wp14:anchorId="748CF74B" wp14:editId="5EF7DBD3">
                  <wp:extent cx="5048250" cy="466725"/>
                  <wp:effectExtent l="0" t="0" r="0" b="0"/>
                  <wp:docPr id="25" name="Images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Images 27"/>
                          <pic:cNvPicPr/>
                        </pic:nvPicPr>
                        <pic:blipFill>
                          <a:blip r:embed="rId16"/>
                          <a:stretch>
                            <a:fillRect/>
                          </a:stretch>
                        </pic:blipFill>
                        <pic:spPr>
                          <a:xfrm>
                            <a:off x="0" y="0"/>
                            <a:ext cx="5048250" cy="466725"/>
                          </a:xfrm>
                          <a:prstGeom prst="rect">
                            <a:avLst/>
                          </a:prstGeom>
                          <a:noFill/>
                          <a:ln w="12700" cap="flat" cmpd="sng">
                            <a:noFill/>
                            <a:prstDash val="solid"/>
                            <a:miter/>
                          </a:ln>
                        </pic:spPr>
                      </pic:pic>
                    </a:graphicData>
                  </a:graphic>
                </wp:inline>
              </w:drawing>
            </w:r>
          </w:p>
        </w:tc>
      </w:tr>
      <w:tr w:rsidR="005D5DB3" w14:paraId="63D247FD" w14:textId="77777777">
        <w:tc>
          <w:tcPr>
            <w:tcW w:w="2700" w:type="dxa"/>
            <w:vAlign w:val="center"/>
          </w:tcPr>
          <w:p w14:paraId="2E157058" w14:textId="77777777" w:rsidR="005D5DB3" w:rsidRDefault="00000000">
            <w:pPr>
              <w:spacing w:line="360" w:lineRule="auto"/>
              <w:jc w:val="both"/>
              <w:rPr>
                <w:rFonts w:ascii="Calibri" w:hAnsi="Calibri" w:cs="Calibri"/>
              </w:rPr>
            </w:pPr>
            <w:r>
              <w:rPr>
                <w:rStyle w:val="Strong"/>
                <w:rFonts w:ascii="Calibri" w:hAnsi="Calibri" w:cs="Calibri"/>
              </w:rPr>
              <w:t>Target Population</w:t>
            </w:r>
          </w:p>
        </w:tc>
        <w:tc>
          <w:tcPr>
            <w:tcW w:w="7920" w:type="dxa"/>
            <w:vAlign w:val="center"/>
          </w:tcPr>
          <w:p w14:paraId="0783BC0F" w14:textId="77777777" w:rsidR="005D5DB3" w:rsidRDefault="00000000">
            <w:pPr>
              <w:spacing w:line="360" w:lineRule="auto"/>
              <w:jc w:val="both"/>
              <w:rPr>
                <w:rFonts w:ascii="Calibri" w:hAnsi="Calibri" w:cs="Calibri"/>
              </w:rPr>
            </w:pPr>
            <w:r>
              <w:rPr>
                <w:noProof/>
              </w:rPr>
              <w:drawing>
                <wp:inline distT="0" distB="0" distL="0" distR="0" wp14:anchorId="65B916ED" wp14:editId="08B163CF">
                  <wp:extent cx="4981575" cy="485775"/>
                  <wp:effectExtent l="0" t="0" r="0" b="0"/>
                  <wp:docPr id="28" name="Images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Images 30"/>
                          <pic:cNvPicPr/>
                        </pic:nvPicPr>
                        <pic:blipFill>
                          <a:blip r:embed="rId17"/>
                          <a:stretch>
                            <a:fillRect/>
                          </a:stretch>
                        </pic:blipFill>
                        <pic:spPr>
                          <a:xfrm>
                            <a:off x="0" y="0"/>
                            <a:ext cx="4981575" cy="485775"/>
                          </a:xfrm>
                          <a:prstGeom prst="rect">
                            <a:avLst/>
                          </a:prstGeom>
                          <a:noFill/>
                          <a:ln w="12700" cap="flat" cmpd="sng">
                            <a:noFill/>
                            <a:prstDash val="solid"/>
                            <a:miter/>
                          </a:ln>
                        </pic:spPr>
                      </pic:pic>
                    </a:graphicData>
                  </a:graphic>
                </wp:inline>
              </w:drawing>
            </w:r>
          </w:p>
        </w:tc>
      </w:tr>
      <w:tr w:rsidR="005D5DB3" w14:paraId="12DA86C4" w14:textId="77777777">
        <w:tc>
          <w:tcPr>
            <w:tcW w:w="2700" w:type="dxa"/>
            <w:vAlign w:val="center"/>
          </w:tcPr>
          <w:p w14:paraId="1520AC20" w14:textId="77777777" w:rsidR="005D5DB3" w:rsidRDefault="00000000">
            <w:pPr>
              <w:spacing w:line="360" w:lineRule="auto"/>
              <w:jc w:val="both"/>
              <w:rPr>
                <w:rFonts w:ascii="Calibri" w:hAnsi="Calibri" w:cs="Calibri"/>
              </w:rPr>
            </w:pPr>
            <w:r>
              <w:rPr>
                <w:rStyle w:val="Strong"/>
                <w:rFonts w:ascii="Calibri" w:hAnsi="Calibri" w:cs="Calibri"/>
              </w:rPr>
              <w:t>Setting</w:t>
            </w:r>
          </w:p>
        </w:tc>
        <w:tc>
          <w:tcPr>
            <w:tcW w:w="7920" w:type="dxa"/>
            <w:vAlign w:val="center"/>
          </w:tcPr>
          <w:p w14:paraId="2177FABA" w14:textId="77777777" w:rsidR="005D5DB3" w:rsidRDefault="00000000">
            <w:pPr>
              <w:spacing w:line="360" w:lineRule="auto"/>
              <w:jc w:val="both"/>
              <w:rPr>
                <w:rFonts w:ascii="Calibri" w:hAnsi="Calibri" w:cs="Calibri"/>
              </w:rPr>
            </w:pPr>
            <w:r>
              <w:rPr>
                <w:noProof/>
              </w:rPr>
              <w:drawing>
                <wp:inline distT="0" distB="0" distL="0" distR="0" wp14:anchorId="184EAA48" wp14:editId="1CE75AD5">
                  <wp:extent cx="4924425" cy="457200"/>
                  <wp:effectExtent l="0" t="0" r="0" b="0"/>
                  <wp:docPr id="31" name="Images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Images 33"/>
                          <pic:cNvPicPr/>
                        </pic:nvPicPr>
                        <pic:blipFill>
                          <a:blip r:embed="rId18"/>
                          <a:stretch>
                            <a:fillRect/>
                          </a:stretch>
                        </pic:blipFill>
                        <pic:spPr>
                          <a:xfrm>
                            <a:off x="0" y="0"/>
                            <a:ext cx="4924425" cy="457200"/>
                          </a:xfrm>
                          <a:prstGeom prst="rect">
                            <a:avLst/>
                          </a:prstGeom>
                          <a:noFill/>
                          <a:ln w="12700" cap="flat" cmpd="sng">
                            <a:noFill/>
                            <a:prstDash val="solid"/>
                            <a:miter/>
                          </a:ln>
                        </pic:spPr>
                      </pic:pic>
                    </a:graphicData>
                  </a:graphic>
                </wp:inline>
              </w:drawing>
            </w:r>
          </w:p>
        </w:tc>
      </w:tr>
      <w:tr w:rsidR="005D5DB3" w14:paraId="786B9014" w14:textId="77777777">
        <w:tc>
          <w:tcPr>
            <w:tcW w:w="2700" w:type="dxa"/>
            <w:vAlign w:val="center"/>
          </w:tcPr>
          <w:p w14:paraId="6470D4D5" w14:textId="77777777" w:rsidR="005D5DB3" w:rsidRDefault="00000000">
            <w:pPr>
              <w:spacing w:line="360" w:lineRule="auto"/>
              <w:jc w:val="both"/>
              <w:rPr>
                <w:rFonts w:ascii="Calibri" w:hAnsi="Calibri" w:cs="Calibri"/>
              </w:rPr>
            </w:pPr>
            <w:r>
              <w:rPr>
                <w:rStyle w:val="Strong"/>
                <w:rFonts w:ascii="Calibri" w:hAnsi="Calibri" w:cs="Calibri"/>
              </w:rPr>
              <w:t>Methods / Activities</w:t>
            </w:r>
          </w:p>
        </w:tc>
        <w:tc>
          <w:tcPr>
            <w:tcW w:w="7920" w:type="dxa"/>
            <w:vAlign w:val="center"/>
          </w:tcPr>
          <w:p w14:paraId="57A1E218" w14:textId="77777777" w:rsidR="005D5DB3" w:rsidRDefault="00000000">
            <w:pPr>
              <w:spacing w:line="360" w:lineRule="auto"/>
              <w:jc w:val="both"/>
              <w:rPr>
                <w:rFonts w:ascii="Calibri" w:hAnsi="Calibri" w:cs="Calibri"/>
              </w:rPr>
            </w:pPr>
            <w:r>
              <w:rPr>
                <w:noProof/>
              </w:rPr>
              <w:drawing>
                <wp:inline distT="0" distB="0" distL="0" distR="0" wp14:anchorId="72946C93" wp14:editId="43164361">
                  <wp:extent cx="4410075" cy="419100"/>
                  <wp:effectExtent l="0" t="0" r="0" b="0"/>
                  <wp:docPr id="34" name="Images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Images 36"/>
                          <pic:cNvPicPr/>
                        </pic:nvPicPr>
                        <pic:blipFill>
                          <a:blip r:embed="rId19"/>
                          <a:stretch>
                            <a:fillRect/>
                          </a:stretch>
                        </pic:blipFill>
                        <pic:spPr>
                          <a:xfrm>
                            <a:off x="0" y="0"/>
                            <a:ext cx="4410075" cy="419100"/>
                          </a:xfrm>
                          <a:prstGeom prst="rect">
                            <a:avLst/>
                          </a:prstGeom>
                          <a:noFill/>
                          <a:ln w="12700" cap="flat" cmpd="sng">
                            <a:noFill/>
                            <a:prstDash val="solid"/>
                            <a:miter/>
                          </a:ln>
                        </pic:spPr>
                      </pic:pic>
                    </a:graphicData>
                  </a:graphic>
                </wp:inline>
              </w:drawing>
            </w:r>
          </w:p>
        </w:tc>
      </w:tr>
      <w:tr w:rsidR="005D5DB3" w14:paraId="5EF94BCB" w14:textId="77777777">
        <w:tc>
          <w:tcPr>
            <w:tcW w:w="2700" w:type="dxa"/>
            <w:vAlign w:val="center"/>
          </w:tcPr>
          <w:p w14:paraId="5183358B" w14:textId="77777777" w:rsidR="005D5DB3" w:rsidRDefault="00000000">
            <w:pPr>
              <w:spacing w:line="360" w:lineRule="auto"/>
              <w:jc w:val="both"/>
              <w:rPr>
                <w:rFonts w:ascii="Calibri" w:hAnsi="Calibri" w:cs="Calibri"/>
              </w:rPr>
            </w:pPr>
            <w:r>
              <w:rPr>
                <w:rStyle w:val="Strong"/>
                <w:rFonts w:ascii="Calibri" w:hAnsi="Calibri" w:cs="Calibri"/>
              </w:rPr>
              <w:t>Public Health Model</w:t>
            </w:r>
          </w:p>
        </w:tc>
        <w:tc>
          <w:tcPr>
            <w:tcW w:w="7920" w:type="dxa"/>
            <w:vAlign w:val="center"/>
          </w:tcPr>
          <w:p w14:paraId="31A9ED17" w14:textId="77777777" w:rsidR="005D5DB3" w:rsidRDefault="00000000">
            <w:pPr>
              <w:spacing w:line="360" w:lineRule="auto"/>
              <w:jc w:val="both"/>
              <w:rPr>
                <w:rFonts w:ascii="Calibri" w:hAnsi="Calibri" w:cs="Calibri"/>
              </w:rPr>
            </w:pPr>
            <w:r>
              <w:rPr>
                <w:rFonts w:ascii="Calibri" w:hAnsi="Calibri" w:cs="Calibri"/>
              </w:rPr>
              <w:t>Behaviour Change Model (BCM) &amp; Transtheoretical Model (stages of change).</w:t>
            </w:r>
          </w:p>
        </w:tc>
      </w:tr>
      <w:tr w:rsidR="005D5DB3" w14:paraId="6A4310D6" w14:textId="77777777">
        <w:tc>
          <w:tcPr>
            <w:tcW w:w="2700" w:type="dxa"/>
            <w:vAlign w:val="center"/>
          </w:tcPr>
          <w:p w14:paraId="1CDD8CAE" w14:textId="77777777" w:rsidR="005D5DB3" w:rsidRDefault="00000000">
            <w:pPr>
              <w:spacing w:line="360" w:lineRule="auto"/>
              <w:jc w:val="both"/>
              <w:rPr>
                <w:rFonts w:ascii="Calibri" w:hAnsi="Calibri" w:cs="Calibri"/>
              </w:rPr>
            </w:pPr>
            <w:r>
              <w:rPr>
                <w:rStyle w:val="Strong"/>
                <w:rFonts w:ascii="Calibri" w:hAnsi="Calibri" w:cs="Calibri"/>
              </w:rPr>
              <w:t>Expected Outcomes</w:t>
            </w:r>
          </w:p>
        </w:tc>
        <w:tc>
          <w:tcPr>
            <w:tcW w:w="7920" w:type="dxa"/>
            <w:vAlign w:val="center"/>
          </w:tcPr>
          <w:p w14:paraId="7A6AB232" w14:textId="77777777" w:rsidR="005D5DB3" w:rsidRDefault="00000000">
            <w:pPr>
              <w:pStyle w:val="ListParagraph1"/>
              <w:spacing w:line="360" w:lineRule="auto"/>
              <w:jc w:val="both"/>
              <w:rPr>
                <w:rFonts w:ascii="Calibri" w:hAnsi="Calibri" w:cs="Calibri"/>
              </w:rPr>
            </w:pPr>
            <w:r>
              <w:rPr>
                <w:noProof/>
              </w:rPr>
              <w:drawing>
                <wp:inline distT="0" distB="0" distL="0" distR="0" wp14:anchorId="4823C35E" wp14:editId="1F0AD2E7">
                  <wp:extent cx="2643742" cy="952500"/>
                  <wp:effectExtent l="0" t="0" r="0" b="0"/>
                  <wp:docPr id="37" name="Images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Images 39"/>
                          <pic:cNvPicPr/>
                        </pic:nvPicPr>
                        <pic:blipFill>
                          <a:blip r:embed="rId20"/>
                          <a:stretch>
                            <a:fillRect/>
                          </a:stretch>
                        </pic:blipFill>
                        <pic:spPr>
                          <a:xfrm>
                            <a:off x="0" y="0"/>
                            <a:ext cx="2643742" cy="952500"/>
                          </a:xfrm>
                          <a:prstGeom prst="rect">
                            <a:avLst/>
                          </a:prstGeom>
                          <a:noFill/>
                          <a:ln w="12700" cap="flat" cmpd="sng">
                            <a:noFill/>
                            <a:prstDash val="solid"/>
                            <a:miter/>
                          </a:ln>
                        </pic:spPr>
                      </pic:pic>
                    </a:graphicData>
                  </a:graphic>
                </wp:inline>
              </w:drawing>
            </w:r>
          </w:p>
        </w:tc>
      </w:tr>
      <w:tr w:rsidR="005D5DB3" w14:paraId="712C7FA8" w14:textId="77777777">
        <w:tc>
          <w:tcPr>
            <w:tcW w:w="2700" w:type="dxa"/>
            <w:vAlign w:val="center"/>
          </w:tcPr>
          <w:p w14:paraId="29E9D881" w14:textId="77777777" w:rsidR="005D5DB3" w:rsidRDefault="00000000">
            <w:pPr>
              <w:spacing w:line="360" w:lineRule="auto"/>
              <w:jc w:val="both"/>
              <w:rPr>
                <w:rFonts w:ascii="Calibri" w:hAnsi="Calibri" w:cs="Calibri"/>
              </w:rPr>
            </w:pPr>
            <w:r>
              <w:rPr>
                <w:rStyle w:val="Strong"/>
                <w:rFonts w:ascii="Calibri" w:hAnsi="Calibri" w:cs="Calibri"/>
              </w:rPr>
              <w:t>Evaluation Plan</w:t>
            </w:r>
          </w:p>
        </w:tc>
        <w:tc>
          <w:tcPr>
            <w:tcW w:w="7920" w:type="dxa"/>
            <w:vAlign w:val="center"/>
          </w:tcPr>
          <w:p w14:paraId="0B23A2E2" w14:textId="77777777" w:rsidR="005D5DB3" w:rsidRDefault="00000000">
            <w:pPr>
              <w:pStyle w:val="ListParagraph1"/>
              <w:spacing w:line="360" w:lineRule="auto"/>
              <w:jc w:val="both"/>
              <w:rPr>
                <w:rFonts w:ascii="Calibri" w:hAnsi="Calibri" w:cs="Calibri"/>
              </w:rPr>
            </w:pPr>
            <w:r>
              <w:rPr>
                <w:noProof/>
              </w:rPr>
              <w:drawing>
                <wp:inline distT="0" distB="0" distL="0" distR="0" wp14:anchorId="7D49B504" wp14:editId="0FB25723">
                  <wp:extent cx="4267200" cy="695325"/>
                  <wp:effectExtent l="0" t="0" r="0" b="0"/>
                  <wp:docPr id="40" name="Images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Images 42"/>
                          <pic:cNvPicPr/>
                        </pic:nvPicPr>
                        <pic:blipFill>
                          <a:blip r:embed="rId21"/>
                          <a:stretch>
                            <a:fillRect/>
                          </a:stretch>
                        </pic:blipFill>
                        <pic:spPr>
                          <a:xfrm>
                            <a:off x="0" y="0"/>
                            <a:ext cx="4267200" cy="695325"/>
                          </a:xfrm>
                          <a:prstGeom prst="rect">
                            <a:avLst/>
                          </a:prstGeom>
                          <a:noFill/>
                          <a:ln w="12700" cap="flat" cmpd="sng">
                            <a:noFill/>
                            <a:prstDash val="solid"/>
                            <a:miter/>
                          </a:ln>
                        </pic:spPr>
                      </pic:pic>
                    </a:graphicData>
                  </a:graphic>
                </wp:inline>
              </w:drawing>
            </w:r>
          </w:p>
        </w:tc>
      </w:tr>
    </w:tbl>
    <w:p w14:paraId="532A3BC7" w14:textId="77777777" w:rsidR="005D5DB3" w:rsidRDefault="005D5DB3">
      <w:pPr>
        <w:spacing w:line="360" w:lineRule="auto"/>
        <w:jc w:val="both"/>
        <w:rPr>
          <w:rFonts w:ascii="Calibri" w:hAnsi="Calibri" w:cs="Calibri"/>
        </w:rPr>
      </w:pPr>
    </w:p>
    <w:p w14:paraId="164422ED" w14:textId="77777777" w:rsidR="005D5DB3" w:rsidRDefault="00000000">
      <w:pPr>
        <w:pStyle w:val="Heading1"/>
        <w:rPr>
          <w:rFonts w:ascii="Calibri" w:hAnsi="Calibri" w:cs="Calibri"/>
          <w:b/>
          <w:bCs/>
          <w:color w:val="auto"/>
          <w:sz w:val="24"/>
          <w:szCs w:val="24"/>
        </w:rPr>
      </w:pPr>
      <w:bookmarkStart w:id="50" w:name="_Toc214709725"/>
      <w:bookmarkStart w:id="51" w:name="_Toc218825011"/>
      <w:r>
        <w:rPr>
          <w:rFonts w:ascii="Calibri" w:hAnsi="Calibri" w:cs="Calibri"/>
          <w:b/>
          <w:bCs/>
          <w:color w:val="auto"/>
          <w:sz w:val="24"/>
          <w:szCs w:val="24"/>
        </w:rPr>
        <w:t>8.0 Strengths &amp; Weaknesses of the Epidemiological Approach</w:t>
      </w:r>
      <w:bookmarkEnd w:id="50"/>
      <w:bookmarkEnd w:id="51"/>
    </w:p>
    <w:p w14:paraId="4EFCAB93" w14:textId="7A2EA1D6" w:rsidR="005D5DB3" w:rsidRDefault="00000000">
      <w:pPr>
        <w:spacing w:line="360" w:lineRule="auto"/>
        <w:jc w:val="both"/>
        <w:rPr>
          <w:rFonts w:ascii="Calibri" w:hAnsi="Calibri" w:cs="Calibri"/>
        </w:rPr>
      </w:pPr>
      <w:r>
        <w:rPr>
          <w:rFonts w:ascii="Calibri" w:hAnsi="Calibri" w:cs="Calibri"/>
        </w:rPr>
        <w:t>Epidemiology offers a systematic way to determine the burden, determinants, and distribution of obesity in the populations to plan in the area of evidence-based public health. Among strengths, is the ability to utilize large-scale datasets (national survey, electronic health records) and identify trends and implement interventions to high-risk groups (</w:t>
      </w:r>
      <w:r w:rsidR="00C44DE5" w:rsidRPr="00C44DE5">
        <w:rPr>
          <w:rFonts w:ascii="Calibri" w:hAnsi="Calibri" w:cs="Calibri"/>
        </w:rPr>
        <w:t xml:space="preserve">Kent, McGirr and </w:t>
      </w:r>
      <w:r w:rsidR="00C44DE5" w:rsidRPr="00C44DE5">
        <w:rPr>
          <w:rFonts w:ascii="Calibri" w:hAnsi="Calibri" w:cs="Calibri"/>
        </w:rPr>
        <w:lastRenderedPageBreak/>
        <w:t>Eastwood, 2024)</w:t>
      </w:r>
      <w:r>
        <w:rPr>
          <w:rFonts w:ascii="Calibri" w:hAnsi="Calibri" w:cs="Calibri"/>
        </w:rPr>
        <w:t xml:space="preserve">. By conducting localised epidemiological studies in Newham, it is possible to determine socio-economic and ethnic inequalities and use this information to implement interventions and allocate available resources (Blackwell, 2025). Also, GP registers and community health assessments are surveillance systems that allow to continuously monitor incidence and prevalence and aid in evaluation of policy. </w:t>
      </w:r>
    </w:p>
    <w:p w14:paraId="4E4EF933" w14:textId="77777777" w:rsidR="005D5DB3" w:rsidRDefault="00000000">
      <w:pPr>
        <w:spacing w:line="360" w:lineRule="auto"/>
        <w:jc w:val="both"/>
        <w:rPr>
          <w:rFonts w:ascii="Calibri" w:hAnsi="Calibri" w:cs="Calibri"/>
        </w:rPr>
      </w:pPr>
      <w:r>
        <w:rPr>
          <w:rFonts w:ascii="Calibri" w:hAnsi="Calibri" w:cs="Calibri"/>
        </w:rPr>
        <w:t xml:space="preserve">However, limitations exist as self-reported BMI is used in many studies, and the estimation of prevalence can be inaccurate because of reporting bias (Meng et al., 2021). The designs that prevail are cross-sectional designs that restrict causal inference. There are also data holes with undocumented individuals or mobile communities that make them less representative. Also, environmental and cultural determinants are not easily quantifiable and this may simplify multifaceted factors of obesity. </w:t>
      </w:r>
      <w:bookmarkStart w:id="52" w:name="_Toc214709726"/>
    </w:p>
    <w:p w14:paraId="46BAE85A" w14:textId="77777777" w:rsidR="005D5DB3" w:rsidRDefault="00000000">
      <w:pPr>
        <w:spacing w:line="360" w:lineRule="auto"/>
        <w:jc w:val="both"/>
        <w:rPr>
          <w:rFonts w:ascii="Calibri" w:hAnsi="Calibri" w:cs="Calibri"/>
          <w:b/>
          <w:bCs/>
          <w:lang w:val="en-US"/>
        </w:rPr>
      </w:pPr>
      <w:r>
        <w:rPr>
          <w:rFonts w:ascii="Calibri" w:hAnsi="Calibri" w:cs="Calibri"/>
          <w:b/>
          <w:bCs/>
          <w:lang w:val="en-US"/>
        </w:rPr>
        <w:t>Conclusion</w:t>
      </w:r>
      <w:bookmarkEnd w:id="52"/>
    </w:p>
    <w:p w14:paraId="0B70A1D6" w14:textId="4F3105B2" w:rsidR="005D5DB3" w:rsidRDefault="00000000">
      <w:pPr>
        <w:spacing w:line="360" w:lineRule="auto"/>
        <w:jc w:val="both"/>
        <w:rPr>
          <w:rFonts w:ascii="Calibri" w:hAnsi="Calibri" w:cs="Calibri"/>
          <w:lang w:val="en-US"/>
        </w:rPr>
      </w:pPr>
      <w:r>
        <w:rPr>
          <w:rFonts w:ascii="Calibri" w:hAnsi="Calibri" w:cs="Calibri"/>
          <w:lang w:val="en-US"/>
        </w:rPr>
        <w:t xml:space="preserve">In Newham, obesity in adults is a pressing social issue, whose causes are complicated by the combination of behavioural, social and environmental factors. Epidemiology techniques have played a critical role </w:t>
      </w:r>
      <w:r w:rsidR="00716273">
        <w:rPr>
          <w:rFonts w:ascii="Calibri" w:hAnsi="Calibri" w:cs="Calibri"/>
          <w:lang w:val="en-US"/>
        </w:rPr>
        <w:t>in</w:t>
      </w:r>
      <w:r>
        <w:rPr>
          <w:rFonts w:ascii="Calibri" w:hAnsi="Calibri" w:cs="Calibri"/>
          <w:lang w:val="en-US"/>
        </w:rPr>
        <w:t xml:space="preserve"> determining high-risk groups, contributing to specific interventions, and tracking trends. There should be multi-level strategies, which include primary, secondary and tertiary prevention to lower prevalence, enhance health and reduce inequalities. </w:t>
      </w:r>
    </w:p>
    <w:p w14:paraId="7AFD39BF" w14:textId="77777777" w:rsidR="005D5DB3" w:rsidRDefault="005D5DB3">
      <w:pPr>
        <w:spacing w:line="360" w:lineRule="auto"/>
        <w:jc w:val="both"/>
        <w:rPr>
          <w:rFonts w:ascii="Calibri" w:hAnsi="Calibri" w:cs="Calibri"/>
          <w:lang w:val="en-US"/>
        </w:rPr>
      </w:pPr>
    </w:p>
    <w:p w14:paraId="5F9D5EA1" w14:textId="77777777" w:rsidR="005D5DB3" w:rsidRDefault="005D5DB3">
      <w:pPr>
        <w:spacing w:line="360" w:lineRule="auto"/>
        <w:jc w:val="both"/>
        <w:rPr>
          <w:rFonts w:ascii="Calibri" w:hAnsi="Calibri" w:cs="Calibri"/>
        </w:rPr>
      </w:pPr>
    </w:p>
    <w:p w14:paraId="33442546" w14:textId="77777777" w:rsidR="005D5DB3" w:rsidRDefault="005D5DB3">
      <w:pPr>
        <w:spacing w:line="360" w:lineRule="auto"/>
        <w:jc w:val="both"/>
        <w:rPr>
          <w:rFonts w:ascii="Calibri" w:hAnsi="Calibri" w:cs="Calibri"/>
        </w:rPr>
      </w:pPr>
    </w:p>
    <w:p w14:paraId="5856BFA7" w14:textId="77777777" w:rsidR="005D5DB3" w:rsidRDefault="005D5DB3">
      <w:pPr>
        <w:spacing w:line="360" w:lineRule="auto"/>
        <w:jc w:val="both"/>
        <w:rPr>
          <w:rFonts w:ascii="Calibri" w:hAnsi="Calibri" w:cs="Calibri"/>
        </w:rPr>
      </w:pPr>
    </w:p>
    <w:p w14:paraId="13033F9D" w14:textId="77777777" w:rsidR="005D5DB3" w:rsidRDefault="005D5DB3">
      <w:pPr>
        <w:spacing w:line="360" w:lineRule="auto"/>
        <w:jc w:val="both"/>
        <w:rPr>
          <w:rFonts w:ascii="Calibri" w:hAnsi="Calibri" w:cs="Calibri"/>
        </w:rPr>
      </w:pPr>
    </w:p>
    <w:p w14:paraId="7EAC2A9F" w14:textId="77777777" w:rsidR="005D5DB3" w:rsidRDefault="005D5DB3">
      <w:pPr>
        <w:spacing w:line="360" w:lineRule="auto"/>
        <w:jc w:val="both"/>
        <w:rPr>
          <w:rFonts w:ascii="Calibri" w:hAnsi="Calibri" w:cs="Calibri"/>
        </w:rPr>
      </w:pPr>
    </w:p>
    <w:p w14:paraId="2DEC05A2" w14:textId="77777777" w:rsidR="005D5DB3" w:rsidRDefault="005D5DB3">
      <w:pPr>
        <w:spacing w:line="360" w:lineRule="auto"/>
        <w:jc w:val="both"/>
        <w:rPr>
          <w:rFonts w:ascii="Calibri" w:hAnsi="Calibri" w:cs="Calibri"/>
        </w:rPr>
      </w:pPr>
    </w:p>
    <w:p w14:paraId="52A0D2AB" w14:textId="77777777" w:rsidR="005D5DB3" w:rsidRDefault="005D5DB3">
      <w:pPr>
        <w:spacing w:line="360" w:lineRule="auto"/>
        <w:jc w:val="both"/>
        <w:rPr>
          <w:rFonts w:ascii="Calibri" w:hAnsi="Calibri" w:cs="Calibri"/>
        </w:rPr>
      </w:pPr>
    </w:p>
    <w:p w14:paraId="1E10C85D" w14:textId="77777777" w:rsidR="005D5DB3" w:rsidRDefault="00000000">
      <w:pPr>
        <w:pStyle w:val="Heading1"/>
        <w:rPr>
          <w:rFonts w:ascii="Calibri" w:hAnsi="Calibri" w:cs="Calibri"/>
          <w:b/>
          <w:bCs/>
          <w:color w:val="auto"/>
          <w:sz w:val="24"/>
          <w:szCs w:val="24"/>
        </w:rPr>
      </w:pPr>
      <w:bookmarkStart w:id="53" w:name="_Toc214709727"/>
      <w:bookmarkStart w:id="54" w:name="_Toc218825012"/>
      <w:r>
        <w:rPr>
          <w:rFonts w:ascii="Calibri" w:hAnsi="Calibri" w:cs="Calibri"/>
          <w:b/>
          <w:bCs/>
          <w:color w:val="auto"/>
          <w:sz w:val="24"/>
          <w:szCs w:val="24"/>
        </w:rPr>
        <w:lastRenderedPageBreak/>
        <w:t>References</w:t>
      </w:r>
      <w:bookmarkEnd w:id="53"/>
      <w:bookmarkEnd w:id="54"/>
    </w:p>
    <w:p w14:paraId="6296F17A" w14:textId="77777777" w:rsidR="00A34F12" w:rsidRDefault="00A34F12" w:rsidP="00A34F12"/>
    <w:p w14:paraId="3155CD55" w14:textId="77777777" w:rsidR="00A34F12" w:rsidRPr="00056D6C" w:rsidRDefault="00A34F12" w:rsidP="00A34F12">
      <w:pPr>
        <w:spacing w:line="360" w:lineRule="auto"/>
        <w:jc w:val="both"/>
        <w:rPr>
          <w:rFonts w:ascii="Arial" w:hAnsi="Arial"/>
          <w:sz w:val="22"/>
          <w:szCs w:val="22"/>
        </w:rPr>
      </w:pPr>
      <w:r w:rsidRPr="00056D6C">
        <w:rPr>
          <w:rFonts w:ascii="Arial" w:hAnsi="Arial"/>
          <w:sz w:val="22"/>
          <w:szCs w:val="22"/>
        </w:rPr>
        <w:t xml:space="preserve">Diabetes UK (2025) Ethnicity and risk of type 2 diabetes and its complications. Available at: </w:t>
      </w:r>
      <w:hyperlink r:id="rId22" w:history="1">
        <w:r w:rsidRPr="00056D6C">
          <w:rPr>
            <w:rStyle w:val="Hyperlink"/>
            <w:rFonts w:ascii="Arial" w:hAnsi="Arial"/>
            <w:sz w:val="22"/>
            <w:szCs w:val="22"/>
          </w:rPr>
          <w:t>https://www.diabetes.org.uk/our-research/about-our-research/our-funded-projects/north-west/ethnicity-type-2</w:t>
        </w:r>
      </w:hyperlink>
      <w:r w:rsidRPr="00056D6C">
        <w:rPr>
          <w:rFonts w:ascii="Arial" w:hAnsi="Arial"/>
          <w:sz w:val="22"/>
          <w:szCs w:val="22"/>
        </w:rPr>
        <w:t xml:space="preserve"> (Accessed: 23 December 2025).</w:t>
      </w:r>
    </w:p>
    <w:p w14:paraId="43B30082" w14:textId="77777777" w:rsidR="00A34F12" w:rsidRPr="00056D6C" w:rsidRDefault="00A34F12" w:rsidP="00A34F12">
      <w:pPr>
        <w:spacing w:line="360" w:lineRule="auto"/>
        <w:jc w:val="both"/>
        <w:rPr>
          <w:rFonts w:ascii="Arial" w:hAnsi="Arial"/>
          <w:sz w:val="22"/>
          <w:szCs w:val="22"/>
        </w:rPr>
      </w:pPr>
      <w:r w:rsidRPr="00056D6C">
        <w:rPr>
          <w:rFonts w:ascii="Arial" w:hAnsi="Arial"/>
          <w:sz w:val="22"/>
          <w:szCs w:val="22"/>
        </w:rPr>
        <w:t xml:space="preserve">‌Renzella, J., Adeola Agbebiyi, Nayyar, R., Malik, S., Ahmed, E., Harding, S., Scarborough, P. and Bhatnagar, P. (2025) ‘Identifying areas for action to create healthier diets in the London Borough of Newham: systems mapping with residents’, </w:t>
      </w:r>
      <w:r w:rsidRPr="00056D6C">
        <w:rPr>
          <w:rFonts w:ascii="Arial" w:hAnsi="Arial"/>
          <w:i/>
          <w:iCs/>
          <w:sz w:val="22"/>
          <w:szCs w:val="22"/>
        </w:rPr>
        <w:t>BMC Public Health</w:t>
      </w:r>
      <w:r w:rsidRPr="00056D6C">
        <w:rPr>
          <w:rFonts w:ascii="Arial" w:hAnsi="Arial"/>
          <w:sz w:val="22"/>
          <w:szCs w:val="22"/>
        </w:rPr>
        <w:t xml:space="preserve">, 25(1), 2645. Available at: </w:t>
      </w:r>
      <w:hyperlink r:id="rId23" w:history="1">
        <w:r w:rsidRPr="00056D6C">
          <w:rPr>
            <w:rStyle w:val="Hyperlink"/>
            <w:rFonts w:ascii="Arial" w:hAnsi="Arial"/>
            <w:sz w:val="22"/>
            <w:szCs w:val="22"/>
          </w:rPr>
          <w:t>https://doi.org/10.1186/s12889-025-23909-4</w:t>
        </w:r>
      </w:hyperlink>
      <w:r w:rsidRPr="00056D6C">
        <w:rPr>
          <w:rFonts w:ascii="Arial" w:hAnsi="Arial"/>
          <w:sz w:val="22"/>
          <w:szCs w:val="22"/>
        </w:rPr>
        <w:t xml:space="preserve"> </w:t>
      </w:r>
    </w:p>
    <w:p w14:paraId="452751C5" w14:textId="77777777" w:rsidR="00A34F12" w:rsidRPr="00056D6C" w:rsidRDefault="00A34F12" w:rsidP="00A34F12">
      <w:pPr>
        <w:spacing w:line="360" w:lineRule="auto"/>
        <w:jc w:val="both"/>
        <w:rPr>
          <w:rFonts w:ascii="Arial" w:hAnsi="Arial"/>
          <w:sz w:val="22"/>
          <w:szCs w:val="22"/>
        </w:rPr>
      </w:pPr>
      <w:r w:rsidRPr="00056D6C">
        <w:rPr>
          <w:rFonts w:ascii="Arial" w:hAnsi="Arial"/>
          <w:sz w:val="22"/>
          <w:szCs w:val="22"/>
        </w:rPr>
        <w:t xml:space="preserve">Aamna Mohdin and García, C.A. (2023) ‘Black people in England and Wales three times as likely to live in social housing’, </w:t>
      </w:r>
      <w:r w:rsidRPr="00056D6C">
        <w:rPr>
          <w:rFonts w:ascii="Arial" w:hAnsi="Arial"/>
          <w:i/>
          <w:iCs/>
          <w:sz w:val="22"/>
          <w:szCs w:val="22"/>
        </w:rPr>
        <w:t>The Guardian</w:t>
      </w:r>
      <w:r w:rsidRPr="00056D6C">
        <w:rPr>
          <w:rFonts w:ascii="Arial" w:hAnsi="Arial"/>
          <w:sz w:val="22"/>
          <w:szCs w:val="22"/>
        </w:rPr>
        <w:t xml:space="preserve">. Available at: </w:t>
      </w:r>
      <w:hyperlink r:id="rId24" w:history="1">
        <w:r w:rsidRPr="00056D6C">
          <w:rPr>
            <w:rStyle w:val="Hyperlink"/>
            <w:rFonts w:ascii="Arial" w:hAnsi="Arial"/>
            <w:sz w:val="22"/>
            <w:szCs w:val="22"/>
          </w:rPr>
          <w:t>https://www.theguardian.com/society/2023/mar/15/census-black-britons-social-housing-ons</w:t>
        </w:r>
      </w:hyperlink>
      <w:r w:rsidRPr="00056D6C">
        <w:rPr>
          <w:rFonts w:ascii="Arial" w:hAnsi="Arial"/>
          <w:sz w:val="22"/>
          <w:szCs w:val="22"/>
        </w:rPr>
        <w:t xml:space="preserve"> (Accessed: 02 January 2026).</w:t>
      </w:r>
    </w:p>
    <w:p w14:paraId="1078C48B" w14:textId="77777777" w:rsidR="00A34F12" w:rsidRPr="00056D6C" w:rsidRDefault="00A34F12" w:rsidP="00A34F12">
      <w:pPr>
        <w:spacing w:line="360" w:lineRule="auto"/>
        <w:jc w:val="both"/>
        <w:rPr>
          <w:rFonts w:ascii="Arial" w:hAnsi="Arial"/>
          <w:sz w:val="22"/>
          <w:szCs w:val="22"/>
        </w:rPr>
      </w:pPr>
      <w:r w:rsidRPr="00056D6C">
        <w:rPr>
          <w:rFonts w:ascii="Arial" w:hAnsi="Arial"/>
          <w:sz w:val="22"/>
          <w:szCs w:val="22"/>
        </w:rPr>
        <w:t xml:space="preserve">Abdisamad, N. (2023) Racial bias in healthcare as a challenge to human security - Human Security Centre, </w:t>
      </w:r>
      <w:r w:rsidRPr="00056D6C">
        <w:rPr>
          <w:rFonts w:ascii="Arial" w:hAnsi="Arial"/>
          <w:i/>
          <w:iCs/>
          <w:sz w:val="22"/>
          <w:szCs w:val="22"/>
        </w:rPr>
        <w:t>Human Security Centre</w:t>
      </w:r>
      <w:r w:rsidRPr="00056D6C">
        <w:rPr>
          <w:rFonts w:ascii="Arial" w:hAnsi="Arial"/>
          <w:sz w:val="22"/>
          <w:szCs w:val="22"/>
        </w:rPr>
        <w:t xml:space="preserve">. Available at: </w:t>
      </w:r>
      <w:hyperlink r:id="rId25" w:history="1">
        <w:r w:rsidRPr="00056D6C">
          <w:rPr>
            <w:rStyle w:val="Hyperlink"/>
            <w:rFonts w:ascii="Arial" w:hAnsi="Arial"/>
            <w:sz w:val="22"/>
            <w:szCs w:val="22"/>
          </w:rPr>
          <w:t>https://www.hscentre.org/heath/racial-bias-healthcare-challenge-human-security/?utm_source=chatgpt.com</w:t>
        </w:r>
      </w:hyperlink>
      <w:r w:rsidRPr="00056D6C">
        <w:rPr>
          <w:rFonts w:ascii="Arial" w:hAnsi="Arial"/>
          <w:sz w:val="22"/>
          <w:szCs w:val="22"/>
        </w:rPr>
        <w:t xml:space="preserve"> (Accessed 03 January 2026).</w:t>
      </w:r>
    </w:p>
    <w:p w14:paraId="0418B109" w14:textId="77777777" w:rsidR="00A34F12" w:rsidRPr="00056D6C" w:rsidRDefault="00A34F12" w:rsidP="00A34F12">
      <w:pPr>
        <w:spacing w:line="360" w:lineRule="auto"/>
        <w:jc w:val="both"/>
        <w:rPr>
          <w:rFonts w:ascii="Arial" w:hAnsi="Arial"/>
          <w:sz w:val="22"/>
          <w:szCs w:val="22"/>
        </w:rPr>
      </w:pPr>
      <w:r w:rsidRPr="00056D6C">
        <w:rPr>
          <w:rFonts w:ascii="Arial" w:hAnsi="Arial"/>
          <w:sz w:val="22"/>
          <w:szCs w:val="22"/>
        </w:rPr>
        <w:t xml:space="preserve">Action on Salt (2024) </w:t>
      </w:r>
      <w:r w:rsidRPr="00056D6C">
        <w:rPr>
          <w:rFonts w:ascii="Arial" w:hAnsi="Arial"/>
          <w:i/>
          <w:iCs/>
          <w:sz w:val="22"/>
          <w:szCs w:val="22"/>
        </w:rPr>
        <w:t>Black African – Salt and Your Health</w:t>
      </w:r>
      <w:r w:rsidRPr="00056D6C">
        <w:rPr>
          <w:rFonts w:ascii="Arial" w:hAnsi="Arial"/>
          <w:sz w:val="22"/>
          <w:szCs w:val="22"/>
        </w:rPr>
        <w:t xml:space="preserve">. Available at: </w:t>
      </w:r>
      <w:hyperlink r:id="rId26" w:history="1">
        <w:r w:rsidRPr="00056D6C">
          <w:rPr>
            <w:rStyle w:val="Hyperlink"/>
            <w:rFonts w:ascii="Arial" w:hAnsi="Arial"/>
            <w:sz w:val="22"/>
            <w:szCs w:val="22"/>
          </w:rPr>
          <w:t>https://www.actiononsalt.org.uk/salthealth/ethnic/blackafrican/</w:t>
        </w:r>
      </w:hyperlink>
      <w:r w:rsidRPr="00056D6C">
        <w:rPr>
          <w:rFonts w:ascii="Arial" w:hAnsi="Arial"/>
          <w:sz w:val="22"/>
          <w:szCs w:val="22"/>
        </w:rPr>
        <w:t xml:space="preserve"> (Accessed: 09 November 2025)</w:t>
      </w:r>
      <w:r>
        <w:rPr>
          <w:rFonts w:ascii="Arial" w:hAnsi="Arial"/>
          <w:sz w:val="22"/>
          <w:szCs w:val="22"/>
        </w:rPr>
        <w:t>.</w:t>
      </w:r>
    </w:p>
    <w:p w14:paraId="424C6403" w14:textId="77777777" w:rsidR="00A34F12" w:rsidRPr="00056D6C" w:rsidRDefault="00A34F12" w:rsidP="00A34F12">
      <w:pPr>
        <w:spacing w:line="360" w:lineRule="auto"/>
        <w:jc w:val="both"/>
        <w:rPr>
          <w:rFonts w:ascii="Arial" w:hAnsi="Arial"/>
          <w:sz w:val="22"/>
          <w:szCs w:val="22"/>
        </w:rPr>
      </w:pPr>
      <w:r w:rsidRPr="00056D6C">
        <w:rPr>
          <w:rFonts w:ascii="Arial" w:hAnsi="Arial"/>
          <w:sz w:val="22"/>
          <w:szCs w:val="22"/>
        </w:rPr>
        <w:t xml:space="preserve">Adesina, M., MacDonald, M., McKelvin, G. and Abayomi, J. (2025) Maternal health inequalities: focusing on Black pregnant women - British Journal Of Midwifery, </w:t>
      </w:r>
      <w:r w:rsidRPr="00056D6C">
        <w:rPr>
          <w:rFonts w:ascii="Arial" w:hAnsi="Arial"/>
          <w:i/>
          <w:iCs/>
          <w:sz w:val="22"/>
          <w:szCs w:val="22"/>
        </w:rPr>
        <w:t>British Journal Of Midwifery</w:t>
      </w:r>
      <w:r w:rsidRPr="00056D6C">
        <w:rPr>
          <w:rFonts w:ascii="Arial" w:hAnsi="Arial"/>
          <w:sz w:val="22"/>
          <w:szCs w:val="22"/>
        </w:rPr>
        <w:t xml:space="preserve">. Available at: </w:t>
      </w:r>
      <w:hyperlink r:id="rId27" w:history="1">
        <w:r w:rsidRPr="00056D6C">
          <w:rPr>
            <w:rStyle w:val="Hyperlink"/>
            <w:rFonts w:ascii="Arial" w:hAnsi="Arial"/>
            <w:sz w:val="22"/>
            <w:szCs w:val="22"/>
          </w:rPr>
          <w:t>https://www.britishjournalofmidwifery.com/content/professional/maternal-health-inequalities-focusing-on-black-pregnant-women</w:t>
        </w:r>
      </w:hyperlink>
      <w:r w:rsidRPr="00056D6C">
        <w:rPr>
          <w:rFonts w:ascii="Arial" w:hAnsi="Arial"/>
          <w:sz w:val="22"/>
          <w:szCs w:val="22"/>
        </w:rPr>
        <w:t xml:space="preserve"> (Accessed: 29 December 2025)</w:t>
      </w:r>
      <w:r>
        <w:rPr>
          <w:rFonts w:ascii="Arial" w:hAnsi="Arial"/>
          <w:sz w:val="22"/>
          <w:szCs w:val="22"/>
        </w:rPr>
        <w:t>.</w:t>
      </w:r>
    </w:p>
    <w:p w14:paraId="07A59458" w14:textId="77777777" w:rsidR="00A34F12" w:rsidRPr="00056D6C" w:rsidRDefault="00A34F12" w:rsidP="00A34F12">
      <w:pPr>
        <w:spacing w:line="360" w:lineRule="auto"/>
        <w:jc w:val="both"/>
        <w:rPr>
          <w:rFonts w:ascii="Arial" w:hAnsi="Arial"/>
          <w:sz w:val="22"/>
          <w:szCs w:val="22"/>
        </w:rPr>
      </w:pPr>
      <w:r w:rsidRPr="00056D6C">
        <w:rPr>
          <w:rFonts w:ascii="Arial" w:hAnsi="Arial"/>
          <w:sz w:val="22"/>
          <w:szCs w:val="22"/>
        </w:rPr>
        <w:t xml:space="preserve">African Health Policy Network [AHPN] (2021) </w:t>
      </w:r>
      <w:r w:rsidRPr="00056D6C">
        <w:rPr>
          <w:rFonts w:ascii="Arial" w:hAnsi="Arial"/>
          <w:i/>
          <w:iCs/>
          <w:sz w:val="22"/>
          <w:szCs w:val="22"/>
        </w:rPr>
        <w:t>About us</w:t>
      </w:r>
      <w:r w:rsidRPr="00056D6C">
        <w:rPr>
          <w:rFonts w:ascii="Arial" w:hAnsi="Arial"/>
          <w:sz w:val="22"/>
          <w:szCs w:val="22"/>
        </w:rPr>
        <w:t xml:space="preserve">. Available at: </w:t>
      </w:r>
      <w:hyperlink r:id="rId28" w:history="1">
        <w:r w:rsidRPr="00056D6C">
          <w:rPr>
            <w:rStyle w:val="Hyperlink"/>
            <w:rFonts w:ascii="Arial" w:hAnsi="Arial"/>
            <w:color w:val="auto"/>
            <w:sz w:val="22"/>
            <w:szCs w:val="22"/>
          </w:rPr>
          <w:t>https://www.ahpn.org</w:t>
        </w:r>
        <w:r w:rsidRPr="00056D6C">
          <w:rPr>
            <w:rStyle w:val="Hyperlink"/>
            <w:rFonts w:ascii="Arial" w:hAnsi="Arial"/>
            <w:color w:val="auto"/>
            <w:sz w:val="22"/>
            <w:szCs w:val="22"/>
          </w:rPr>
          <w:t>.uk/about</w:t>
        </w:r>
      </w:hyperlink>
      <w:r w:rsidRPr="00056D6C">
        <w:rPr>
          <w:rFonts w:ascii="Arial" w:hAnsi="Arial"/>
          <w:sz w:val="22"/>
          <w:szCs w:val="22"/>
        </w:rPr>
        <w:t xml:space="preserve"> (Accessed: 03 January 2026)</w:t>
      </w:r>
      <w:r>
        <w:rPr>
          <w:rFonts w:ascii="Arial" w:hAnsi="Arial"/>
          <w:sz w:val="22"/>
          <w:szCs w:val="22"/>
        </w:rPr>
        <w:t>.</w:t>
      </w:r>
    </w:p>
    <w:p w14:paraId="7638B1DB" w14:textId="77777777" w:rsidR="00A34F12" w:rsidRPr="00056D6C" w:rsidRDefault="00A34F12" w:rsidP="00A34F12">
      <w:pPr>
        <w:spacing w:line="360" w:lineRule="auto"/>
        <w:jc w:val="both"/>
        <w:rPr>
          <w:rFonts w:ascii="Arial" w:hAnsi="Arial"/>
          <w:sz w:val="22"/>
          <w:szCs w:val="22"/>
        </w:rPr>
      </w:pPr>
      <w:r w:rsidRPr="00056D6C">
        <w:rPr>
          <w:rFonts w:ascii="Arial" w:hAnsi="Arial"/>
          <w:sz w:val="22"/>
          <w:szCs w:val="22"/>
        </w:rPr>
        <w:t xml:space="preserve">Ajetunmobi, O. M. (2024) The impact of migration on local (UK) food systems: opportunities and challenges for public health, PhD thesis, London School of Hygiene &amp; Tropical Medicine. Available at: </w:t>
      </w:r>
      <w:hyperlink r:id="rId29" w:history="1">
        <w:r w:rsidRPr="00056D6C">
          <w:rPr>
            <w:rStyle w:val="Hyperlink"/>
            <w:rFonts w:ascii="Arial" w:hAnsi="Arial"/>
            <w:sz w:val="22"/>
            <w:szCs w:val="22"/>
          </w:rPr>
          <w:t>https://doi.org/10.17037/PUBS.04673932</w:t>
        </w:r>
      </w:hyperlink>
      <w:r w:rsidRPr="00056D6C">
        <w:rPr>
          <w:rFonts w:ascii="Arial" w:hAnsi="Arial"/>
          <w:sz w:val="22"/>
          <w:szCs w:val="22"/>
        </w:rPr>
        <w:t xml:space="preserve"> (Accessed: 05 January 2026)</w:t>
      </w:r>
      <w:r>
        <w:rPr>
          <w:rFonts w:ascii="Arial" w:hAnsi="Arial"/>
          <w:sz w:val="22"/>
          <w:szCs w:val="22"/>
        </w:rPr>
        <w:t>.</w:t>
      </w:r>
    </w:p>
    <w:p w14:paraId="780C201B" w14:textId="77777777" w:rsidR="00A34F12" w:rsidRPr="00056D6C" w:rsidRDefault="00A34F12" w:rsidP="00A34F12">
      <w:pPr>
        <w:spacing w:line="360" w:lineRule="auto"/>
        <w:jc w:val="both"/>
        <w:rPr>
          <w:rFonts w:ascii="Arial" w:hAnsi="Arial"/>
          <w:sz w:val="22"/>
          <w:szCs w:val="22"/>
        </w:rPr>
      </w:pPr>
      <w:r w:rsidRPr="00056D6C">
        <w:rPr>
          <w:rFonts w:ascii="Arial" w:hAnsi="Arial"/>
          <w:sz w:val="22"/>
          <w:szCs w:val="22"/>
        </w:rPr>
        <w:t xml:space="preserve">Birch, J.M., Mueller, J., Damery, S., Sharp, S.J., Jones, R.A., Kelly, M.P., Anderson, A.S., Astbury, N., Aveyard, P., Beeken, R.J., Craigie, A., Greaves, C., Jebb, S., McConnachie, A., </w:t>
      </w:r>
      <w:r w:rsidRPr="00056D6C">
        <w:rPr>
          <w:rFonts w:ascii="Arial" w:hAnsi="Arial"/>
          <w:sz w:val="22"/>
          <w:szCs w:val="22"/>
        </w:rPr>
        <w:lastRenderedPageBreak/>
        <w:t>Kiran Nanchahal, Stuart, B., White, M., Griffin, S.J. and Ahern, A.L. (2025) ‘Are there inequalities in the attendance at and effectiveness of behavioural weight management interventions for adults in the UK? An individual participant data meta-analysis’, </w:t>
      </w:r>
      <w:r w:rsidRPr="00056D6C">
        <w:rPr>
          <w:rFonts w:ascii="Arial" w:hAnsi="Arial"/>
          <w:i/>
          <w:iCs/>
          <w:sz w:val="22"/>
          <w:szCs w:val="22"/>
        </w:rPr>
        <w:t>BMJ Public Health</w:t>
      </w:r>
      <w:r w:rsidRPr="00056D6C">
        <w:rPr>
          <w:rFonts w:ascii="Arial" w:hAnsi="Arial"/>
          <w:sz w:val="22"/>
          <w:szCs w:val="22"/>
        </w:rPr>
        <w:t xml:space="preserve">, 3(2). Available at: </w:t>
      </w:r>
      <w:hyperlink r:id="rId30" w:history="1">
        <w:r w:rsidRPr="00056D6C">
          <w:rPr>
            <w:rStyle w:val="Hyperlink"/>
            <w:rFonts w:ascii="Arial" w:hAnsi="Arial"/>
            <w:sz w:val="22"/>
            <w:szCs w:val="22"/>
          </w:rPr>
          <w:t>https://doi.org/10.1136/bmjph-2024-001382</w:t>
        </w:r>
      </w:hyperlink>
      <w:r w:rsidRPr="00056D6C">
        <w:rPr>
          <w:rFonts w:ascii="Arial" w:hAnsi="Arial"/>
          <w:sz w:val="22"/>
          <w:szCs w:val="22"/>
        </w:rPr>
        <w:t xml:space="preserve"> </w:t>
      </w:r>
    </w:p>
    <w:p w14:paraId="0438AE43" w14:textId="77777777" w:rsidR="00A34F12" w:rsidRPr="00056D6C" w:rsidRDefault="00A34F12" w:rsidP="00A34F12">
      <w:pPr>
        <w:pStyle w:val="NormalWeb"/>
        <w:spacing w:after="0" w:line="360" w:lineRule="auto"/>
        <w:jc w:val="both"/>
        <w:rPr>
          <w:rFonts w:ascii="Arial" w:eastAsia="Times New Roman" w:hAnsi="Arial" w:cs="Arial"/>
          <w:color w:val="000000"/>
          <w:kern w:val="0"/>
          <w:sz w:val="22"/>
          <w:szCs w:val="22"/>
          <w:lang w:eastAsia="en-GB"/>
        </w:rPr>
      </w:pPr>
      <w:r w:rsidRPr="00056D6C">
        <w:rPr>
          <w:rFonts w:ascii="Arial" w:hAnsi="Arial" w:cs="Arial"/>
          <w:sz w:val="22"/>
          <w:szCs w:val="22"/>
        </w:rPr>
        <w:t xml:space="preserve">Blackwell, L. C. (2025) Socio-economic Status and Social Capital in the Aetiology of Obesity, Doctoral dissertation, University of Hertfordshire. Available at: </w:t>
      </w:r>
      <w:hyperlink r:id="rId31" w:history="1">
        <w:r w:rsidRPr="00056D6C">
          <w:rPr>
            <w:rStyle w:val="Hyperlink"/>
            <w:rFonts w:ascii="Arial" w:hAnsi="Arial" w:cs="Arial"/>
            <w:sz w:val="22"/>
            <w:szCs w:val="22"/>
          </w:rPr>
          <w:t>https://uhra.herts.ac.uk/id/eprint/26028/1/14091020%20BLACKWELL%20Liam%20PhD%20final%20submission.pdf</w:t>
        </w:r>
      </w:hyperlink>
      <w:r w:rsidRPr="00056D6C">
        <w:rPr>
          <w:rFonts w:ascii="Arial" w:hAnsi="Arial" w:cs="Arial"/>
          <w:color w:val="000000"/>
          <w:sz w:val="22"/>
          <w:szCs w:val="22"/>
        </w:rPr>
        <w:t xml:space="preserve"> (Accessed: 07 January 2026)</w:t>
      </w:r>
    </w:p>
    <w:p w14:paraId="0D81FCF6" w14:textId="77777777" w:rsidR="00A34F12" w:rsidRPr="00056D6C" w:rsidRDefault="00A34F12" w:rsidP="00A34F12">
      <w:pPr>
        <w:spacing w:line="360" w:lineRule="auto"/>
        <w:jc w:val="both"/>
        <w:rPr>
          <w:rFonts w:ascii="Arial" w:hAnsi="Arial"/>
          <w:sz w:val="22"/>
          <w:szCs w:val="22"/>
        </w:rPr>
      </w:pPr>
      <w:r w:rsidRPr="00056D6C">
        <w:rPr>
          <w:rFonts w:ascii="Arial" w:hAnsi="Arial"/>
          <w:sz w:val="22"/>
          <w:szCs w:val="22"/>
        </w:rPr>
        <w:t>Bolarinwa, O. A. and Holt, N. (2023) ‘Barriers to breast and cervical cancer screening uptake among Black, Asian, and Minority Ethnic women in the United Kingdom: evidence from a mixed-methods systematic review’, </w:t>
      </w:r>
      <w:r w:rsidRPr="00056D6C">
        <w:rPr>
          <w:rFonts w:ascii="Arial" w:hAnsi="Arial"/>
          <w:i/>
          <w:iCs/>
          <w:sz w:val="22"/>
          <w:szCs w:val="22"/>
        </w:rPr>
        <w:t>BMC Health Services Research</w:t>
      </w:r>
      <w:r w:rsidRPr="00056D6C">
        <w:rPr>
          <w:rFonts w:ascii="Arial" w:hAnsi="Arial"/>
          <w:sz w:val="22"/>
          <w:szCs w:val="22"/>
        </w:rPr>
        <w:t xml:space="preserve">, 23(1), 390. doi:  </w:t>
      </w:r>
      <w:hyperlink r:id="rId32" w:history="1">
        <w:r w:rsidRPr="00056D6C">
          <w:rPr>
            <w:rStyle w:val="Hyperlink"/>
            <w:rFonts w:ascii="Arial" w:hAnsi="Arial"/>
            <w:sz w:val="22"/>
            <w:szCs w:val="22"/>
          </w:rPr>
          <w:t>https://doi.org/10.1186/s12913-023-09410-x</w:t>
        </w:r>
      </w:hyperlink>
      <w:r w:rsidRPr="00056D6C">
        <w:rPr>
          <w:rFonts w:ascii="Arial" w:hAnsi="Arial"/>
          <w:sz w:val="22"/>
          <w:szCs w:val="22"/>
        </w:rPr>
        <w:t xml:space="preserve"> </w:t>
      </w:r>
    </w:p>
    <w:p w14:paraId="4ED21AD2" w14:textId="77777777" w:rsidR="00A34F12" w:rsidRPr="00056D6C" w:rsidRDefault="00A34F12" w:rsidP="00A34F12">
      <w:pPr>
        <w:spacing w:line="360" w:lineRule="auto"/>
        <w:jc w:val="both"/>
        <w:rPr>
          <w:rFonts w:ascii="Arial" w:hAnsi="Arial"/>
          <w:sz w:val="22"/>
          <w:szCs w:val="22"/>
        </w:rPr>
      </w:pPr>
      <w:r w:rsidRPr="00056D6C">
        <w:rPr>
          <w:rFonts w:ascii="Arial" w:hAnsi="Arial"/>
          <w:sz w:val="22"/>
          <w:szCs w:val="22"/>
        </w:rPr>
        <w:t>Broadbent, P., Shen, Y., Pearce, A. and Katikireddi, S.V. (2024) ‘Trends in inequalities in childhood overweight and obesity prevalence: a repeat cross-sectional analysis of the Health Survey for England’, </w:t>
      </w:r>
      <w:r w:rsidRPr="00056D6C">
        <w:rPr>
          <w:rFonts w:ascii="Arial" w:hAnsi="Arial"/>
          <w:i/>
          <w:iCs/>
          <w:sz w:val="22"/>
          <w:szCs w:val="22"/>
        </w:rPr>
        <w:t>Archives of Disease in Childhood</w:t>
      </w:r>
      <w:r w:rsidRPr="00056D6C">
        <w:rPr>
          <w:rFonts w:ascii="Arial" w:hAnsi="Arial"/>
          <w:sz w:val="22"/>
          <w:szCs w:val="22"/>
        </w:rPr>
        <w:t xml:space="preserve">, 109(3), 233-239. Available at: </w:t>
      </w:r>
      <w:hyperlink r:id="rId33" w:history="1">
        <w:r w:rsidRPr="00056D6C">
          <w:rPr>
            <w:rStyle w:val="Hyperlink"/>
            <w:rFonts w:ascii="Arial" w:hAnsi="Arial"/>
            <w:sz w:val="22"/>
            <w:szCs w:val="22"/>
          </w:rPr>
          <w:t>https://doi.org/10.1136/archdischild-2023-325844</w:t>
        </w:r>
      </w:hyperlink>
      <w:r w:rsidRPr="00056D6C">
        <w:rPr>
          <w:rFonts w:ascii="Arial" w:hAnsi="Arial"/>
          <w:sz w:val="22"/>
          <w:szCs w:val="22"/>
        </w:rPr>
        <w:t xml:space="preserve"> </w:t>
      </w:r>
    </w:p>
    <w:p w14:paraId="6D5BBFA1" w14:textId="77777777" w:rsidR="00A34F12" w:rsidRPr="00056D6C" w:rsidRDefault="00A34F12" w:rsidP="00A34F12">
      <w:pPr>
        <w:spacing w:line="360" w:lineRule="auto"/>
        <w:jc w:val="both"/>
        <w:rPr>
          <w:rFonts w:ascii="Arial" w:hAnsi="Arial"/>
          <w:sz w:val="22"/>
          <w:szCs w:val="22"/>
        </w:rPr>
      </w:pPr>
      <w:r w:rsidRPr="00056D6C">
        <w:rPr>
          <w:rFonts w:ascii="Arial" w:hAnsi="Arial"/>
          <w:sz w:val="22"/>
          <w:szCs w:val="22"/>
        </w:rPr>
        <w:t xml:space="preserve">Bryan, R. and Farah W. (2024) Excellence through equality, </w:t>
      </w:r>
      <w:r w:rsidRPr="00056D6C">
        <w:rPr>
          <w:rFonts w:ascii="Arial" w:hAnsi="Arial"/>
          <w:i/>
          <w:iCs/>
          <w:sz w:val="22"/>
          <w:szCs w:val="22"/>
        </w:rPr>
        <w:t>NHS Confederation</w:t>
      </w:r>
      <w:r w:rsidRPr="00056D6C">
        <w:rPr>
          <w:rFonts w:ascii="Arial" w:hAnsi="Arial"/>
          <w:sz w:val="22"/>
          <w:szCs w:val="22"/>
        </w:rPr>
        <w:t xml:space="preserve">. Available at: </w:t>
      </w:r>
      <w:hyperlink r:id="rId34" w:history="1">
        <w:r w:rsidRPr="00056D6C">
          <w:rPr>
            <w:rStyle w:val="Hyperlink"/>
            <w:rFonts w:ascii="Arial" w:hAnsi="Arial"/>
            <w:color w:val="auto"/>
            <w:sz w:val="22"/>
            <w:szCs w:val="22"/>
          </w:rPr>
          <w:t>https://www.nhsconfed.org/publications/excellence-through-equality</w:t>
        </w:r>
      </w:hyperlink>
      <w:r w:rsidRPr="00056D6C">
        <w:rPr>
          <w:rFonts w:ascii="Arial" w:hAnsi="Arial"/>
          <w:sz w:val="22"/>
          <w:szCs w:val="22"/>
        </w:rPr>
        <w:t xml:space="preserve"> (Accessed: 27 December 2025)</w:t>
      </w:r>
      <w:r>
        <w:rPr>
          <w:rFonts w:ascii="Arial" w:hAnsi="Arial"/>
          <w:sz w:val="22"/>
          <w:szCs w:val="22"/>
        </w:rPr>
        <w:t>.</w:t>
      </w:r>
    </w:p>
    <w:p w14:paraId="73D37F6B" w14:textId="77777777" w:rsidR="00A34F12" w:rsidRPr="00056D6C" w:rsidRDefault="00A34F12" w:rsidP="00A34F12">
      <w:pPr>
        <w:spacing w:line="360" w:lineRule="auto"/>
        <w:jc w:val="both"/>
        <w:rPr>
          <w:rFonts w:ascii="Arial" w:hAnsi="Arial"/>
          <w:sz w:val="22"/>
          <w:szCs w:val="22"/>
        </w:rPr>
      </w:pPr>
      <w:r w:rsidRPr="00056D6C">
        <w:rPr>
          <w:rFonts w:ascii="Arial" w:hAnsi="Arial"/>
          <w:sz w:val="22"/>
          <w:szCs w:val="22"/>
        </w:rPr>
        <w:t xml:space="preserve">‌Campbell, E., Macey, E., Shine, C., Vahé Nafilyan, Clark, N.M., Pawelek, P., Ward, I., Hughes, A.D., Raleigh, V.S., Banerjee, A. and Finning, K. (2023) 'Sociodemographic and health-related differences in undiagnosed hypertension in the health survey for England 2015–2019: a cross-sectional cohort study', </w:t>
      </w:r>
      <w:r w:rsidRPr="00056D6C">
        <w:rPr>
          <w:rFonts w:ascii="Arial" w:hAnsi="Arial"/>
          <w:i/>
          <w:iCs/>
          <w:sz w:val="22"/>
          <w:szCs w:val="22"/>
        </w:rPr>
        <w:t>EClinicalMedicine</w:t>
      </w:r>
      <w:r w:rsidRPr="00056D6C">
        <w:rPr>
          <w:rFonts w:ascii="Arial" w:hAnsi="Arial"/>
          <w:sz w:val="22"/>
          <w:szCs w:val="22"/>
        </w:rPr>
        <w:t xml:space="preserve">, 65(102275), pp.102275–102275. Available at: </w:t>
      </w:r>
      <w:hyperlink r:id="rId35" w:history="1">
        <w:r w:rsidRPr="00056D6C">
          <w:rPr>
            <w:rStyle w:val="Hyperlink"/>
            <w:rFonts w:ascii="Arial" w:hAnsi="Arial"/>
            <w:sz w:val="22"/>
            <w:szCs w:val="22"/>
          </w:rPr>
          <w:t>https://doi.org/10.1016/j.eclinm.2023.102275</w:t>
        </w:r>
      </w:hyperlink>
      <w:r w:rsidRPr="00056D6C">
        <w:rPr>
          <w:rFonts w:ascii="Arial" w:hAnsi="Arial"/>
          <w:sz w:val="22"/>
          <w:szCs w:val="22"/>
        </w:rPr>
        <w:t xml:space="preserve">  (Accessed: 29 December 2025)</w:t>
      </w:r>
      <w:r>
        <w:rPr>
          <w:rFonts w:ascii="Arial" w:hAnsi="Arial"/>
          <w:sz w:val="22"/>
          <w:szCs w:val="22"/>
        </w:rPr>
        <w:t>.</w:t>
      </w:r>
    </w:p>
    <w:p w14:paraId="13CC167F" w14:textId="77777777" w:rsidR="00A34F12" w:rsidRPr="00056D6C" w:rsidRDefault="00A34F12" w:rsidP="00A34F12">
      <w:pPr>
        <w:spacing w:line="360" w:lineRule="auto"/>
        <w:jc w:val="both"/>
        <w:rPr>
          <w:rFonts w:ascii="Arial" w:hAnsi="Arial"/>
          <w:sz w:val="22"/>
          <w:szCs w:val="22"/>
        </w:rPr>
      </w:pPr>
      <w:r w:rsidRPr="00056D6C">
        <w:rPr>
          <w:rFonts w:ascii="Arial" w:hAnsi="Arial"/>
          <w:sz w:val="22"/>
          <w:szCs w:val="22"/>
        </w:rPr>
        <w:t>Candio, P., Mujica, F.P. and Frew, E. (2023) ‘Socio-economic accounting of inequalities in excess weight: a population-based analysis’, </w:t>
      </w:r>
      <w:r w:rsidRPr="00056D6C">
        <w:rPr>
          <w:rFonts w:ascii="Arial" w:hAnsi="Arial"/>
          <w:i/>
          <w:iCs/>
          <w:sz w:val="22"/>
          <w:szCs w:val="22"/>
        </w:rPr>
        <w:t>BMC Public Health</w:t>
      </w:r>
      <w:r w:rsidRPr="00056D6C">
        <w:rPr>
          <w:rFonts w:ascii="Arial" w:hAnsi="Arial"/>
          <w:sz w:val="22"/>
          <w:szCs w:val="22"/>
        </w:rPr>
        <w:t xml:space="preserve">, 23(1), 721. Available at: </w:t>
      </w:r>
      <w:hyperlink r:id="rId36" w:history="1">
        <w:r w:rsidRPr="00056D6C">
          <w:rPr>
            <w:rStyle w:val="Hyperlink"/>
            <w:rFonts w:ascii="Arial" w:hAnsi="Arial"/>
            <w:sz w:val="22"/>
            <w:szCs w:val="22"/>
          </w:rPr>
          <w:t>https://doi.org/10.1186/s12889-023-15592-0</w:t>
        </w:r>
      </w:hyperlink>
      <w:r w:rsidRPr="00056D6C">
        <w:rPr>
          <w:rFonts w:ascii="Arial" w:hAnsi="Arial"/>
          <w:sz w:val="22"/>
          <w:szCs w:val="22"/>
        </w:rPr>
        <w:t xml:space="preserve"> </w:t>
      </w:r>
    </w:p>
    <w:p w14:paraId="1787CBE6" w14:textId="77777777" w:rsidR="00A34F12" w:rsidRPr="00056D6C" w:rsidRDefault="00A34F12" w:rsidP="00A34F12">
      <w:pPr>
        <w:spacing w:line="360" w:lineRule="auto"/>
        <w:jc w:val="both"/>
        <w:rPr>
          <w:rFonts w:ascii="Arial" w:hAnsi="Arial"/>
          <w:sz w:val="22"/>
          <w:szCs w:val="22"/>
        </w:rPr>
      </w:pPr>
      <w:r w:rsidRPr="00056D6C">
        <w:rPr>
          <w:rFonts w:ascii="Arial" w:hAnsi="Arial"/>
          <w:sz w:val="22"/>
          <w:szCs w:val="22"/>
        </w:rPr>
        <w:t xml:space="preserve">Care Quality Commission [CQC] (2023) </w:t>
      </w:r>
      <w:r w:rsidRPr="00056D6C">
        <w:rPr>
          <w:rFonts w:ascii="Arial" w:hAnsi="Arial"/>
          <w:i/>
          <w:iCs/>
          <w:sz w:val="22"/>
          <w:szCs w:val="22"/>
        </w:rPr>
        <w:t>Inequalities: State of Care 2022/23</w:t>
      </w:r>
      <w:r w:rsidRPr="00056D6C">
        <w:rPr>
          <w:rFonts w:ascii="Arial" w:hAnsi="Arial"/>
          <w:sz w:val="22"/>
          <w:szCs w:val="22"/>
        </w:rPr>
        <w:t xml:space="preserve">. Available at: </w:t>
      </w:r>
      <w:hyperlink r:id="rId37" w:history="1">
        <w:r w:rsidRPr="00056D6C">
          <w:rPr>
            <w:rStyle w:val="Hyperlink"/>
            <w:rFonts w:ascii="Arial" w:hAnsi="Arial"/>
            <w:color w:val="auto"/>
            <w:sz w:val="22"/>
            <w:szCs w:val="22"/>
          </w:rPr>
          <w:t>https://www.cqc.org.uk/publications/major-report/state-care/2022-2023/inequ</w:t>
        </w:r>
        <w:r w:rsidRPr="00056D6C">
          <w:rPr>
            <w:rStyle w:val="Hyperlink"/>
            <w:rFonts w:ascii="Arial" w:hAnsi="Arial"/>
            <w:color w:val="auto"/>
            <w:sz w:val="22"/>
            <w:szCs w:val="22"/>
          </w:rPr>
          <w:t>alities</w:t>
        </w:r>
      </w:hyperlink>
      <w:r w:rsidRPr="00056D6C">
        <w:rPr>
          <w:rFonts w:ascii="Arial" w:hAnsi="Arial"/>
          <w:sz w:val="22"/>
          <w:szCs w:val="22"/>
        </w:rPr>
        <w:t xml:space="preserve"> (Accessed: 27 December 2025)</w:t>
      </w:r>
      <w:r>
        <w:rPr>
          <w:rFonts w:ascii="Arial" w:hAnsi="Arial"/>
          <w:sz w:val="22"/>
          <w:szCs w:val="22"/>
        </w:rPr>
        <w:t>.</w:t>
      </w:r>
    </w:p>
    <w:p w14:paraId="4FA5EE27" w14:textId="77777777" w:rsidR="00A34F12" w:rsidRDefault="00A34F12" w:rsidP="00A34F12">
      <w:pPr>
        <w:spacing w:line="360" w:lineRule="auto"/>
        <w:jc w:val="both"/>
        <w:rPr>
          <w:rFonts w:ascii="Arial" w:hAnsi="Arial"/>
          <w:sz w:val="22"/>
          <w:szCs w:val="22"/>
        </w:rPr>
      </w:pPr>
      <w:r w:rsidRPr="00056D6C">
        <w:rPr>
          <w:rFonts w:ascii="Arial" w:hAnsi="Arial"/>
          <w:sz w:val="22"/>
          <w:szCs w:val="22"/>
        </w:rPr>
        <w:lastRenderedPageBreak/>
        <w:t>Diabetes UK (2023) </w:t>
      </w:r>
      <w:r w:rsidRPr="00056D6C">
        <w:rPr>
          <w:rFonts w:ascii="Arial" w:hAnsi="Arial"/>
          <w:i/>
          <w:iCs/>
          <w:sz w:val="22"/>
          <w:szCs w:val="22"/>
        </w:rPr>
        <w:t>Tackling Inequality Commission Report</w:t>
      </w:r>
      <w:r w:rsidRPr="00056D6C">
        <w:rPr>
          <w:rFonts w:ascii="Arial" w:hAnsi="Arial"/>
          <w:sz w:val="22"/>
          <w:szCs w:val="22"/>
        </w:rPr>
        <w:t xml:space="preserve">. Available at: </w:t>
      </w:r>
      <w:hyperlink r:id="rId38" w:history="1">
        <w:r w:rsidRPr="00056D6C">
          <w:rPr>
            <w:rStyle w:val="Hyperlink"/>
            <w:rFonts w:ascii="Arial" w:hAnsi="Arial"/>
            <w:sz w:val="22"/>
            <w:szCs w:val="22"/>
          </w:rPr>
          <w:t>https://www.diabetes.org.uk/sites/default/files/2023-11/366_Tackling_Inequality_Commission_Report_DIGITAL%20(1).pdf</w:t>
        </w:r>
      </w:hyperlink>
      <w:r w:rsidRPr="00056D6C">
        <w:rPr>
          <w:rFonts w:ascii="Arial" w:hAnsi="Arial"/>
          <w:sz w:val="22"/>
          <w:szCs w:val="22"/>
        </w:rPr>
        <w:t xml:space="preserve"> (Accessed: 10 December 2025)</w:t>
      </w:r>
      <w:r>
        <w:rPr>
          <w:rFonts w:ascii="Arial" w:hAnsi="Arial"/>
          <w:sz w:val="22"/>
          <w:szCs w:val="22"/>
        </w:rPr>
        <w:t>.</w:t>
      </w:r>
    </w:p>
    <w:p w14:paraId="2BAE1F77" w14:textId="77777777" w:rsidR="00A34F12" w:rsidRPr="00056D6C" w:rsidRDefault="00A34F12" w:rsidP="00A34F12">
      <w:pPr>
        <w:spacing w:line="360" w:lineRule="auto"/>
        <w:jc w:val="both"/>
        <w:rPr>
          <w:rFonts w:ascii="Arial" w:hAnsi="Arial"/>
          <w:sz w:val="22"/>
          <w:szCs w:val="22"/>
        </w:rPr>
      </w:pPr>
      <w:r w:rsidRPr="007F4D52">
        <w:rPr>
          <w:rFonts w:ascii="Arial" w:hAnsi="Arial"/>
          <w:sz w:val="22"/>
          <w:szCs w:val="22"/>
        </w:rPr>
        <w:t>East</w:t>
      </w:r>
      <w:r>
        <w:rPr>
          <w:rFonts w:ascii="Arial" w:hAnsi="Arial"/>
          <w:sz w:val="22"/>
          <w:szCs w:val="22"/>
        </w:rPr>
        <w:t xml:space="preserve"> E</w:t>
      </w:r>
      <w:r w:rsidRPr="007F4D52">
        <w:rPr>
          <w:rFonts w:ascii="Arial" w:hAnsi="Arial"/>
          <w:sz w:val="22"/>
          <w:szCs w:val="22"/>
        </w:rPr>
        <w:t>nd</w:t>
      </w:r>
      <w:r>
        <w:rPr>
          <w:rFonts w:ascii="Arial" w:hAnsi="Arial"/>
          <w:sz w:val="22"/>
          <w:szCs w:val="22"/>
        </w:rPr>
        <w:t xml:space="preserve"> M</w:t>
      </w:r>
      <w:r w:rsidRPr="007F4D52">
        <w:rPr>
          <w:rFonts w:ascii="Arial" w:hAnsi="Arial"/>
          <w:sz w:val="22"/>
          <w:szCs w:val="22"/>
        </w:rPr>
        <w:t>edical</w:t>
      </w:r>
      <w:r>
        <w:rPr>
          <w:rFonts w:ascii="Arial" w:hAnsi="Arial"/>
          <w:sz w:val="22"/>
          <w:szCs w:val="22"/>
        </w:rPr>
        <w:t xml:space="preserve"> C</w:t>
      </w:r>
      <w:r w:rsidRPr="007F4D52">
        <w:rPr>
          <w:rFonts w:ascii="Arial" w:hAnsi="Arial"/>
          <w:sz w:val="22"/>
          <w:szCs w:val="22"/>
        </w:rPr>
        <w:t>entre (2024) </w:t>
      </w:r>
      <w:r w:rsidRPr="007F4D52">
        <w:rPr>
          <w:rFonts w:ascii="Arial" w:hAnsi="Arial"/>
          <w:i/>
          <w:iCs/>
          <w:sz w:val="22"/>
          <w:szCs w:val="22"/>
        </w:rPr>
        <w:t>Weight Management Support – East End Medical Centre</w:t>
      </w:r>
      <w:r w:rsidRPr="007F4D52">
        <w:rPr>
          <w:rFonts w:ascii="Arial" w:hAnsi="Arial"/>
          <w:sz w:val="22"/>
          <w:szCs w:val="22"/>
        </w:rPr>
        <w:t xml:space="preserve">. Available at: </w:t>
      </w:r>
      <w:hyperlink r:id="rId39" w:history="1">
        <w:r w:rsidRPr="007F4D52">
          <w:rPr>
            <w:rStyle w:val="Hyperlink"/>
            <w:rFonts w:ascii="Arial" w:hAnsi="Arial"/>
            <w:sz w:val="22"/>
            <w:szCs w:val="22"/>
          </w:rPr>
          <w:t>https://www.eastendmedicalcentre.nhs.uk/weight-management-support/</w:t>
        </w:r>
      </w:hyperlink>
      <w:r>
        <w:rPr>
          <w:rFonts w:ascii="Arial" w:hAnsi="Arial"/>
          <w:sz w:val="22"/>
          <w:szCs w:val="22"/>
        </w:rPr>
        <w:t xml:space="preserve"> </w:t>
      </w:r>
      <w:r w:rsidRPr="007F4D52">
        <w:rPr>
          <w:rFonts w:ascii="Arial" w:hAnsi="Arial"/>
          <w:sz w:val="22"/>
          <w:szCs w:val="22"/>
        </w:rPr>
        <w:t xml:space="preserve"> </w:t>
      </w:r>
      <w:r>
        <w:rPr>
          <w:rFonts w:ascii="Arial" w:hAnsi="Arial"/>
          <w:sz w:val="22"/>
          <w:szCs w:val="22"/>
        </w:rPr>
        <w:t>(</w:t>
      </w:r>
      <w:r w:rsidRPr="007F4D52">
        <w:rPr>
          <w:rFonts w:ascii="Arial" w:hAnsi="Arial"/>
          <w:sz w:val="22"/>
          <w:szCs w:val="22"/>
        </w:rPr>
        <w:t xml:space="preserve">Accessed </w:t>
      </w:r>
      <w:r>
        <w:rPr>
          <w:rFonts w:ascii="Arial" w:hAnsi="Arial"/>
          <w:sz w:val="22"/>
          <w:szCs w:val="22"/>
        </w:rPr>
        <w:t>8</w:t>
      </w:r>
      <w:r w:rsidRPr="007F4D52">
        <w:rPr>
          <w:rFonts w:ascii="Arial" w:hAnsi="Arial"/>
          <w:sz w:val="22"/>
          <w:szCs w:val="22"/>
        </w:rPr>
        <w:t xml:space="preserve"> Jan</w:t>
      </w:r>
      <w:r>
        <w:rPr>
          <w:rFonts w:ascii="Arial" w:hAnsi="Arial"/>
          <w:sz w:val="22"/>
          <w:szCs w:val="22"/>
        </w:rPr>
        <w:t>uary</w:t>
      </w:r>
      <w:r w:rsidRPr="007F4D52">
        <w:rPr>
          <w:rFonts w:ascii="Arial" w:hAnsi="Arial"/>
          <w:sz w:val="22"/>
          <w:szCs w:val="22"/>
        </w:rPr>
        <w:t xml:space="preserve"> 2026</w:t>
      </w:r>
      <w:r>
        <w:rPr>
          <w:rFonts w:ascii="Arial" w:hAnsi="Arial"/>
          <w:sz w:val="22"/>
          <w:szCs w:val="22"/>
        </w:rPr>
        <w:t>).</w:t>
      </w:r>
    </w:p>
    <w:p w14:paraId="51F9F524" w14:textId="77777777" w:rsidR="00A34F12" w:rsidRPr="00056D6C" w:rsidRDefault="00A34F12" w:rsidP="00A34F12">
      <w:pPr>
        <w:spacing w:line="360" w:lineRule="auto"/>
        <w:jc w:val="both"/>
        <w:rPr>
          <w:rFonts w:ascii="Arial" w:hAnsi="Arial"/>
          <w:sz w:val="22"/>
          <w:szCs w:val="22"/>
        </w:rPr>
      </w:pPr>
      <w:r w:rsidRPr="00056D6C">
        <w:rPr>
          <w:rFonts w:ascii="Arial" w:hAnsi="Arial"/>
          <w:sz w:val="22"/>
          <w:szCs w:val="22"/>
        </w:rPr>
        <w:t xml:space="preserve">Faconti, L., McNally, R.J., Farukh, B., Adeyemi, O., Cruickshank, J.K., Wilkinson, I.B., Chowienczyk, P.J. and Ojji, D. (2020) 'Differences in hypertension phenotypes between Africans and Europeans: role of environment', </w:t>
      </w:r>
      <w:r w:rsidRPr="00056D6C">
        <w:rPr>
          <w:rFonts w:ascii="Arial" w:hAnsi="Arial"/>
          <w:i/>
          <w:iCs/>
          <w:sz w:val="22"/>
          <w:szCs w:val="22"/>
        </w:rPr>
        <w:t>Journal of Hypertension</w:t>
      </w:r>
      <w:r w:rsidRPr="00056D6C">
        <w:rPr>
          <w:rFonts w:ascii="Arial" w:hAnsi="Arial"/>
          <w:sz w:val="22"/>
          <w:szCs w:val="22"/>
        </w:rPr>
        <w:t xml:space="preserve">, 38(7), pp.1278–1285. Available at: </w:t>
      </w:r>
      <w:hyperlink r:id="rId40" w:history="1">
        <w:r w:rsidRPr="00056D6C">
          <w:rPr>
            <w:rStyle w:val="Hyperlink"/>
            <w:rFonts w:ascii="Arial" w:hAnsi="Arial"/>
            <w:sz w:val="22"/>
            <w:szCs w:val="22"/>
          </w:rPr>
          <w:t>https://doi.org/10.1097/hjh.0000000000002403</w:t>
        </w:r>
      </w:hyperlink>
      <w:r w:rsidRPr="00056D6C">
        <w:rPr>
          <w:rFonts w:ascii="Arial" w:hAnsi="Arial"/>
          <w:sz w:val="22"/>
          <w:szCs w:val="22"/>
        </w:rPr>
        <w:t xml:space="preserve">   </w:t>
      </w:r>
    </w:p>
    <w:p w14:paraId="7D3E48E8" w14:textId="77777777" w:rsidR="00A34F12" w:rsidRDefault="00A34F12" w:rsidP="00A34F12">
      <w:pPr>
        <w:pStyle w:val="NormalWeb"/>
        <w:spacing w:after="0" w:line="360" w:lineRule="auto"/>
        <w:jc w:val="both"/>
        <w:rPr>
          <w:rFonts w:ascii="Arial" w:hAnsi="Arial" w:cs="Arial"/>
          <w:color w:val="000000"/>
          <w:sz w:val="22"/>
          <w:szCs w:val="22"/>
        </w:rPr>
      </w:pPr>
      <w:r w:rsidRPr="00056D6C">
        <w:rPr>
          <w:rFonts w:ascii="Arial" w:hAnsi="Arial" w:cs="Arial"/>
          <w:color w:val="000000"/>
          <w:sz w:val="22"/>
          <w:szCs w:val="22"/>
        </w:rPr>
        <w:t>GOV.UK (2022) </w:t>
      </w:r>
      <w:r w:rsidRPr="00056D6C">
        <w:rPr>
          <w:rFonts w:ascii="Arial" w:hAnsi="Arial" w:cs="Arial"/>
          <w:i/>
          <w:iCs/>
          <w:color w:val="000000"/>
          <w:sz w:val="22"/>
          <w:szCs w:val="22"/>
        </w:rPr>
        <w:t>Inclusive Britain: government response to the Commission on Race and Ethnic Disparities</w:t>
      </w:r>
      <w:r w:rsidRPr="00056D6C">
        <w:rPr>
          <w:rFonts w:ascii="Arial" w:hAnsi="Arial" w:cs="Arial"/>
          <w:color w:val="000000"/>
          <w:sz w:val="22"/>
          <w:szCs w:val="22"/>
        </w:rPr>
        <w:t xml:space="preserve">. Available at: </w:t>
      </w:r>
      <w:hyperlink r:id="rId41" w:history="1">
        <w:r w:rsidRPr="00056D6C">
          <w:rPr>
            <w:rStyle w:val="Hyperlink"/>
            <w:rFonts w:ascii="Arial" w:hAnsi="Arial" w:cs="Arial"/>
            <w:sz w:val="22"/>
            <w:szCs w:val="22"/>
          </w:rPr>
          <w:t>https://www.gov.uk/government/publications/inclusive-britain-action-plan-government-response-to-the-commission-on-race-and-ethnic-disparities/inclusive-britain-government-response-to-the-commission-on-race-and-ethnic-disparities</w:t>
        </w:r>
      </w:hyperlink>
      <w:r w:rsidRPr="00056D6C">
        <w:rPr>
          <w:rFonts w:ascii="Arial" w:hAnsi="Arial" w:cs="Arial"/>
          <w:color w:val="000000"/>
          <w:sz w:val="22"/>
          <w:szCs w:val="22"/>
        </w:rPr>
        <w:t xml:space="preserve"> (Accessed: 30 December 2025)</w:t>
      </w:r>
      <w:r>
        <w:rPr>
          <w:rFonts w:ascii="Arial" w:hAnsi="Arial" w:cs="Arial"/>
          <w:color w:val="000000"/>
          <w:sz w:val="22"/>
          <w:szCs w:val="22"/>
        </w:rPr>
        <w:t>.</w:t>
      </w:r>
    </w:p>
    <w:p w14:paraId="597FDC86" w14:textId="77777777" w:rsidR="00A34F12" w:rsidRPr="00056D6C" w:rsidRDefault="00A34F12" w:rsidP="00A34F12">
      <w:pPr>
        <w:pStyle w:val="NormalWeb"/>
        <w:spacing w:after="0" w:line="360" w:lineRule="auto"/>
        <w:jc w:val="both"/>
        <w:rPr>
          <w:rFonts w:ascii="Arial" w:hAnsi="Arial" w:cs="Arial"/>
          <w:color w:val="000000"/>
          <w:sz w:val="22"/>
          <w:szCs w:val="22"/>
        </w:rPr>
      </w:pPr>
    </w:p>
    <w:p w14:paraId="193BDE6B" w14:textId="77777777" w:rsidR="00A34F12" w:rsidRPr="00056D6C" w:rsidRDefault="00A34F12" w:rsidP="00A34F12">
      <w:pPr>
        <w:spacing w:line="360" w:lineRule="auto"/>
        <w:jc w:val="both"/>
        <w:rPr>
          <w:rFonts w:ascii="Arial" w:hAnsi="Arial"/>
          <w:sz w:val="22"/>
          <w:szCs w:val="22"/>
        </w:rPr>
      </w:pPr>
      <w:r w:rsidRPr="00056D6C">
        <w:rPr>
          <w:rFonts w:ascii="Arial" w:hAnsi="Arial"/>
          <w:sz w:val="22"/>
          <w:szCs w:val="22"/>
        </w:rPr>
        <w:t xml:space="preserve">GOV.UK (2024) </w:t>
      </w:r>
      <w:r w:rsidRPr="00056D6C">
        <w:rPr>
          <w:rFonts w:ascii="Arial" w:hAnsi="Arial"/>
          <w:i/>
          <w:iCs/>
          <w:sz w:val="22"/>
          <w:szCs w:val="22"/>
        </w:rPr>
        <w:t>Inclusive Britain second update report – May 2024</w:t>
      </w:r>
      <w:r w:rsidRPr="00056D6C">
        <w:rPr>
          <w:rFonts w:ascii="Arial" w:hAnsi="Arial"/>
          <w:sz w:val="22"/>
          <w:szCs w:val="22"/>
        </w:rPr>
        <w:t xml:space="preserve">. Available at: </w:t>
      </w:r>
      <w:hyperlink r:id="rId42" w:history="1">
        <w:r w:rsidRPr="00056D6C">
          <w:rPr>
            <w:rStyle w:val="Hyperlink"/>
            <w:rFonts w:ascii="Arial" w:hAnsi="Arial"/>
            <w:color w:val="auto"/>
            <w:sz w:val="22"/>
            <w:szCs w:val="22"/>
          </w:rPr>
          <w:t>https://www.gov.uk/government/p</w:t>
        </w:r>
        <w:r w:rsidRPr="00056D6C">
          <w:rPr>
            <w:rStyle w:val="Hyperlink"/>
            <w:rFonts w:ascii="Arial" w:hAnsi="Arial"/>
            <w:color w:val="auto"/>
            <w:sz w:val="22"/>
            <w:szCs w:val="22"/>
          </w:rPr>
          <w:t>ublications/inclusive-britain-update-report/inclusive-britain-second-update-report-may-2024</w:t>
        </w:r>
      </w:hyperlink>
      <w:r w:rsidRPr="00056D6C">
        <w:rPr>
          <w:rFonts w:ascii="Arial" w:hAnsi="Arial"/>
          <w:sz w:val="22"/>
          <w:szCs w:val="22"/>
        </w:rPr>
        <w:t xml:space="preserve"> (Accessed: 29 December 2025)</w:t>
      </w:r>
      <w:r>
        <w:rPr>
          <w:rFonts w:ascii="Arial" w:hAnsi="Arial"/>
          <w:sz w:val="22"/>
          <w:szCs w:val="22"/>
        </w:rPr>
        <w:t>.</w:t>
      </w:r>
    </w:p>
    <w:p w14:paraId="28D06B44" w14:textId="77777777" w:rsidR="00A34F12" w:rsidRPr="00056D6C" w:rsidRDefault="00A34F12" w:rsidP="00A34F12">
      <w:pPr>
        <w:spacing w:line="360" w:lineRule="auto"/>
        <w:jc w:val="both"/>
        <w:rPr>
          <w:rFonts w:ascii="Arial" w:hAnsi="Arial"/>
          <w:sz w:val="22"/>
          <w:szCs w:val="22"/>
        </w:rPr>
      </w:pPr>
      <w:r w:rsidRPr="00056D6C">
        <w:rPr>
          <w:rFonts w:ascii="Arial" w:hAnsi="Arial"/>
          <w:sz w:val="22"/>
          <w:szCs w:val="22"/>
        </w:rPr>
        <w:t xml:space="preserve">GOV.UK (2025) </w:t>
      </w:r>
      <w:r w:rsidRPr="00056D6C">
        <w:rPr>
          <w:rFonts w:ascii="Arial" w:hAnsi="Arial"/>
          <w:i/>
          <w:iCs/>
          <w:sz w:val="22"/>
          <w:szCs w:val="22"/>
        </w:rPr>
        <w:t>Persistent low income – by ethnicity</w:t>
      </w:r>
      <w:r w:rsidRPr="00056D6C">
        <w:rPr>
          <w:rFonts w:ascii="Arial" w:hAnsi="Arial"/>
          <w:sz w:val="22"/>
          <w:szCs w:val="22"/>
        </w:rPr>
        <w:t xml:space="preserve">. Available at: </w:t>
      </w:r>
      <w:hyperlink r:id="rId43" w:history="1">
        <w:r w:rsidRPr="00056D6C">
          <w:rPr>
            <w:rStyle w:val="Hyperlink"/>
            <w:rFonts w:ascii="Arial" w:hAnsi="Arial"/>
            <w:color w:val="auto"/>
            <w:sz w:val="22"/>
            <w:szCs w:val="22"/>
          </w:rPr>
          <w:t>https://www.ethnicity-facts-figures.service.gov.uk/work-pay-and-benefits/pay-and-income/low-income/latest/</w:t>
        </w:r>
      </w:hyperlink>
      <w:r w:rsidRPr="00056D6C">
        <w:rPr>
          <w:rStyle w:val="Hyperlink"/>
          <w:rFonts w:ascii="Arial" w:hAnsi="Arial"/>
          <w:color w:val="auto"/>
          <w:sz w:val="22"/>
          <w:szCs w:val="22"/>
        </w:rPr>
        <w:t xml:space="preserve"> </w:t>
      </w:r>
      <w:r w:rsidRPr="00056D6C">
        <w:rPr>
          <w:rFonts w:ascii="Arial" w:hAnsi="Arial"/>
          <w:sz w:val="22"/>
          <w:szCs w:val="22"/>
        </w:rPr>
        <w:t>(Accessed: 29 December 2025)</w:t>
      </w:r>
    </w:p>
    <w:p w14:paraId="5EAFD29D" w14:textId="77777777" w:rsidR="00A34F12" w:rsidRPr="00056D6C" w:rsidRDefault="00A34F12" w:rsidP="00A34F12">
      <w:pPr>
        <w:spacing w:line="360" w:lineRule="auto"/>
        <w:jc w:val="both"/>
        <w:rPr>
          <w:rFonts w:ascii="Arial" w:hAnsi="Arial"/>
          <w:sz w:val="22"/>
          <w:szCs w:val="22"/>
        </w:rPr>
      </w:pPr>
      <w:r w:rsidRPr="00056D6C">
        <w:rPr>
          <w:rFonts w:ascii="Arial" w:hAnsi="Arial"/>
          <w:sz w:val="22"/>
          <w:szCs w:val="22"/>
        </w:rPr>
        <w:t>Hackett, R.A., Ronaldson, A., Bhui, K., Steptoe, A. and Jackson, S.E. (2020) Racial Discrimination and health: a Prospective Study of Ethnic Minorities in the United Kingdom, </w:t>
      </w:r>
      <w:r w:rsidRPr="00056D6C">
        <w:rPr>
          <w:rFonts w:ascii="Arial" w:hAnsi="Arial"/>
          <w:i/>
          <w:iCs/>
          <w:sz w:val="22"/>
          <w:szCs w:val="22"/>
        </w:rPr>
        <w:t>BMC Public Health</w:t>
      </w:r>
      <w:r w:rsidRPr="00056D6C">
        <w:rPr>
          <w:rFonts w:ascii="Arial" w:hAnsi="Arial"/>
          <w:sz w:val="22"/>
          <w:szCs w:val="22"/>
        </w:rPr>
        <w:t xml:space="preserve">, 20(1), 1652. doi: </w:t>
      </w:r>
      <w:hyperlink r:id="rId44" w:history="1">
        <w:r w:rsidRPr="00056D6C">
          <w:rPr>
            <w:rStyle w:val="Hyperlink"/>
            <w:rFonts w:ascii="Arial" w:hAnsi="Arial"/>
            <w:sz w:val="22"/>
            <w:szCs w:val="22"/>
          </w:rPr>
          <w:t>https://doi.org/10.1186/s12889-020-09792-1</w:t>
        </w:r>
      </w:hyperlink>
      <w:r w:rsidRPr="00056D6C">
        <w:rPr>
          <w:rFonts w:ascii="Arial" w:hAnsi="Arial"/>
          <w:sz w:val="22"/>
          <w:szCs w:val="22"/>
        </w:rPr>
        <w:t xml:space="preserve"> </w:t>
      </w:r>
    </w:p>
    <w:p w14:paraId="1A2FB2BF" w14:textId="77777777" w:rsidR="00A34F12" w:rsidRPr="00056D6C" w:rsidRDefault="00A34F12" w:rsidP="00A34F12">
      <w:pPr>
        <w:spacing w:line="360" w:lineRule="auto"/>
        <w:jc w:val="both"/>
        <w:rPr>
          <w:rFonts w:ascii="Arial" w:hAnsi="Arial"/>
          <w:sz w:val="22"/>
          <w:szCs w:val="22"/>
        </w:rPr>
      </w:pPr>
      <w:r w:rsidRPr="00056D6C">
        <w:rPr>
          <w:rFonts w:ascii="Arial" w:hAnsi="Arial"/>
          <w:sz w:val="22"/>
          <w:szCs w:val="22"/>
        </w:rPr>
        <w:t xml:space="preserve">Hammond, J. (2024) ‘Improving health equity through the London Inspire Programme’, </w:t>
      </w:r>
      <w:r w:rsidRPr="00056D6C">
        <w:rPr>
          <w:rFonts w:ascii="Arial" w:hAnsi="Arial"/>
          <w:i/>
          <w:iCs/>
          <w:sz w:val="22"/>
          <w:szCs w:val="22"/>
        </w:rPr>
        <w:t>NHS England</w:t>
      </w:r>
      <w:r w:rsidRPr="00056D6C">
        <w:rPr>
          <w:rFonts w:ascii="Arial" w:hAnsi="Arial"/>
          <w:sz w:val="22"/>
          <w:szCs w:val="22"/>
        </w:rPr>
        <w:t xml:space="preserve">, 14 October. Available at: </w:t>
      </w:r>
      <w:hyperlink r:id="rId45" w:history="1">
        <w:r w:rsidRPr="00056D6C">
          <w:rPr>
            <w:rStyle w:val="Hyperlink"/>
            <w:rFonts w:ascii="Arial" w:hAnsi="Arial"/>
            <w:sz w:val="22"/>
            <w:szCs w:val="22"/>
          </w:rPr>
          <w:t>https://www.england.nhs.uk/blog/improving-health-equity-through-the-london-inspire-programme/?utm_source=chatgpt.com</w:t>
        </w:r>
      </w:hyperlink>
      <w:r w:rsidRPr="00056D6C">
        <w:rPr>
          <w:rFonts w:ascii="Arial" w:hAnsi="Arial"/>
          <w:sz w:val="22"/>
          <w:szCs w:val="22"/>
        </w:rPr>
        <w:t xml:space="preserve"> (Accessed: 03 January 2026)</w:t>
      </w:r>
      <w:r>
        <w:rPr>
          <w:rFonts w:ascii="Arial" w:hAnsi="Arial"/>
          <w:sz w:val="22"/>
          <w:szCs w:val="22"/>
        </w:rPr>
        <w:t>.</w:t>
      </w:r>
    </w:p>
    <w:p w14:paraId="32E8F778" w14:textId="77777777" w:rsidR="00A34F12" w:rsidRPr="00056D6C" w:rsidRDefault="00A34F12" w:rsidP="00A34F12">
      <w:pPr>
        <w:spacing w:line="360" w:lineRule="auto"/>
        <w:jc w:val="both"/>
        <w:rPr>
          <w:rFonts w:ascii="Arial" w:hAnsi="Arial"/>
          <w:sz w:val="22"/>
          <w:szCs w:val="22"/>
        </w:rPr>
      </w:pPr>
      <w:r w:rsidRPr="00056D6C">
        <w:rPr>
          <w:rFonts w:ascii="Arial" w:hAnsi="Arial"/>
          <w:sz w:val="22"/>
          <w:szCs w:val="22"/>
        </w:rPr>
        <w:lastRenderedPageBreak/>
        <w:t xml:space="preserve">Institute of Race Relations (2024) </w:t>
      </w:r>
      <w:r w:rsidRPr="00056D6C">
        <w:rPr>
          <w:rFonts w:ascii="Arial" w:hAnsi="Arial"/>
          <w:i/>
          <w:iCs/>
          <w:sz w:val="22"/>
          <w:szCs w:val="22"/>
        </w:rPr>
        <w:t>BME statistics on poverty and deprivation</w:t>
      </w:r>
      <w:r w:rsidRPr="00056D6C">
        <w:rPr>
          <w:rFonts w:ascii="Arial" w:hAnsi="Arial"/>
          <w:sz w:val="22"/>
          <w:szCs w:val="22"/>
        </w:rPr>
        <w:t xml:space="preserve">. Available at: </w:t>
      </w:r>
      <w:hyperlink r:id="rId46" w:history="1">
        <w:r w:rsidRPr="00056D6C">
          <w:rPr>
            <w:rStyle w:val="Hyperlink"/>
            <w:rFonts w:ascii="Arial" w:hAnsi="Arial"/>
            <w:color w:val="auto"/>
            <w:sz w:val="22"/>
            <w:szCs w:val="22"/>
          </w:rPr>
          <w:t>https://irr.org.uk/research/statistics/poverty/</w:t>
        </w:r>
      </w:hyperlink>
      <w:r w:rsidRPr="00056D6C">
        <w:rPr>
          <w:rFonts w:ascii="Arial" w:hAnsi="Arial"/>
          <w:sz w:val="22"/>
          <w:szCs w:val="22"/>
        </w:rPr>
        <w:t xml:space="preserve"> (Accessed: 27 December 2025)</w:t>
      </w:r>
      <w:r>
        <w:rPr>
          <w:rFonts w:ascii="Arial" w:hAnsi="Arial"/>
          <w:sz w:val="22"/>
          <w:szCs w:val="22"/>
        </w:rPr>
        <w:t>.</w:t>
      </w:r>
    </w:p>
    <w:p w14:paraId="2E6A8545" w14:textId="77777777" w:rsidR="00A34F12" w:rsidRPr="00056D6C" w:rsidRDefault="00A34F12" w:rsidP="00A34F12">
      <w:pPr>
        <w:spacing w:line="360" w:lineRule="auto"/>
        <w:jc w:val="both"/>
        <w:rPr>
          <w:rFonts w:ascii="Arial" w:hAnsi="Arial"/>
          <w:sz w:val="22"/>
          <w:szCs w:val="22"/>
        </w:rPr>
      </w:pPr>
      <w:r w:rsidRPr="00056D6C">
        <w:rPr>
          <w:rFonts w:ascii="Arial" w:hAnsi="Arial"/>
          <w:sz w:val="22"/>
          <w:szCs w:val="22"/>
        </w:rPr>
        <w:t xml:space="preserve">Institute of Race Relations. (2025). </w:t>
      </w:r>
      <w:r w:rsidRPr="00056D6C">
        <w:rPr>
          <w:rFonts w:ascii="Arial" w:hAnsi="Arial"/>
          <w:i/>
          <w:iCs/>
          <w:sz w:val="22"/>
          <w:szCs w:val="22"/>
        </w:rPr>
        <w:t>Health statistics</w:t>
      </w:r>
      <w:r w:rsidRPr="00056D6C">
        <w:rPr>
          <w:rFonts w:ascii="Arial" w:hAnsi="Arial"/>
          <w:sz w:val="22"/>
          <w:szCs w:val="22"/>
        </w:rPr>
        <w:t xml:space="preserve">. Available at: </w:t>
      </w:r>
      <w:hyperlink r:id="rId47" w:history="1">
        <w:r w:rsidRPr="00056D6C">
          <w:rPr>
            <w:rStyle w:val="Hyperlink"/>
            <w:rFonts w:ascii="Arial" w:hAnsi="Arial"/>
            <w:color w:val="auto"/>
            <w:sz w:val="22"/>
            <w:szCs w:val="22"/>
          </w:rPr>
          <w:t>https://irr.org.uk/research/statistics/health/</w:t>
        </w:r>
      </w:hyperlink>
      <w:r w:rsidRPr="00056D6C">
        <w:rPr>
          <w:rFonts w:ascii="Arial" w:hAnsi="Arial"/>
          <w:sz w:val="22"/>
          <w:szCs w:val="22"/>
        </w:rPr>
        <w:t xml:space="preserve"> (Accessed: 10/11/2025)</w:t>
      </w:r>
      <w:r>
        <w:rPr>
          <w:rFonts w:ascii="Arial" w:hAnsi="Arial"/>
          <w:sz w:val="22"/>
          <w:szCs w:val="22"/>
        </w:rPr>
        <w:t>.</w:t>
      </w:r>
    </w:p>
    <w:p w14:paraId="47877744" w14:textId="77777777" w:rsidR="00A34F12" w:rsidRPr="00056D6C" w:rsidRDefault="00A34F12" w:rsidP="00A34F12">
      <w:pPr>
        <w:spacing w:line="360" w:lineRule="auto"/>
        <w:jc w:val="both"/>
        <w:rPr>
          <w:rFonts w:ascii="Arial" w:hAnsi="Arial"/>
          <w:sz w:val="22"/>
          <w:szCs w:val="22"/>
        </w:rPr>
      </w:pPr>
      <w:r w:rsidRPr="00056D6C">
        <w:rPr>
          <w:rFonts w:ascii="Arial" w:hAnsi="Arial"/>
          <w:sz w:val="22"/>
          <w:szCs w:val="22"/>
        </w:rPr>
        <w:t>Kent, L., McGirr, M. and Eastwood, K. A. (2024) ‘Global trends in prevalence of maternal overweight and obesity: A systematic review and meta-analysis of routinely collected data retrospective cohorts’, </w:t>
      </w:r>
      <w:r w:rsidRPr="00056D6C">
        <w:rPr>
          <w:rFonts w:ascii="Arial" w:hAnsi="Arial"/>
          <w:i/>
          <w:iCs/>
          <w:sz w:val="22"/>
          <w:szCs w:val="22"/>
        </w:rPr>
        <w:t>International Journal for Population Data Science</w:t>
      </w:r>
      <w:r w:rsidRPr="00056D6C">
        <w:rPr>
          <w:rFonts w:ascii="Arial" w:hAnsi="Arial"/>
          <w:sz w:val="22"/>
          <w:szCs w:val="22"/>
        </w:rPr>
        <w:t xml:space="preserve">, 9(2), 2401. Available at: </w:t>
      </w:r>
      <w:hyperlink r:id="rId48" w:history="1">
        <w:r w:rsidRPr="00056D6C">
          <w:rPr>
            <w:rStyle w:val="Hyperlink"/>
            <w:rFonts w:ascii="Arial" w:hAnsi="Arial"/>
            <w:sz w:val="22"/>
            <w:szCs w:val="22"/>
          </w:rPr>
          <w:t>https://doi.org/10.23889/ijpds.v9i2.2401</w:t>
        </w:r>
      </w:hyperlink>
      <w:r w:rsidRPr="00056D6C">
        <w:rPr>
          <w:rFonts w:ascii="Arial" w:hAnsi="Arial"/>
          <w:sz w:val="22"/>
          <w:szCs w:val="22"/>
        </w:rPr>
        <w:t xml:space="preserve"> </w:t>
      </w:r>
    </w:p>
    <w:p w14:paraId="32F74552" w14:textId="77777777" w:rsidR="00A34F12" w:rsidRPr="00056D6C" w:rsidRDefault="00A34F12" w:rsidP="00A34F12">
      <w:pPr>
        <w:spacing w:line="360" w:lineRule="auto"/>
        <w:jc w:val="both"/>
        <w:rPr>
          <w:rFonts w:ascii="Arial" w:hAnsi="Arial"/>
          <w:sz w:val="22"/>
          <w:szCs w:val="22"/>
        </w:rPr>
      </w:pPr>
      <w:r w:rsidRPr="00056D6C">
        <w:rPr>
          <w:rFonts w:ascii="Arial" w:hAnsi="Arial"/>
          <w:sz w:val="22"/>
          <w:szCs w:val="22"/>
        </w:rPr>
        <w:t xml:space="preserve">Lambeth Together (2023) </w:t>
      </w:r>
      <w:r w:rsidRPr="00056D6C">
        <w:rPr>
          <w:rFonts w:ascii="Arial" w:hAnsi="Arial"/>
          <w:i/>
          <w:iCs/>
          <w:sz w:val="22"/>
          <w:szCs w:val="22"/>
        </w:rPr>
        <w:t>Lambeth GPs close equalities gap to improve life chances for people with high blood pressure - Lambeth Together</w:t>
      </w:r>
      <w:r w:rsidRPr="00056D6C">
        <w:rPr>
          <w:rFonts w:ascii="Arial" w:hAnsi="Arial"/>
          <w:sz w:val="22"/>
          <w:szCs w:val="22"/>
        </w:rPr>
        <w:t xml:space="preserve">. Available at: </w:t>
      </w:r>
      <w:hyperlink r:id="rId49" w:history="1">
        <w:r w:rsidRPr="00056D6C">
          <w:rPr>
            <w:rStyle w:val="Hyperlink"/>
            <w:rFonts w:ascii="Arial" w:hAnsi="Arial"/>
            <w:sz w:val="22"/>
            <w:szCs w:val="22"/>
          </w:rPr>
          <w:t>https://www.lambethtogether.net/news/lambeth-gps-close-equalities-gap-to-improve-life-chances-for-people-with-high-blood-pressure/</w:t>
        </w:r>
      </w:hyperlink>
      <w:r w:rsidRPr="00056D6C">
        <w:rPr>
          <w:rFonts w:ascii="Arial" w:hAnsi="Arial"/>
          <w:sz w:val="22"/>
          <w:szCs w:val="22"/>
        </w:rPr>
        <w:t xml:space="preserve"> (Accessed 28 December 2025).</w:t>
      </w:r>
    </w:p>
    <w:p w14:paraId="532B178E" w14:textId="77777777" w:rsidR="00A34F12" w:rsidRPr="00056D6C" w:rsidRDefault="00A34F12" w:rsidP="00A34F12">
      <w:pPr>
        <w:spacing w:line="360" w:lineRule="auto"/>
        <w:jc w:val="both"/>
        <w:rPr>
          <w:rFonts w:ascii="Arial" w:hAnsi="Arial"/>
          <w:sz w:val="22"/>
          <w:szCs w:val="22"/>
        </w:rPr>
      </w:pPr>
      <w:bookmarkStart w:id="55" w:name="_Hlk218760411"/>
      <w:r w:rsidRPr="00056D6C">
        <w:rPr>
          <w:rFonts w:ascii="Arial" w:hAnsi="Arial"/>
          <w:sz w:val="22"/>
          <w:szCs w:val="22"/>
        </w:rPr>
        <w:t>Matejic, P.</w:t>
      </w:r>
      <w:bookmarkEnd w:id="55"/>
      <w:r w:rsidRPr="00056D6C">
        <w:rPr>
          <w:rFonts w:ascii="Arial" w:hAnsi="Arial"/>
          <w:sz w:val="22"/>
          <w:szCs w:val="22"/>
        </w:rPr>
        <w:t xml:space="preserve">, Schmuecker, K., Ibison, Y. and Taylor, I. (2024) ‘Bangladeshi, Black African and Pakistani households at higher risk of very deep, long-term poverty’, </w:t>
      </w:r>
      <w:r w:rsidRPr="00056D6C">
        <w:rPr>
          <w:rFonts w:ascii="Arial" w:hAnsi="Arial"/>
          <w:i/>
          <w:iCs/>
          <w:sz w:val="22"/>
          <w:szCs w:val="22"/>
        </w:rPr>
        <w:t>Joseph Rowntree Foundation</w:t>
      </w:r>
      <w:r w:rsidRPr="00056D6C">
        <w:rPr>
          <w:rFonts w:ascii="Arial" w:hAnsi="Arial"/>
          <w:sz w:val="22"/>
          <w:szCs w:val="22"/>
        </w:rPr>
        <w:t xml:space="preserve">. Available at: </w:t>
      </w:r>
      <w:hyperlink r:id="rId50" w:history="1">
        <w:r w:rsidRPr="00056D6C">
          <w:rPr>
            <w:rStyle w:val="Hyperlink"/>
            <w:rFonts w:ascii="Arial" w:hAnsi="Arial"/>
            <w:color w:val="auto"/>
            <w:sz w:val="22"/>
            <w:szCs w:val="22"/>
          </w:rPr>
          <w:t>https://www.jrf.org.uk/race-and-ethnicity/bangladeshi-black-african-</w:t>
        </w:r>
        <w:r w:rsidRPr="00056D6C">
          <w:rPr>
            <w:rStyle w:val="Hyperlink"/>
            <w:rFonts w:ascii="Arial" w:hAnsi="Arial"/>
            <w:color w:val="auto"/>
            <w:sz w:val="22"/>
            <w:szCs w:val="22"/>
          </w:rPr>
          <w:t>pakistani-households-higher-risk-of-very-deep-poverty</w:t>
        </w:r>
      </w:hyperlink>
      <w:r w:rsidRPr="00056D6C">
        <w:rPr>
          <w:rFonts w:ascii="Arial" w:hAnsi="Arial"/>
          <w:sz w:val="22"/>
          <w:szCs w:val="22"/>
        </w:rPr>
        <w:t xml:space="preserve"> (Accessed: 27 December 2025)</w:t>
      </w:r>
    </w:p>
    <w:p w14:paraId="37338857" w14:textId="77777777" w:rsidR="00A34F12" w:rsidRPr="00056D6C" w:rsidRDefault="00A34F12" w:rsidP="00A34F12">
      <w:pPr>
        <w:spacing w:line="360" w:lineRule="auto"/>
        <w:jc w:val="both"/>
        <w:rPr>
          <w:rFonts w:ascii="Arial" w:hAnsi="Arial"/>
          <w:sz w:val="22"/>
          <w:szCs w:val="22"/>
        </w:rPr>
      </w:pPr>
      <w:r w:rsidRPr="00056D6C">
        <w:rPr>
          <w:rFonts w:ascii="Arial" w:hAnsi="Arial"/>
          <w:sz w:val="22"/>
          <w:szCs w:val="22"/>
        </w:rPr>
        <w:t>McSweeney, Z.C., Antonelli, R.C. and Ebbeling, C.B. (2025) ‘Treating Childhood Obesity: Building and Evaluating Evidence-Based Models of Integrated Care’, </w:t>
      </w:r>
      <w:r w:rsidRPr="00056D6C">
        <w:rPr>
          <w:rFonts w:ascii="Arial" w:hAnsi="Arial"/>
          <w:i/>
          <w:iCs/>
          <w:sz w:val="22"/>
          <w:szCs w:val="22"/>
        </w:rPr>
        <w:t>Journal of the Endocrine Society</w:t>
      </w:r>
      <w:r w:rsidRPr="00056D6C">
        <w:rPr>
          <w:rFonts w:ascii="Arial" w:hAnsi="Arial"/>
          <w:sz w:val="22"/>
          <w:szCs w:val="22"/>
        </w:rPr>
        <w:t xml:space="preserve">, </w:t>
      </w:r>
      <w:r w:rsidRPr="00056D6C">
        <w:rPr>
          <w:rFonts w:ascii="Arial" w:hAnsi="Arial"/>
          <w:i/>
          <w:iCs/>
          <w:sz w:val="22"/>
          <w:szCs w:val="22"/>
        </w:rPr>
        <w:t>9</w:t>
      </w:r>
      <w:r w:rsidRPr="00056D6C">
        <w:rPr>
          <w:rFonts w:ascii="Arial" w:hAnsi="Arial"/>
          <w:sz w:val="22"/>
          <w:szCs w:val="22"/>
        </w:rPr>
        <w:t xml:space="preserve">(8), bvaf109. Available at: </w:t>
      </w:r>
      <w:hyperlink r:id="rId51" w:history="1">
        <w:r w:rsidRPr="00056D6C">
          <w:rPr>
            <w:rStyle w:val="Hyperlink"/>
            <w:rFonts w:ascii="Arial" w:hAnsi="Arial"/>
            <w:sz w:val="22"/>
            <w:szCs w:val="22"/>
          </w:rPr>
          <w:t>https://doi.org/10.1210/jendso/bvaf109</w:t>
        </w:r>
      </w:hyperlink>
      <w:r w:rsidRPr="00056D6C">
        <w:rPr>
          <w:rFonts w:ascii="Arial" w:hAnsi="Arial"/>
          <w:sz w:val="22"/>
          <w:szCs w:val="22"/>
        </w:rPr>
        <w:t xml:space="preserve"> </w:t>
      </w:r>
    </w:p>
    <w:p w14:paraId="4F023EB5" w14:textId="77777777" w:rsidR="00A34F12" w:rsidRPr="00056D6C" w:rsidRDefault="00A34F12" w:rsidP="00A34F12">
      <w:pPr>
        <w:spacing w:line="360" w:lineRule="auto"/>
        <w:jc w:val="both"/>
        <w:rPr>
          <w:rFonts w:ascii="Arial" w:hAnsi="Arial"/>
          <w:sz w:val="22"/>
          <w:szCs w:val="22"/>
        </w:rPr>
      </w:pPr>
      <w:r w:rsidRPr="00056D6C">
        <w:rPr>
          <w:rFonts w:ascii="Arial" w:hAnsi="Arial"/>
          <w:sz w:val="22"/>
          <w:szCs w:val="22"/>
        </w:rPr>
        <w:t>Meng, X., Zhu, Y., Di, H., Zhang, M., Feng, J., Xu, M., Xia, W., Tian, Q., He, Y., Gan, Y. and Lu, Z. (2021) ‘Dose</w:t>
      </w:r>
      <w:r w:rsidRPr="00056D6C">
        <w:rPr>
          <w:rFonts w:ascii="Cambria Math" w:hAnsi="Cambria Math" w:cs="Cambria Math"/>
          <w:sz w:val="22"/>
          <w:szCs w:val="22"/>
        </w:rPr>
        <w:t>‐</w:t>
      </w:r>
      <w:r w:rsidRPr="00056D6C">
        <w:rPr>
          <w:rFonts w:ascii="Arial" w:hAnsi="Arial"/>
          <w:sz w:val="22"/>
          <w:szCs w:val="22"/>
        </w:rPr>
        <w:t>response association of early</w:t>
      </w:r>
      <w:r w:rsidRPr="00056D6C">
        <w:rPr>
          <w:rFonts w:ascii="Cambria Math" w:hAnsi="Cambria Math" w:cs="Cambria Math"/>
          <w:sz w:val="22"/>
          <w:szCs w:val="22"/>
        </w:rPr>
        <w:t>‐</w:t>
      </w:r>
      <w:r w:rsidRPr="00056D6C">
        <w:rPr>
          <w:rFonts w:ascii="Arial" w:hAnsi="Arial"/>
          <w:sz w:val="22"/>
          <w:szCs w:val="22"/>
        </w:rPr>
        <w:t>life antibiotic exposure and subsequent overweight or obesity in children: A meta</w:t>
      </w:r>
      <w:r w:rsidRPr="00056D6C">
        <w:rPr>
          <w:rFonts w:ascii="Cambria Math" w:hAnsi="Cambria Math" w:cs="Cambria Math"/>
          <w:sz w:val="22"/>
          <w:szCs w:val="22"/>
        </w:rPr>
        <w:t>‐</w:t>
      </w:r>
      <w:r w:rsidRPr="00056D6C">
        <w:rPr>
          <w:rFonts w:ascii="Arial" w:hAnsi="Arial"/>
          <w:sz w:val="22"/>
          <w:szCs w:val="22"/>
        </w:rPr>
        <w:t>analysis of prospective studies’, </w:t>
      </w:r>
      <w:r w:rsidRPr="00056D6C">
        <w:rPr>
          <w:rFonts w:ascii="Arial" w:hAnsi="Arial"/>
          <w:i/>
          <w:iCs/>
          <w:sz w:val="22"/>
          <w:szCs w:val="22"/>
        </w:rPr>
        <w:t>Obesity Reviews</w:t>
      </w:r>
      <w:r w:rsidRPr="00056D6C">
        <w:rPr>
          <w:rFonts w:ascii="Arial" w:hAnsi="Arial"/>
          <w:sz w:val="22"/>
          <w:szCs w:val="22"/>
        </w:rPr>
        <w:t xml:space="preserve">, 22(11)., e13321. Available: </w:t>
      </w:r>
      <w:hyperlink r:id="rId52" w:history="1">
        <w:r w:rsidRPr="00056D6C">
          <w:rPr>
            <w:rStyle w:val="Hyperlink"/>
            <w:rFonts w:ascii="Arial" w:hAnsi="Arial"/>
            <w:sz w:val="22"/>
            <w:szCs w:val="22"/>
          </w:rPr>
          <w:t>https://doi.org/10.1111/obr.13321</w:t>
        </w:r>
      </w:hyperlink>
      <w:r w:rsidRPr="00056D6C">
        <w:rPr>
          <w:rFonts w:ascii="Arial" w:hAnsi="Arial"/>
          <w:sz w:val="22"/>
          <w:szCs w:val="22"/>
        </w:rPr>
        <w:t xml:space="preserve"> </w:t>
      </w:r>
    </w:p>
    <w:p w14:paraId="242C7C13" w14:textId="77777777" w:rsidR="00A34F12" w:rsidRPr="00056D6C" w:rsidRDefault="00A34F12" w:rsidP="00A34F12">
      <w:pPr>
        <w:spacing w:line="360" w:lineRule="auto"/>
        <w:jc w:val="both"/>
        <w:rPr>
          <w:rFonts w:ascii="Arial" w:hAnsi="Arial"/>
          <w:sz w:val="22"/>
          <w:szCs w:val="22"/>
        </w:rPr>
      </w:pPr>
      <w:r w:rsidRPr="00056D6C">
        <w:rPr>
          <w:rFonts w:ascii="Arial" w:hAnsi="Arial"/>
          <w:sz w:val="22"/>
          <w:szCs w:val="22"/>
        </w:rPr>
        <w:t>Mothers and Babies: Reducing Risk through Audits and Confidential Enquiries across the UK [MBRRACE</w:t>
      </w:r>
      <w:r w:rsidRPr="00056D6C">
        <w:rPr>
          <w:rFonts w:ascii="Arial" w:hAnsi="Arial"/>
          <w:sz w:val="22"/>
          <w:szCs w:val="22"/>
        </w:rPr>
        <w:noBreakHyphen/>
        <w:t xml:space="preserve">UK] (2023) ‘Maternal mortality 2020–2022’ National Perinatal Epidemiology Unit, </w:t>
      </w:r>
      <w:r w:rsidRPr="00056D6C">
        <w:rPr>
          <w:rFonts w:ascii="Arial" w:hAnsi="Arial"/>
          <w:i/>
          <w:iCs/>
          <w:sz w:val="22"/>
          <w:szCs w:val="22"/>
        </w:rPr>
        <w:t>University of Oxford</w:t>
      </w:r>
      <w:r w:rsidRPr="00056D6C">
        <w:rPr>
          <w:rFonts w:ascii="Arial" w:hAnsi="Arial"/>
          <w:sz w:val="22"/>
          <w:szCs w:val="22"/>
        </w:rPr>
        <w:t xml:space="preserve">. Available at: </w:t>
      </w:r>
      <w:hyperlink r:id="rId53" w:history="1">
        <w:r w:rsidRPr="00056D6C">
          <w:rPr>
            <w:rStyle w:val="Hyperlink"/>
            <w:rFonts w:ascii="Arial" w:hAnsi="Arial"/>
            <w:color w:val="auto"/>
            <w:sz w:val="22"/>
            <w:szCs w:val="22"/>
          </w:rPr>
          <w:t>https://www.npeu.ox.ac.uk/mbrrace-uk/data-brief/maternal-mortality-2</w:t>
        </w:r>
        <w:r w:rsidRPr="00056D6C">
          <w:rPr>
            <w:rStyle w:val="Hyperlink"/>
            <w:rFonts w:ascii="Arial" w:hAnsi="Arial"/>
            <w:color w:val="auto"/>
            <w:sz w:val="22"/>
            <w:szCs w:val="22"/>
          </w:rPr>
          <w:t>020-2022</w:t>
        </w:r>
      </w:hyperlink>
      <w:r w:rsidRPr="00056D6C">
        <w:rPr>
          <w:rFonts w:ascii="Arial" w:hAnsi="Arial"/>
          <w:sz w:val="22"/>
          <w:szCs w:val="22"/>
        </w:rPr>
        <w:t xml:space="preserve"> (Accessed: 23 December 2025)</w:t>
      </w:r>
    </w:p>
    <w:p w14:paraId="59A0A1F8" w14:textId="77777777" w:rsidR="00A34F12" w:rsidRPr="00056D6C" w:rsidRDefault="00A34F12" w:rsidP="00A34F12">
      <w:pPr>
        <w:pStyle w:val="NormalWeb"/>
        <w:spacing w:after="0" w:line="360" w:lineRule="auto"/>
        <w:jc w:val="both"/>
        <w:rPr>
          <w:rFonts w:ascii="Arial" w:eastAsia="Times New Roman" w:hAnsi="Arial" w:cs="Arial"/>
          <w:color w:val="000000"/>
          <w:kern w:val="0"/>
          <w:sz w:val="22"/>
          <w:szCs w:val="22"/>
          <w:lang w:eastAsia="en-GB"/>
        </w:rPr>
      </w:pPr>
      <w:r w:rsidRPr="00056D6C">
        <w:rPr>
          <w:rFonts w:ascii="Arial" w:hAnsi="Arial" w:cs="Arial"/>
          <w:color w:val="000000"/>
          <w:sz w:val="22"/>
          <w:szCs w:val="22"/>
        </w:rPr>
        <w:t>National Voices. (2023). </w:t>
      </w:r>
      <w:r w:rsidRPr="00056D6C">
        <w:rPr>
          <w:rFonts w:ascii="Arial" w:hAnsi="Arial" w:cs="Arial"/>
          <w:i/>
          <w:iCs/>
          <w:color w:val="000000"/>
          <w:sz w:val="22"/>
          <w:szCs w:val="22"/>
        </w:rPr>
        <w:t>Translated health information is essential to tackling health inequality</w:t>
      </w:r>
      <w:r w:rsidRPr="00056D6C">
        <w:rPr>
          <w:rFonts w:ascii="Arial" w:hAnsi="Arial" w:cs="Arial"/>
          <w:color w:val="000000"/>
          <w:sz w:val="22"/>
          <w:szCs w:val="22"/>
        </w:rPr>
        <w:t xml:space="preserve">. Available at: </w:t>
      </w:r>
      <w:hyperlink r:id="rId54" w:history="1">
        <w:r w:rsidRPr="00056D6C">
          <w:rPr>
            <w:rStyle w:val="Hyperlink"/>
            <w:rFonts w:ascii="Arial" w:hAnsi="Arial" w:cs="Arial"/>
            <w:sz w:val="22"/>
            <w:szCs w:val="22"/>
          </w:rPr>
          <w:t>https://www.nationalvoices.org.uk/blogpost/translated-health-information-is-essential-to-tackling-health-inequality/</w:t>
        </w:r>
      </w:hyperlink>
      <w:r w:rsidRPr="00056D6C">
        <w:rPr>
          <w:rFonts w:ascii="Arial" w:hAnsi="Arial" w:cs="Arial"/>
          <w:color w:val="000000"/>
          <w:sz w:val="22"/>
          <w:szCs w:val="22"/>
        </w:rPr>
        <w:t xml:space="preserve"> (Accessed: 05 January 2026).</w:t>
      </w:r>
    </w:p>
    <w:p w14:paraId="0272825C" w14:textId="77777777" w:rsidR="00A34F12" w:rsidRPr="00056D6C" w:rsidRDefault="00A34F12" w:rsidP="00A34F12">
      <w:pPr>
        <w:spacing w:line="360" w:lineRule="auto"/>
        <w:jc w:val="both"/>
        <w:rPr>
          <w:rFonts w:ascii="Arial" w:hAnsi="Arial"/>
          <w:sz w:val="22"/>
          <w:szCs w:val="22"/>
        </w:rPr>
      </w:pPr>
      <w:r w:rsidRPr="00056D6C">
        <w:rPr>
          <w:rFonts w:ascii="Arial" w:hAnsi="Arial"/>
          <w:sz w:val="22"/>
          <w:szCs w:val="22"/>
        </w:rPr>
        <w:lastRenderedPageBreak/>
        <w:t xml:space="preserve">Newham Council (2024) </w:t>
      </w:r>
      <w:r w:rsidRPr="00056D6C">
        <w:rPr>
          <w:rFonts w:ascii="Arial" w:hAnsi="Arial"/>
          <w:i/>
          <w:iCs/>
          <w:sz w:val="22"/>
          <w:szCs w:val="22"/>
        </w:rPr>
        <w:t>50 Steps to a Healthier Newham Newham Health and Wellbeing Strategy 2024-2027</w:t>
      </w:r>
      <w:r w:rsidRPr="00056D6C">
        <w:rPr>
          <w:rFonts w:ascii="Arial" w:hAnsi="Arial"/>
          <w:sz w:val="22"/>
          <w:szCs w:val="22"/>
        </w:rPr>
        <w:t xml:space="preserve">. Available at: </w:t>
      </w:r>
      <w:hyperlink r:id="rId55" w:history="1">
        <w:r w:rsidRPr="00056D6C">
          <w:rPr>
            <w:rStyle w:val="Hyperlink"/>
            <w:rFonts w:ascii="Arial" w:hAnsi="Arial"/>
            <w:sz w:val="22"/>
            <w:szCs w:val="22"/>
          </w:rPr>
          <w:t>https://www.newham.gov.uk/downloads/file/7272/50-steps-2024-2027</w:t>
        </w:r>
      </w:hyperlink>
      <w:r w:rsidRPr="00056D6C">
        <w:rPr>
          <w:rFonts w:ascii="Arial" w:hAnsi="Arial"/>
          <w:sz w:val="22"/>
          <w:szCs w:val="22"/>
        </w:rPr>
        <w:t xml:space="preserve"> (Accessed: 02 January 2026)</w:t>
      </w:r>
    </w:p>
    <w:p w14:paraId="7DFFC009" w14:textId="77777777" w:rsidR="00A34F12" w:rsidRPr="00056D6C" w:rsidRDefault="00A34F12" w:rsidP="00A34F12">
      <w:pPr>
        <w:spacing w:line="360" w:lineRule="auto"/>
        <w:jc w:val="both"/>
        <w:rPr>
          <w:rFonts w:ascii="Arial" w:hAnsi="Arial"/>
          <w:sz w:val="22"/>
          <w:szCs w:val="22"/>
        </w:rPr>
      </w:pPr>
      <w:r w:rsidRPr="00056D6C">
        <w:rPr>
          <w:rFonts w:ascii="Arial" w:hAnsi="Arial"/>
          <w:sz w:val="22"/>
          <w:szCs w:val="22"/>
        </w:rPr>
        <w:t xml:space="preserve">Newham Council (2025) </w:t>
      </w:r>
      <w:r w:rsidRPr="00056D6C">
        <w:rPr>
          <w:rFonts w:ascii="Arial" w:hAnsi="Arial"/>
          <w:i/>
          <w:iCs/>
          <w:sz w:val="22"/>
          <w:szCs w:val="22"/>
        </w:rPr>
        <w:t>Planning and Health Policy: Fast-Food Outlet Restrictions.</w:t>
      </w:r>
      <w:r w:rsidRPr="00056D6C">
        <w:rPr>
          <w:rFonts w:ascii="Arial" w:hAnsi="Arial"/>
          <w:sz w:val="22"/>
          <w:szCs w:val="22"/>
        </w:rPr>
        <w:t xml:space="preserve"> Available at: </w:t>
      </w:r>
      <w:hyperlink r:id="rId56" w:history="1">
        <w:r w:rsidRPr="00056D6C">
          <w:rPr>
            <w:rStyle w:val="Hyperlink"/>
            <w:rFonts w:ascii="Arial" w:hAnsi="Arial"/>
            <w:sz w:val="22"/>
            <w:szCs w:val="22"/>
          </w:rPr>
          <w:t>https://www.newham.gov.uk/planning</w:t>
        </w:r>
      </w:hyperlink>
      <w:r w:rsidRPr="00056D6C">
        <w:rPr>
          <w:rFonts w:ascii="Arial" w:hAnsi="Arial"/>
          <w:sz w:val="22"/>
          <w:szCs w:val="22"/>
        </w:rPr>
        <w:t xml:space="preserve"> (Accessed: 04 January 2026)</w:t>
      </w:r>
    </w:p>
    <w:p w14:paraId="57771773" w14:textId="77777777" w:rsidR="00A34F12" w:rsidRPr="00056D6C" w:rsidRDefault="00A34F12" w:rsidP="00A34F12">
      <w:pPr>
        <w:spacing w:line="360" w:lineRule="auto"/>
        <w:jc w:val="both"/>
        <w:rPr>
          <w:rFonts w:ascii="Arial" w:hAnsi="Arial"/>
          <w:sz w:val="22"/>
          <w:szCs w:val="22"/>
        </w:rPr>
      </w:pPr>
      <w:r w:rsidRPr="00056D6C">
        <w:rPr>
          <w:rFonts w:ascii="Arial" w:hAnsi="Arial"/>
          <w:sz w:val="22"/>
          <w:szCs w:val="22"/>
        </w:rPr>
        <w:t xml:space="preserve">Newham Council (2025) </w:t>
      </w:r>
      <w:r w:rsidRPr="00056D6C">
        <w:rPr>
          <w:rFonts w:ascii="Arial" w:hAnsi="Arial"/>
          <w:i/>
          <w:iCs/>
          <w:sz w:val="22"/>
          <w:szCs w:val="22"/>
        </w:rPr>
        <w:t>Weight management</w:t>
      </w:r>
      <w:r w:rsidRPr="00056D6C">
        <w:rPr>
          <w:rFonts w:ascii="Arial" w:hAnsi="Arial"/>
          <w:sz w:val="22"/>
          <w:szCs w:val="22"/>
        </w:rPr>
        <w:t xml:space="preserve">. Available at: </w:t>
      </w:r>
      <w:hyperlink r:id="rId57" w:history="1">
        <w:r w:rsidRPr="00056D6C">
          <w:rPr>
            <w:rStyle w:val="Hyperlink"/>
            <w:rFonts w:ascii="Arial" w:hAnsi="Arial"/>
            <w:sz w:val="22"/>
            <w:szCs w:val="22"/>
          </w:rPr>
          <w:t>https://www.newham.gov.uk/health-adult-social-care/weight-management</w:t>
        </w:r>
      </w:hyperlink>
      <w:r w:rsidRPr="00056D6C">
        <w:rPr>
          <w:rFonts w:ascii="Arial" w:hAnsi="Arial"/>
          <w:sz w:val="22"/>
          <w:szCs w:val="22"/>
        </w:rPr>
        <w:t xml:space="preserve"> (Accessed: 02 January 2026)‌</w:t>
      </w:r>
    </w:p>
    <w:p w14:paraId="0ECB8334" w14:textId="77777777" w:rsidR="00A34F12" w:rsidRPr="00056D6C" w:rsidRDefault="00A34F12" w:rsidP="00A34F12">
      <w:pPr>
        <w:spacing w:line="360" w:lineRule="auto"/>
        <w:jc w:val="both"/>
        <w:rPr>
          <w:rFonts w:ascii="Arial" w:hAnsi="Arial"/>
          <w:sz w:val="22"/>
          <w:szCs w:val="22"/>
        </w:rPr>
      </w:pPr>
      <w:r w:rsidRPr="00056D6C">
        <w:rPr>
          <w:rFonts w:ascii="Arial" w:hAnsi="Arial"/>
          <w:sz w:val="22"/>
          <w:szCs w:val="22"/>
        </w:rPr>
        <w:t>NHS Digital (2021) </w:t>
      </w:r>
      <w:r w:rsidRPr="00056D6C">
        <w:rPr>
          <w:rFonts w:ascii="Arial" w:hAnsi="Arial"/>
          <w:i/>
          <w:iCs/>
          <w:sz w:val="22"/>
          <w:szCs w:val="22"/>
        </w:rPr>
        <w:t>Statistics on Obesity, Physical Activity and Diet, England 2021</w:t>
      </w:r>
      <w:r w:rsidRPr="00056D6C">
        <w:rPr>
          <w:rFonts w:ascii="Arial" w:hAnsi="Arial"/>
          <w:sz w:val="22"/>
          <w:szCs w:val="22"/>
        </w:rPr>
        <w:t xml:space="preserve">. Available at: </w:t>
      </w:r>
      <w:hyperlink r:id="rId58" w:history="1">
        <w:r w:rsidRPr="00056D6C">
          <w:rPr>
            <w:rStyle w:val="Hyperlink"/>
            <w:rFonts w:ascii="Arial" w:hAnsi="Arial"/>
            <w:sz w:val="22"/>
            <w:szCs w:val="22"/>
          </w:rPr>
          <w:t>https://digital.nhs.uk/data-and-information/publications/statistical/statistics-on-obesity-physical-activity-and-diet/england-2021</w:t>
        </w:r>
      </w:hyperlink>
      <w:r w:rsidRPr="00056D6C">
        <w:rPr>
          <w:rFonts w:ascii="Arial" w:hAnsi="Arial"/>
          <w:sz w:val="22"/>
          <w:szCs w:val="22"/>
        </w:rPr>
        <w:t xml:space="preserve"> (Accessed: 03 January 2026)</w:t>
      </w:r>
    </w:p>
    <w:p w14:paraId="30750F00" w14:textId="77777777" w:rsidR="00A34F12" w:rsidRPr="00056D6C" w:rsidRDefault="00A34F12" w:rsidP="00A34F12">
      <w:pPr>
        <w:spacing w:line="360" w:lineRule="auto"/>
        <w:jc w:val="both"/>
        <w:rPr>
          <w:rFonts w:ascii="Arial" w:hAnsi="Arial"/>
          <w:sz w:val="22"/>
          <w:szCs w:val="22"/>
        </w:rPr>
      </w:pPr>
      <w:r w:rsidRPr="00056D6C">
        <w:rPr>
          <w:rFonts w:ascii="Arial" w:hAnsi="Arial"/>
          <w:sz w:val="22"/>
          <w:szCs w:val="22"/>
        </w:rPr>
        <w:t xml:space="preserve">NHS England (2022) </w:t>
      </w:r>
      <w:r w:rsidRPr="00056D6C">
        <w:rPr>
          <w:rFonts w:ascii="Arial" w:hAnsi="Arial"/>
          <w:i/>
          <w:iCs/>
          <w:sz w:val="22"/>
          <w:szCs w:val="22"/>
        </w:rPr>
        <w:t>Blood Pressure – Ethnicity and Health, Health Survey for England 2011-2019</w:t>
      </w:r>
      <w:r w:rsidRPr="00056D6C">
        <w:rPr>
          <w:rFonts w:ascii="Arial" w:hAnsi="Arial"/>
          <w:sz w:val="22"/>
          <w:szCs w:val="22"/>
        </w:rPr>
        <w:t xml:space="preserve">. Available at: </w:t>
      </w:r>
      <w:hyperlink r:id="rId59" w:history="1">
        <w:r w:rsidRPr="00056D6C">
          <w:rPr>
            <w:rStyle w:val="Hyperlink"/>
            <w:rFonts w:ascii="Arial" w:hAnsi="Arial"/>
            <w:sz w:val="22"/>
            <w:szCs w:val="22"/>
          </w:rPr>
          <w:t>https://digital.nhs.uk/data-and-information/publications/statistical/health-survey-england-additional-analyses/ethnicity-and-health-2011-2019-experimental-statistics/blood-pressure</w:t>
        </w:r>
      </w:hyperlink>
      <w:r w:rsidRPr="00056D6C">
        <w:rPr>
          <w:rFonts w:ascii="Arial" w:hAnsi="Arial"/>
          <w:sz w:val="22"/>
          <w:szCs w:val="22"/>
        </w:rPr>
        <w:t xml:space="preserve"> (Accessed: 10 December 2025)</w:t>
      </w:r>
    </w:p>
    <w:p w14:paraId="15CD33D1" w14:textId="77777777" w:rsidR="00A34F12" w:rsidRPr="00056D6C" w:rsidRDefault="00A34F12" w:rsidP="00A34F12">
      <w:pPr>
        <w:spacing w:line="360" w:lineRule="auto"/>
        <w:jc w:val="both"/>
        <w:rPr>
          <w:rFonts w:ascii="Arial" w:hAnsi="Arial"/>
          <w:sz w:val="22"/>
          <w:szCs w:val="22"/>
        </w:rPr>
      </w:pPr>
      <w:r w:rsidRPr="00056D6C">
        <w:rPr>
          <w:rFonts w:ascii="Arial" w:hAnsi="Arial"/>
          <w:sz w:val="22"/>
          <w:szCs w:val="22"/>
        </w:rPr>
        <w:t xml:space="preserve">NHS England (2024) </w:t>
      </w:r>
      <w:r w:rsidRPr="00056D6C">
        <w:rPr>
          <w:rFonts w:ascii="Arial" w:hAnsi="Arial"/>
          <w:i/>
          <w:iCs/>
          <w:sz w:val="22"/>
          <w:szCs w:val="22"/>
        </w:rPr>
        <w:t>Quality and outcomes framework guidance for 2024/25</w:t>
      </w:r>
      <w:r w:rsidRPr="00056D6C">
        <w:rPr>
          <w:rFonts w:ascii="Arial" w:hAnsi="Arial"/>
          <w:sz w:val="22"/>
          <w:szCs w:val="22"/>
        </w:rPr>
        <w:t xml:space="preserve">. Available at: </w:t>
      </w:r>
      <w:hyperlink r:id="rId60" w:history="1">
        <w:r w:rsidRPr="00056D6C">
          <w:rPr>
            <w:rStyle w:val="Hyperlink"/>
            <w:rFonts w:ascii="Arial" w:hAnsi="Arial"/>
            <w:sz w:val="22"/>
            <w:szCs w:val="22"/>
          </w:rPr>
          <w:t>https://www.england.nhs.uk/publication/quality-and-outcomes-framework-guidance-for-2024-25/</w:t>
        </w:r>
      </w:hyperlink>
      <w:r w:rsidRPr="00056D6C">
        <w:rPr>
          <w:rFonts w:ascii="Arial" w:hAnsi="Arial"/>
          <w:sz w:val="22"/>
          <w:szCs w:val="22"/>
        </w:rPr>
        <w:t xml:space="preserve"> (Accessed: 05 January 2026)</w:t>
      </w:r>
    </w:p>
    <w:p w14:paraId="7C4990F8" w14:textId="77777777" w:rsidR="00A34F12" w:rsidRPr="00056D6C" w:rsidRDefault="00A34F12" w:rsidP="00A34F12">
      <w:pPr>
        <w:spacing w:line="360" w:lineRule="auto"/>
        <w:jc w:val="both"/>
        <w:rPr>
          <w:rFonts w:ascii="Arial" w:hAnsi="Arial"/>
          <w:sz w:val="22"/>
          <w:szCs w:val="22"/>
        </w:rPr>
      </w:pPr>
      <w:r w:rsidRPr="00056D6C">
        <w:rPr>
          <w:rFonts w:ascii="Arial" w:hAnsi="Arial"/>
          <w:sz w:val="22"/>
          <w:szCs w:val="22"/>
        </w:rPr>
        <w:t xml:space="preserve">NSMC (2020) Change4Life. Available at: </w:t>
      </w:r>
      <w:hyperlink r:id="rId61" w:history="1">
        <w:r w:rsidRPr="00056D6C">
          <w:rPr>
            <w:rStyle w:val="Hyperlink"/>
            <w:rFonts w:ascii="Arial" w:hAnsi="Arial"/>
            <w:sz w:val="22"/>
            <w:szCs w:val="22"/>
          </w:rPr>
          <w:t>https://www.thensmc.com/resources/showcase/change4life</w:t>
        </w:r>
      </w:hyperlink>
      <w:r w:rsidRPr="00056D6C">
        <w:rPr>
          <w:rFonts w:ascii="Arial" w:hAnsi="Arial"/>
          <w:sz w:val="22"/>
          <w:szCs w:val="22"/>
        </w:rPr>
        <w:t xml:space="preserve"> (Accessed: 05 January 2026).</w:t>
      </w:r>
    </w:p>
    <w:p w14:paraId="2D4B7534" w14:textId="77777777" w:rsidR="00A34F12" w:rsidRPr="00056D6C" w:rsidRDefault="00A34F12" w:rsidP="00A34F12">
      <w:pPr>
        <w:spacing w:line="360" w:lineRule="auto"/>
        <w:jc w:val="both"/>
        <w:rPr>
          <w:rFonts w:ascii="Arial" w:hAnsi="Arial"/>
          <w:sz w:val="22"/>
          <w:szCs w:val="22"/>
        </w:rPr>
      </w:pPr>
      <w:r w:rsidRPr="00056D6C">
        <w:rPr>
          <w:rFonts w:ascii="Arial" w:hAnsi="Arial"/>
          <w:sz w:val="22"/>
          <w:szCs w:val="22"/>
        </w:rPr>
        <w:t>Onanuga, S., Grace, B., Saraki, T., Dhanjal, M. and Pinder, R. (2023) P-440 Equity in reproductive health: A systematic review of factors influencing higher maternal mortality among Black Women in the United Kingdom, </w:t>
      </w:r>
      <w:r w:rsidRPr="00056D6C">
        <w:rPr>
          <w:rFonts w:ascii="Arial" w:hAnsi="Arial"/>
          <w:i/>
          <w:iCs/>
          <w:sz w:val="22"/>
          <w:szCs w:val="22"/>
        </w:rPr>
        <w:t>Human Reproduction</w:t>
      </w:r>
      <w:r w:rsidRPr="00056D6C">
        <w:rPr>
          <w:rFonts w:ascii="Arial" w:hAnsi="Arial"/>
          <w:sz w:val="22"/>
          <w:szCs w:val="22"/>
        </w:rPr>
        <w:t>, </w:t>
      </w:r>
      <w:r w:rsidRPr="00056D6C">
        <w:rPr>
          <w:rFonts w:ascii="Arial" w:hAnsi="Arial"/>
          <w:i/>
          <w:iCs/>
          <w:sz w:val="22"/>
          <w:szCs w:val="22"/>
        </w:rPr>
        <w:t>38</w:t>
      </w:r>
      <w:r w:rsidRPr="00056D6C">
        <w:rPr>
          <w:rFonts w:ascii="Arial" w:hAnsi="Arial"/>
          <w:sz w:val="22"/>
          <w:szCs w:val="22"/>
        </w:rPr>
        <w:t xml:space="preserve">(Supplement_1), dead093-788. Available at: </w:t>
      </w:r>
      <w:hyperlink r:id="rId62" w:history="1">
        <w:r w:rsidRPr="00056D6C">
          <w:rPr>
            <w:rStyle w:val="Hyperlink"/>
            <w:rFonts w:ascii="Arial" w:hAnsi="Arial"/>
            <w:sz w:val="22"/>
            <w:szCs w:val="22"/>
          </w:rPr>
          <w:t>https://doi.org/10.1093/humrep/dead093.788</w:t>
        </w:r>
      </w:hyperlink>
      <w:r w:rsidRPr="00056D6C">
        <w:rPr>
          <w:rFonts w:ascii="Arial" w:hAnsi="Arial"/>
          <w:sz w:val="22"/>
          <w:szCs w:val="22"/>
        </w:rPr>
        <w:t xml:space="preserve"> </w:t>
      </w:r>
    </w:p>
    <w:p w14:paraId="42DC1027" w14:textId="77777777" w:rsidR="00A34F12" w:rsidRPr="00056D6C" w:rsidRDefault="00A34F12" w:rsidP="00A34F12">
      <w:pPr>
        <w:spacing w:line="360" w:lineRule="auto"/>
        <w:jc w:val="both"/>
        <w:rPr>
          <w:rFonts w:ascii="Arial" w:hAnsi="Arial"/>
          <w:sz w:val="22"/>
          <w:szCs w:val="22"/>
        </w:rPr>
      </w:pPr>
      <w:r w:rsidRPr="00056D6C">
        <w:rPr>
          <w:rFonts w:ascii="Arial" w:hAnsi="Arial"/>
          <w:sz w:val="22"/>
          <w:szCs w:val="22"/>
        </w:rPr>
        <w:t xml:space="preserve">Onuorah, L., Santy-Tomlinson, J. and Draper, P. (2025) ''Diabetes knowledge, risk and severity perceptions, lifestyle behaviours and management barriers among Sub-Saharan African immigrants living in the UK: an ethnographic study'', </w:t>
      </w:r>
      <w:r w:rsidRPr="00056D6C">
        <w:rPr>
          <w:rFonts w:ascii="Arial" w:hAnsi="Arial"/>
          <w:i/>
          <w:iCs/>
          <w:sz w:val="22"/>
          <w:szCs w:val="22"/>
        </w:rPr>
        <w:t>BMC Public Health</w:t>
      </w:r>
      <w:r w:rsidRPr="00056D6C">
        <w:rPr>
          <w:rFonts w:ascii="Arial" w:hAnsi="Arial"/>
          <w:sz w:val="22"/>
          <w:szCs w:val="22"/>
        </w:rPr>
        <w:t xml:space="preserve">, 25(1),1-16. Available at: </w:t>
      </w:r>
      <w:hyperlink r:id="rId63" w:history="1">
        <w:r w:rsidRPr="00056D6C">
          <w:rPr>
            <w:rStyle w:val="Hyperlink"/>
            <w:rFonts w:ascii="Arial" w:hAnsi="Arial"/>
            <w:sz w:val="22"/>
            <w:szCs w:val="22"/>
          </w:rPr>
          <w:t>https://doi.org/10.1186/s12889-025-23773-2</w:t>
        </w:r>
      </w:hyperlink>
      <w:r w:rsidRPr="00056D6C">
        <w:rPr>
          <w:rFonts w:ascii="Arial" w:hAnsi="Arial"/>
          <w:sz w:val="22"/>
          <w:szCs w:val="22"/>
        </w:rPr>
        <w:t xml:space="preserve"> </w:t>
      </w:r>
    </w:p>
    <w:p w14:paraId="0F646DDB" w14:textId="77777777" w:rsidR="00A34F12" w:rsidRPr="00056D6C" w:rsidRDefault="00A34F12" w:rsidP="00A34F12">
      <w:pPr>
        <w:spacing w:line="360" w:lineRule="auto"/>
        <w:jc w:val="both"/>
        <w:rPr>
          <w:rFonts w:ascii="Arial" w:hAnsi="Arial"/>
          <w:sz w:val="22"/>
          <w:szCs w:val="22"/>
        </w:rPr>
      </w:pPr>
      <w:r w:rsidRPr="00056D6C">
        <w:rPr>
          <w:rFonts w:ascii="Arial" w:hAnsi="Arial"/>
          <w:sz w:val="22"/>
          <w:szCs w:val="22"/>
        </w:rPr>
        <w:t xml:space="preserve">Otu, A., Ahinkorah, B. O., Ameyaw, E. K., Seidu, A. A.I and Yaya, S. (2020) One country, two crises: what Covid-19 reveals about health inequalities among BAME communities in the United </w:t>
      </w:r>
      <w:r w:rsidRPr="00056D6C">
        <w:rPr>
          <w:rFonts w:ascii="Arial" w:hAnsi="Arial"/>
          <w:sz w:val="22"/>
          <w:szCs w:val="22"/>
        </w:rPr>
        <w:lastRenderedPageBreak/>
        <w:t xml:space="preserve">Kingdom and the sustainability of its health system?. International journal for equity in health, 19(1), 189. Available at: </w:t>
      </w:r>
      <w:hyperlink r:id="rId64" w:history="1">
        <w:r w:rsidRPr="00056D6C">
          <w:rPr>
            <w:rStyle w:val="Hyperlink"/>
            <w:rFonts w:ascii="Arial" w:hAnsi="Arial"/>
            <w:sz w:val="22"/>
            <w:szCs w:val="22"/>
          </w:rPr>
          <w:t>https://doi.org/10.1186/s12939-020-01307-z</w:t>
        </w:r>
      </w:hyperlink>
      <w:r w:rsidRPr="00056D6C">
        <w:rPr>
          <w:rFonts w:ascii="Arial" w:hAnsi="Arial"/>
          <w:sz w:val="22"/>
          <w:szCs w:val="22"/>
        </w:rPr>
        <w:t xml:space="preserve"> </w:t>
      </w:r>
    </w:p>
    <w:p w14:paraId="1AD71B31" w14:textId="77777777" w:rsidR="00A34F12" w:rsidRPr="00056D6C" w:rsidRDefault="00A34F12" w:rsidP="00A34F12">
      <w:pPr>
        <w:spacing w:line="360" w:lineRule="auto"/>
        <w:jc w:val="both"/>
        <w:rPr>
          <w:rFonts w:ascii="Arial" w:hAnsi="Arial"/>
          <w:sz w:val="22"/>
          <w:szCs w:val="22"/>
        </w:rPr>
      </w:pPr>
      <w:r w:rsidRPr="00056D6C">
        <w:rPr>
          <w:rFonts w:ascii="Arial" w:hAnsi="Arial"/>
          <w:sz w:val="22"/>
          <w:szCs w:val="22"/>
        </w:rPr>
        <w:t>Pandey, M., Maina, R.G., Amoyaw, J., Li, Y., Kamrul, R., Michaels, C.R. and Maroof, R. (2021) Impacts of English Language Proficiency on Healthcare access, use, and Outcomes among immigrants: a Qualitative Study, </w:t>
      </w:r>
      <w:r w:rsidRPr="00056D6C">
        <w:rPr>
          <w:rFonts w:ascii="Arial" w:hAnsi="Arial"/>
          <w:i/>
          <w:iCs/>
          <w:sz w:val="22"/>
          <w:szCs w:val="22"/>
        </w:rPr>
        <w:t>BMC Health Services Research</w:t>
      </w:r>
      <w:r w:rsidRPr="00056D6C">
        <w:rPr>
          <w:rFonts w:ascii="Arial" w:hAnsi="Arial"/>
          <w:sz w:val="22"/>
          <w:szCs w:val="22"/>
        </w:rPr>
        <w:t xml:space="preserve">, 21(1),741. Available: </w:t>
      </w:r>
      <w:hyperlink r:id="rId65" w:history="1">
        <w:r w:rsidRPr="00056D6C">
          <w:rPr>
            <w:rStyle w:val="Hyperlink"/>
            <w:rFonts w:ascii="Arial" w:hAnsi="Arial"/>
            <w:sz w:val="22"/>
            <w:szCs w:val="22"/>
          </w:rPr>
          <w:t>https://doi.org/10.1186/s12913-021-06750-4</w:t>
        </w:r>
      </w:hyperlink>
      <w:r w:rsidRPr="00056D6C">
        <w:rPr>
          <w:rFonts w:ascii="Arial" w:hAnsi="Arial"/>
          <w:sz w:val="22"/>
          <w:szCs w:val="22"/>
        </w:rPr>
        <w:t xml:space="preserve"> </w:t>
      </w:r>
    </w:p>
    <w:p w14:paraId="493AD5DB" w14:textId="77777777" w:rsidR="00A34F12" w:rsidRPr="00056D6C" w:rsidRDefault="00A34F12" w:rsidP="00A34F12">
      <w:pPr>
        <w:spacing w:line="360" w:lineRule="auto"/>
        <w:jc w:val="both"/>
        <w:rPr>
          <w:rFonts w:ascii="Arial" w:hAnsi="Arial"/>
          <w:sz w:val="22"/>
          <w:szCs w:val="22"/>
        </w:rPr>
      </w:pPr>
      <w:r w:rsidRPr="00056D6C">
        <w:rPr>
          <w:rFonts w:ascii="Arial" w:hAnsi="Arial"/>
          <w:sz w:val="22"/>
          <w:szCs w:val="22"/>
        </w:rPr>
        <w:t xml:space="preserve">People’s Health Trust (2020) </w:t>
      </w:r>
      <w:r w:rsidRPr="00056D6C">
        <w:rPr>
          <w:rFonts w:ascii="Arial" w:hAnsi="Arial"/>
          <w:i/>
          <w:iCs/>
          <w:sz w:val="22"/>
          <w:szCs w:val="22"/>
        </w:rPr>
        <w:t>Communities experiencing racial inequity</w:t>
      </w:r>
      <w:r w:rsidRPr="00056D6C">
        <w:rPr>
          <w:rFonts w:ascii="Arial" w:hAnsi="Arial"/>
          <w:sz w:val="22"/>
          <w:szCs w:val="22"/>
        </w:rPr>
        <w:t xml:space="preserve">. Available at: </w:t>
      </w:r>
      <w:hyperlink r:id="rId66" w:history="1">
        <w:r w:rsidRPr="00056D6C">
          <w:rPr>
            <w:rStyle w:val="Hyperlink"/>
            <w:rFonts w:ascii="Arial" w:hAnsi="Arial"/>
            <w:sz w:val="22"/>
            <w:szCs w:val="22"/>
          </w:rPr>
          <w:t>https://www.peopleshealthtrust.org.uk/health-inequalities/communities-of-interest/communities-experiencing-racial-inequity</w:t>
        </w:r>
      </w:hyperlink>
      <w:r w:rsidRPr="00056D6C">
        <w:rPr>
          <w:rFonts w:ascii="Arial" w:hAnsi="Arial"/>
          <w:sz w:val="22"/>
          <w:szCs w:val="22"/>
        </w:rPr>
        <w:t xml:space="preserve"> (Accessed: 27 December 2025)</w:t>
      </w:r>
    </w:p>
    <w:p w14:paraId="712B0F18" w14:textId="77777777" w:rsidR="00A34F12" w:rsidRPr="00056D6C" w:rsidRDefault="00A34F12" w:rsidP="00A34F12">
      <w:pPr>
        <w:spacing w:line="360" w:lineRule="auto"/>
        <w:jc w:val="both"/>
        <w:rPr>
          <w:rFonts w:ascii="Arial" w:hAnsi="Arial"/>
          <w:sz w:val="22"/>
          <w:szCs w:val="22"/>
        </w:rPr>
      </w:pPr>
      <w:r w:rsidRPr="00056D6C">
        <w:rPr>
          <w:rFonts w:ascii="Arial" w:hAnsi="Arial"/>
          <w:sz w:val="22"/>
          <w:szCs w:val="22"/>
        </w:rPr>
        <w:t xml:space="preserve">‌Pham, T.M., Carpenter, J.R., Morris, T.P., Sharma, M. and Petersen, I. (2019) 'Ethnic Differences in the Prevalence of Type 2 Diabetes Diagnoses in the UK: Cross-Sectional Analysis of the Health Improvement Network Primary Care Database', </w:t>
      </w:r>
      <w:r w:rsidRPr="00056D6C">
        <w:rPr>
          <w:rFonts w:ascii="Arial" w:hAnsi="Arial"/>
          <w:i/>
          <w:iCs/>
          <w:sz w:val="22"/>
          <w:szCs w:val="22"/>
        </w:rPr>
        <w:t>Clinical Epidemiology</w:t>
      </w:r>
      <w:r w:rsidRPr="00056D6C">
        <w:rPr>
          <w:rFonts w:ascii="Arial" w:hAnsi="Arial"/>
          <w:sz w:val="22"/>
          <w:szCs w:val="22"/>
        </w:rPr>
        <w:t xml:space="preserve">, Volume 11(11), pp.1081–1088. Available at: </w:t>
      </w:r>
      <w:hyperlink r:id="rId67" w:history="1">
        <w:r w:rsidRPr="00056D6C">
          <w:rPr>
            <w:rStyle w:val="Hyperlink"/>
            <w:rFonts w:ascii="Arial" w:hAnsi="Arial"/>
            <w:sz w:val="22"/>
            <w:szCs w:val="22"/>
          </w:rPr>
          <w:t>https://doi.org/10.2147/CLEP.S227621</w:t>
        </w:r>
      </w:hyperlink>
      <w:r w:rsidRPr="00056D6C">
        <w:rPr>
          <w:rFonts w:ascii="Arial" w:hAnsi="Arial"/>
          <w:sz w:val="22"/>
          <w:szCs w:val="22"/>
        </w:rPr>
        <w:t xml:space="preserve"> </w:t>
      </w:r>
    </w:p>
    <w:p w14:paraId="1BEEF213" w14:textId="77777777" w:rsidR="00A34F12" w:rsidRPr="00056D6C" w:rsidRDefault="00A34F12" w:rsidP="00A34F12">
      <w:pPr>
        <w:spacing w:line="360" w:lineRule="auto"/>
        <w:jc w:val="both"/>
        <w:rPr>
          <w:rFonts w:ascii="Arial" w:hAnsi="Arial"/>
          <w:sz w:val="22"/>
          <w:szCs w:val="22"/>
        </w:rPr>
      </w:pPr>
      <w:r w:rsidRPr="00056D6C">
        <w:rPr>
          <w:rFonts w:ascii="Arial" w:hAnsi="Arial"/>
          <w:sz w:val="22"/>
          <w:szCs w:val="22"/>
        </w:rPr>
        <w:t>Pineda, E., Stockton, J., Scholes, S., Lassale, C. and Mindell, J.S. (2024) ‘Food environment and obesity: a systematic review and meta-analysis’, </w:t>
      </w:r>
      <w:r w:rsidRPr="00056D6C">
        <w:rPr>
          <w:rFonts w:ascii="Arial" w:hAnsi="Arial"/>
          <w:i/>
          <w:iCs/>
          <w:sz w:val="22"/>
          <w:szCs w:val="22"/>
        </w:rPr>
        <w:t>BMJ nutrition, prevention &amp; health</w:t>
      </w:r>
      <w:r w:rsidRPr="00056D6C">
        <w:rPr>
          <w:rFonts w:ascii="Arial" w:hAnsi="Arial"/>
          <w:sz w:val="22"/>
          <w:szCs w:val="22"/>
        </w:rPr>
        <w:t xml:space="preserve">, 7(1), 204.  Available at: </w:t>
      </w:r>
      <w:hyperlink r:id="rId68" w:history="1">
        <w:r w:rsidRPr="00056D6C">
          <w:rPr>
            <w:rStyle w:val="Hyperlink"/>
            <w:rFonts w:ascii="Arial" w:hAnsi="Arial"/>
            <w:sz w:val="22"/>
            <w:szCs w:val="22"/>
          </w:rPr>
          <w:t>https://doi.org/10.1136/bmjnph-2023-000663</w:t>
        </w:r>
      </w:hyperlink>
      <w:r w:rsidRPr="00056D6C">
        <w:rPr>
          <w:rFonts w:ascii="Arial" w:hAnsi="Arial"/>
          <w:sz w:val="22"/>
          <w:szCs w:val="22"/>
        </w:rPr>
        <w:t xml:space="preserve"> </w:t>
      </w:r>
    </w:p>
    <w:p w14:paraId="38C97B2D" w14:textId="77777777" w:rsidR="00A34F12" w:rsidRPr="00056D6C" w:rsidRDefault="00A34F12" w:rsidP="00A34F12">
      <w:pPr>
        <w:spacing w:line="360" w:lineRule="auto"/>
        <w:jc w:val="both"/>
        <w:rPr>
          <w:rFonts w:ascii="Arial" w:hAnsi="Arial"/>
          <w:sz w:val="22"/>
          <w:szCs w:val="22"/>
        </w:rPr>
      </w:pPr>
      <w:r w:rsidRPr="00056D6C">
        <w:rPr>
          <w:rFonts w:ascii="Arial" w:hAnsi="Arial"/>
          <w:sz w:val="22"/>
          <w:szCs w:val="22"/>
        </w:rPr>
        <w:t xml:space="preserve">Thomas, T. (2024) 'Black women in England suffer more serious birth complications, analysis finds', </w:t>
      </w:r>
      <w:r w:rsidRPr="00056D6C">
        <w:rPr>
          <w:rFonts w:ascii="Arial" w:hAnsi="Arial"/>
          <w:i/>
          <w:iCs/>
          <w:sz w:val="22"/>
          <w:szCs w:val="22"/>
        </w:rPr>
        <w:t>the Guardian,8 April.</w:t>
      </w:r>
      <w:r w:rsidRPr="00056D6C">
        <w:rPr>
          <w:rFonts w:ascii="Arial" w:hAnsi="Arial"/>
          <w:sz w:val="22"/>
          <w:szCs w:val="22"/>
        </w:rPr>
        <w:t xml:space="preserve"> Available at: </w:t>
      </w:r>
      <w:hyperlink r:id="rId69" w:history="1">
        <w:r w:rsidRPr="00056D6C">
          <w:rPr>
            <w:rStyle w:val="Hyperlink"/>
            <w:rFonts w:ascii="Arial" w:hAnsi="Arial"/>
            <w:sz w:val="22"/>
            <w:szCs w:val="22"/>
          </w:rPr>
          <w:t>https://www.theguardian.com/society/2024/apr/08/black-women-in-england-suffer-more-serious-birth-complications-analysis-finds</w:t>
        </w:r>
      </w:hyperlink>
      <w:r w:rsidRPr="00056D6C">
        <w:rPr>
          <w:rFonts w:ascii="Arial" w:hAnsi="Arial"/>
          <w:sz w:val="22"/>
          <w:szCs w:val="22"/>
        </w:rPr>
        <w:t xml:space="preserve"> (Accessed: 26 December 2025)</w:t>
      </w:r>
    </w:p>
    <w:p w14:paraId="248730A3" w14:textId="77777777" w:rsidR="00A34F12" w:rsidRPr="00056D6C" w:rsidRDefault="00A34F12" w:rsidP="00A34F12">
      <w:pPr>
        <w:spacing w:line="360" w:lineRule="auto"/>
        <w:jc w:val="both"/>
        <w:rPr>
          <w:rFonts w:ascii="Arial" w:hAnsi="Arial"/>
          <w:sz w:val="22"/>
          <w:szCs w:val="22"/>
        </w:rPr>
      </w:pPr>
      <w:r w:rsidRPr="00056D6C">
        <w:rPr>
          <w:rFonts w:ascii="Arial" w:hAnsi="Arial"/>
          <w:sz w:val="22"/>
          <w:szCs w:val="22"/>
        </w:rPr>
        <w:t xml:space="preserve">World Health Organization [WHO] (2025) </w:t>
      </w:r>
      <w:r w:rsidRPr="00056D6C">
        <w:rPr>
          <w:rFonts w:ascii="Arial" w:hAnsi="Arial"/>
          <w:i/>
          <w:iCs/>
          <w:sz w:val="22"/>
          <w:szCs w:val="22"/>
        </w:rPr>
        <w:t>Obesity and Overweight.</w:t>
      </w:r>
      <w:r w:rsidRPr="00056D6C">
        <w:rPr>
          <w:rFonts w:ascii="Arial" w:hAnsi="Arial"/>
          <w:sz w:val="22"/>
          <w:szCs w:val="22"/>
        </w:rPr>
        <w:br/>
        <w:t xml:space="preserve">Available at: </w:t>
      </w:r>
      <w:hyperlink r:id="rId70" w:history="1">
        <w:r w:rsidRPr="00056D6C">
          <w:rPr>
            <w:rStyle w:val="Hyperlink"/>
            <w:rFonts w:ascii="Arial" w:hAnsi="Arial"/>
            <w:color w:val="auto"/>
            <w:sz w:val="22"/>
            <w:szCs w:val="22"/>
          </w:rPr>
          <w:t>https://www.w</w:t>
        </w:r>
        <w:r w:rsidRPr="00056D6C">
          <w:rPr>
            <w:rStyle w:val="Hyperlink"/>
            <w:rFonts w:ascii="Arial" w:hAnsi="Arial"/>
            <w:color w:val="auto"/>
            <w:sz w:val="22"/>
            <w:szCs w:val="22"/>
          </w:rPr>
          <w:t>ho.int/news-room/fact-sheets/detail/obesity-and-overweight</w:t>
        </w:r>
      </w:hyperlink>
      <w:r w:rsidRPr="00056D6C">
        <w:rPr>
          <w:rFonts w:ascii="Arial" w:hAnsi="Arial"/>
          <w:sz w:val="22"/>
          <w:szCs w:val="22"/>
        </w:rPr>
        <w:br/>
        <w:t>(Accessed: 29 December 2025)</w:t>
      </w:r>
    </w:p>
    <w:p w14:paraId="405C55D6" w14:textId="77777777" w:rsidR="00A34F12" w:rsidRPr="00A34F12" w:rsidRDefault="00A34F12" w:rsidP="00A34F12">
      <w:pPr>
        <w:jc w:val="both"/>
      </w:pPr>
    </w:p>
    <w:sectPr w:rsidR="00A34F12" w:rsidRPr="00A34F12">
      <w:footerReference w:type="default" r:id="rId71"/>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07CC8F" w14:textId="77777777" w:rsidR="0040046F" w:rsidRDefault="0040046F">
      <w:pPr>
        <w:spacing w:after="0" w:line="240" w:lineRule="auto"/>
      </w:pPr>
      <w:r>
        <w:separator/>
      </w:r>
    </w:p>
  </w:endnote>
  <w:endnote w:type="continuationSeparator" w:id="0">
    <w:p w14:paraId="5559BD51" w14:textId="77777777" w:rsidR="0040046F" w:rsidRDefault="004004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Segoe UI Variable Text">
    <w:panose1 w:val="00000000000000000000"/>
    <w:charset w:val="00"/>
    <w:family w:val="auto"/>
    <w:pitch w:val="variable"/>
    <w:sig w:usb0="A00002FF" w:usb1="0000000B"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F5C583" w14:textId="77777777" w:rsidR="005D5DB3" w:rsidRDefault="00000000">
    <w:pPr>
      <w:pStyle w:val="Footer"/>
      <w:jc w:val="center"/>
    </w:pPr>
    <w:r>
      <w:fldChar w:fldCharType="begin"/>
    </w:r>
    <w:r>
      <w:instrText xml:space="preserve"> PAGE   \* MERGEFORMAT </w:instrText>
    </w:r>
    <w:r>
      <w:fldChar w:fldCharType="separate"/>
    </w:r>
    <w:r>
      <w:t>2</w:t>
    </w:r>
    <w:r>
      <w:fldChar w:fldCharType="end"/>
    </w:r>
  </w:p>
  <w:p w14:paraId="3EA6ECA9" w14:textId="77777777" w:rsidR="005D5DB3" w:rsidRDefault="005D5D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1A22A3" w14:textId="77777777" w:rsidR="0040046F" w:rsidRDefault="0040046F">
      <w:pPr>
        <w:spacing w:after="0" w:line="240" w:lineRule="auto"/>
      </w:pPr>
      <w:r>
        <w:separator/>
      </w:r>
    </w:p>
  </w:footnote>
  <w:footnote w:type="continuationSeparator" w:id="0">
    <w:p w14:paraId="3388EA58" w14:textId="77777777" w:rsidR="0040046F" w:rsidRDefault="0040046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bordersDoNotSurroundHeader/>
  <w:bordersDoNotSurroundFooter/>
  <w:proofState w:spelling="clean" w:grammar="clean"/>
  <w:defaultTabStop w:val="720"/>
  <w:drawingGridHorizontalSpacing w:val="120"/>
  <w:drawingGridVerticalSpacing w:val="163"/>
  <w:displayHorizontalDrawingGridEvery w:val="0"/>
  <w:characterSpacingControl w:val="doNotCompress"/>
  <w:footnotePr>
    <w:footnote w:id="-1"/>
    <w:footnote w:id="0"/>
  </w:footnotePr>
  <w:endnotePr>
    <w:endnote w:id="-1"/>
    <w:endnote w:id="0"/>
  </w:endnotePr>
  <w:compat>
    <w:spaceForUL/>
    <w:growAutofit/>
    <w:useFELayout/>
    <w:compatSetting w:name="compatibilityMode" w:uri="http://schemas.microsoft.com/office/word" w:val="14"/>
    <w:compatSetting w:name="useWord2013TrackBottomHyphenation" w:uri="http://schemas.microsoft.com/office/word" w:val="1"/>
  </w:compat>
  <w:rsids>
    <w:rsidRoot w:val="005D5DB3"/>
    <w:rsid w:val="001825C8"/>
    <w:rsid w:val="002577B4"/>
    <w:rsid w:val="002A7F6F"/>
    <w:rsid w:val="002B7D5B"/>
    <w:rsid w:val="002F10E5"/>
    <w:rsid w:val="002F67D1"/>
    <w:rsid w:val="00360DD2"/>
    <w:rsid w:val="0040046F"/>
    <w:rsid w:val="0042576B"/>
    <w:rsid w:val="00457AA5"/>
    <w:rsid w:val="004978E7"/>
    <w:rsid w:val="005910D8"/>
    <w:rsid w:val="005D5DB3"/>
    <w:rsid w:val="0062430F"/>
    <w:rsid w:val="006516DD"/>
    <w:rsid w:val="006649A5"/>
    <w:rsid w:val="006A5D3A"/>
    <w:rsid w:val="00716273"/>
    <w:rsid w:val="007F18A0"/>
    <w:rsid w:val="008E2D1F"/>
    <w:rsid w:val="00946C34"/>
    <w:rsid w:val="00A34F12"/>
    <w:rsid w:val="00AD4F77"/>
    <w:rsid w:val="00AE1C0E"/>
    <w:rsid w:val="00AF791D"/>
    <w:rsid w:val="00B81FA5"/>
    <w:rsid w:val="00BD1F73"/>
    <w:rsid w:val="00C36C9D"/>
    <w:rsid w:val="00C44DE5"/>
    <w:rsid w:val="00C8574B"/>
    <w:rsid w:val="00D90C20"/>
    <w:rsid w:val="00DB006C"/>
    <w:rsid w:val="00E32998"/>
    <w:rsid w:val="00E75F94"/>
    <w:rsid w:val="00ED7620"/>
    <w:rsid w:val="00ED7FBE"/>
    <w:rsid w:val="00F57747"/>
    <w:rsid w:val="00FA60E0"/>
    <w:rsid w:val="00FB649C"/>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11020D"/>
  <w15:docId w15:val="{534FE9A1-A4FB-4A7C-86DF-EE83624952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78" w:lineRule="auto"/>
    </w:pPr>
    <w:rPr>
      <w:rFonts w:ascii="Aptos" w:eastAsia="Aptos" w:hAnsi="Aptos" w:cs="Arial"/>
      <w:kern w:val="2"/>
      <w:sz w:val="24"/>
      <w:szCs w:val="24"/>
      <w:lang w:val="en-GB" w:eastAsia="en-US"/>
    </w:rPr>
  </w:style>
  <w:style w:type="paragraph" w:styleId="Heading1">
    <w:name w:val="heading 1"/>
    <w:basedOn w:val="Normal"/>
    <w:next w:val="Normal"/>
    <w:uiPriority w:val="9"/>
    <w:qFormat/>
    <w:pPr>
      <w:keepNext/>
      <w:keepLines/>
      <w:spacing w:before="360" w:after="80"/>
      <w:outlineLvl w:val="0"/>
    </w:pPr>
    <w:rPr>
      <w:rFonts w:ascii="Aptos Display" w:eastAsia="DengXian Light" w:hAnsi="Aptos Display" w:cs="Times New Roman"/>
      <w:color w:val="0F4761"/>
      <w:sz w:val="40"/>
      <w:szCs w:val="40"/>
    </w:rPr>
  </w:style>
  <w:style w:type="paragraph" w:styleId="Heading2">
    <w:name w:val="heading 2"/>
    <w:basedOn w:val="Normal"/>
    <w:next w:val="Normal"/>
    <w:uiPriority w:val="9"/>
    <w:unhideWhenUsed/>
    <w:qFormat/>
    <w:pPr>
      <w:keepNext/>
      <w:keepLines/>
      <w:spacing w:before="160" w:after="80"/>
      <w:outlineLvl w:val="1"/>
    </w:pPr>
    <w:rPr>
      <w:rFonts w:ascii="Aptos Display" w:eastAsia="DengXian Light" w:hAnsi="Aptos Display" w:cs="Times New Roman"/>
      <w:color w:val="0F4761"/>
      <w:sz w:val="32"/>
      <w:szCs w:val="32"/>
    </w:rPr>
  </w:style>
  <w:style w:type="paragraph" w:styleId="Heading3">
    <w:name w:val="heading 3"/>
    <w:basedOn w:val="Normal"/>
    <w:next w:val="Normal"/>
    <w:uiPriority w:val="9"/>
    <w:unhideWhenUsed/>
    <w:qFormat/>
    <w:pPr>
      <w:keepNext/>
      <w:keepLines/>
      <w:spacing w:before="160" w:after="80"/>
      <w:outlineLvl w:val="2"/>
    </w:pPr>
    <w:rPr>
      <w:rFonts w:eastAsia="DengXian Light" w:cs="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DengXian Light" w:cs="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DengXian Light" w:cs="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DengXian Light" w:cs="Times New Roman"/>
      <w:i/>
      <w:iCs/>
      <w:color w:val="595959"/>
    </w:rPr>
  </w:style>
  <w:style w:type="paragraph" w:styleId="Heading7">
    <w:name w:val="heading 7"/>
    <w:basedOn w:val="Normal"/>
    <w:next w:val="Normal"/>
    <w:pPr>
      <w:keepNext/>
      <w:keepLines/>
      <w:spacing w:before="40" w:after="0"/>
      <w:outlineLvl w:val="6"/>
    </w:pPr>
    <w:rPr>
      <w:rFonts w:eastAsia="DengXian Light" w:cs="Times New Roman"/>
      <w:color w:val="595959"/>
    </w:rPr>
  </w:style>
  <w:style w:type="paragraph" w:styleId="Heading8">
    <w:name w:val="heading 8"/>
    <w:basedOn w:val="Normal"/>
    <w:next w:val="Normal"/>
    <w:pPr>
      <w:keepNext/>
      <w:keepLines/>
      <w:spacing w:after="0"/>
      <w:outlineLvl w:val="7"/>
    </w:pPr>
    <w:rPr>
      <w:rFonts w:eastAsia="DengXian Light" w:cs="Times New Roman"/>
      <w:i/>
      <w:iCs/>
      <w:color w:val="272727"/>
    </w:rPr>
  </w:style>
  <w:style w:type="paragraph" w:styleId="Heading9">
    <w:name w:val="heading 9"/>
    <w:basedOn w:val="Normal"/>
    <w:next w:val="Normal"/>
    <w:pPr>
      <w:keepNext/>
      <w:keepLines/>
      <w:spacing w:after="0"/>
      <w:outlineLvl w:val="8"/>
    </w:pPr>
    <w:rPr>
      <w:rFonts w:eastAsia="DengXian Light" w:cs="Times New Roman"/>
      <w:color w:val="2727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spacing w:after="80" w:line="240" w:lineRule="auto"/>
      <w:contextualSpacing/>
    </w:pPr>
    <w:rPr>
      <w:rFonts w:ascii="Aptos Display" w:eastAsia="DengXian Light" w:hAnsi="Aptos Display" w:cs="Times New Roman"/>
      <w:spacing w:val="-10"/>
      <w:kern w:val="28"/>
      <w:sz w:val="56"/>
      <w:szCs w:val="56"/>
    </w:rPr>
  </w:style>
  <w:style w:type="paragraph" w:styleId="Subtitle">
    <w:name w:val="Subtitle"/>
    <w:basedOn w:val="Normal"/>
    <w:next w:val="Normal"/>
    <w:uiPriority w:val="11"/>
    <w:qFormat/>
    <w:rPr>
      <w:rFonts w:eastAsia="DengXian Light" w:cs="Times New Roman"/>
      <w:color w:val="595959"/>
      <w:spacing w:val="15"/>
      <w:sz w:val="28"/>
      <w:szCs w:val="28"/>
    </w:rPr>
  </w:style>
  <w:style w:type="paragraph" w:customStyle="1" w:styleId="Quote1">
    <w:name w:val="Quote1"/>
    <w:basedOn w:val="Normal"/>
    <w:next w:val="Normal"/>
    <w:pPr>
      <w:spacing w:before="160"/>
      <w:jc w:val="center"/>
    </w:pPr>
    <w:rPr>
      <w:i/>
      <w:iCs/>
      <w:color w:val="404040"/>
    </w:rPr>
  </w:style>
  <w:style w:type="paragraph" w:customStyle="1" w:styleId="ListParagraph1">
    <w:name w:val="List Paragraph1"/>
    <w:basedOn w:val="Normal"/>
    <w:pPr>
      <w:ind w:left="720"/>
      <w:contextualSpacing/>
    </w:pPr>
  </w:style>
  <w:style w:type="character" w:customStyle="1" w:styleId="IntenseEmphasis1">
    <w:name w:val="Intense Emphasis1"/>
    <w:basedOn w:val="DefaultParagraphFont"/>
    <w:rPr>
      <w:i/>
      <w:iCs/>
      <w:color w:val="0F4761"/>
    </w:rPr>
  </w:style>
  <w:style w:type="paragraph" w:customStyle="1" w:styleId="IntenseQuote1">
    <w:name w:val="Intense Quote1"/>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Reference1">
    <w:name w:val="Intense Reference1"/>
    <w:basedOn w:val="DefaultParagraphFont"/>
    <w:rPr>
      <w:b/>
      <w:bCs/>
      <w:caps w:val="0"/>
      <w:smallCaps/>
      <w:color w:val="0F4761"/>
      <w:spacing w:val="5"/>
    </w:rPr>
  </w:style>
  <w:style w:type="character" w:styleId="Hyperlink">
    <w:name w:val="Hyperlink"/>
    <w:basedOn w:val="DefaultParagraphFont"/>
    <w:uiPriority w:val="99"/>
    <w:rPr>
      <w:color w:val="467886"/>
      <w:u w:val="single"/>
    </w:rPr>
  </w:style>
  <w:style w:type="character" w:customStyle="1" w:styleId="UnresolvedMention1">
    <w:name w:val="Unresolved Mention1"/>
    <w:basedOn w:val="DefaultParagraphFont"/>
    <w:rPr>
      <w:color w:val="605E5C"/>
      <w:shd w:val="clear" w:color="auto" w:fill="E1DFDD"/>
    </w:rPr>
  </w:style>
  <w:style w:type="paragraph" w:customStyle="1" w:styleId="TOCHeading1">
    <w:name w:val="TOC Heading1"/>
    <w:basedOn w:val="Heading1"/>
    <w:next w:val="Normal"/>
    <w:pPr>
      <w:spacing w:before="240" w:after="0" w:line="259" w:lineRule="auto"/>
      <w:outlineLvl w:val="9"/>
    </w:pPr>
    <w:rPr>
      <w:kern w:val="0"/>
      <w:sz w:val="32"/>
      <w:szCs w:val="32"/>
      <w:lang w:val="en-US"/>
    </w:rPr>
  </w:style>
  <w:style w:type="paragraph" w:styleId="TOC1">
    <w:name w:val="toc 1"/>
    <w:basedOn w:val="Normal"/>
    <w:next w:val="Normal"/>
    <w:autoRedefine/>
    <w:uiPriority w:val="39"/>
    <w:pPr>
      <w:spacing w:after="100"/>
    </w:pPr>
  </w:style>
  <w:style w:type="paragraph" w:styleId="TOC2">
    <w:name w:val="toc 2"/>
    <w:basedOn w:val="Normal"/>
    <w:next w:val="Normal"/>
    <w:autoRedefine/>
    <w:uiPriority w:val="39"/>
    <w:pPr>
      <w:spacing w:after="100"/>
      <w:ind w:left="240"/>
    </w:pPr>
  </w:style>
  <w:style w:type="paragraph" w:styleId="TOC3">
    <w:name w:val="toc 3"/>
    <w:basedOn w:val="Normal"/>
    <w:next w:val="Normal"/>
    <w:autoRedefine/>
    <w:uiPriority w:val="39"/>
    <w:pPr>
      <w:spacing w:after="100"/>
      <w:ind w:left="480"/>
    </w:pPr>
  </w:style>
  <w:style w:type="character" w:styleId="Strong">
    <w:name w:val="Strong"/>
    <w:basedOn w:val="DefaultParagraphFont"/>
    <w:rPr>
      <w:b/>
      <w:bCs/>
    </w:rPr>
  </w:style>
  <w:style w:type="paragraph" w:styleId="Header">
    <w:name w:val="header"/>
    <w:basedOn w:val="Normal"/>
    <w:pPr>
      <w:tabs>
        <w:tab w:val="center" w:pos="4680"/>
        <w:tab w:val="right" w:pos="9360"/>
      </w:tabs>
      <w:spacing w:after="0" w:line="240" w:lineRule="auto"/>
    </w:pPr>
  </w:style>
  <w:style w:type="paragraph" w:styleId="Footer">
    <w:name w:val="footer"/>
    <w:basedOn w:val="Normal"/>
    <w:pPr>
      <w:tabs>
        <w:tab w:val="center" w:pos="4680"/>
        <w:tab w:val="right" w:pos="9360"/>
      </w:tabs>
      <w:spacing w:after="0" w:line="240" w:lineRule="auto"/>
    </w:pPr>
  </w:style>
  <w:style w:type="character" w:styleId="FollowedHyperlink">
    <w:name w:val="FollowedHyperlink"/>
    <w:basedOn w:val="DefaultParagraphFont"/>
    <w:uiPriority w:val="99"/>
    <w:semiHidden/>
    <w:unhideWhenUsed/>
    <w:rsid w:val="005910D8"/>
    <w:rPr>
      <w:color w:val="96607D" w:themeColor="followedHyperlink"/>
      <w:u w:val="single"/>
    </w:rPr>
  </w:style>
  <w:style w:type="paragraph" w:styleId="NormalWeb">
    <w:name w:val="Normal (Web)"/>
    <w:basedOn w:val="Normal"/>
    <w:uiPriority w:val="99"/>
    <w:unhideWhenUsed/>
    <w:rsid w:val="006649A5"/>
    <w:rPr>
      <w:rFonts w:ascii="Times New Roman" w:hAnsi="Times New Roman" w:cs="Times New Roman"/>
    </w:rPr>
  </w:style>
  <w:style w:type="paragraph" w:styleId="TOCHeading">
    <w:name w:val="TOC Heading"/>
    <w:basedOn w:val="Heading1"/>
    <w:next w:val="Normal"/>
    <w:uiPriority w:val="39"/>
    <w:unhideWhenUsed/>
    <w:qFormat/>
    <w:rsid w:val="00457AA5"/>
    <w:pPr>
      <w:spacing w:before="240" w:after="0" w:line="259" w:lineRule="auto"/>
      <w:outlineLvl w:val="9"/>
    </w:pPr>
    <w:rPr>
      <w:rFonts w:asciiTheme="majorHAnsi" w:eastAsiaTheme="majorEastAsia" w:hAnsiTheme="majorHAnsi" w:cstheme="majorBidi"/>
      <w:color w:val="0F4761" w:themeColor="accent1" w:themeShade="BF"/>
      <w:kern w:val="0"/>
      <w:sz w:val="32"/>
      <w:szCs w:val="32"/>
      <w:lang w:eastAsia="en-GB"/>
    </w:rPr>
  </w:style>
  <w:style w:type="paragraph" w:styleId="ListParagraph">
    <w:name w:val="List Paragraph"/>
    <w:basedOn w:val="Normal"/>
    <w:uiPriority w:val="34"/>
    <w:qFormat/>
    <w:rsid w:val="00A34F1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www.actiononsalt.org.uk/salthealth/ethnic/blackafrican/" TargetMode="External"/><Relationship Id="rId21" Type="http://schemas.openxmlformats.org/officeDocument/2006/relationships/image" Target="media/image15.png"/><Relationship Id="rId42" Type="http://schemas.openxmlformats.org/officeDocument/2006/relationships/hyperlink" Target="https://www.gov.uk/government/publications/inclusive-britain-update-report/inclusive-britain-second-update-report-may-2024?utm_source=chatgpt.com" TargetMode="External"/><Relationship Id="rId47" Type="http://schemas.openxmlformats.org/officeDocument/2006/relationships/hyperlink" Target="https://irr.org.uk/research/statistics/health/?utm_source=chatgpt.com" TargetMode="External"/><Relationship Id="rId63" Type="http://schemas.openxmlformats.org/officeDocument/2006/relationships/hyperlink" Target="https://doi.org/10.1186/s12889-025-23773-2" TargetMode="External"/><Relationship Id="rId68" Type="http://schemas.openxmlformats.org/officeDocument/2006/relationships/hyperlink" Target="https://doi.org/10.1136/bmjnph-2023-000663" TargetMode="External"/><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hyperlink" Target="https://doi.org/10.17037/PUBS.04673932" TargetMode="External"/><Relationship Id="rId11" Type="http://schemas.openxmlformats.org/officeDocument/2006/relationships/image" Target="media/image5.png"/><Relationship Id="rId24" Type="http://schemas.openxmlformats.org/officeDocument/2006/relationships/hyperlink" Target="https://www.theguardian.com/society/2023/mar/15/census-black-britons-social-housing-ons" TargetMode="External"/><Relationship Id="rId32" Type="http://schemas.openxmlformats.org/officeDocument/2006/relationships/hyperlink" Target="https://doi.org/10.1186/s12913-023-09410-x" TargetMode="External"/><Relationship Id="rId37" Type="http://schemas.openxmlformats.org/officeDocument/2006/relationships/hyperlink" Target="https://www.cqc.org.uk/publications/major-report/state-care/2022-2023/inequalities?utm_source=chatgpt.com" TargetMode="External"/><Relationship Id="rId40" Type="http://schemas.openxmlformats.org/officeDocument/2006/relationships/hyperlink" Target="https://doi.org/10.1097/hjh.0000000000002403" TargetMode="External"/><Relationship Id="rId45" Type="http://schemas.openxmlformats.org/officeDocument/2006/relationships/hyperlink" Target="https://www.england.nhs.uk/blog/improving-health-equity-through-the-london-inspire-programme/?utm_source=chatgpt.com" TargetMode="External"/><Relationship Id="rId53" Type="http://schemas.openxmlformats.org/officeDocument/2006/relationships/hyperlink" Target="https://www.npeu.ox.ac.uk/mbrrace-uk/data-brief/maternal-mortality-2020-2022?utm_source=chatgpt.com" TargetMode="External"/><Relationship Id="rId58" Type="http://schemas.openxmlformats.org/officeDocument/2006/relationships/hyperlink" Target="https://digital.nhs.uk/data-and-information/publications/statistical/statistics-on-obesity-physical-activity-and-diet/england-2021" TargetMode="External"/><Relationship Id="rId66" Type="http://schemas.openxmlformats.org/officeDocument/2006/relationships/hyperlink" Target="https://www.peopleshealthtrust.org.uk/health-inequalities/communities-of-interest/communities-experiencing-racial-inequity" TargetMode="External"/><Relationship Id="rId5" Type="http://schemas.openxmlformats.org/officeDocument/2006/relationships/footnotes" Target="footnotes.xml"/><Relationship Id="rId61" Type="http://schemas.openxmlformats.org/officeDocument/2006/relationships/hyperlink" Target="https://www.thensmc.com/resources/showcase/change4life" TargetMode="External"/><Relationship Id="rId19" Type="http://schemas.openxmlformats.org/officeDocument/2006/relationships/image" Target="media/image13.png"/><Relationship Id="rId14" Type="http://schemas.openxmlformats.org/officeDocument/2006/relationships/image" Target="media/image8.png"/><Relationship Id="rId22" Type="http://schemas.openxmlformats.org/officeDocument/2006/relationships/hyperlink" Target="https://www.diabetes.org.uk/our-research/about-our-research/our-funded-projects/north-west/ethnicity-type-2" TargetMode="External"/><Relationship Id="rId27" Type="http://schemas.openxmlformats.org/officeDocument/2006/relationships/hyperlink" Target="https://www.britishjournalofmidwifery.com/content/professional/maternal-health-inequalities-focusing-on-black-pregnant-women" TargetMode="External"/><Relationship Id="rId30" Type="http://schemas.openxmlformats.org/officeDocument/2006/relationships/hyperlink" Target="https://doi.org/10.1136/bmjph-2024-001382" TargetMode="External"/><Relationship Id="rId35" Type="http://schemas.openxmlformats.org/officeDocument/2006/relationships/hyperlink" Target="https://doi.org/10.1016/j.eclinm.2023.102275" TargetMode="External"/><Relationship Id="rId43" Type="http://schemas.openxmlformats.org/officeDocument/2006/relationships/hyperlink" Target="https://www.ethnicity-facts-figures.service.gov.uk/work-pay-and-benefits/pay-and-income/low-income/latest/?utm_source=chatgpt.com" TargetMode="External"/><Relationship Id="rId48" Type="http://schemas.openxmlformats.org/officeDocument/2006/relationships/hyperlink" Target="https://doi.org/10.23889/ijpds.v9i2.2401" TargetMode="External"/><Relationship Id="rId56" Type="http://schemas.openxmlformats.org/officeDocument/2006/relationships/hyperlink" Target="https://www.newham.gov.uk/planning" TargetMode="External"/><Relationship Id="rId64" Type="http://schemas.openxmlformats.org/officeDocument/2006/relationships/hyperlink" Target="https://doi.org/10.1186/s12939-020-01307-z" TargetMode="External"/><Relationship Id="rId69" Type="http://schemas.openxmlformats.org/officeDocument/2006/relationships/hyperlink" Target="https://www.theguardian.com/society/2024/apr/08/black-women-in-england-suffer-more-serious-birth-complications-analysis-finds" TargetMode="External"/><Relationship Id="rId8" Type="http://schemas.openxmlformats.org/officeDocument/2006/relationships/image" Target="media/image2.png"/><Relationship Id="rId51" Type="http://schemas.openxmlformats.org/officeDocument/2006/relationships/hyperlink" Target="https://doi.org/10.1210/jendso/bvaf109" TargetMode="External"/><Relationship Id="rId72"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www.hscentre.org/heath/racial-bias-healthcare-challenge-human-security/?utm_source=chatgpt.com" TargetMode="External"/><Relationship Id="rId33" Type="http://schemas.openxmlformats.org/officeDocument/2006/relationships/hyperlink" Target="https://doi.org/10.1136/archdischild-2023-325844" TargetMode="External"/><Relationship Id="rId38" Type="http://schemas.openxmlformats.org/officeDocument/2006/relationships/hyperlink" Target="https://www.diabetes.org.uk/sites/default/files/2023-11/366_Tackling_Inequality_Commission_Report_DIGITAL%20(1).pdf" TargetMode="External"/><Relationship Id="rId46" Type="http://schemas.openxmlformats.org/officeDocument/2006/relationships/hyperlink" Target="https://irr.org.uk/research/statistics/poverty/?utm_source=chatgpt.com" TargetMode="External"/><Relationship Id="rId59" Type="http://schemas.openxmlformats.org/officeDocument/2006/relationships/hyperlink" Target="https://digital.nhs.uk/data-and-information/publications/statistical/health-survey-england-additional-analyses/ethnicity-and-health-2011-2019-experimental-statistics/blood-pressure" TargetMode="External"/><Relationship Id="rId67" Type="http://schemas.openxmlformats.org/officeDocument/2006/relationships/hyperlink" Target="https://doi.org/10.2147/CLEP.S227621" TargetMode="External"/><Relationship Id="rId20" Type="http://schemas.openxmlformats.org/officeDocument/2006/relationships/image" Target="media/image14.png"/><Relationship Id="rId41" Type="http://schemas.openxmlformats.org/officeDocument/2006/relationships/hyperlink" Target="https://www.gov.uk/government/publications/inclusive-britain-action-plan-government-response-to-the-commission-on-race-and-ethnic-disparities/inclusive-britain-government-response-to-the-commission-on-race-and-ethnic-disparities" TargetMode="External"/><Relationship Id="rId54" Type="http://schemas.openxmlformats.org/officeDocument/2006/relationships/hyperlink" Target="https://www.nationalvoices.org.uk/blogpost/translated-health-information-is-essential-to-tackling-health-inequality/" TargetMode="External"/><Relationship Id="rId62" Type="http://schemas.openxmlformats.org/officeDocument/2006/relationships/hyperlink" Target="https://doi.org/10.1093/humrep/dead093.788" TargetMode="External"/><Relationship Id="rId70" Type="http://schemas.openxmlformats.org/officeDocument/2006/relationships/hyperlink" Target="https://www.who.int/news-room/fact-sheets/detail/obesity-and-overweight?utm_source=chatgpt.com" TargetMode="Externa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hyperlink" Target="https://doi.org/10.1186/s12889-025-23909-4" TargetMode="External"/><Relationship Id="rId28" Type="http://schemas.openxmlformats.org/officeDocument/2006/relationships/hyperlink" Target="https://www.ahpn.org.uk/about" TargetMode="External"/><Relationship Id="rId36" Type="http://schemas.openxmlformats.org/officeDocument/2006/relationships/hyperlink" Target="https://doi.org/10.1186/s12889-023-15592-0" TargetMode="External"/><Relationship Id="rId49" Type="http://schemas.openxmlformats.org/officeDocument/2006/relationships/hyperlink" Target="https://www.lambethtogether.net/news/lambeth-gps-close-equalities-gap-to-improve-life-chances-for-people-with-high-blood-pressure/" TargetMode="External"/><Relationship Id="rId57" Type="http://schemas.openxmlformats.org/officeDocument/2006/relationships/hyperlink" Target="https://www.newham.gov.uk/health-adult-social-care/weight-management" TargetMode="External"/><Relationship Id="rId10" Type="http://schemas.openxmlformats.org/officeDocument/2006/relationships/image" Target="media/image4.png"/><Relationship Id="rId31" Type="http://schemas.openxmlformats.org/officeDocument/2006/relationships/hyperlink" Target="https://uhra.herts.ac.uk/id/eprint/26028/1/14091020%20BLACKWELL%20Liam%20PhD%20final%20submission.pdf" TargetMode="External"/><Relationship Id="rId44" Type="http://schemas.openxmlformats.org/officeDocument/2006/relationships/hyperlink" Target="https://doi.org/10.1186/s12889-020-09792-1" TargetMode="External"/><Relationship Id="rId52" Type="http://schemas.openxmlformats.org/officeDocument/2006/relationships/hyperlink" Target="https://doi.org/10.1111/obr.13321" TargetMode="External"/><Relationship Id="rId60" Type="http://schemas.openxmlformats.org/officeDocument/2006/relationships/hyperlink" Target="https://www.england.nhs.uk/publication/quality-and-outcomes-framework-guidance-for-2024-25/" TargetMode="External"/><Relationship Id="rId65" Type="http://schemas.openxmlformats.org/officeDocument/2006/relationships/hyperlink" Target="https://doi.org/10.1186/s12913-021-06750-4" TargetMode="External"/><Relationship Id="rId73"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image" Target="media/image12.png"/><Relationship Id="rId39" Type="http://schemas.openxmlformats.org/officeDocument/2006/relationships/hyperlink" Target="https://www.eastendmedicalcentre.nhs.uk/weight-management-support/" TargetMode="External"/><Relationship Id="rId34" Type="http://schemas.openxmlformats.org/officeDocument/2006/relationships/hyperlink" Target="https://www.nhsconfed.org/publications/excellence-through-equality?utm_source=chatgpt.com" TargetMode="External"/><Relationship Id="rId50" Type="http://schemas.openxmlformats.org/officeDocument/2006/relationships/hyperlink" Target="https://www.jrf.org.uk/race-and-ethnicity/bangladeshi-black-african-pakistani-households-higher-risk-of-very-deep-poverty?utm_source=chatgpt.com" TargetMode="External"/><Relationship Id="rId55" Type="http://schemas.openxmlformats.org/officeDocument/2006/relationships/hyperlink" Target="https://www.newham.gov.uk/downloads/file/7272/50-steps-2024-2027" TargetMode="External"/><Relationship Id="rId7" Type="http://schemas.openxmlformats.org/officeDocument/2006/relationships/image" Target="media/image1.jpeg"/><Relationship Id="rId71"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B7EF0A-8ED8-448F-8B29-6964298FE0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3414</TotalTime>
  <Pages>20</Pages>
  <Words>6077</Words>
  <Characters>34644</Characters>
  <Application>Microsoft Office Word</Application>
  <DocSecurity>0</DocSecurity>
  <Lines>288</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Patricia Kelly-Lambo (2215117)</cp:lastModifiedBy>
  <cp:revision>9</cp:revision>
  <dcterms:created xsi:type="dcterms:W3CDTF">2025-11-22T05:40:00Z</dcterms:created>
  <dcterms:modified xsi:type="dcterms:W3CDTF">2026-01-09T04:23:00Z</dcterms:modified>
</cp:coreProperties>
</file>