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p>
    <w:p>
      <w:pPr>
        <w:pStyle w:val="3"/>
        <w:spacing w:before="200" w:after="200" w:line="360" w:lineRule="auto"/>
        <w:jc w:val="center"/>
        <w:rPr>
          <w:rFonts w:ascii="Times New Roman" w:hAnsi="Times New Roman" w:eastAsia="Times New Roman" w:cs="Times New Roman"/>
          <w:b/>
          <w:sz w:val="36"/>
          <w:szCs w:val="36"/>
          <w:lang w:val="en-GB"/>
        </w:rPr>
      </w:pPr>
      <w:r>
        <w:rPr>
          <w:rFonts w:ascii="Times New Roman" w:hAnsi="Times New Roman" w:eastAsia="Times New Roman" w:cs="Times New Roman"/>
          <w:b/>
          <w:sz w:val="36"/>
          <w:szCs w:val="36"/>
          <w:lang w:val="en-GB"/>
        </w:rPr>
        <w:t>BMIH5003: Foreign Languages and Cultural Awareness LEVEL 5</w:t>
      </w:r>
    </w:p>
    <w:p>
      <w:pPr>
        <w:pStyle w:val="3"/>
        <w:spacing w:before="200" w:after="200" w:line="360" w:lineRule="auto"/>
        <w:jc w:val="center"/>
        <w:rPr>
          <w:rFonts w:ascii="Times New Roman" w:hAnsi="Times New Roman" w:eastAsia="Times New Roman" w:cs="Times New Roman"/>
          <w:b/>
          <w:sz w:val="36"/>
          <w:szCs w:val="36"/>
          <w:lang w:val="en-GB"/>
        </w:rPr>
      </w:pPr>
      <w:r>
        <w:rPr>
          <w:rFonts w:hint="default" w:ascii="Times New Roman" w:hAnsi="Times New Roman" w:eastAsia="Times New Roman" w:cs="Times New Roman"/>
          <w:b/>
          <w:sz w:val="36"/>
          <w:szCs w:val="36"/>
          <w:lang w:val="en-GB"/>
        </w:rPr>
        <w:t xml:space="preserve">Assessment  1 </w:t>
      </w:r>
      <w:r>
        <w:rPr>
          <w:rFonts w:ascii="Times New Roman" w:hAnsi="Times New Roman" w:eastAsia="Times New Roman" w:cs="Times New Roman"/>
          <w:b/>
          <w:sz w:val="36"/>
          <w:szCs w:val="36"/>
          <w:lang w:val="en-GB"/>
        </w:rPr>
        <w:t>Portfolio 4 components</w:t>
      </w:r>
    </w:p>
    <w:p>
      <w:pPr>
        <w:spacing w:line="360" w:lineRule="auto"/>
        <w:jc w:val="center"/>
        <w:rPr>
          <w:rFonts w:hint="default"/>
          <w:b/>
          <w:i/>
          <w:lang w:val="en-GB"/>
        </w:rPr>
      </w:pPr>
      <w:r>
        <w:rPr>
          <w:b/>
          <w:i/>
          <w:lang w:val="en-GB"/>
        </w:rPr>
        <w:t xml:space="preserve">Module Code: </w:t>
      </w:r>
      <w:r>
        <w:rPr>
          <w:rFonts w:hint="default"/>
          <w:b/>
          <w:i/>
          <w:lang w:val="en-GB"/>
        </w:rPr>
        <w:t>BMIH5003</w:t>
      </w:r>
    </w:p>
    <w:p>
      <w:pPr>
        <w:spacing w:line="360" w:lineRule="auto"/>
        <w:jc w:val="center"/>
        <w:rPr>
          <w:b/>
          <w:i/>
          <w:lang w:val="en-GB"/>
        </w:rPr>
      </w:pPr>
      <w:r>
        <w:rPr>
          <w:rFonts w:hint="default"/>
          <w:b/>
          <w:i/>
          <w:lang w:val="en-GB"/>
        </w:rPr>
        <w:t>Foreign Languages and Cultural Awareness</w:t>
      </w:r>
    </w:p>
    <w:p>
      <w:pPr>
        <w:spacing w:line="360" w:lineRule="auto"/>
        <w:jc w:val="center"/>
        <w:rPr>
          <w:rFonts w:hint="default"/>
          <w:b/>
          <w:i/>
          <w:lang w:val="en-GB"/>
        </w:rPr>
      </w:pPr>
      <w:r>
        <w:rPr>
          <w:b/>
          <w:i/>
          <w:lang w:val="en-GB"/>
        </w:rPr>
        <w:t>Student Name:</w:t>
      </w:r>
      <w:r>
        <w:rPr>
          <w:rFonts w:hint="default"/>
          <w:b/>
          <w:i/>
          <w:lang w:val="en-GB"/>
        </w:rPr>
        <w:t xml:space="preserve"> Lidia Leva </w:t>
      </w:r>
    </w:p>
    <w:p>
      <w:pPr>
        <w:spacing w:line="360" w:lineRule="auto"/>
        <w:jc w:val="center"/>
        <w:rPr>
          <w:rFonts w:hint="default"/>
          <w:b/>
          <w:i/>
          <w:lang w:val="en-GB"/>
        </w:rPr>
      </w:pPr>
      <w:r>
        <w:rPr>
          <w:b/>
          <w:i/>
          <w:lang w:val="en-GB"/>
        </w:rPr>
        <w:t>Student ID:</w:t>
      </w:r>
      <w:r>
        <w:rPr>
          <w:rFonts w:hint="default"/>
          <w:b/>
          <w:i/>
          <w:lang w:val="en-GB"/>
        </w:rPr>
        <w:t xml:space="preserve"> 2242891</w:t>
      </w:r>
      <w:bookmarkStart w:id="5" w:name="_GoBack"/>
      <w:bookmarkEnd w:id="5"/>
    </w:p>
    <w:p>
      <w:pPr>
        <w:spacing w:line="360" w:lineRule="auto"/>
        <w:jc w:val="center"/>
        <w:rPr>
          <w:rFonts w:hint="default"/>
          <w:b/>
          <w:i/>
          <w:lang w:val="en-GB"/>
        </w:rPr>
      </w:pPr>
      <w:r>
        <w:rPr>
          <w:rFonts w:hint="default"/>
          <w:b/>
          <w:i/>
          <w:lang w:val="en-GB"/>
        </w:rPr>
        <w:t>Module leader : Giulia Chifari</w:t>
      </w:r>
    </w:p>
    <w:p>
      <w:pPr>
        <w:jc w:val="both"/>
        <w:rPr>
          <w:rFonts w:ascii="Times New Roman" w:hAnsi="Times New Roman" w:eastAsia="Times New Roman" w:cs="Times New Roman"/>
          <w:b/>
          <w:i/>
          <w:sz w:val="24"/>
          <w:szCs w:val="36"/>
          <w:lang w:val="en-GB"/>
        </w:rPr>
      </w:pPr>
      <w:r>
        <w:rPr>
          <w:rFonts w:ascii="Times New Roman" w:hAnsi="Times New Roman" w:eastAsia="Times New Roman" w:cs="Times New Roman"/>
          <w:b/>
          <w:i/>
          <w:sz w:val="24"/>
          <w:szCs w:val="36"/>
          <w:lang w:val="en-GB"/>
        </w:rPr>
        <w:br w:type="page"/>
      </w:r>
    </w:p>
    <w:sdt>
      <w:sdtPr>
        <w:rPr>
          <w:rFonts w:ascii="Arial" w:hAnsi="Arial" w:eastAsia="Arial" w:cs="Arial"/>
          <w:color w:val="auto"/>
          <w:sz w:val="22"/>
          <w:szCs w:val="22"/>
          <w:lang w:val="zh-CN"/>
        </w:rPr>
        <w:id w:val="1997527405"/>
        <w:docPartObj>
          <w:docPartGallery w:val="Table of Contents"/>
          <w:docPartUnique/>
        </w:docPartObj>
      </w:sdtPr>
      <w:sdtEndPr>
        <w:rPr>
          <w:rFonts w:ascii="Arial" w:hAnsi="Arial" w:eastAsia="Arial" w:cs="Arial"/>
          <w:b/>
          <w:bCs/>
          <w:color w:val="auto"/>
          <w:sz w:val="22"/>
          <w:szCs w:val="22"/>
          <w:lang w:val="zh-CN"/>
        </w:rPr>
      </w:sdtEndPr>
      <w:sdtContent>
        <w:p>
          <w:pPr>
            <w:pStyle w:val="26"/>
            <w:spacing w:line="360" w:lineRule="auto"/>
            <w:jc w:val="center"/>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Table of Contents</w:t>
          </w:r>
        </w:p>
        <w:p>
          <w:pPr>
            <w:pStyle w:val="19"/>
            <w:tabs>
              <w:tab w:val="right" w:leader="dot" w:pos="9019"/>
            </w:tabs>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r>
            <w:fldChar w:fldCharType="begin"/>
          </w:r>
          <w:r>
            <w:instrText xml:space="preserve"> HYPERLINK \l "_Toc165474451" </w:instrText>
          </w:r>
          <w:r>
            <w:fldChar w:fldCharType="separate"/>
          </w:r>
          <w:r>
            <w:rPr>
              <w:rStyle w:val="16"/>
              <w:rFonts w:ascii="Times New Roman" w:hAnsi="Times New Roman" w:cs="Times New Roman"/>
              <w:sz w:val="24"/>
              <w:szCs w:val="24"/>
            </w:rPr>
            <w:t>Component 1: Professional 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_Toc165474451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"_Toc165474452" </w:instrText>
          </w:r>
          <w:r>
            <w:fldChar w:fldCharType="separate"/>
          </w:r>
          <w:r>
            <w:rPr>
              <w:rStyle w:val="16"/>
              <w:rFonts w:ascii="Times New Roman" w:hAnsi="Times New Roman" w:cs="Times New Roman"/>
              <w:sz w:val="24"/>
              <w:szCs w:val="24"/>
            </w:rPr>
            <w:t>Component 2: Training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_Toc165474452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"_Toc165474453" </w:instrText>
          </w:r>
          <w:r>
            <w:fldChar w:fldCharType="separate"/>
          </w:r>
          <w:r>
            <w:rPr>
              <w:rStyle w:val="16"/>
              <w:rFonts w:ascii="Times New Roman" w:hAnsi="Times New Roman" w:cs="Times New Roman"/>
              <w:sz w:val="24"/>
              <w:szCs w:val="24"/>
            </w:rPr>
            <w:t>Component 3: Student self-reflection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_Toc165474453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"_Toc165474454" </w:instrText>
          </w:r>
          <w:r>
            <w:fldChar w:fldCharType="separate"/>
          </w:r>
          <w:r>
            <w:rPr>
              <w:rStyle w:val="16"/>
              <w:rFonts w:ascii="Times New Roman" w:hAnsi="Times New Roman" w:cs="Times New Roman"/>
              <w:sz w:val="24"/>
              <w:szCs w:val="24"/>
            </w:rPr>
            <w:t>Component 4: Training Presentation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_Toc165474454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"_Toc165474455" </w:instrText>
          </w:r>
          <w:r>
            <w:fldChar w:fldCharType="separate"/>
          </w:r>
          <w:r>
            <w:rPr>
              <w:rStyle w:val="16"/>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_Toc165474455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b/>
              <w:bCs/>
              <w:sz w:val="24"/>
              <w:szCs w:val="24"/>
            </w:rPr>
            <w:fldChar w:fldCharType="end"/>
          </w:r>
        </w:p>
      </w:sdtContent>
    </w:sdt>
    <w:p>
      <w:pPr>
        <w:pStyle w:val="3"/>
        <w:spacing w:before="200" w:after="200" w:line="360" w:lineRule="auto"/>
        <w:jc w:val="center"/>
        <w:rPr>
          <w:rFonts w:ascii="Times New Roman" w:hAnsi="Times New Roman" w:eastAsia="Times New Roman" w:cs="Times New Roman"/>
          <w:b/>
          <w:sz w:val="36"/>
          <w:szCs w:val="36"/>
          <w:lang w:val="en-GB"/>
        </w:rPr>
      </w:pPr>
      <w:r>
        <w:rPr>
          <w:lang w:val="en-GB"/>
        </w:rPr>
        <w:br w:type="page"/>
      </w:r>
    </w:p>
    <w:p>
      <w:pPr>
        <w:pStyle w:val="2"/>
      </w:pPr>
      <w:bookmarkStart w:id="0" w:name="_Toc165474451"/>
      <w:r>
        <w:t>Component 1: Professional Reflection</w:t>
      </w:r>
      <w:bookmarkEnd w:id="0"/>
      <w:r>
        <w:t xml:space="preserve">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Schon Reflective Model </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114300" distB="114300" distL="114300" distR="114300">
            <wp:extent cx="3171825" cy="2695575"/>
            <wp:effectExtent l="19050" t="19050" r="28575" b="285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171825" cy="2695575"/>
                    </a:xfrm>
                    <a:prstGeom prst="rect">
                      <a:avLst/>
                    </a:prstGeom>
                    <a:ln w="12700">
                      <a:solidFill>
                        <a:srgbClr val="000000"/>
                      </a:solidFill>
                      <a:prstDash val="solid"/>
                    </a:ln>
                  </pic:spPr>
                </pic:pic>
              </a:graphicData>
            </a:graphic>
          </wp:inline>
        </w:drawing>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1: Schon Reflection Model</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Reflection in Action</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stated by Christiansen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(2020), language differences and varying communication styles hinder effective collaboration within the hospitality industry. Communication barriers such as language differences between F&amp;B employees and hotel guests create a misunderstanding situation that also fosters guest dissatisfaction rate within the hospitality industry. As an employee of F&amp;B, I observe that cultural misunderstanding happens when hotel staff and guests speak the same language, although they mean or understand different things. Based on my experience, cultural misunderstandings occur in the hospitality sector because of cultural background and experiences. On the other side, a "lack of cultural sensitivity" leads to misunderstanding and conflicts, which negatively influence guest satisfaction and loyalty (Maheshkar, and Sharma, 2018). In this aspect, as a staff of the Food and Beverage sector of Holiday Inn, I need to improve my active listening skills and verbal communication skills to interact with hotel guests on the restaurant premises. It is vital to understand and adapt to hotel industries' trends and customer requirements to remain competitive and meet guest expectations. By staying </w:t>
      </w:r>
      <w:r>
        <w:rPr>
          <w:rFonts w:ascii="Times New Roman" w:hAnsi="Times New Roman" w:eastAsia="Times New Roman" w:cs="Times New Roman"/>
          <w:i/>
          <w:sz w:val="24"/>
          <w:szCs w:val="24"/>
          <w:lang w:val="en-GB"/>
        </w:rPr>
        <w:t>flexible</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responsive</w:t>
      </w:r>
      <w:r>
        <w:rPr>
          <w:rFonts w:ascii="Times New Roman" w:hAnsi="Times New Roman" w:eastAsia="Times New Roman" w:cs="Times New Roman"/>
          <w:sz w:val="24"/>
          <w:szCs w:val="24"/>
          <w:lang w:val="en-GB"/>
        </w:rPr>
        <w:t xml:space="preserve"> as well as </w:t>
      </w:r>
      <w:r>
        <w:rPr>
          <w:rFonts w:ascii="Times New Roman" w:hAnsi="Times New Roman" w:eastAsia="Times New Roman" w:cs="Times New Roman"/>
          <w:i/>
          <w:sz w:val="24"/>
          <w:szCs w:val="24"/>
          <w:lang w:val="en-GB"/>
        </w:rPr>
        <w:t xml:space="preserve">attentive </w:t>
      </w:r>
      <w:r>
        <w:rPr>
          <w:rFonts w:ascii="Times New Roman" w:hAnsi="Times New Roman" w:eastAsia="Times New Roman" w:cs="Times New Roman"/>
          <w:sz w:val="24"/>
          <w:szCs w:val="24"/>
          <w:lang w:val="en-GB"/>
        </w:rPr>
        <w:t xml:space="preserve">to evolving preferences, I will not only adapt to changes although harness them for the continued success and growth of the hotel business. As an employee of Food and Beverage, I observe that leadership norms differ across cultures and that affects in staff guiding process. </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Reflection on Action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During level 4 placement, I experienced a cultural misunderstanding issue with a hotel guest due to a lack of knowledge in cultural sensitivity at the Holiday Inn. I was unable to understand the orders of my guests at dinnertime as the guests came from different cultural backgrounds and languages, which created barriers in front of me. In this scenario, a misunderstanding situation arose between the hotel guest and me. In order to reduce this type of situation in my workplace, I will participate in a "cultural sensitivity training" session by which I will able to understand my guests' requirements in the hospitality industry. In addition, cultural inclusivity initiatives could increase my awareness level within the hospitality sector. Based on my experience, I identified that cultural insensitivity not only blemishes a restaurant's brand image, although leads to business loss if not maintained effectively. It requires attending "cross-cultural" training that could help employees to overcome these communication barriers and improve their verbal communication skills (Abramson, and Moran, 2018). In addition, it will offer me an understanding of different cultural communication styles and help me develop the skills to adapt my communication to meet the requirements and expectations of guests from different cultural backgrounds.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Furthermore, I will try to improve my "</w:t>
      </w:r>
      <w:r>
        <w:rPr>
          <w:rFonts w:ascii="Times New Roman" w:hAnsi="Times New Roman" w:eastAsia="Times New Roman" w:cs="Times New Roman"/>
          <w:i/>
          <w:sz w:val="24"/>
          <w:szCs w:val="24"/>
          <w:lang w:val="en-GB"/>
        </w:rPr>
        <w:t>decision-making skills”</w:t>
      </w:r>
      <w:r>
        <w:rPr>
          <w:rFonts w:ascii="Times New Roman" w:hAnsi="Times New Roman" w:eastAsia="Times New Roman" w:cs="Times New Roman"/>
          <w:sz w:val="24"/>
          <w:szCs w:val="24"/>
          <w:lang w:val="en-GB"/>
        </w:rPr>
        <w:t xml:space="preserve"> and “</w:t>
      </w:r>
      <w:r>
        <w:rPr>
          <w:rFonts w:ascii="Times New Roman" w:hAnsi="Times New Roman" w:eastAsia="Times New Roman" w:cs="Times New Roman"/>
          <w:i/>
          <w:sz w:val="24"/>
          <w:szCs w:val="24"/>
          <w:lang w:val="en-GB"/>
        </w:rPr>
        <w:t>customer-service orientation</w:t>
      </w:r>
      <w:r>
        <w:rPr>
          <w:rFonts w:ascii="Times New Roman" w:hAnsi="Times New Roman" w:eastAsia="Times New Roman" w:cs="Times New Roman"/>
          <w:sz w:val="24"/>
          <w:szCs w:val="24"/>
          <w:lang w:val="en-GB"/>
        </w:rPr>
        <w:t xml:space="preserve">” to offer quality services to my guests. In the hospitality sector, making on-point is all about understanding guests and their requirements, in this aspect, decision-making abilities are quintessential to handling misunderstanding situations at the restaurant premises. Furthermore, I will be able to provide food to guests based on their requirements and cultural sensitivity by gaining knowledge in customer orientation.    </w:t>
      </w:r>
    </w:p>
    <w:p>
      <w:pPr>
        <w:pStyle w:val="2"/>
      </w:pPr>
      <w:bookmarkStart w:id="1" w:name="_Toc165474452"/>
      <w:r>
        <w:t>Component 2: Training Plan</w:t>
      </w:r>
      <w:bookmarkEnd w:id="1"/>
      <w:r>
        <w:t xml:space="preserve">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Staff training plan </w:t>
      </w:r>
    </w:p>
    <w:tbl>
      <w:tblPr>
        <w:tblStyle w:val="21"/>
        <w:tblW w:w="0" w:type="auto"/>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597"/>
        <w:gridCol w:w="1516"/>
        <w:gridCol w:w="1516"/>
        <w:gridCol w:w="1568"/>
        <w:gridCol w:w="1516"/>
        <w:gridCol w:w="151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Goal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Training required</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Who will provide the training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Procedure for providing the training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Budget for this goal</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Time of completion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To improve the cultural awareness of employees</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opined by Deresky (2017), cultural sensitivity training is a set of skills that helps employees learn about and comprehend individuals from different backgrounds. In this scenario, giving value to the uniqueness of each culture helps employees meet the requirements of the guests within the hospitality sector. Training in cultural sensitivity helps to respect customs and traditions.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External professionals and line managers of Holiday Inn will offer training on cultural sensitivity to the employees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external professionals could offer training to the employees regarding the cultural sensitivity in online platforms such as "Zoom" and "Google Meet". On the other side, the managers could associate "scenario-based discussion" where participants could explore various workplace situations, emphasizing respectful communication, cultural awareness, and conflict resolution.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Approximately 100 British pounds will required to give training on cultural sensitivity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will require 5 months to improve the cultural awareness of employees at the workplace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To develop cross-cultural communication skills</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cited by Hampden-Turner, and Trompenaars (2020), cross-cultural communication training is quintessential for the hospitality sector as it helps to communicate with people from different locations and mother tongues. The higher authority of Holiday Inn could offer training in different languages such as "German, Japanese and French" to the employees to increase their abilities to communicate with guests from different cultures and languages.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Multilingual experts could offer cross-cultural communication training to the employees to boost their abilities to speak in other languages. Attending cross-cultural communication training could help me to become a perfect employee in the hospitality sector in the future.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polyglot specialist could use "ASANA" and "Slack" as communication apps to offer training on cross-cultural communication. However, using offline modes of training such as "instructor-led" sessions at the workplace to improve the capabilities of the employees within the hospitality sector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will require almost 80 British pounds to conduct a cross-cultural communication session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Almost 6 months will need to develop the cross-cultural communication skills of the workers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To accelerate decision-making abilities</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Conducting a “decision-making” training session could help employees to improve the decision-making abilities of the employees.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Operational and Line manager of the hospitality brand will conduct a “decision-making” training session to increase the employees’ abilities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Line managers would arrange a "brainstorming" session on online platforms to improve the decision-making abilities of the staff members.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will need 50 British Pounds to conduct a decision-making training session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will take 3 months to conduct a decision-making session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To boost customer service skill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According to Hofstede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(2010), customer service training helps employees to handle guest complaints efficiently.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HR and Front-desk executive officers could offer training on “customer-service” skills to me. Defining service standards and analysing the background of the guests’ location could help to increase the capabilities of the employees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managers will conduct the situation-oriented training method to boost the customer-service skills if the employees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will require 20 pounds to complete the training session </w:t>
            </w:r>
          </w:p>
        </w:tc>
        <w:tc>
          <w:tcPr>
            <w:tcW w:w="0" w:type="auto"/>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Almost 2 months will require boosting the customer service skills of the employees. </w:t>
            </w:r>
          </w:p>
        </w:tc>
      </w:tr>
    </w:tbl>
    <w:p>
      <w:pPr>
        <w:pStyle w:val="3"/>
        <w:spacing w:before="200" w:after="200" w:line="360" w:lineRule="auto"/>
        <w:jc w:val="both"/>
        <w:rPr>
          <w:rFonts w:ascii="Times New Roman" w:hAnsi="Times New Roman" w:eastAsia="Times New Roman" w:cs="Times New Roman"/>
          <w:b/>
          <w:sz w:val="24"/>
          <w:szCs w:val="24"/>
          <w:lang w:val="en-GB"/>
        </w:rPr>
      </w:pPr>
    </w:p>
    <w:p>
      <w:pPr>
        <w:pStyle w:val="2"/>
      </w:pPr>
      <w:bookmarkStart w:id="2" w:name="_Toc165474453"/>
      <w:r>
        <w:t>Component 3: Student self-reflection</w:t>
      </w:r>
      <w:bookmarkEnd w:id="2"/>
      <w:r>
        <w:t xml:space="preserve">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Driscoll Reflection Model </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114300" distB="114300" distL="114300" distR="114300">
            <wp:extent cx="5449570" cy="283337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5450095" cy="2833688"/>
                    </a:xfrm>
                    <a:prstGeom prst="rect">
                      <a:avLst/>
                    </a:prstGeom>
                    <a:ln w="12700">
                      <a:solidFill>
                        <a:srgbClr val="000000"/>
                      </a:solidFill>
                      <a:prstDash val="solid"/>
                    </a:ln>
                  </pic:spPr>
                </pic:pic>
              </a:graphicData>
            </a:graphic>
          </wp:inline>
        </w:drawing>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2: Driscoll Model</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What?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the view of </w:t>
      </w:r>
      <w:r>
        <w:rPr>
          <w:rFonts w:ascii="Times New Roman" w:hAnsi="Times New Roman" w:eastAsia="Times New Roman" w:cs="Times New Roman"/>
          <w:sz w:val="24"/>
          <w:szCs w:val="24"/>
          <w:highlight w:val="white"/>
          <w:lang w:val="en-GB"/>
        </w:rPr>
        <w:t>Holliday</w:t>
      </w:r>
      <w:r>
        <w:rPr>
          <w:rFonts w:ascii="Times New Roman" w:hAnsi="Times New Roman" w:eastAsia="Times New Roman" w:cs="Times New Roman"/>
          <w:sz w:val="24"/>
          <w:szCs w:val="24"/>
          <w:lang w:val="en-GB"/>
        </w:rPr>
        <w:t xml:space="preserve"> (2021), cultural sensitivity plays a pivotal role in ensuring that guest’s feel welcomed, respected, and understood. According to me, cultural awareness helps to meet the needs of the guests and enhances the customer satisfaction level in an effective way. Attending a training session on cultural sensitivity helps employees to interact with international guests in an effective way. My understanding of the subject changed over time as I took training in a cultural sensitivity area. As per my opinion, cultural awareness helps to make a better team and increase the employee engagement process.  Based on my experience, cultural awareness training equips staff with the knowledge and skills in order to engage respectfully with people from different backgrounds. This promotes my understanding, reduces misunderstanding, as well as encourages open-mindedness effectively. I have identified that employees can handle misunderstanding situations after increasing their decision-making abilities. </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So what?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 per my experience, cultural sensitivity or awareness builds trust and connection across cultures, which is important in the hospitality industry. In the contemporary world, the hospitality actor stands as the melting pot of culture, with teams comprising individuals from diverse backgrounds (</w:t>
      </w:r>
      <w:r>
        <w:rPr>
          <w:rFonts w:ascii="Times New Roman" w:hAnsi="Times New Roman" w:eastAsia="Times New Roman" w:cs="Times New Roman"/>
          <w:sz w:val="24"/>
          <w:szCs w:val="24"/>
          <w:highlight w:val="white"/>
          <w:lang w:val="en-GB"/>
        </w:rPr>
        <w:t>Shiraev, and Levy, 2020</w:t>
      </w:r>
      <w:r>
        <w:rPr>
          <w:rFonts w:ascii="Times New Roman" w:hAnsi="Times New Roman" w:eastAsia="Times New Roman" w:cs="Times New Roman"/>
          <w:sz w:val="24"/>
          <w:szCs w:val="24"/>
          <w:lang w:val="en-GB"/>
        </w:rPr>
        <w:t xml:space="preserve">). Taking training in cross-cultural communication helps staff of the hospitality sector to interact with guests from different backgrounds and meet their requirements efficiently. I have learnt from experience that effective communication channels in the hospitality areas encourage team members to apply plain and straightforward language to minimise understanding with international guests. I explored that developing robust conflict resolution protocols helps to address cultural clashes in the hospitality workplace. During the training session, I understood that cross-cultural training helps a hotel brand stand out by demonstrating its commitment to cultural competency and inclusivity. Based on my experience, I observed that one of the key advantages of cross-cultural training for staff in the hospitality sector is the improvement of communication with guests, which results in an overall customer satisfaction rate. As per my observation, training in cultural sensitivity offers employees an understanding of different cultural communication styles and helps them improve their skills to adapt their communication to meet the requirements and expectations of guests from different cultural backgrounds. </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Now what?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 per my analysis, participating in cross-cultural communication and decision-making training sessions helps employees not only help them to offer quality services to the guests but although increase staff abilities in the hospitality sector. Awareness of cultures is essential as it boosts a sense of identity and enables employees to be sensitive to and aware of cultural differences and similarities, permitting them to interact (</w:t>
      </w:r>
      <w:r>
        <w:rPr>
          <w:rFonts w:ascii="Times New Roman" w:hAnsi="Times New Roman" w:eastAsia="Times New Roman" w:cs="Times New Roman"/>
          <w:sz w:val="24"/>
          <w:szCs w:val="24"/>
          <w:highlight w:val="white"/>
          <w:lang w:val="en-GB"/>
        </w:rPr>
        <w:t>Irwin, 2020</w:t>
      </w:r>
      <w:r>
        <w:rPr>
          <w:rFonts w:ascii="Times New Roman" w:hAnsi="Times New Roman" w:eastAsia="Times New Roman" w:cs="Times New Roman"/>
          <w:sz w:val="24"/>
          <w:szCs w:val="24"/>
          <w:lang w:val="en-GB"/>
        </w:rPr>
        <w:t xml:space="preserve">). This experience is important for me, as I am able to increase my productivity and efficiency within the hospitality industry by taking part in cross-cultural programmes. According to my observation, by demonstrating a commitment to cultural competency and inclusivity, </w:t>
      </w:r>
      <w:r>
        <w:rPr>
          <w:rFonts w:ascii="Times New Roman" w:hAnsi="Times New Roman" w:eastAsia="Times New Roman" w:cs="Times New Roman"/>
          <w:i/>
          <w:sz w:val="24"/>
          <w:szCs w:val="24"/>
          <w:lang w:val="en-GB"/>
        </w:rPr>
        <w:t>Holiday Inn</w:t>
      </w:r>
      <w:r>
        <w:rPr>
          <w:rFonts w:ascii="Times New Roman" w:hAnsi="Times New Roman" w:eastAsia="Times New Roman" w:cs="Times New Roman"/>
          <w:sz w:val="24"/>
          <w:szCs w:val="24"/>
          <w:lang w:val="en-GB"/>
        </w:rPr>
        <w:t xml:space="preserve"> attracts and retains a diverse workplace all over the world. In this aspect, the diverse workplace of this brand helps to maintain a strong brand image within the hospitality sector.</w:t>
      </w:r>
      <w:r>
        <w:rPr>
          <w:lang w:val="en-GB"/>
        </w:rPr>
        <w:br w:type="page"/>
      </w:r>
    </w:p>
    <w:p>
      <w:pPr>
        <w:rPr>
          <w:rFonts w:ascii="Times New Roman" w:hAnsi="Times New Roman" w:eastAsia="Times New Roman" w:cs="Times New Roman"/>
          <w:sz w:val="24"/>
          <w:szCs w:val="24"/>
          <w:lang w:val="en-GB"/>
        </w:rPr>
      </w:pPr>
    </w:p>
    <w:p>
      <w:pPr>
        <w:pStyle w:val="3"/>
        <w:spacing w:before="200" w:after="200" w:line="360" w:lineRule="auto"/>
        <w:jc w:val="both"/>
        <w:rPr>
          <w:rFonts w:ascii="Times New Roman" w:hAnsi="Times New Roman" w:eastAsia="Times New Roman" w:cs="Times New Roman"/>
          <w:sz w:val="24"/>
          <w:szCs w:val="24"/>
          <w:lang w:val="en-GB"/>
        </w:rPr>
      </w:pPr>
    </w:p>
    <w:p>
      <w:pPr>
        <w:pStyle w:val="2"/>
      </w:pPr>
      <w:bookmarkStart w:id="3" w:name="_Toc165474454"/>
      <w:r>
        <w:t>Component 4: Training Presentation</w:t>
      </w:r>
      <w:bookmarkEnd w:id="3"/>
      <w:r>
        <w:t xml:space="preserve">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1: Front page</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780915" cy="2688590"/>
            <wp:effectExtent l="19050" t="19050" r="19685" b="165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4790727" cy="2694353"/>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2: Content page</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733290" cy="2661920"/>
            <wp:effectExtent l="19050" t="19050" r="10160" b="241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tretch>
                      <a:fillRect/>
                    </a:stretch>
                  </pic:blipFill>
                  <pic:spPr>
                    <a:xfrm>
                      <a:off x="0" y="0"/>
                      <a:ext cx="4746968" cy="2669742"/>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3: Introduction</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995545" cy="2809875"/>
            <wp:effectExtent l="19050" t="19050" r="1460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1"/>
                    <a:stretch>
                      <a:fillRect/>
                    </a:stretch>
                  </pic:blipFill>
                  <pic:spPr>
                    <a:xfrm>
                      <a:off x="0" y="0"/>
                      <a:ext cx="5003392" cy="2813957"/>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cited by </w:t>
      </w:r>
      <w:r>
        <w:rPr>
          <w:rFonts w:ascii="Times New Roman" w:hAnsi="Times New Roman" w:eastAsia="Times New Roman" w:cs="Times New Roman"/>
          <w:sz w:val="24"/>
          <w:szCs w:val="24"/>
          <w:highlight w:val="white"/>
          <w:lang w:val="en-GB"/>
        </w:rPr>
        <w:t xml:space="preserve">Leonet, </w:t>
      </w:r>
      <w:r>
        <w:rPr>
          <w:rFonts w:ascii="Times New Roman" w:hAnsi="Times New Roman" w:eastAsia="Times New Roman" w:cs="Times New Roman"/>
          <w:i/>
          <w:sz w:val="24"/>
          <w:szCs w:val="24"/>
          <w:highlight w:val="white"/>
          <w:lang w:val="en-GB"/>
        </w:rPr>
        <w:t>et al.,</w:t>
      </w:r>
      <w:r>
        <w:rPr>
          <w:rFonts w:ascii="Times New Roman" w:hAnsi="Times New Roman" w:eastAsia="Times New Roman" w:cs="Times New Roman"/>
          <w:i/>
          <w:sz w:val="24"/>
          <w:szCs w:val="24"/>
          <w:lang w:val="en-GB"/>
        </w:rPr>
        <w:t xml:space="preserve"> </w:t>
      </w:r>
      <w:r>
        <w:rPr>
          <w:rFonts w:ascii="Times New Roman" w:hAnsi="Times New Roman" w:eastAsia="Times New Roman" w:cs="Times New Roman"/>
          <w:sz w:val="24"/>
          <w:szCs w:val="24"/>
          <w:lang w:val="en-GB"/>
        </w:rPr>
        <w:t xml:space="preserve">(2020, p. 41), language awareness is the study of the mother tongue that helps a person to improve an individual's competence and performance in the corresponding field.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Holiday Inn successfully operates its hospitality business in Germany as it offers cross-cultural training to its employees.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Cultural sensitivity and language awareness are significant in the hotel industry as these help to increase customer satisfaction rates in an effective way. This portion of the study illustrates the importance of cultural sensitivity within the workplaces of a hospitality company. Furthermore, the benefits of multilingualism and language awareness in Holiday Inn's workplace are discussed in the below part.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Slide 4: The benefits of multilingualism and the importance of language awareness  </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928235" cy="2771775"/>
            <wp:effectExtent l="19050" t="19050" r="2476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2"/>
                    <a:stretch>
                      <a:fillRect/>
                    </a:stretch>
                  </pic:blipFill>
                  <pic:spPr>
                    <a:xfrm>
                      <a:off x="0" y="0"/>
                      <a:ext cx="4933776" cy="2774805"/>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Benefits of multilingualism</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Multilingualism in the hospitality sector allows employees to interact with guests who come from different backgrounds (</w:t>
      </w:r>
      <w:r>
        <w:rPr>
          <w:rFonts w:ascii="Times New Roman" w:hAnsi="Times New Roman" w:eastAsia="Times New Roman" w:cs="Times New Roman"/>
          <w:sz w:val="24"/>
          <w:szCs w:val="24"/>
          <w:highlight w:val="white"/>
          <w:lang w:val="en-GB"/>
        </w:rPr>
        <w:t xml:space="preserve">Shen </w:t>
      </w:r>
      <w:r>
        <w:rPr>
          <w:rFonts w:ascii="Times New Roman" w:hAnsi="Times New Roman" w:eastAsia="Times New Roman" w:cs="Times New Roman"/>
          <w:i/>
          <w:sz w:val="24"/>
          <w:szCs w:val="24"/>
          <w:highlight w:val="white"/>
          <w:lang w:val="en-GB"/>
        </w:rPr>
        <w:t xml:space="preserve">et al., </w:t>
      </w:r>
      <w:r>
        <w:rPr>
          <w:rFonts w:ascii="Times New Roman" w:hAnsi="Times New Roman" w:eastAsia="Times New Roman" w:cs="Times New Roman"/>
          <w:sz w:val="24"/>
          <w:szCs w:val="24"/>
          <w:highlight w:val="white"/>
          <w:lang w:val="en-GB"/>
        </w:rPr>
        <w:t>2020, p. 6920</w:t>
      </w:r>
      <w:r>
        <w:rPr>
          <w:rFonts w:ascii="Times New Roman" w:hAnsi="Times New Roman" w:eastAsia="Times New Roman" w:cs="Times New Roman"/>
          <w:sz w:val="24"/>
          <w:szCs w:val="24"/>
          <w:lang w:val="en-GB"/>
        </w:rPr>
        <w:t xml:space="preserve">). </w:t>
      </w:r>
    </w:p>
    <w:p>
      <w:pPr>
        <w:pStyle w:val="3"/>
        <w:spacing w:before="200" w:after="20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Importance of language awareness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Language awareness ensures that Guests' requirements and expectations are clearly understood and met.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the hospitality sector, without effective communication, it is a challenge to deliver a high level of customer service, leaving customers dissatisfaction and lost business (</w:t>
      </w:r>
      <w:r>
        <w:rPr>
          <w:rFonts w:ascii="Times New Roman" w:hAnsi="Times New Roman" w:eastAsia="Times New Roman" w:cs="Times New Roman"/>
          <w:sz w:val="24"/>
          <w:szCs w:val="24"/>
          <w:highlight w:val="white"/>
          <w:lang w:val="en-GB"/>
        </w:rPr>
        <w:t>Klyukanov, 2020</w:t>
      </w:r>
      <w:r>
        <w:rPr>
          <w:rFonts w:ascii="Times New Roman" w:hAnsi="Times New Roman" w:eastAsia="Times New Roman" w:cs="Times New Roman"/>
          <w:sz w:val="24"/>
          <w:szCs w:val="24"/>
          <w:lang w:val="en-GB"/>
        </w:rPr>
        <w:t xml:space="preserve">). Multi-language proficiency helps front-desk executives welcome incoming international guests. On the other side, housekeeping staff are able to analyse the requirements of guests at the hotel premises with the help of language awareness and multilingual approaches.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5: Analyse the place of the language is spoken</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923790" cy="2768600"/>
            <wp:effectExtent l="19050" t="19050" r="1016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3"/>
                    <a:stretch>
                      <a:fillRect/>
                    </a:stretch>
                  </pic:blipFill>
                  <pic:spPr>
                    <a:xfrm>
                      <a:off x="0" y="0"/>
                      <a:ext cx="4933153" cy="2774455"/>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Germany is the official language of the German language and this language comprises 26 letters of the Latin alphabet.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 per the report, Germany has the largest number of native speakers in the European Union</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Offering cross-cultural awareness training to the employees of Holiday Inn not only helps employees interact with German customers, although helps to operate successfully in the German market. Based on a study, observes that German refers to it as an inflected language with four vases of nouns, pronouns and adjectives.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6: Mention whether the language is hard to learn or not</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895215" cy="2752725"/>
            <wp:effectExtent l="19050" t="19050" r="19685"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4"/>
                    <a:stretch>
                      <a:fillRect/>
                    </a:stretch>
                  </pic:blipFill>
                  <pic:spPr>
                    <a:xfrm>
                      <a:off x="0" y="0"/>
                      <a:ext cx="4917599" cy="2765707"/>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40% of German and English vocabulary are very similar to each other, which marks the language as one of the easiest languages to learn for native English Speakers (</w:t>
      </w:r>
      <w:r>
        <w:rPr>
          <w:rFonts w:ascii="Times New Roman" w:hAnsi="Times New Roman" w:eastAsia="Times New Roman" w:cs="Times New Roman"/>
          <w:sz w:val="24"/>
          <w:szCs w:val="24"/>
          <w:highlight w:val="white"/>
          <w:lang w:val="en-GB"/>
        </w:rPr>
        <w:t>bbc.co.uk, 2023</w:t>
      </w:r>
      <w:r>
        <w:rPr>
          <w:rFonts w:ascii="Times New Roman" w:hAnsi="Times New Roman" w:eastAsia="Times New Roman" w:cs="Times New Roman"/>
          <w:sz w:val="24"/>
          <w:szCs w:val="24"/>
          <w:lang w:val="en-GB"/>
        </w:rPr>
        <w: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the business operation, by offering training in German languages, Holiday Inn is able to maintain an adequate customer base</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requires almost 5 to 7 months learning and becoming fluent in the German language. German is easy to learn because of its close proximity to the English language. On the other hand, simple pronunciation rules in German make it easy for people to learn this language within a shorter period.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7: What is considered to be polite/impolite in a business context?</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999990" cy="2811780"/>
            <wp:effectExtent l="19050" t="19050" r="10160" b="266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5"/>
                    <a:stretch>
                      <a:fillRect/>
                    </a:stretch>
                  </pic:blipFill>
                  <pic:spPr>
                    <a:xfrm>
                      <a:off x="0" y="0"/>
                      <a:ext cx="5011838" cy="2818708"/>
                    </a:xfrm>
                    <a:prstGeom prst="rect">
                      <a:avLst/>
                    </a:prstGeom>
                    <a:ln>
                      <a:solidFill>
                        <a:schemeClr val="accent1"/>
                      </a:solidFill>
                    </a:ln>
                  </pic:spPr>
                </pic:pic>
              </a:graphicData>
            </a:graphic>
          </wp:inline>
        </w:drawing>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114300" distB="114300" distL="114300" distR="114300">
            <wp:extent cx="4752340" cy="352869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6"/>
                    <a:stretch>
                      <a:fillRect/>
                    </a:stretch>
                  </pic:blipFill>
                  <pic:spPr>
                    <a:xfrm>
                      <a:off x="0" y="0"/>
                      <a:ext cx="4752719" cy="3529013"/>
                    </a:xfrm>
                    <a:prstGeom prst="rect">
                      <a:avLst/>
                    </a:prstGeom>
                    <a:ln w="12700">
                      <a:solidFill>
                        <a:srgbClr val="000000"/>
                      </a:solidFill>
                      <a:prstDash val="solid"/>
                    </a:ln>
                  </pic:spPr>
                </pic:pic>
              </a:graphicData>
            </a:graphic>
          </wp:inline>
        </w:drawing>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3: The brand image of Holiday Inn in Germany</w:t>
      </w:r>
    </w:p>
    <w:p>
      <w:pPr>
        <w:pStyle w:val="3"/>
        <w:spacing w:before="200" w:after="20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(Source: </w:t>
      </w:r>
      <w:r>
        <w:rPr>
          <w:rFonts w:ascii="Times New Roman" w:hAnsi="Times New Roman" w:eastAsia="Times New Roman" w:cs="Times New Roman"/>
          <w:sz w:val="24"/>
          <w:szCs w:val="24"/>
          <w:highlight w:val="white"/>
          <w:lang w:val="en-GB"/>
        </w:rPr>
        <w:t>statista.com, 2022</w:t>
      </w:r>
      <w:r>
        <w:rPr>
          <w:rFonts w:ascii="Times New Roman" w:hAnsi="Times New Roman" w:eastAsia="Times New Roman" w:cs="Times New Roman"/>
          <w:sz w:val="24"/>
          <w:szCs w:val="24"/>
          <w:lang w:val="en-GB"/>
        </w:rPr>
        <w:t>)</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In the hospitality industry of Germany, when it comes to hotel customers, brand awareness of Holiday Inn is at 77%, as the brand is able to offer quality services to customers by offering adequate cross-cultural communication training to the employees.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Holiday Inn’s employees behave politely with German customers as the staff analyse the requirements of the guests in their own languages.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Slide 8:  Conclusion </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704715" cy="2645410"/>
            <wp:effectExtent l="19050" t="19050" r="19685" b="21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7"/>
                    <a:stretch>
                      <a:fillRect/>
                    </a:stretch>
                  </pic:blipFill>
                  <pic:spPr>
                    <a:xfrm>
                      <a:off x="0" y="0"/>
                      <a:ext cx="4716819" cy="2652786"/>
                    </a:xfrm>
                    <a:prstGeom prst="rect">
                      <a:avLst/>
                    </a:prstGeom>
                    <a:ln>
                      <a:solidFill>
                        <a:schemeClr val="accent1"/>
                      </a:solidFill>
                    </a:ln>
                  </pic:spPr>
                </pic:pic>
              </a:graphicData>
            </a:graphic>
          </wp:inline>
        </w:drawing>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Based on the overall discussion, it observes that language awareness and multilingualism are important in the hotel sector as they increases the customer base.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German language is almost similar to the English language and that is why it is easier for people to understand and learn the language</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Speaker Notes</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 hotel company’s brand image totally relies on adequate customer service and it is achieved through offering a quality service with language awareness. The similarities between English and German languages allow a person to analyse and understand the languages effectively. Holiday Inn’s employees are able to offer quality service to German guests as they get cross-cultural communication training from the higher authority.  </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Slide 9: References</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5161915" cy="2902585"/>
            <wp:effectExtent l="19050" t="19050" r="19685" b="120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8"/>
                    <a:stretch>
                      <a:fillRect/>
                    </a:stretch>
                  </pic:blipFill>
                  <pic:spPr>
                    <a:xfrm>
                      <a:off x="0" y="0"/>
                      <a:ext cx="5168488" cy="2906810"/>
                    </a:xfrm>
                    <a:prstGeom prst="rect">
                      <a:avLst/>
                    </a:prstGeom>
                    <a:ln>
                      <a:solidFill>
                        <a:schemeClr val="accent1"/>
                      </a:solidFill>
                    </a:ln>
                  </pic:spPr>
                </pic:pic>
              </a:graphicData>
            </a:graphic>
          </wp:inline>
        </w:drawing>
      </w:r>
    </w:p>
    <w:p>
      <w:pPr>
        <w:pStyle w:val="3"/>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Component 4</w:t>
      </w:r>
    </w:p>
    <w:p>
      <w:pPr>
        <w:pStyle w:val="3"/>
        <w:spacing w:before="240" w:after="240"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bbc.co.uk, 2023. </w:t>
      </w:r>
      <w:r>
        <w:rPr>
          <w:rFonts w:ascii="Times New Roman" w:hAnsi="Times New Roman" w:eastAsia="Times New Roman" w:cs="Times New Roman"/>
          <w:i/>
          <w:sz w:val="24"/>
          <w:szCs w:val="24"/>
          <w:highlight w:val="white"/>
          <w:lang w:val="en-GB"/>
        </w:rPr>
        <w:t xml:space="preserve"> BBC</w:t>
      </w:r>
      <w:r>
        <w:rPr>
          <w:rFonts w:ascii="Times New Roman" w:hAnsi="Times New Roman" w:eastAsia="Times New Roman" w:cs="Times New Roman"/>
          <w:sz w:val="24"/>
          <w:szCs w:val="24"/>
          <w:highlight w:val="white"/>
          <w:lang w:val="en-GB"/>
        </w:rPr>
        <w:t xml:space="preserve"> .  “BBC - Learn German with free online lessons.” Available at: https://www.bbc.co.uk/languages/german/ (Accessed: May 1, 2024).</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Klyukanov, I.E., 2020. </w:t>
      </w:r>
      <w:r>
        <w:rPr>
          <w:rFonts w:ascii="Times New Roman" w:hAnsi="Times New Roman" w:eastAsia="Times New Roman" w:cs="Times New Roman"/>
          <w:i/>
          <w:sz w:val="24"/>
          <w:szCs w:val="24"/>
          <w:lang w:val="en-GB"/>
        </w:rPr>
        <w:t>Principles of intercultural communication</w:t>
      </w:r>
      <w:r>
        <w:rPr>
          <w:rFonts w:ascii="Times New Roman" w:hAnsi="Times New Roman" w:eastAsia="Times New Roman" w:cs="Times New Roman"/>
          <w:sz w:val="24"/>
          <w:szCs w:val="24"/>
          <w:lang w:val="en-GB"/>
        </w:rPr>
        <w:t>. Routledge.</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Leonet, O., Cenoz, J. and Gorter, D., 2020. Developing morphological awareness across languages: Translanguaging pedagogies in third language acquisition. </w:t>
      </w:r>
      <w:r>
        <w:rPr>
          <w:rFonts w:ascii="Times New Roman" w:hAnsi="Times New Roman" w:eastAsia="Times New Roman" w:cs="Times New Roman"/>
          <w:i/>
          <w:sz w:val="24"/>
          <w:szCs w:val="24"/>
          <w:lang w:val="en-GB"/>
        </w:rPr>
        <w:t>Language awareness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29</w:t>
      </w:r>
      <w:r>
        <w:rPr>
          <w:rFonts w:ascii="Times New Roman" w:hAnsi="Times New Roman" w:eastAsia="Times New Roman" w:cs="Times New Roman"/>
          <w:sz w:val="24"/>
          <w:szCs w:val="24"/>
          <w:lang w:val="en-GB"/>
        </w:rPr>
        <w:t>(1), pp.41-59.</w:t>
      </w:r>
      <w:r>
        <w:fldChar w:fldCharType="begin"/>
      </w:r>
      <w:r>
        <w:instrText xml:space="preserve"> HYPERLINK "https://www.tandfonline.com/doi/abs/10.1080/09658416.2019.1688338"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"https://www.tandfonline.com/doi/abs/10.1080/09658416.2019.1688338" \h </w:instrText>
      </w:r>
      <w:r>
        <w:fldChar w:fldCharType="separate"/>
      </w:r>
      <w:r>
        <w:rPr>
          <w:rFonts w:ascii="Times New Roman" w:hAnsi="Times New Roman" w:eastAsia="Times New Roman" w:cs="Times New Roman"/>
          <w:sz w:val="24"/>
          <w:szCs w:val="24"/>
          <w:lang w:val="en-GB"/>
        </w:rPr>
        <w:t>https://www.tandfonline.com/doi/abs/10.1080/09658416.2019.1688338</w:t>
      </w:r>
      <w:r>
        <w:rPr>
          <w:rFonts w:ascii="Times New Roman" w:hAnsi="Times New Roman" w:eastAsia="Times New Roman" w:cs="Times New Roman"/>
          <w:sz w:val="24"/>
          <w:szCs w:val="24"/>
          <w:lang w:val="en-GB"/>
        </w:rPr>
        <w:fldChar w:fldCharType="end"/>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Shen, L., Qian, J. and Chen, S.C., 2020. Effective communication strategies of sustainable hospitality: A qualitative exploration. </w:t>
      </w:r>
      <w:r>
        <w:rPr>
          <w:rFonts w:ascii="Times New Roman" w:hAnsi="Times New Roman" w:eastAsia="Times New Roman" w:cs="Times New Roman"/>
          <w:i/>
          <w:sz w:val="24"/>
          <w:szCs w:val="24"/>
          <w:lang w:val="en-GB"/>
        </w:rPr>
        <w:t>Sustainability</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12</w:t>
      </w:r>
      <w:r>
        <w:rPr>
          <w:rFonts w:ascii="Times New Roman" w:hAnsi="Times New Roman" w:eastAsia="Times New Roman" w:cs="Times New Roman"/>
          <w:sz w:val="24"/>
          <w:szCs w:val="24"/>
          <w:lang w:val="en-GB"/>
        </w:rPr>
        <w:t>(17), p.6920.</w:t>
      </w:r>
      <w:r>
        <w:fldChar w:fldCharType="begin"/>
      </w:r>
      <w:r>
        <w:instrText xml:space="preserve"> HYPERLINK "https://www.mdpi.com/2071-1050/12/17/6920"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"https://www.mdpi.com/2071-1050/12/17/6920" \h </w:instrText>
      </w:r>
      <w:r>
        <w:fldChar w:fldCharType="separate"/>
      </w:r>
      <w:r>
        <w:rPr>
          <w:rFonts w:ascii="Times New Roman" w:hAnsi="Times New Roman" w:eastAsia="Times New Roman" w:cs="Times New Roman"/>
          <w:sz w:val="24"/>
          <w:szCs w:val="24"/>
          <w:lang w:val="en-GB"/>
        </w:rPr>
        <w:t>https://www.mdpi.com/2071-1050/12/17/6920</w:t>
      </w:r>
      <w:r>
        <w:rPr>
          <w:rFonts w:ascii="Times New Roman" w:hAnsi="Times New Roman" w:eastAsia="Times New Roman" w:cs="Times New Roman"/>
          <w:sz w:val="24"/>
          <w:szCs w:val="24"/>
          <w:lang w:val="en-GB"/>
        </w:rPr>
        <w:fldChar w:fldCharType="end"/>
      </w:r>
    </w:p>
    <w:p>
      <w:pPr>
        <w:pStyle w:val="3"/>
        <w:spacing w:before="240" w:after="240"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statista.com, 2022. </w:t>
      </w:r>
      <w:r>
        <w:rPr>
          <w:rFonts w:ascii="Times New Roman" w:hAnsi="Times New Roman" w:eastAsia="Times New Roman" w:cs="Times New Roman"/>
          <w:i/>
          <w:sz w:val="24"/>
          <w:szCs w:val="24"/>
          <w:highlight w:val="white"/>
          <w:lang w:val="en-GB"/>
        </w:rPr>
        <w:t xml:space="preserve"> Holiday Inn brand profile Germany 2022</w:t>
      </w:r>
      <w:r>
        <w:rPr>
          <w:rFonts w:ascii="Times New Roman" w:hAnsi="Times New Roman" w:eastAsia="Times New Roman" w:cs="Times New Roman"/>
          <w:sz w:val="24"/>
          <w:szCs w:val="24"/>
          <w:highlight w:val="white"/>
          <w:lang w:val="en-GB"/>
        </w:rPr>
        <w:t xml:space="preserve">. </w:t>
      </w:r>
      <w:r>
        <w:rPr>
          <w:rFonts w:ascii="Times New Roman" w:hAnsi="Times New Roman" w:eastAsia="Times New Roman" w:cs="Times New Roman"/>
          <w:i/>
          <w:sz w:val="24"/>
          <w:szCs w:val="24"/>
          <w:highlight w:val="white"/>
          <w:lang w:val="en-GB"/>
        </w:rPr>
        <w:t>Statista</w:t>
      </w:r>
      <w:r>
        <w:rPr>
          <w:rFonts w:ascii="Times New Roman" w:hAnsi="Times New Roman" w:eastAsia="Times New Roman" w:cs="Times New Roman"/>
          <w:sz w:val="24"/>
          <w:szCs w:val="24"/>
          <w:highlight w:val="white"/>
          <w:lang w:val="en-GB"/>
        </w:rPr>
        <w:t>. Available at: https://www.statista.com/forecasts/1335649/holiday-inn-hotels-brand-profile-in-germany (Accessed: May 1, 2024).</w:t>
      </w:r>
    </w:p>
    <w:p>
      <w:pPr>
        <w:pStyle w:val="3"/>
        <w:spacing w:before="200" w:after="20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Slide 10: Thank You </w:t>
      </w:r>
    </w:p>
    <w:p>
      <w:pPr>
        <w:pStyle w:val="3"/>
        <w:spacing w:before="200" w:after="20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IN" w:eastAsia="en-IN"/>
        </w:rPr>
        <w:drawing>
          <wp:inline distT="0" distB="0" distL="0" distR="0">
            <wp:extent cx="4876165" cy="2741930"/>
            <wp:effectExtent l="19050" t="19050" r="19685" b="203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a:stretch>
                      <a:fillRect/>
                    </a:stretch>
                  </pic:blipFill>
                  <pic:spPr>
                    <a:xfrm>
                      <a:off x="0" y="0"/>
                      <a:ext cx="4899832" cy="2755714"/>
                    </a:xfrm>
                    <a:prstGeom prst="rect">
                      <a:avLst/>
                    </a:prstGeom>
                    <a:ln>
                      <a:solidFill>
                        <a:schemeClr val="accent1"/>
                      </a:solidFill>
                    </a:ln>
                  </pic:spPr>
                </pic:pic>
              </a:graphicData>
            </a:graphic>
          </wp:inline>
        </w:drawing>
      </w:r>
    </w:p>
    <w:p>
      <w:pPr>
        <w:rPr>
          <w:lang w:val="en-GB"/>
        </w:rPr>
      </w:pPr>
      <w:r>
        <w:rPr>
          <w:lang w:val="en-GB"/>
        </w:rPr>
        <w:br w:type="page"/>
      </w:r>
    </w:p>
    <w:p>
      <w:pPr>
        <w:pStyle w:val="2"/>
      </w:pPr>
      <w:bookmarkStart w:id="4" w:name="_Toc165474455"/>
      <w:r>
        <w:t>References</w:t>
      </w:r>
      <w:bookmarkEnd w:id="4"/>
    </w:p>
    <w:p>
      <w:pPr>
        <w:pStyle w:val="3"/>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Component 1</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Abramson, N.R. and Moran, R. 2018. Managing Cultural Differences: Global Leadership for the 21st Century. 10</w:t>
      </w:r>
      <w:r>
        <w:rPr>
          <w:rFonts w:ascii="Times New Roman" w:hAnsi="Times New Roman" w:eastAsia="Times New Roman" w:cs="Times New Roman"/>
          <w:sz w:val="24"/>
          <w:szCs w:val="24"/>
          <w:vertAlign w:val="superscript"/>
          <w:lang w:val="en-GB"/>
        </w:rPr>
        <w:t>th</w:t>
      </w:r>
      <w:r>
        <w:rPr>
          <w:rFonts w:ascii="Times New Roman" w:hAnsi="Times New Roman" w:eastAsia="Times New Roman" w:cs="Times New Roman"/>
          <w:sz w:val="24"/>
          <w:szCs w:val="24"/>
          <w:lang w:val="en-GB"/>
        </w:rPr>
        <w:t xml:space="preserve"> Ed. Abingdon: Routledge.</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Christiansen, B., Branch, J.D. and Karmowska, J. 2020. </w:t>
      </w:r>
      <w:r>
        <w:rPr>
          <w:rFonts w:ascii="Times New Roman" w:hAnsi="Times New Roman" w:eastAsia="Times New Roman" w:cs="Times New Roman"/>
          <w:i/>
          <w:sz w:val="24"/>
          <w:szCs w:val="24"/>
          <w:lang w:val="en-GB"/>
        </w:rPr>
        <w:t>Cultural Factors and Performance in 21st Century Businesses</w:t>
      </w:r>
      <w:r>
        <w:rPr>
          <w:rFonts w:ascii="Times New Roman" w:hAnsi="Times New Roman" w:eastAsia="Times New Roman" w:cs="Times New Roman"/>
          <w:sz w:val="24"/>
          <w:szCs w:val="24"/>
          <w:lang w:val="en-GB"/>
        </w:rPr>
        <w:t>. Hershey : IGI Global.</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Maheshkar, C. and Sharma, V. 2018.  </w:t>
      </w:r>
      <w:r>
        <w:rPr>
          <w:rFonts w:ascii="Times New Roman" w:hAnsi="Times New Roman" w:eastAsia="Times New Roman" w:cs="Times New Roman"/>
          <w:i/>
          <w:sz w:val="24"/>
          <w:szCs w:val="24"/>
          <w:lang w:val="en-GB"/>
        </w:rPr>
        <w:t>Handbook of Research on Cross-Cultural Business Education. Hershey</w:t>
      </w:r>
      <w:r>
        <w:rPr>
          <w:rFonts w:ascii="Times New Roman" w:hAnsi="Times New Roman" w:eastAsia="Times New Roman" w:cs="Times New Roman"/>
          <w:sz w:val="24"/>
          <w:szCs w:val="24"/>
          <w:lang w:val="en-GB"/>
        </w:rPr>
        <w:t>: IGI Global.</w:t>
      </w:r>
    </w:p>
    <w:p>
      <w:pPr>
        <w:pStyle w:val="3"/>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Component 2</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Deresky, H. 2017. </w:t>
      </w:r>
      <w:r>
        <w:rPr>
          <w:rFonts w:ascii="Times New Roman" w:hAnsi="Times New Roman" w:eastAsia="Times New Roman" w:cs="Times New Roman"/>
          <w:i/>
          <w:sz w:val="24"/>
          <w:szCs w:val="24"/>
          <w:lang w:val="en-GB"/>
        </w:rPr>
        <w:t>International Management: Managing Across Borders and Cultures: Text and Cases.</w:t>
      </w:r>
      <w:r>
        <w:rPr>
          <w:rFonts w:ascii="Times New Roman" w:hAnsi="Times New Roman" w:eastAsia="Times New Roman" w:cs="Times New Roman"/>
          <w:sz w:val="24"/>
          <w:szCs w:val="24"/>
          <w:lang w:val="en-GB"/>
        </w:rPr>
        <w:t xml:space="preserve"> 9th Ed. Harlow: Pearson Education Ltd.</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Hampden-Turner, C. and Trompenaars, F. 2020. </w:t>
      </w:r>
      <w:r>
        <w:rPr>
          <w:rFonts w:ascii="Times New Roman" w:hAnsi="Times New Roman" w:eastAsia="Times New Roman" w:cs="Times New Roman"/>
          <w:i/>
          <w:sz w:val="24"/>
          <w:szCs w:val="24"/>
          <w:lang w:val="en-GB"/>
        </w:rPr>
        <w:t>Riding the Waves of Culture</w:t>
      </w:r>
      <w:r>
        <w:rPr>
          <w:rFonts w:ascii="Times New Roman" w:hAnsi="Times New Roman" w:eastAsia="Times New Roman" w:cs="Times New Roman"/>
          <w:sz w:val="24"/>
          <w:szCs w:val="24"/>
          <w:lang w:val="en-GB"/>
        </w:rPr>
        <w:t>. 4th Ed. London: John Murray Press.</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Hofstede, G., Hofstede, G.J. and Minkov, M. 2010</w:t>
      </w:r>
      <w:r>
        <w:rPr>
          <w:rFonts w:ascii="Times New Roman" w:hAnsi="Times New Roman" w:eastAsia="Times New Roman" w:cs="Times New Roman"/>
          <w:i/>
          <w:sz w:val="24"/>
          <w:szCs w:val="24"/>
          <w:lang w:val="en-GB"/>
        </w:rPr>
        <w:t>. Cultures and organizations: software of the mind.</w:t>
      </w:r>
      <w:r>
        <w:rPr>
          <w:rFonts w:ascii="Times New Roman" w:hAnsi="Times New Roman" w:eastAsia="Times New Roman" w:cs="Times New Roman"/>
          <w:sz w:val="24"/>
          <w:szCs w:val="24"/>
          <w:lang w:val="en-GB"/>
        </w:rPr>
        <w:t xml:space="preserve"> 3rd Ed. New York: McGraw-Hill.</w:t>
      </w:r>
    </w:p>
    <w:p>
      <w:pPr>
        <w:pStyle w:val="3"/>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Component 3</w:t>
      </w:r>
    </w:p>
    <w:p>
      <w:pPr>
        <w:pStyle w:val="3"/>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Holliday, A., 2021. </w:t>
      </w:r>
      <w:r>
        <w:rPr>
          <w:rFonts w:ascii="Times New Roman" w:hAnsi="Times New Roman" w:eastAsia="Times New Roman" w:cs="Times New Roman"/>
          <w:i/>
          <w:sz w:val="24"/>
          <w:szCs w:val="24"/>
          <w:lang w:val="en-GB"/>
        </w:rPr>
        <w:t>Intercultural communication: An advanced resource book for students</w:t>
      </w:r>
      <w:r>
        <w:rPr>
          <w:rFonts w:ascii="Times New Roman" w:hAnsi="Times New Roman" w:eastAsia="Times New Roman" w:cs="Times New Roman"/>
          <w:sz w:val="24"/>
          <w:szCs w:val="24"/>
          <w:lang w:val="en-GB"/>
        </w:rPr>
        <w:t>. Routledge.</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Irwin, H., 2020. </w:t>
      </w:r>
      <w:r>
        <w:rPr>
          <w:rFonts w:ascii="Times New Roman" w:hAnsi="Times New Roman" w:eastAsia="Times New Roman" w:cs="Times New Roman"/>
          <w:i/>
          <w:sz w:val="24"/>
          <w:szCs w:val="24"/>
          <w:lang w:val="en-GB"/>
        </w:rPr>
        <w:t>Communicating with Asia: Understanding people and customs</w:t>
      </w:r>
      <w:r>
        <w:rPr>
          <w:rFonts w:ascii="Times New Roman" w:hAnsi="Times New Roman" w:eastAsia="Times New Roman" w:cs="Times New Roman"/>
          <w:sz w:val="24"/>
          <w:szCs w:val="24"/>
          <w:lang w:val="en-GB"/>
        </w:rPr>
        <w:t>. Routledge.</w:t>
      </w:r>
    </w:p>
    <w:p>
      <w:pPr>
        <w:pStyle w:val="3"/>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highlight w:val="white"/>
          <w:lang w:val="en-GB"/>
        </w:rPr>
        <w:t xml:space="preserve">Shiraev, E.B. and Levy, D.A., 2020. </w:t>
      </w:r>
      <w:r>
        <w:rPr>
          <w:rFonts w:ascii="Times New Roman" w:hAnsi="Times New Roman" w:eastAsia="Times New Roman" w:cs="Times New Roman"/>
          <w:i/>
          <w:sz w:val="24"/>
          <w:szCs w:val="24"/>
          <w:lang w:val="en-GB"/>
        </w:rPr>
        <w:t>Cross-cultural psychology: Critical thinking and contemporary applications</w:t>
      </w:r>
      <w:r>
        <w:rPr>
          <w:rFonts w:ascii="Times New Roman" w:hAnsi="Times New Roman" w:eastAsia="Times New Roman" w:cs="Times New Roman"/>
          <w:sz w:val="24"/>
          <w:szCs w:val="24"/>
          <w:lang w:val="en-GB"/>
        </w:rPr>
        <w:t>. Routledge.</w:t>
      </w:r>
    </w:p>
    <w:p>
      <w:pPr>
        <w:pStyle w:val="3"/>
        <w:spacing w:before="200" w:after="200" w:line="360" w:lineRule="auto"/>
        <w:rPr>
          <w:lang w:val="en-GB"/>
        </w:rPr>
      </w:pPr>
    </w:p>
    <w:sectPr>
      <w:footerReference r:id="rId5" w:type="default"/>
      <w:pgSz w:w="11909" w:h="16834"/>
      <w:pgMar w:top="1440" w:right="1440" w:bottom="1440" w:left="1440" w:header="720" w:footer="720" w:gutter="0"/>
      <w:pgNumType w:start="1"/>
      <w:cols w:space="708"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89619356"/>
      <w:docPartObj>
        <w:docPartGallery w:val="AutoText"/>
      </w:docPartObj>
    </w:sdtPr>
    <w:sdtContent>
      <w:p>
        <w:pPr>
          <w:pStyle w:val="14"/>
          <w:jc w:val="right"/>
        </w:pP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CD8"/>
    <w:rsid w:val="00116983"/>
    <w:rsid w:val="001D1E46"/>
    <w:rsid w:val="001D41B0"/>
    <w:rsid w:val="00225190"/>
    <w:rsid w:val="00233B7B"/>
    <w:rsid w:val="00276549"/>
    <w:rsid w:val="002C40D8"/>
    <w:rsid w:val="002E159F"/>
    <w:rsid w:val="00327CD8"/>
    <w:rsid w:val="004875CD"/>
    <w:rsid w:val="005630B3"/>
    <w:rsid w:val="00713B24"/>
    <w:rsid w:val="00771281"/>
    <w:rsid w:val="00837581"/>
    <w:rsid w:val="00912794"/>
    <w:rsid w:val="00A65B8F"/>
    <w:rsid w:val="00A70E54"/>
    <w:rsid w:val="00B45B54"/>
    <w:rsid w:val="00B66690"/>
    <w:rsid w:val="00BB19D6"/>
    <w:rsid w:val="00C479DD"/>
    <w:rsid w:val="00CF1FC2"/>
    <w:rsid w:val="00DE5123"/>
    <w:rsid w:val="00FA155E"/>
    <w:rsid w:val="409B22D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eastAsia="en-US" w:bidi="ar-SA"/>
    </w:rPr>
  </w:style>
  <w:style w:type="paragraph" w:styleId="2">
    <w:name w:val="heading 1"/>
    <w:basedOn w:val="3"/>
    <w:next w:val="3"/>
    <w:uiPriority w:val="0"/>
    <w:pPr>
      <w:spacing w:before="200" w:after="200" w:line="360" w:lineRule="auto"/>
      <w:jc w:val="both"/>
      <w:outlineLvl w:val="0"/>
    </w:pPr>
    <w:rPr>
      <w:rFonts w:ascii="Times New Roman" w:hAnsi="Times New Roman" w:eastAsia="Times New Roman" w:cs="Times New Roman"/>
      <w:b/>
      <w:sz w:val="24"/>
      <w:szCs w:val="24"/>
      <w:lang w:val="en-GB"/>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autoRedefine/>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autoRedefine/>
    <w:qFormat/>
    <w:uiPriority w:val="0"/>
    <w:pPr>
      <w:spacing w:line="276" w:lineRule="auto"/>
    </w:pPr>
    <w:rPr>
      <w:rFonts w:ascii="Arial" w:hAnsi="Arial" w:eastAsia="Arial" w:cs="Arial"/>
      <w:sz w:val="22"/>
      <w:szCs w:val="22"/>
      <w:lang w:val="zh-CN" w:eastAsia="en-US" w:bidi="ar-SA"/>
    </w:rPr>
  </w:style>
  <w:style w:type="paragraph" w:styleId="11">
    <w:name w:val="Balloon Text"/>
    <w:basedOn w:val="1"/>
    <w:link w:val="23"/>
    <w:autoRedefine/>
    <w:semiHidden/>
    <w:unhideWhenUsed/>
    <w:qFormat/>
    <w:uiPriority w:val="99"/>
    <w:pPr>
      <w:spacing w:line="240" w:lineRule="auto"/>
    </w:pPr>
    <w:rPr>
      <w:rFonts w:ascii="Segoe UI" w:hAnsi="Segoe UI" w:cs="Segoe UI"/>
      <w:sz w:val="18"/>
      <w:szCs w:val="18"/>
    </w:rPr>
  </w:style>
  <w:style w:type="character" w:styleId="12">
    <w:name w:val="annotation reference"/>
    <w:basedOn w:val="9"/>
    <w:autoRedefine/>
    <w:semiHidden/>
    <w:unhideWhenUsed/>
    <w:uiPriority w:val="99"/>
    <w:rPr>
      <w:sz w:val="16"/>
      <w:szCs w:val="16"/>
    </w:rPr>
  </w:style>
  <w:style w:type="paragraph" w:styleId="13">
    <w:name w:val="annotation text"/>
    <w:basedOn w:val="1"/>
    <w:link w:val="22"/>
    <w:semiHidden/>
    <w:unhideWhenUsed/>
    <w:qFormat/>
    <w:uiPriority w:val="99"/>
    <w:pPr>
      <w:spacing w:line="240" w:lineRule="auto"/>
    </w:pPr>
    <w:rPr>
      <w:sz w:val="20"/>
      <w:szCs w:val="20"/>
    </w:rPr>
  </w:style>
  <w:style w:type="paragraph" w:styleId="14">
    <w:name w:val="footer"/>
    <w:basedOn w:val="1"/>
    <w:link w:val="25"/>
    <w:autoRedefine/>
    <w:unhideWhenUsed/>
    <w:qFormat/>
    <w:uiPriority w:val="99"/>
    <w:pPr>
      <w:tabs>
        <w:tab w:val="center" w:pos="4513"/>
        <w:tab w:val="right" w:pos="9026"/>
      </w:tabs>
      <w:spacing w:line="240" w:lineRule="auto"/>
    </w:pPr>
  </w:style>
  <w:style w:type="paragraph" w:styleId="15">
    <w:name w:val="header"/>
    <w:basedOn w:val="1"/>
    <w:link w:val="24"/>
    <w:autoRedefine/>
    <w:unhideWhenUsed/>
    <w:qFormat/>
    <w:uiPriority w:val="99"/>
    <w:pPr>
      <w:tabs>
        <w:tab w:val="center" w:pos="4513"/>
        <w:tab w:val="right" w:pos="9026"/>
      </w:tabs>
      <w:spacing w:line="240" w:lineRule="auto"/>
    </w:pPr>
  </w:style>
  <w:style w:type="character" w:styleId="16">
    <w:name w:val="Hyperlink"/>
    <w:basedOn w:val="9"/>
    <w:unhideWhenUsed/>
    <w:qFormat/>
    <w:uiPriority w:val="99"/>
    <w:rPr>
      <w:color w:val="0000FF" w:themeColor="hyperlink"/>
      <w:u w:val="single"/>
      <w14:textFill>
        <w14:solidFill>
          <w14:schemeClr w14:val="hlink"/>
        </w14:solidFill>
      </w14:textFill>
    </w:rPr>
  </w:style>
  <w:style w:type="paragraph" w:styleId="17">
    <w:name w:val="Subtitle"/>
    <w:basedOn w:val="3"/>
    <w:next w:val="3"/>
    <w:qFormat/>
    <w:uiPriority w:val="0"/>
    <w:pPr>
      <w:keepNext/>
      <w:keepLines/>
      <w:spacing w:after="320"/>
    </w:pPr>
    <w:rPr>
      <w:color w:val="666666"/>
      <w:sz w:val="30"/>
      <w:szCs w:val="30"/>
    </w:rPr>
  </w:style>
  <w:style w:type="paragraph" w:styleId="18">
    <w:name w:val="Title"/>
    <w:basedOn w:val="3"/>
    <w:next w:val="3"/>
    <w:qFormat/>
    <w:uiPriority w:val="0"/>
    <w:pPr>
      <w:keepNext/>
      <w:keepLines/>
      <w:spacing w:after="60"/>
    </w:pPr>
    <w:rPr>
      <w:sz w:val="52"/>
      <w:szCs w:val="52"/>
    </w:rPr>
  </w:style>
  <w:style w:type="paragraph" w:styleId="19">
    <w:name w:val="toc 1"/>
    <w:basedOn w:val="1"/>
    <w:next w:val="1"/>
    <w:autoRedefine/>
    <w:unhideWhenUsed/>
    <w:qFormat/>
    <w:uiPriority w:val="39"/>
    <w:pPr>
      <w:spacing w:after="100"/>
    </w:pPr>
  </w:style>
  <w:style w:type="table" w:customStyle="1" w:styleId="20">
    <w:name w:val="Table Normal1"/>
    <w:autoRedefine/>
    <w:qFormat/>
    <w:uiPriority w:val="0"/>
    <w:tblPr>
      <w:tblCellMar>
        <w:top w:w="0" w:type="dxa"/>
        <w:left w:w="0" w:type="dxa"/>
        <w:bottom w:w="0" w:type="dxa"/>
        <w:right w:w="0" w:type="dxa"/>
      </w:tblCellMar>
    </w:tblPr>
  </w:style>
  <w:style w:type="table" w:customStyle="1" w:styleId="21">
    <w:name w:val="Table1"/>
    <w:basedOn w:val="20"/>
    <w:uiPriority w:val="0"/>
    <w:tblPr>
      <w:tblCellMar>
        <w:top w:w="100" w:type="dxa"/>
        <w:left w:w="100" w:type="dxa"/>
        <w:bottom w:w="100" w:type="dxa"/>
        <w:right w:w="100" w:type="dxa"/>
      </w:tblCellMar>
    </w:tblPr>
  </w:style>
  <w:style w:type="character" w:customStyle="1" w:styleId="22">
    <w:name w:val="Comment Text Char"/>
    <w:basedOn w:val="9"/>
    <w:link w:val="13"/>
    <w:semiHidden/>
    <w:qFormat/>
    <w:uiPriority w:val="99"/>
    <w:rPr>
      <w:sz w:val="20"/>
      <w:szCs w:val="20"/>
    </w:rPr>
  </w:style>
  <w:style w:type="character" w:customStyle="1" w:styleId="23">
    <w:name w:val="Balloon Text Char"/>
    <w:basedOn w:val="9"/>
    <w:link w:val="11"/>
    <w:autoRedefine/>
    <w:semiHidden/>
    <w:qFormat/>
    <w:uiPriority w:val="99"/>
    <w:rPr>
      <w:rFonts w:ascii="Segoe UI" w:hAnsi="Segoe UI" w:cs="Segoe UI"/>
      <w:sz w:val="18"/>
      <w:szCs w:val="18"/>
    </w:rPr>
  </w:style>
  <w:style w:type="character" w:customStyle="1" w:styleId="24">
    <w:name w:val="Header Char"/>
    <w:basedOn w:val="9"/>
    <w:link w:val="15"/>
    <w:autoRedefine/>
    <w:qFormat/>
    <w:uiPriority w:val="99"/>
  </w:style>
  <w:style w:type="character" w:customStyle="1" w:styleId="25">
    <w:name w:val="Footer Char"/>
    <w:basedOn w:val="9"/>
    <w:link w:val="14"/>
    <w:qFormat/>
    <w:uiPriority w:val="99"/>
  </w:style>
  <w:style w:type="paragraph" w:customStyle="1" w:styleId="26">
    <w:name w:val="TOC Heading"/>
    <w:basedOn w:val="2"/>
    <w:next w:val="1"/>
    <w:autoRedefine/>
    <w:unhideWhenUsed/>
    <w:qFormat/>
    <w:uiPriority w:val="39"/>
    <w:pPr>
      <w:keepNext/>
      <w:keepLines/>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47F47-0D0B-4E7D-B704-1A4BC6DEBED1}">
  <ds:schemaRefs/>
</ds:datastoreItem>
</file>

<file path=docProps/app.xml><?xml version="1.0" encoding="utf-8"?>
<Properties xmlns="http://schemas.openxmlformats.org/officeDocument/2006/extended-properties" xmlns:vt="http://schemas.openxmlformats.org/officeDocument/2006/docPropsVTypes">
  <Template>Normal</Template>
  <Pages>20</Pages>
  <Words>2736</Words>
  <Characters>15598</Characters>
  <Lines>129</Lines>
  <Paragraphs>36</Paragraphs>
  <TotalTime>1</TotalTime>
  <ScaleCrop>false</ScaleCrop>
  <LinksUpToDate>false</LinksUpToDate>
  <CharactersWithSpaces>18298</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2024-05-01T11:17:00Z</dcterms:created>
  <dc:creator>user</dc:creator>
  <cp:lastModifiedBy>i study</cp:lastModifiedBy>
  <dcterms:modified xsi:type="dcterms:W3CDTF">2024-05-07T15:06:06Z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745771E85BFB4593848708794B3CC4FB_12</vt:lpwstr>
  </property>
</Properties>
</file>