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904BEF" w:rsidRPr="00CC328E" w:rsidRDefault="00904BEF" w:rsidP="00904BEF">
      <w:pPr>
        <w:pStyle w:val="Header"/>
        <w:rPr>
          <w:b/>
          <w:bCs/>
        </w:rPr>
      </w:pPr>
      <w:r w:rsidRPr="00CC328E">
        <w:rPr>
          <w:b/>
          <w:bCs/>
        </w:rPr>
        <w:t>HINA NAIM</w:t>
      </w:r>
    </w:p>
    <w:p w:rsidR="00904BEF" w:rsidRPr="00CC328E" w:rsidRDefault="00904BEF" w:rsidP="00904BEF">
      <w:pPr>
        <w:pStyle w:val="Header"/>
        <w:rPr>
          <w:b/>
          <w:bCs/>
        </w:rPr>
      </w:pPr>
      <w:r w:rsidRPr="00CC328E">
        <w:rPr>
          <w:b/>
          <w:bCs/>
        </w:rPr>
        <w:t>STUDENT I'D: 2018348</w:t>
      </w:r>
    </w:p>
    <w:p w:rsidR="00904BEF" w:rsidRPr="00CC328E" w:rsidRDefault="00904BEF" w:rsidP="00904BEF">
      <w:pPr>
        <w:pStyle w:val="Header"/>
        <w:rPr>
          <w:b/>
          <w:bCs/>
        </w:rPr>
      </w:pPr>
      <w:r w:rsidRPr="00CC328E">
        <w:rPr>
          <w:b/>
          <w:bCs/>
        </w:rPr>
        <w:t>MODULE: PROFESSIONAL CAREER DEVELOPMENT (BMSW_4005)</w:t>
      </w:r>
    </w:p>
    <w:p w:rsidR="00904BEF" w:rsidRDefault="00904BEF" w:rsidP="00904BEF"/>
    <w:p w:rsidR="00904BEF" w:rsidRDefault="00904BEF" w:rsidP="00904BEF">
      <w:r>
        <w:t>Mention and discuss some of the identified initiatives towards raising workplace health and well-being awareness.</w:t>
      </w:r>
    </w:p>
    <w:p w:rsidR="00904BEF" w:rsidRDefault="00904BEF" w:rsidP="00904BEF"/>
    <w:p w:rsidR="00904BEF" w:rsidRDefault="00904BEF" w:rsidP="00904BEF">
      <w:pPr>
        <w:spacing w:after="240"/>
      </w:pPr>
      <w:r>
        <w:t>This essay discusses some of the initiatives identified to raise workplace health and well-being awareness.</w:t>
      </w:r>
    </w:p>
    <w:p w:rsidR="00904BEF" w:rsidRDefault="00904BEF" w:rsidP="00904BEF">
      <w:pPr>
        <w:spacing w:after="240"/>
      </w:pPr>
      <w:r>
        <w:t>In 2008, Dame Carol Black provided evidence showing a link between good employee health and well-being, and the outcome they have on businesses, individuals and society. She concluded that if organisations paid attention to improving workplace health, then organisations and the government could benefit through cost savings. The report noted that organisations needed to change their attitude – so that employees and employers could recognise and understand why it was important to prevent ill-health. Preventing ill-health creates a workforce that becomes motivated, resourceful and enhances strategic success (Vaughan, Jones and Barham, 2009).</w:t>
      </w:r>
    </w:p>
    <w:p w:rsidR="00904BEF" w:rsidRDefault="00904BEF" w:rsidP="00904BEF">
      <w:pPr>
        <w:spacing w:after="240"/>
      </w:pPr>
      <w:r>
        <w:t>Pauline managing workplace health leads to high rates of sickness absences in the UK. The two most common causes are musculoskeletal disorders and mental health problems. Any chronic or long-term condition that is badly managed – by either the employee or the organisation – leads to greater problems. Employees may lose their job or struggle to return to work. In 2016, the Department for Works and Pensions (DWP) and Department of Health (</w:t>
      </w:r>
      <w:proofErr w:type="spellStart"/>
      <w:r>
        <w:t>DoH</w:t>
      </w:r>
      <w:proofErr w:type="spellEnd"/>
      <w:r>
        <w:t>) identified that sickness absence can cost employers £9 billion a year and the economy can lose up to £100 billion a year.</w:t>
      </w:r>
    </w:p>
    <w:p w:rsidR="00904BEF" w:rsidRDefault="00904BEF" w:rsidP="00904BEF">
      <w:pPr>
        <w:spacing w:after="240"/>
      </w:pPr>
      <w:r>
        <w:t>Some of the initiatives to raise awareness were developed by The European Agency for Safety and Health at Work, through ‘Healthy Workplaces Campaigns’. These raise awareness of workplace issues and activities and create and promote practical guides and tools for use which are made freely available. Some advice given are to lighten loads when lifting, to reduce exposure to dangerous substances, use the right tools, communicate, follow occupational health and safety rules, managing stress, working together to manage risk, doing timely preventative maintenance and risk assessments, noise reduction, and proper manual handling among some of the more common problems faced at the workplace. (</w:t>
      </w:r>
      <w:r w:rsidRPr="00C56582">
        <w:t>https://osha.europa.eu/en</w:t>
      </w:r>
      <w:r>
        <w:t>).</w:t>
      </w:r>
    </w:p>
    <w:p w:rsidR="00904BEF" w:rsidRDefault="00904BEF" w:rsidP="00904BEF">
      <w:pPr>
        <w:spacing w:after="240"/>
      </w:pPr>
      <w:r>
        <w:t xml:space="preserve">Stakeholders – people with an interest in the improvement of employee health and well-being – can also access European Network for Workplace Health Promotion which is a platform to help develop good practice at work. Various arms of the European Union (EU) – the European Parliament, the Council, and the European commission have also made a commitment to providing healthy and safe work </w:t>
      </w:r>
      <w:r>
        <w:lastRenderedPageBreak/>
        <w:t xml:space="preserve">environments for all workers in the EU. Information is also made available through the </w:t>
      </w:r>
      <w:bookmarkStart w:id="0" w:name="_GoBack"/>
      <w:bookmarkEnd w:id="0"/>
      <w:proofErr w:type="spellStart"/>
      <w:r>
        <w:t>Eurofound’s</w:t>
      </w:r>
      <w:proofErr w:type="spellEnd"/>
      <w:r>
        <w:t xml:space="preserve"> European Working Conditions Survey. This survey plays an important part in providing information regarding various job functions and how they affect the physical and mental health of employees.</w:t>
      </w:r>
    </w:p>
    <w:p w:rsidR="00904BEF" w:rsidRDefault="00904BEF" w:rsidP="00904BEF">
      <w:pPr>
        <w:spacing w:after="240"/>
      </w:pPr>
    </w:p>
    <w:p w:rsidR="00904BEF" w:rsidRDefault="00904BEF" w:rsidP="00904BEF">
      <w:pPr>
        <w:spacing w:after="240"/>
      </w:pPr>
      <w:r>
        <w:t>With some of these initiatives and identified risk, a combination of education and the practice can prove effective in managing workplace health. Still, it must be the employers and employees working together, changing their attitude to realise the importance and benefits of following the initiatives and guidance provided. This shift in thinking, together with the actionable practices, would reduce health problems as well as the costs involved. This is, of course, desirable from everyone’s point of view.</w:t>
      </w:r>
    </w:p>
    <w:p w:rsidR="00FC5FCB" w:rsidRDefault="000403F7" w:rsidP="00904BEF">
      <w:pPr>
        <w:tabs>
          <w:tab w:val="left" w:pos="1843"/>
        </w:tabs>
      </w:pPr>
    </w:p>
    <w:sectPr w:rsidR="00FC5F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BEF"/>
    <w:rsid w:val="000403F7"/>
    <w:rsid w:val="00574FE9"/>
    <w:rsid w:val="00904BEF"/>
    <w:rsid w:val="00E57C5E"/>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2881B2"/>
  <w15:chartTrackingRefBased/>
  <w15:docId w15:val="{438112D7-0619-4B52-9AC3-F8CFFE2CF5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PK"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4BEF"/>
    <w:pPr>
      <w:spacing w:before="120" w:after="120" w:line="288" w:lineRule="auto"/>
      <w:jc w:val="both"/>
    </w:pPr>
    <w:rPr>
      <w:rFonts w:ascii="Arial" w:hAnsi="Arial"/>
      <w:sz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04BEF"/>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904BEF"/>
    <w:rPr>
      <w:rFonts w:ascii="Arial" w:hAnsi="Arial"/>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512</Words>
  <Characters>2925</Characters>
  <Application>Microsoft Office Word</Application>
  <DocSecurity>0</DocSecurity>
  <Lines>24</Lines>
  <Paragraphs>6</Paragraphs>
  <ScaleCrop>false</ScaleCrop>
  <Company/>
  <LinksUpToDate>false</LinksUpToDate>
  <CharactersWithSpaces>3431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2</cp:revision>
  <dcterms:created xsi:type="dcterms:W3CDTF">2021-10-14T15:18:00Z</dcterms:created>
  <dcterms:modified xsi:type="dcterms:W3CDTF">2021-10-14T15:18:00Z</dcterms:modified>
</cp:coreProperties>
</file>