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54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Component 1 - Individual Report</w:t>
      </w:r>
    </w:p>
    <w:p w:rsidR="00000000" w:rsidDel="00000000" w:rsidP="00000000" w:rsidRDefault="00000000" w:rsidRPr="00000000" w14:paraId="0000000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Student Name: Ana-Maria Nastac</w:t>
      </w:r>
    </w:p>
    <w:p w:rsidR="00000000" w:rsidDel="00000000" w:rsidP="00000000" w:rsidRDefault="00000000" w:rsidRPr="00000000" w14:paraId="0000000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Student Number: 2119513</w:t>
      </w:r>
    </w:p>
    <w:p w:rsidR="00000000" w:rsidDel="00000000" w:rsidP="00000000" w:rsidRDefault="00000000" w:rsidRPr="00000000" w14:paraId="0000000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Lecturer Name: Muno Zuwirai</w:t>
      </w:r>
    </w:p>
    <w:p w:rsidR="00000000" w:rsidDel="00000000" w:rsidP="00000000" w:rsidRDefault="00000000" w:rsidRPr="00000000" w14:paraId="0000000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LCBB5002_BIRM</w:t>
      </w:r>
    </w:p>
    <w:p w:rsidR="00000000" w:rsidDel="00000000" w:rsidP="00000000" w:rsidRDefault="00000000" w:rsidRPr="00000000" w14:paraId="0000000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Management Accounting</w:t>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lnxbz9">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r>
          </w:hyperlink>
          <w:r w:rsidDel="00000000" w:rsidR="00000000" w:rsidRPr="00000000">
            <w:rPr>
              <w:rFonts w:ascii="Arial" w:cs="Arial" w:eastAsia="Arial" w:hAnsi="Arial"/>
              <w:rtl w:val="0"/>
            </w:rPr>
            <w:t xml:space="preserve">1</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gjdgx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w:t>
              <w:tab/>
              <w:t xml:space="preserve">1</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 Marginal costing and Absorption costing</w:t>
            </w:r>
          </w:hyperlink>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4</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 </w:t>
            </w:r>
          </w:hyperlink>
          <w:hyperlink w:anchor="_1fob9te">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Marginal Costing Statement for December 2022</w:t>
            </w:r>
          </w:hyperlink>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7</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1.3 </w:t>
            </w:r>
          </w:hyperlink>
          <w:hyperlink w:anchor="_3znysh7">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Marginal Costing Statement showing the results if MSG stops making Hoists</w:t>
            </w:r>
          </w:hyperlink>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7</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1.4 </w:t>
            </w:r>
          </w:hyperlink>
          <w:hyperlink w:anchor="_2et92p0">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Marginal Costing Statement showing the results if MSG stops making Mobile Beds</w:t>
            </w:r>
          </w:hyperlink>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8</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1.5 Impact in terms of long-term business profitability and sustainable growth for ceasing production of Hoists and Mobile Beds</w:t>
            </w:r>
          </w:hyperlink>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9</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w:t>
              <w:tab/>
            </w:r>
          </w:hyperlink>
          <w:r w:rsidDel="00000000" w:rsidR="00000000" w:rsidRPr="00000000">
            <w:rPr>
              <w:rFonts w:ascii="Arial" w:cs="Arial" w:eastAsia="Arial" w:hAnsi="Arial"/>
              <w:rtl w:val="0"/>
            </w:rPr>
            <w:t xml:space="preserve">10</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 Break-even unit</w:t>
            </w:r>
          </w:hyperlink>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10</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2.2 Sales volume to make a profit of £24,000</w:t>
            </w:r>
          </w:hyperlink>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10</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2.3 Sales volume to make a profit of</w:t>
            </w:r>
          </w:hyperlink>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hyperlink>
          <w:hyperlink w:anchor="_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£18,200</w:t>
            </w:r>
          </w:hyperlink>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10</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2.4 Critical discussion on the limitations of the Break-Even/ Cost-Volume-Profit Analysis and its practical applicability in DelhiCorner</w:t>
            </w:r>
          </w:hyperlink>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rPr>
              <w:rFonts w:ascii="Arial" w:cs="Arial" w:eastAsia="Arial" w:hAnsi="Arial"/>
              <w:rtl w:val="0"/>
            </w:rPr>
            <w:t xml:space="preserve">10</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r>
          </w:hyperlink>
          <w:r w:rsidDel="00000000" w:rsidR="00000000" w:rsidRPr="00000000">
            <w:rPr>
              <w:rFonts w:ascii="Arial" w:cs="Arial" w:eastAsia="Arial" w:hAnsi="Arial"/>
              <w:rtl w:val="0"/>
            </w:rPr>
            <w:t xml:space="preserve">11</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 List</w:t>
              <w:tab/>
            </w:r>
          </w:hyperlink>
          <w:r w:rsidDel="00000000" w:rsidR="00000000" w:rsidRPr="00000000">
            <w:rPr>
              <w:rFonts w:ascii="Arial" w:cs="Arial" w:eastAsia="Arial" w:hAnsi="Arial"/>
              <w:rtl w:val="0"/>
            </w:rPr>
            <w:t xml:space="preserve">12</w:t>
          </w:r>
          <w:r w:rsidDel="00000000" w:rsidR="00000000" w:rsidRPr="00000000">
            <w:rPr>
              <w:rtl w:val="0"/>
            </w:rPr>
          </w:r>
        </w:p>
        <w:p w:rsidR="00000000" w:rsidDel="00000000" w:rsidP="00000000" w:rsidRDefault="00000000" w:rsidRPr="00000000" w14:paraId="00000032">
          <w:pPr>
            <w:rPr>
              <w:rFonts w:ascii="Arial" w:cs="Arial" w:eastAsia="Arial" w:hAnsi="Arial"/>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REPORT</w:t>
      </w:r>
    </w:p>
    <w:p w:rsidR="00000000" w:rsidDel="00000000" w:rsidP="00000000" w:rsidRDefault="00000000" w:rsidRPr="00000000" w14:paraId="0000004B">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C">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 Chenai Seth</w:t>
      </w:r>
    </w:p>
    <w:p w:rsidR="00000000" w:rsidDel="00000000" w:rsidP="00000000" w:rsidRDefault="00000000" w:rsidRPr="00000000" w14:paraId="0000004D">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From: Ana-Maria Nastac</w:t>
      </w:r>
    </w:p>
    <w:p w:rsidR="00000000" w:rsidDel="00000000" w:rsidP="00000000" w:rsidRDefault="00000000" w:rsidRPr="00000000" w14:paraId="0000004E">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Date: 04/03/2023</w:t>
      </w:r>
    </w:p>
    <w:p w:rsidR="00000000" w:rsidDel="00000000" w:rsidP="00000000" w:rsidRDefault="00000000" w:rsidRPr="00000000" w14:paraId="0000004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Subject: MSG product viability  and production of Hoists and Mobile Beds</w:t>
      </w:r>
    </w:p>
    <w:p w:rsidR="00000000" w:rsidDel="00000000" w:rsidP="00000000" w:rsidRDefault="00000000" w:rsidRPr="00000000" w14:paraId="00000050">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1">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2">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3">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4">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5">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7">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8">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9">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A">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B">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C">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D">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E">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F">
      <w:pPr>
        <w:rPr>
          <w:rFonts w:ascii="Arial" w:cs="Arial" w:eastAsia="Arial" w:hAnsi="Arial"/>
          <w:b w:val="1"/>
          <w:sz w:val="24"/>
          <w:szCs w:val="24"/>
        </w:rPr>
      </w:pPr>
      <w:r w:rsidDel="00000000" w:rsidR="00000000" w:rsidRPr="00000000">
        <w:rPr>
          <w:b w:val="1"/>
          <w:sz w:val="28"/>
          <w:szCs w:val="28"/>
          <w:rtl w:val="0"/>
        </w:rPr>
        <w:t xml:space="preserve">Introduction</w:t>
      </w:r>
      <w:r w:rsidDel="00000000" w:rsidR="00000000" w:rsidRPr="00000000">
        <w:rPr>
          <w:rtl w:val="0"/>
        </w:rPr>
      </w:r>
    </w:p>
    <w:p w:rsidR="00000000" w:rsidDel="00000000" w:rsidP="00000000" w:rsidRDefault="00000000" w:rsidRPr="00000000" w14:paraId="00000060">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Managerial accounting is the method of accounting that assists managers in costing, planning, control, decision making and performance evaluation through the use of pertinent information. Marginal costing, absorption costing, break-even calculation and cost-volume-profit analysis are some of the tools that enable an organization to determine organizational position, evaluate firm performance and make the decision. Marginal costing is a method of valuing inventory. The break-even point is a point at which production causes neither profit nor loss. This facilitates understanding how many units should be produced and at what price. In this report, how these tools help the management of Mobility Global (MG) and DelhiCorner to improve performance, make decisions and plan will be shown. </w:t>
      </w:r>
    </w:p>
    <w:p w:rsidR="00000000" w:rsidDel="00000000" w:rsidP="00000000" w:rsidRDefault="00000000" w:rsidRPr="00000000" w14:paraId="00000061">
      <w:pPr>
        <w:pStyle w:val="Heading1"/>
        <w:spacing w:line="360" w:lineRule="auto"/>
        <w:jc w:val="center"/>
        <w:rPr>
          <w:b w:val="1"/>
          <w:sz w:val="28"/>
          <w:szCs w:val="28"/>
        </w:rPr>
      </w:pPr>
      <w:bookmarkStart w:colFirst="0" w:colLast="0" w:name="_gjdgxs" w:id="0"/>
      <w:bookmarkEnd w:id="0"/>
      <w:r w:rsidDel="00000000" w:rsidR="00000000" w:rsidRPr="00000000">
        <w:rPr>
          <w:b w:val="1"/>
          <w:sz w:val="28"/>
          <w:szCs w:val="28"/>
          <w:rtl w:val="0"/>
        </w:rPr>
        <w:t xml:space="preserve">A</w:t>
      </w:r>
    </w:p>
    <w:p w:rsidR="00000000" w:rsidDel="00000000" w:rsidP="00000000" w:rsidRDefault="00000000" w:rsidRPr="00000000" w14:paraId="0000006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pStyle w:val="Heading2"/>
        <w:spacing w:line="360" w:lineRule="auto"/>
        <w:rPr>
          <w:b w:val="1"/>
        </w:rPr>
      </w:pPr>
      <w:bookmarkStart w:colFirst="0" w:colLast="0" w:name="_30j0zll" w:id="1"/>
      <w:bookmarkEnd w:id="1"/>
      <w:r w:rsidDel="00000000" w:rsidR="00000000" w:rsidRPr="00000000">
        <w:rPr>
          <w:b w:val="1"/>
          <w:rtl w:val="0"/>
        </w:rPr>
        <w:t xml:space="preserve">1.1 Marginal costing and Absorption costing</w:t>
      </w:r>
    </w:p>
    <w:p w:rsidR="00000000" w:rsidDel="00000000" w:rsidP="00000000" w:rsidRDefault="00000000" w:rsidRPr="00000000" w14:paraId="00000064">
      <w:pPr>
        <w:spacing w:line="360" w:lineRule="auto"/>
        <w:jc w:val="both"/>
        <w:rPr>
          <w:rFonts w:ascii="Arial" w:cs="Arial" w:eastAsia="Arial" w:hAnsi="Arial"/>
        </w:rPr>
      </w:pPr>
      <w:r w:rsidDel="00000000" w:rsidR="00000000" w:rsidRPr="00000000">
        <w:rPr>
          <w:rFonts w:ascii="Arial" w:cs="Arial" w:eastAsia="Arial" w:hAnsi="Arial"/>
          <w:b w:val="1"/>
          <w:rtl w:val="0"/>
        </w:rPr>
        <w:t xml:space="preserve">Marginal costing:</w:t>
      </w:r>
      <w:r w:rsidDel="00000000" w:rsidR="00000000" w:rsidRPr="00000000">
        <w:rPr>
          <w:rFonts w:ascii="Arial" w:cs="Arial" w:eastAsia="Arial" w:hAnsi="Arial"/>
          <w:rtl w:val="0"/>
        </w:rPr>
        <w:t xml:space="preserve"> </w:t>
      </w:r>
    </w:p>
    <w:p w:rsidR="00000000" w:rsidDel="00000000" w:rsidP="00000000" w:rsidRDefault="00000000" w:rsidRPr="00000000" w14:paraId="00000065">
      <w:pPr>
        <w:spacing w:line="360" w:lineRule="auto"/>
        <w:jc w:val="both"/>
        <w:rPr>
          <w:rFonts w:ascii="Arial" w:cs="Arial" w:eastAsia="Arial" w:hAnsi="Arial"/>
        </w:rPr>
      </w:pPr>
      <w:r w:rsidDel="00000000" w:rsidR="00000000" w:rsidRPr="00000000">
        <w:rPr>
          <w:rFonts w:ascii="Arial" w:cs="Arial" w:eastAsia="Arial" w:hAnsi="Arial"/>
          <w:rtl w:val="0"/>
        </w:rPr>
        <w:t xml:space="preserve">Marginal costing is the valuation method that considers variable costs to derive contribution and from that contribution, fixed costs are deducted to determine profit (Bhimani, 2018). If Mobility Global abandons the production of</w:t>
      </w:r>
      <w:r w:rsidDel="00000000" w:rsidR="00000000" w:rsidRPr="00000000">
        <w:rPr>
          <w:rtl w:val="0"/>
        </w:rPr>
        <w:t xml:space="preserve"> </w:t>
      </w:r>
      <w:r w:rsidDel="00000000" w:rsidR="00000000" w:rsidRPr="00000000">
        <w:rPr>
          <w:rFonts w:ascii="Arial" w:cs="Arial" w:eastAsia="Arial" w:hAnsi="Arial"/>
          <w:rtl w:val="0"/>
        </w:rPr>
        <w:t xml:space="preserve">Hoists and Mobile Beds, associated variable costs are not considered. As a result, Mobility Global will not produce a marginal cost statement. In marginal costing direct material costs, direct labour costs and other variable costs are considered product costs as they are charged to products and fixed costs are charged in the period the costs are incurred or the financial statements are produced because fixed costs are considered as period costs (Blocher, 2019). Therefore, having a good understanding of period and product costs is essential to calculate profit in the marginal costing method. In the marginal costing method, not production or activity level but sales drive profit. Therefore, if an organization adopts a marginal costing method and is making a loss for producing a particular product, it needs to increase the product price. If the product price cannot be raised or raising the price does not positively influence the profit of an organization, the organization should cease producing that product. </w:t>
      </w:r>
    </w:p>
    <w:p w:rsidR="00000000" w:rsidDel="00000000" w:rsidP="00000000" w:rsidRDefault="00000000" w:rsidRPr="00000000" w14:paraId="00000066">
      <w:pPr>
        <w:spacing w:line="360" w:lineRule="auto"/>
        <w:jc w:val="both"/>
        <w:rPr/>
      </w:pPr>
      <w:r w:rsidDel="00000000" w:rsidR="00000000" w:rsidRPr="00000000">
        <w:rPr>
          <w:rtl w:val="0"/>
        </w:rPr>
      </w:r>
    </w:p>
    <w:p w:rsidR="00000000" w:rsidDel="00000000" w:rsidP="00000000" w:rsidRDefault="00000000" w:rsidRPr="00000000" w14:paraId="00000067">
      <w:pPr>
        <w:spacing w:line="360" w:lineRule="auto"/>
        <w:jc w:val="both"/>
        <w:rPr/>
      </w:pPr>
      <w:r w:rsidDel="00000000" w:rsidR="00000000" w:rsidRPr="00000000">
        <w:rPr>
          <w:rFonts w:ascii="Arial" w:cs="Arial" w:eastAsia="Arial" w:hAnsi="Arial"/>
          <w:b w:val="1"/>
          <w:rtl w:val="0"/>
        </w:rPr>
        <w:t xml:space="preserve">Absorption costing: </w:t>
      </w:r>
      <w:r w:rsidDel="00000000" w:rsidR="00000000" w:rsidRPr="00000000">
        <w:rPr>
          <w:rtl w:val="0"/>
        </w:rPr>
      </w:r>
    </w:p>
    <w:p w:rsidR="00000000" w:rsidDel="00000000" w:rsidP="00000000" w:rsidRDefault="00000000" w:rsidRPr="00000000" w14:paraId="00000068">
      <w:pPr>
        <w:spacing w:line="360" w:lineRule="auto"/>
        <w:jc w:val="both"/>
        <w:rPr>
          <w:rFonts w:ascii="Arial" w:cs="Arial" w:eastAsia="Arial" w:hAnsi="Arial"/>
        </w:rPr>
      </w:pPr>
      <w:r w:rsidDel="00000000" w:rsidR="00000000" w:rsidRPr="00000000">
        <w:rPr>
          <w:rFonts w:ascii="Arial" w:cs="Arial" w:eastAsia="Arial" w:hAnsi="Arial"/>
          <w:rtl w:val="0"/>
        </w:rPr>
        <w:t xml:space="preserve">Absorption costing is another inventory valuation method that considers all production costs for valuing inventories. In the absorption costing method fixed costs are absorbed into each unit and are treated as product costs instead of period costs to determine profit (Cohen, 2020). There are various ways in which production or fixed overheads are absorbed into each unit produced and the absorption method might differ from organization to organization. For determining overhead absorption rate production overhead is divided by activity level. Per unit, per labour hour, per machine hour, % of direct labour costs, % of direct material costs and % of the prime cost are some of the approved bases for activity level. An organization can use any method it likes or assumes to be appropriate for treating its fixed costs as long as it is allowed by international law or accounting bodies (Desai, and Mital, 2018). For example, if an organization produces similar products it can use the per unit basis for calculating overhead absorption rate, per labour hour can be used for an organization that has labour-intensive cost centres et cetera. </w:t>
      </w:r>
    </w:p>
    <w:p w:rsidR="00000000" w:rsidDel="00000000" w:rsidP="00000000" w:rsidRDefault="00000000" w:rsidRPr="00000000" w14:paraId="00000069">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Differences</w:t>
      </w:r>
    </w:p>
    <w:tbl>
      <w:tblPr>
        <w:tblStyle w:val="Table1"/>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80"/>
        <w:gridCol w:w="3081"/>
        <w:gridCol w:w="3081"/>
        <w:tblGridChange w:id="0">
          <w:tblGrid>
            <w:gridCol w:w="3080"/>
            <w:gridCol w:w="3081"/>
            <w:gridCol w:w="3081"/>
          </w:tblGrid>
        </w:tblGridChange>
      </w:tblGrid>
      <w:tr>
        <w:trPr>
          <w:cantSplit w:val="0"/>
          <w:tblHeader w:val="0"/>
        </w:trPr>
        <w:tc>
          <w:tcPr/>
          <w:p w:rsidR="00000000" w:rsidDel="00000000" w:rsidP="00000000" w:rsidRDefault="00000000" w:rsidRPr="00000000" w14:paraId="0000006A">
            <w:pPr>
              <w:tabs>
                <w:tab w:val="left" w:leader="none" w:pos="1860"/>
              </w:tabs>
              <w:spacing w:line="360" w:lineRule="auto"/>
              <w:jc w:val="both"/>
              <w:rPr>
                <w:rFonts w:ascii="Arial" w:cs="Arial" w:eastAsia="Arial" w:hAnsi="Arial"/>
                <w:b w:val="1"/>
                <w:color w:val="1f3864"/>
              </w:rPr>
            </w:pPr>
            <w:r w:rsidDel="00000000" w:rsidR="00000000" w:rsidRPr="00000000">
              <w:rPr>
                <w:rFonts w:ascii="Arial" w:cs="Arial" w:eastAsia="Arial" w:hAnsi="Arial"/>
                <w:b w:val="1"/>
                <w:color w:val="1f3864"/>
                <w:rtl w:val="0"/>
              </w:rPr>
              <w:t xml:space="preserve">Differences</w:t>
              <w:tab/>
            </w:r>
          </w:p>
        </w:tc>
        <w:tc>
          <w:tcPr/>
          <w:p w:rsidR="00000000" w:rsidDel="00000000" w:rsidP="00000000" w:rsidRDefault="00000000" w:rsidRPr="00000000" w14:paraId="0000006B">
            <w:pPr>
              <w:spacing w:line="360" w:lineRule="auto"/>
              <w:jc w:val="both"/>
              <w:rPr>
                <w:rFonts w:ascii="Arial" w:cs="Arial" w:eastAsia="Arial" w:hAnsi="Arial"/>
                <w:b w:val="1"/>
                <w:color w:val="1f3864"/>
              </w:rPr>
            </w:pPr>
            <w:r w:rsidDel="00000000" w:rsidR="00000000" w:rsidRPr="00000000">
              <w:rPr>
                <w:rFonts w:ascii="Arial" w:cs="Arial" w:eastAsia="Arial" w:hAnsi="Arial"/>
                <w:b w:val="1"/>
                <w:color w:val="1f3864"/>
                <w:rtl w:val="0"/>
              </w:rPr>
              <w:t xml:space="preserve">Absorption costing</w:t>
            </w:r>
          </w:p>
        </w:tc>
        <w:tc>
          <w:tcPr/>
          <w:p w:rsidR="00000000" w:rsidDel="00000000" w:rsidP="00000000" w:rsidRDefault="00000000" w:rsidRPr="00000000" w14:paraId="0000006C">
            <w:pPr>
              <w:spacing w:line="360" w:lineRule="auto"/>
              <w:jc w:val="both"/>
              <w:rPr>
                <w:rFonts w:ascii="Arial" w:cs="Arial" w:eastAsia="Arial" w:hAnsi="Arial"/>
                <w:b w:val="1"/>
                <w:color w:val="1f3864"/>
              </w:rPr>
            </w:pPr>
            <w:r w:rsidDel="00000000" w:rsidR="00000000" w:rsidRPr="00000000">
              <w:rPr>
                <w:rFonts w:ascii="Arial" w:cs="Arial" w:eastAsia="Arial" w:hAnsi="Arial"/>
                <w:b w:val="1"/>
                <w:color w:val="1f3864"/>
                <w:rtl w:val="0"/>
              </w:rPr>
              <w:t xml:space="preserve">Marginal costing</w:t>
            </w:r>
          </w:p>
        </w:tc>
      </w:tr>
      <w:tr>
        <w:trPr>
          <w:cantSplit w:val="0"/>
          <w:tblHeader w:val="0"/>
        </w:trPr>
        <w:tc>
          <w:tcPr/>
          <w:p w:rsidR="00000000" w:rsidDel="00000000" w:rsidP="00000000" w:rsidRDefault="00000000" w:rsidRPr="00000000" w14:paraId="0000006D">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Valuation process</w:t>
            </w:r>
          </w:p>
        </w:tc>
        <w:tc>
          <w:tcPr/>
          <w:p w:rsidR="00000000" w:rsidDel="00000000" w:rsidP="00000000" w:rsidRDefault="00000000" w:rsidRPr="00000000" w14:paraId="0000006E">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will have to absorb fixed costs in each unit of product produced and sold to determine profit. </w:t>
            </w:r>
          </w:p>
          <w:p w:rsidR="00000000" w:rsidDel="00000000" w:rsidP="00000000" w:rsidRDefault="00000000" w:rsidRPr="00000000" w14:paraId="0000006F">
            <w:pPr>
              <w:spacing w:line="360" w:lineRule="auto"/>
              <w:jc w:val="both"/>
              <w:rPr>
                <w:rFonts w:ascii="Arial" w:cs="Arial" w:eastAsia="Arial" w:hAnsi="Arial"/>
                <w:color w:val="1f3864"/>
              </w:rPr>
            </w:pPr>
            <w:r w:rsidDel="00000000" w:rsidR="00000000" w:rsidRPr="00000000">
              <w:rPr>
                <w:rtl w:val="0"/>
              </w:rPr>
            </w:r>
          </w:p>
        </w:tc>
        <w:tc>
          <w:tcPr/>
          <w:p w:rsidR="00000000" w:rsidDel="00000000" w:rsidP="00000000" w:rsidRDefault="00000000" w:rsidRPr="00000000" w14:paraId="00000070">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Using the marginal costing method Mobility Global will subtract variable costs from revenue and will determine contribution. It determines profit by subtracting fixed costs from contribution.</w:t>
            </w:r>
          </w:p>
          <w:p w:rsidR="00000000" w:rsidDel="00000000" w:rsidP="00000000" w:rsidRDefault="00000000" w:rsidRPr="00000000" w14:paraId="00000071">
            <w:pPr>
              <w:spacing w:line="360" w:lineRule="auto"/>
              <w:jc w:val="both"/>
              <w:rPr>
                <w:rFonts w:ascii="Arial" w:cs="Arial" w:eastAsia="Arial" w:hAnsi="Arial"/>
                <w:color w:val="1f3864"/>
              </w:rPr>
            </w:pPr>
            <w:r w:rsidDel="00000000" w:rsidR="00000000" w:rsidRPr="00000000">
              <w:rPr>
                <w:rtl w:val="0"/>
              </w:rPr>
            </w:r>
          </w:p>
        </w:tc>
      </w:tr>
      <w:tr>
        <w:trPr>
          <w:cantSplit w:val="0"/>
          <w:tblHeader w:val="0"/>
        </w:trPr>
        <w:tc>
          <w:tcPr/>
          <w:p w:rsidR="00000000" w:rsidDel="00000000" w:rsidP="00000000" w:rsidRDefault="00000000" w:rsidRPr="00000000" w14:paraId="00000072">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Production overheads</w:t>
            </w:r>
          </w:p>
        </w:tc>
        <w:tc>
          <w:tcPr/>
          <w:p w:rsidR="00000000" w:rsidDel="00000000" w:rsidP="00000000" w:rsidRDefault="00000000" w:rsidRPr="00000000" w14:paraId="00000073">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Under absorption costing, method Mobility Global will associate both variable and fixed costs with each unit produced.</w:t>
            </w:r>
          </w:p>
        </w:tc>
        <w:tc>
          <w:tcPr/>
          <w:p w:rsidR="00000000" w:rsidDel="00000000" w:rsidP="00000000" w:rsidRDefault="00000000" w:rsidRPr="00000000" w14:paraId="00000074">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can associate only variable costs with each product and has to treat fixed costs as period costs.</w:t>
            </w:r>
          </w:p>
        </w:tc>
      </w:tr>
      <w:tr>
        <w:trPr>
          <w:cantSplit w:val="0"/>
          <w:tblHeader w:val="0"/>
        </w:trPr>
        <w:tc>
          <w:tcPr/>
          <w:p w:rsidR="00000000" w:rsidDel="00000000" w:rsidP="00000000" w:rsidRDefault="00000000" w:rsidRPr="00000000" w14:paraId="00000075">
            <w:pPr>
              <w:spacing w:line="360" w:lineRule="auto"/>
              <w:jc w:val="both"/>
              <w:rPr>
                <w:rFonts w:ascii="Arial" w:cs="Arial" w:eastAsia="Arial" w:hAnsi="Arial"/>
                <w:color w:val="1f3864"/>
              </w:rPr>
            </w:pPr>
            <w:r w:rsidDel="00000000" w:rsidR="00000000" w:rsidRPr="00000000">
              <w:rPr>
                <w:rtl w:val="0"/>
              </w:rPr>
            </w:r>
          </w:p>
        </w:tc>
        <w:tc>
          <w:tcPr/>
          <w:p w:rsidR="00000000" w:rsidDel="00000000" w:rsidP="00000000" w:rsidRDefault="00000000" w:rsidRPr="00000000" w14:paraId="00000076">
            <w:pPr>
              <w:spacing w:line="360" w:lineRule="auto"/>
              <w:jc w:val="both"/>
              <w:rPr>
                <w:rFonts w:ascii="Arial" w:cs="Arial" w:eastAsia="Arial" w:hAnsi="Arial"/>
                <w:color w:val="1f3864"/>
              </w:rPr>
            </w:pPr>
            <w:r w:rsidDel="00000000" w:rsidR="00000000" w:rsidRPr="00000000">
              <w:rPr>
                <w:rtl w:val="0"/>
              </w:rPr>
            </w:r>
          </w:p>
        </w:tc>
        <w:tc>
          <w:tcPr/>
          <w:p w:rsidR="00000000" w:rsidDel="00000000" w:rsidP="00000000" w:rsidRDefault="00000000" w:rsidRPr="00000000" w14:paraId="00000077">
            <w:pPr>
              <w:spacing w:line="360" w:lineRule="auto"/>
              <w:jc w:val="both"/>
              <w:rPr>
                <w:rFonts w:ascii="Arial" w:cs="Arial" w:eastAsia="Arial" w:hAnsi="Arial"/>
                <w:color w:val="1f3864"/>
              </w:rPr>
            </w:pPr>
            <w:r w:rsidDel="00000000" w:rsidR="00000000" w:rsidRPr="00000000">
              <w:rPr>
                <w:rtl w:val="0"/>
              </w:rPr>
            </w:r>
          </w:p>
        </w:tc>
      </w:tr>
      <w:tr>
        <w:trPr>
          <w:cantSplit w:val="0"/>
          <w:tblHeader w:val="0"/>
        </w:trPr>
        <w:tc>
          <w:tcPr/>
          <w:p w:rsidR="00000000" w:rsidDel="00000000" w:rsidP="00000000" w:rsidRDefault="00000000" w:rsidRPr="00000000" w14:paraId="00000078">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Compliance</w:t>
            </w:r>
          </w:p>
        </w:tc>
        <w:tc>
          <w:tcPr/>
          <w:p w:rsidR="00000000" w:rsidDel="00000000" w:rsidP="00000000" w:rsidRDefault="00000000" w:rsidRPr="00000000" w14:paraId="00000079">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By adopting the absorption costing method Mobility Global will comply with IAS2</w:t>
            </w:r>
          </w:p>
        </w:tc>
        <w:tc>
          <w:tcPr/>
          <w:p w:rsidR="00000000" w:rsidDel="00000000" w:rsidP="00000000" w:rsidRDefault="00000000" w:rsidRPr="00000000" w14:paraId="0000007A">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By adopting the marginal costing method Mobility Global will not be able to comply with IAS2</w:t>
            </w:r>
          </w:p>
        </w:tc>
      </w:tr>
      <w:tr>
        <w:trPr>
          <w:cantSplit w:val="0"/>
          <w:tblHeader w:val="0"/>
        </w:trPr>
        <w:tc>
          <w:tcPr/>
          <w:p w:rsidR="00000000" w:rsidDel="00000000" w:rsidP="00000000" w:rsidRDefault="00000000" w:rsidRPr="00000000" w14:paraId="0000007B">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Classification of costs or overheads</w:t>
            </w:r>
          </w:p>
        </w:tc>
        <w:tc>
          <w:tcPr/>
          <w:p w:rsidR="00000000" w:rsidDel="00000000" w:rsidP="00000000" w:rsidRDefault="00000000" w:rsidRPr="00000000" w14:paraId="0000007C">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can classify its costs as Production, administration, selling and distribution overheads if it uses the absorption costing method (Drury, 2021). </w:t>
            </w:r>
          </w:p>
        </w:tc>
        <w:tc>
          <w:tcPr/>
          <w:p w:rsidR="00000000" w:rsidDel="00000000" w:rsidP="00000000" w:rsidRDefault="00000000" w:rsidRPr="00000000" w14:paraId="0000007D">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will classify all costs as either variable or fixed costs if it adopts the marginal costing method.</w:t>
            </w:r>
          </w:p>
        </w:tc>
      </w:tr>
      <w:tr>
        <w:trPr>
          <w:cantSplit w:val="0"/>
          <w:tblHeader w:val="0"/>
        </w:trPr>
        <w:tc>
          <w:tcPr/>
          <w:p w:rsidR="00000000" w:rsidDel="00000000" w:rsidP="00000000" w:rsidRDefault="00000000" w:rsidRPr="00000000" w14:paraId="0000007E">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Appropriateness</w:t>
            </w:r>
          </w:p>
        </w:tc>
        <w:tc>
          <w:tcPr/>
          <w:p w:rsidR="00000000" w:rsidDel="00000000" w:rsidP="00000000" w:rsidRDefault="00000000" w:rsidRPr="00000000" w14:paraId="0000007F">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should use the absorption costing method for stock valuation.  </w:t>
            </w:r>
          </w:p>
        </w:tc>
        <w:tc>
          <w:tcPr/>
          <w:p w:rsidR="00000000" w:rsidDel="00000000" w:rsidP="00000000" w:rsidRDefault="00000000" w:rsidRPr="00000000" w14:paraId="00000080">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should use the marginal costing method to help it make decisions. </w:t>
            </w:r>
          </w:p>
        </w:tc>
      </w:tr>
      <w:tr>
        <w:trPr>
          <w:cantSplit w:val="0"/>
          <w:tblHeader w:val="0"/>
        </w:trPr>
        <w:tc>
          <w:tcPr/>
          <w:p w:rsidR="00000000" w:rsidDel="00000000" w:rsidP="00000000" w:rsidRDefault="00000000" w:rsidRPr="00000000" w14:paraId="00000081">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Reporting</w:t>
            </w:r>
          </w:p>
        </w:tc>
        <w:tc>
          <w:tcPr/>
          <w:p w:rsidR="00000000" w:rsidDel="00000000" w:rsidP="00000000" w:rsidRDefault="00000000" w:rsidRPr="00000000" w14:paraId="00000082">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For external reporting, Mobility Global can use the absorption costing method</w:t>
            </w:r>
          </w:p>
        </w:tc>
        <w:tc>
          <w:tcPr/>
          <w:p w:rsidR="00000000" w:rsidDel="00000000" w:rsidP="00000000" w:rsidRDefault="00000000" w:rsidRPr="00000000" w14:paraId="00000083">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For internal reporting, Mobility Global can use marginal costing. </w:t>
            </w:r>
          </w:p>
        </w:tc>
      </w:tr>
      <w:tr>
        <w:trPr>
          <w:cantSplit w:val="0"/>
          <w:tblHeader w:val="0"/>
        </w:trPr>
        <w:tc>
          <w:tcPr/>
          <w:p w:rsidR="00000000" w:rsidDel="00000000" w:rsidP="00000000" w:rsidRDefault="00000000" w:rsidRPr="00000000" w14:paraId="00000084">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Inventory </w:t>
            </w:r>
          </w:p>
        </w:tc>
        <w:tc>
          <w:tcPr/>
          <w:p w:rsidR="00000000" w:rsidDel="00000000" w:rsidP="00000000" w:rsidRDefault="00000000" w:rsidRPr="00000000" w14:paraId="00000085">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will report higher profit under this method If the level of inventory goes up. </w:t>
            </w:r>
          </w:p>
        </w:tc>
        <w:tc>
          <w:tcPr/>
          <w:p w:rsidR="00000000" w:rsidDel="00000000" w:rsidP="00000000" w:rsidRDefault="00000000" w:rsidRPr="00000000" w14:paraId="00000086">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will report higher profits using the marginal costing method, If the level of inventory goes down (Goel, 2019).</w:t>
            </w:r>
          </w:p>
        </w:tc>
      </w:tr>
      <w:tr>
        <w:trPr>
          <w:cantSplit w:val="0"/>
          <w:tblHeader w:val="0"/>
        </w:trPr>
        <w:tc>
          <w:tcPr/>
          <w:p w:rsidR="00000000" w:rsidDel="00000000" w:rsidP="00000000" w:rsidRDefault="00000000" w:rsidRPr="00000000" w14:paraId="00000087">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Measurement</w:t>
            </w:r>
          </w:p>
        </w:tc>
        <w:tc>
          <w:tcPr/>
          <w:p w:rsidR="00000000" w:rsidDel="00000000" w:rsidP="00000000" w:rsidRDefault="00000000" w:rsidRPr="00000000" w14:paraId="00000088">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While measuring the reported profit of Mobility Global will be reduced or affected by fixed costs.</w:t>
            </w:r>
          </w:p>
        </w:tc>
        <w:tc>
          <w:tcPr/>
          <w:p w:rsidR="00000000" w:rsidDel="00000000" w:rsidP="00000000" w:rsidRDefault="00000000" w:rsidRPr="00000000" w14:paraId="00000089">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Mobility Global will have to use the P/v ratio to measure profitability in this method (Seal, 2018).</w:t>
            </w:r>
          </w:p>
        </w:tc>
      </w:tr>
    </w:tbl>
    <w:p w:rsidR="00000000" w:rsidDel="00000000" w:rsidP="00000000" w:rsidRDefault="00000000" w:rsidRPr="00000000" w14:paraId="0000008A">
      <w:pPr>
        <w:rPr>
          <w:b w:val="1"/>
        </w:rPr>
      </w:pPr>
      <w:bookmarkStart w:colFirst="0" w:colLast="0" w:name="_1fob9te" w:id="2"/>
      <w:bookmarkEnd w:id="2"/>
      <w:r w:rsidDel="00000000" w:rsidR="00000000" w:rsidRPr="00000000">
        <w:br w:type="page"/>
      </w:r>
      <w:r w:rsidDel="00000000" w:rsidR="00000000" w:rsidRPr="00000000">
        <w:rPr>
          <w:b w:val="1"/>
          <w:rtl w:val="0"/>
        </w:rPr>
        <w:t xml:space="preserve">1.2 </w:t>
      </w:r>
      <w:r w:rsidDel="00000000" w:rsidR="00000000" w:rsidRPr="00000000">
        <w:rPr>
          <w:b w:val="1"/>
          <w:i w:val="1"/>
          <w:rtl w:val="0"/>
        </w:rPr>
        <w:t xml:space="preserve">Marginal Costing Statement for December 2022</w:t>
      </w:r>
      <w:r w:rsidDel="00000000" w:rsidR="00000000" w:rsidRPr="00000000">
        <w:rPr>
          <w:rtl w:val="0"/>
        </w:rPr>
      </w:r>
    </w:p>
    <w:tbl>
      <w:tblPr>
        <w:tblStyle w:val="Table2"/>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57"/>
        <w:gridCol w:w="1515"/>
        <w:gridCol w:w="1442"/>
        <w:gridCol w:w="1153"/>
        <w:gridCol w:w="2275"/>
        <w:tblGridChange w:id="0">
          <w:tblGrid>
            <w:gridCol w:w="2857"/>
            <w:gridCol w:w="1515"/>
            <w:gridCol w:w="1442"/>
            <w:gridCol w:w="1153"/>
            <w:gridCol w:w="2275"/>
          </w:tblGrid>
        </w:tblGridChange>
      </w:tblGrid>
      <w:tr>
        <w:trPr>
          <w:cantSplit w:val="0"/>
          <w:tblHeader w:val="0"/>
        </w:trPr>
        <w:tc>
          <w:tcPr/>
          <w:p w:rsidR="00000000" w:rsidDel="00000000" w:rsidP="00000000" w:rsidRDefault="00000000" w:rsidRPr="00000000" w14:paraId="0000008B">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Particulars</w:t>
            </w:r>
          </w:p>
        </w:tc>
        <w:tc>
          <w:tcPr/>
          <w:p w:rsidR="00000000" w:rsidDel="00000000" w:rsidP="00000000" w:rsidRDefault="00000000" w:rsidRPr="00000000" w14:paraId="0000008C">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Wheelchairs</w:t>
            </w:r>
          </w:p>
        </w:tc>
        <w:tc>
          <w:tcPr/>
          <w:p w:rsidR="00000000" w:rsidDel="00000000" w:rsidP="00000000" w:rsidRDefault="00000000" w:rsidRPr="00000000" w14:paraId="0000008D">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Hoists</w:t>
            </w:r>
          </w:p>
        </w:tc>
        <w:tc>
          <w:tcPr/>
          <w:p w:rsidR="00000000" w:rsidDel="00000000" w:rsidP="00000000" w:rsidRDefault="00000000" w:rsidRPr="00000000" w14:paraId="0000008E">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Mobile Beds</w:t>
            </w:r>
          </w:p>
        </w:tc>
        <w:tc>
          <w:tcPr/>
          <w:p w:rsidR="00000000" w:rsidDel="00000000" w:rsidP="00000000" w:rsidRDefault="00000000" w:rsidRPr="00000000" w14:paraId="0000008F">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Total</w:t>
            </w:r>
          </w:p>
        </w:tc>
      </w:tr>
      <w:tr>
        <w:trPr>
          <w:cantSplit w:val="0"/>
          <w:tblHeader w:val="0"/>
        </w:trPr>
        <w:tc>
          <w:tcPr/>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Selling price (Cohen, 2020).</w:t>
            </w:r>
          </w:p>
        </w:tc>
        <w:tc>
          <w:tcPr/>
          <w:p w:rsidR="00000000" w:rsidDel="00000000" w:rsidP="00000000" w:rsidRDefault="00000000" w:rsidRPr="00000000" w14:paraId="00000091">
            <w:pPr>
              <w:spacing w:line="360" w:lineRule="auto"/>
              <w:jc w:val="both"/>
              <w:rPr>
                <w:rFonts w:ascii="Arial" w:cs="Arial" w:eastAsia="Arial" w:hAnsi="Arial"/>
              </w:rPr>
            </w:pPr>
            <w:r w:rsidDel="00000000" w:rsidR="00000000" w:rsidRPr="00000000">
              <w:rPr>
                <w:rFonts w:ascii="Arial" w:cs="Arial" w:eastAsia="Arial" w:hAnsi="Arial"/>
                <w:rtl w:val="0"/>
              </w:rPr>
              <w:t xml:space="preserve">503</w:t>
            </w:r>
          </w:p>
        </w:tc>
        <w:tc>
          <w:tcPr/>
          <w:p w:rsidR="00000000" w:rsidDel="00000000" w:rsidP="00000000" w:rsidRDefault="00000000" w:rsidRPr="00000000" w14:paraId="00000092">
            <w:pPr>
              <w:spacing w:line="360" w:lineRule="auto"/>
              <w:jc w:val="both"/>
              <w:rPr>
                <w:rFonts w:ascii="Arial" w:cs="Arial" w:eastAsia="Arial" w:hAnsi="Arial"/>
              </w:rPr>
            </w:pPr>
            <w:r w:rsidDel="00000000" w:rsidR="00000000" w:rsidRPr="00000000">
              <w:rPr>
                <w:rFonts w:ascii="Arial" w:cs="Arial" w:eastAsia="Arial" w:hAnsi="Arial"/>
                <w:rtl w:val="0"/>
              </w:rPr>
              <w:t xml:space="preserve">200</w:t>
            </w:r>
          </w:p>
        </w:tc>
        <w:tc>
          <w:tcPr/>
          <w:p w:rsidR="00000000" w:rsidDel="00000000" w:rsidP="00000000" w:rsidRDefault="00000000" w:rsidRPr="00000000" w14:paraId="00000093">
            <w:pPr>
              <w:spacing w:line="360" w:lineRule="auto"/>
              <w:jc w:val="both"/>
              <w:rPr>
                <w:rFonts w:ascii="Arial" w:cs="Arial" w:eastAsia="Arial" w:hAnsi="Arial"/>
              </w:rPr>
            </w:pPr>
            <w:r w:rsidDel="00000000" w:rsidR="00000000" w:rsidRPr="00000000">
              <w:rPr>
                <w:rFonts w:ascii="Arial" w:cs="Arial" w:eastAsia="Arial" w:hAnsi="Arial"/>
                <w:rtl w:val="0"/>
              </w:rPr>
              <w:t xml:space="preserve">251</w:t>
            </w:r>
          </w:p>
        </w:tc>
        <w:tc>
          <w:tcPr/>
          <w:p w:rsidR="00000000" w:rsidDel="00000000" w:rsidP="00000000" w:rsidRDefault="00000000" w:rsidRPr="00000000" w14:paraId="00000094">
            <w:pPr>
              <w:spacing w:line="360" w:lineRule="auto"/>
              <w:jc w:val="both"/>
              <w:rPr>
                <w:rFonts w:ascii="Arial" w:cs="Arial" w:eastAsia="Arial" w:hAnsi="Arial"/>
                <w:b w:val="1"/>
                <w:i w:val="1"/>
                <w:color w:val="1f3864"/>
              </w:rPr>
            </w:pPr>
            <w:r w:rsidDel="00000000" w:rsidR="00000000" w:rsidRPr="00000000">
              <w:rPr>
                <w:rFonts w:ascii="Arial" w:cs="Arial" w:eastAsia="Arial" w:hAnsi="Arial"/>
                <w:b w:val="1"/>
                <w:i w:val="1"/>
                <w:color w:val="1f3864"/>
                <w:rtl w:val="0"/>
              </w:rPr>
              <w:t xml:space="preserve">276</w:t>
            </w:r>
          </w:p>
        </w:tc>
      </w:tr>
      <w:tr>
        <w:trPr>
          <w:cantSplit w:val="0"/>
          <w:tblHeader w:val="0"/>
        </w:trPr>
        <w:tc>
          <w:tcPr/>
          <w:p w:rsidR="00000000" w:rsidDel="00000000" w:rsidP="00000000" w:rsidRDefault="00000000" w:rsidRPr="00000000" w14:paraId="00000095">
            <w:pPr>
              <w:spacing w:line="360" w:lineRule="auto"/>
              <w:jc w:val="both"/>
              <w:rPr>
                <w:rFonts w:ascii="Arial" w:cs="Arial" w:eastAsia="Arial" w:hAnsi="Arial"/>
              </w:rPr>
            </w:pPr>
            <w:r w:rsidDel="00000000" w:rsidR="00000000" w:rsidRPr="00000000">
              <w:rPr>
                <w:rFonts w:ascii="Arial" w:cs="Arial" w:eastAsia="Arial" w:hAnsi="Arial"/>
                <w:rtl w:val="0"/>
              </w:rPr>
              <w:t xml:space="preserve">Less: Direct Material (£)</w:t>
            </w:r>
          </w:p>
        </w:tc>
        <w:tc>
          <w:tcPr/>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Fonts w:ascii="Arial" w:cs="Arial" w:eastAsia="Arial" w:hAnsi="Arial"/>
                <w:rtl w:val="0"/>
              </w:rPr>
              <w:t xml:space="preserve">(116)</w:t>
            </w:r>
          </w:p>
        </w:tc>
        <w:tc>
          <w:tcPr/>
          <w:p w:rsidR="00000000" w:rsidDel="00000000" w:rsidP="00000000" w:rsidRDefault="00000000" w:rsidRPr="00000000" w14:paraId="00000097">
            <w:pPr>
              <w:spacing w:line="360" w:lineRule="auto"/>
              <w:jc w:val="both"/>
              <w:rPr>
                <w:rFonts w:ascii="Arial" w:cs="Arial" w:eastAsia="Arial" w:hAnsi="Arial"/>
              </w:rPr>
            </w:pPr>
            <w:r w:rsidDel="00000000" w:rsidR="00000000" w:rsidRPr="00000000">
              <w:rPr>
                <w:rFonts w:ascii="Arial" w:cs="Arial" w:eastAsia="Arial" w:hAnsi="Arial"/>
                <w:rtl w:val="0"/>
              </w:rPr>
              <w:t xml:space="preserve">(74)</w:t>
            </w:r>
          </w:p>
        </w:tc>
        <w:tc>
          <w:tcPr/>
          <w:p w:rsidR="00000000" w:rsidDel="00000000" w:rsidP="00000000" w:rsidRDefault="00000000" w:rsidRPr="00000000" w14:paraId="00000098">
            <w:pPr>
              <w:spacing w:line="360" w:lineRule="auto"/>
              <w:jc w:val="both"/>
              <w:rPr>
                <w:rFonts w:ascii="Arial" w:cs="Arial" w:eastAsia="Arial" w:hAnsi="Arial"/>
              </w:rPr>
            </w:pPr>
            <w:r w:rsidDel="00000000" w:rsidR="00000000" w:rsidRPr="00000000">
              <w:rPr>
                <w:rFonts w:ascii="Arial" w:cs="Arial" w:eastAsia="Arial" w:hAnsi="Arial"/>
                <w:rtl w:val="0"/>
              </w:rPr>
              <w:t xml:space="preserve">(120)</w:t>
            </w:r>
          </w:p>
        </w:tc>
        <w:tc>
          <w:tcPr/>
          <w:p w:rsidR="00000000" w:rsidDel="00000000" w:rsidP="00000000" w:rsidRDefault="00000000" w:rsidRPr="00000000" w14:paraId="00000099">
            <w:pPr>
              <w:spacing w:line="360" w:lineRule="auto"/>
              <w:jc w:val="both"/>
              <w:rPr>
                <w:rFonts w:ascii="Arial" w:cs="Arial" w:eastAsia="Arial" w:hAnsi="Arial"/>
                <w:b w:val="1"/>
                <w:i w:val="1"/>
                <w:color w:val="1f3864"/>
              </w:rPr>
            </w:pPr>
            <w:r w:rsidDel="00000000" w:rsidR="00000000" w:rsidRPr="00000000">
              <w:rPr>
                <w:rFonts w:ascii="Arial" w:cs="Arial" w:eastAsia="Arial" w:hAnsi="Arial"/>
                <w:b w:val="1"/>
                <w:i w:val="1"/>
                <w:color w:val="1f3864"/>
                <w:rtl w:val="0"/>
              </w:rPr>
              <w:t xml:space="preserve">(99)</w:t>
            </w:r>
          </w:p>
        </w:tc>
      </w:tr>
      <w:tr>
        <w:trPr>
          <w:cantSplit w:val="0"/>
          <w:tblHeader w:val="0"/>
        </w:trPr>
        <w:tc>
          <w:tcPr/>
          <w:p w:rsidR="00000000" w:rsidDel="00000000" w:rsidP="00000000" w:rsidRDefault="00000000" w:rsidRPr="00000000" w14:paraId="0000009A">
            <w:pPr>
              <w:spacing w:line="360" w:lineRule="auto"/>
              <w:jc w:val="both"/>
              <w:rPr>
                <w:rFonts w:ascii="Arial" w:cs="Arial" w:eastAsia="Arial" w:hAnsi="Arial"/>
              </w:rPr>
            </w:pPr>
            <w:r w:rsidDel="00000000" w:rsidR="00000000" w:rsidRPr="00000000">
              <w:rPr>
                <w:rFonts w:ascii="Arial" w:cs="Arial" w:eastAsia="Arial" w:hAnsi="Arial"/>
                <w:rtl w:val="0"/>
              </w:rPr>
              <w:t xml:space="preserve">Less: Direct Labour (£)</w:t>
            </w:r>
          </w:p>
        </w:tc>
        <w:tc>
          <w:tcPr/>
          <w:p w:rsidR="00000000" w:rsidDel="00000000" w:rsidP="00000000" w:rsidRDefault="00000000" w:rsidRPr="00000000" w14:paraId="0000009B">
            <w:pPr>
              <w:spacing w:line="360" w:lineRule="auto"/>
              <w:jc w:val="both"/>
              <w:rPr>
                <w:rFonts w:ascii="Arial" w:cs="Arial" w:eastAsia="Arial" w:hAnsi="Arial"/>
              </w:rPr>
            </w:pPr>
            <w:r w:rsidDel="00000000" w:rsidR="00000000" w:rsidRPr="00000000">
              <w:rPr>
                <w:rFonts w:ascii="Arial" w:cs="Arial" w:eastAsia="Arial" w:hAnsi="Arial"/>
                <w:rtl w:val="0"/>
              </w:rPr>
              <w:t xml:space="preserve">(156)</w:t>
            </w:r>
          </w:p>
        </w:tc>
        <w:tc>
          <w:tcPr/>
          <w:p w:rsidR="00000000" w:rsidDel="00000000" w:rsidP="00000000" w:rsidRDefault="00000000" w:rsidRPr="00000000" w14:paraId="0000009C">
            <w:pPr>
              <w:spacing w:line="360" w:lineRule="auto"/>
              <w:jc w:val="both"/>
              <w:rPr>
                <w:rFonts w:ascii="Arial" w:cs="Arial" w:eastAsia="Arial" w:hAnsi="Arial"/>
              </w:rPr>
            </w:pPr>
            <w:r w:rsidDel="00000000" w:rsidR="00000000" w:rsidRPr="00000000">
              <w:rPr>
                <w:rFonts w:ascii="Arial" w:cs="Arial" w:eastAsia="Arial" w:hAnsi="Arial"/>
                <w:rtl w:val="0"/>
              </w:rPr>
              <w:t xml:space="preserve">(84)</w:t>
            </w:r>
          </w:p>
        </w:tc>
        <w:tc>
          <w:tcPr/>
          <w:p w:rsidR="00000000" w:rsidDel="00000000" w:rsidP="00000000" w:rsidRDefault="00000000" w:rsidRPr="00000000" w14:paraId="0000009D">
            <w:pPr>
              <w:spacing w:line="360" w:lineRule="auto"/>
              <w:jc w:val="both"/>
              <w:rPr>
                <w:rFonts w:ascii="Arial" w:cs="Arial" w:eastAsia="Arial" w:hAnsi="Arial"/>
              </w:rPr>
            </w:pPr>
            <w:r w:rsidDel="00000000" w:rsidR="00000000" w:rsidRPr="00000000">
              <w:rPr>
                <w:rFonts w:ascii="Arial" w:cs="Arial" w:eastAsia="Arial" w:hAnsi="Arial"/>
                <w:rtl w:val="0"/>
              </w:rPr>
              <w:t xml:space="preserve">(88)</w:t>
            </w:r>
          </w:p>
        </w:tc>
        <w:tc>
          <w:tcPr/>
          <w:p w:rsidR="00000000" w:rsidDel="00000000" w:rsidP="00000000" w:rsidRDefault="00000000" w:rsidRPr="00000000" w14:paraId="0000009E">
            <w:pPr>
              <w:spacing w:line="360" w:lineRule="auto"/>
              <w:jc w:val="both"/>
              <w:rPr>
                <w:rFonts w:ascii="Arial" w:cs="Arial" w:eastAsia="Arial" w:hAnsi="Arial"/>
                <w:b w:val="1"/>
                <w:i w:val="1"/>
                <w:color w:val="1f3864"/>
              </w:rPr>
            </w:pPr>
            <w:r w:rsidDel="00000000" w:rsidR="00000000" w:rsidRPr="00000000">
              <w:rPr>
                <w:rFonts w:ascii="Arial" w:cs="Arial" w:eastAsia="Arial" w:hAnsi="Arial"/>
                <w:b w:val="1"/>
                <w:i w:val="1"/>
                <w:color w:val="1f3864"/>
                <w:rtl w:val="0"/>
              </w:rPr>
              <w:t xml:space="preserve">(99)</w:t>
            </w:r>
          </w:p>
        </w:tc>
      </w:tr>
      <w:tr>
        <w:trPr>
          <w:cantSplit w:val="0"/>
          <w:tblHeader w:val="0"/>
        </w:trPr>
        <w:tc>
          <w:tcPr/>
          <w:p w:rsidR="00000000" w:rsidDel="00000000" w:rsidP="00000000" w:rsidRDefault="00000000" w:rsidRPr="00000000" w14:paraId="0000009F">
            <w:pPr>
              <w:spacing w:line="360" w:lineRule="auto"/>
              <w:jc w:val="both"/>
              <w:rPr>
                <w:rFonts w:ascii="Arial" w:cs="Arial" w:eastAsia="Arial" w:hAnsi="Arial"/>
              </w:rPr>
            </w:pPr>
            <w:r w:rsidDel="00000000" w:rsidR="00000000" w:rsidRPr="00000000">
              <w:rPr>
                <w:rFonts w:ascii="Arial" w:cs="Arial" w:eastAsia="Arial" w:hAnsi="Arial"/>
                <w:rtl w:val="0"/>
              </w:rPr>
              <w:t xml:space="preserve">Less: Other variable expenses (£) (Bhimani, 2018).</w:t>
            </w:r>
          </w:p>
        </w:tc>
        <w:tc>
          <w:tcPr/>
          <w:p w:rsidR="00000000" w:rsidDel="00000000" w:rsidP="00000000" w:rsidRDefault="00000000" w:rsidRPr="00000000" w14:paraId="000000A0">
            <w:pPr>
              <w:spacing w:line="360" w:lineRule="auto"/>
              <w:jc w:val="both"/>
              <w:rPr>
                <w:rFonts w:ascii="Arial" w:cs="Arial" w:eastAsia="Arial" w:hAnsi="Arial"/>
              </w:rPr>
            </w:pPr>
            <w:r w:rsidDel="00000000" w:rsidR="00000000" w:rsidRPr="00000000">
              <w:rPr>
                <w:rFonts w:ascii="Arial" w:cs="Arial" w:eastAsia="Arial" w:hAnsi="Arial"/>
                <w:rtl w:val="0"/>
              </w:rPr>
              <w:t xml:space="preserve">(55)</w:t>
            </w:r>
          </w:p>
        </w:tc>
        <w:tc>
          <w:tcPr/>
          <w:p w:rsidR="00000000" w:rsidDel="00000000" w:rsidP="00000000" w:rsidRDefault="00000000" w:rsidRPr="00000000" w14:paraId="000000A1">
            <w:pPr>
              <w:spacing w:line="360" w:lineRule="auto"/>
              <w:jc w:val="both"/>
              <w:rPr>
                <w:rFonts w:ascii="Arial" w:cs="Arial" w:eastAsia="Arial" w:hAnsi="Arial"/>
              </w:rPr>
            </w:pPr>
            <w:r w:rsidDel="00000000" w:rsidR="00000000" w:rsidRPr="00000000">
              <w:rPr>
                <w:rFonts w:ascii="Arial" w:cs="Arial" w:eastAsia="Arial" w:hAnsi="Arial"/>
                <w:rtl w:val="0"/>
              </w:rPr>
              <w:t xml:space="preserve">(50)</w:t>
            </w:r>
          </w:p>
        </w:tc>
        <w:tc>
          <w:tcPr/>
          <w:p w:rsidR="00000000" w:rsidDel="00000000" w:rsidP="00000000" w:rsidRDefault="00000000" w:rsidRPr="00000000" w14:paraId="000000A2">
            <w:pPr>
              <w:spacing w:line="360" w:lineRule="auto"/>
              <w:jc w:val="both"/>
              <w:rPr>
                <w:rFonts w:ascii="Arial" w:cs="Arial" w:eastAsia="Arial" w:hAnsi="Arial"/>
              </w:rPr>
            </w:pPr>
            <w:r w:rsidDel="00000000" w:rsidR="00000000" w:rsidRPr="00000000">
              <w:rPr>
                <w:rFonts w:ascii="Arial" w:cs="Arial" w:eastAsia="Arial" w:hAnsi="Arial"/>
                <w:rtl w:val="0"/>
              </w:rPr>
              <w:t xml:space="preserve">(40)</w:t>
            </w:r>
          </w:p>
        </w:tc>
        <w:tc>
          <w:tcPr/>
          <w:p w:rsidR="00000000" w:rsidDel="00000000" w:rsidP="00000000" w:rsidRDefault="00000000" w:rsidRPr="00000000" w14:paraId="000000A3">
            <w:pPr>
              <w:spacing w:line="360" w:lineRule="auto"/>
              <w:jc w:val="both"/>
              <w:rPr>
                <w:rFonts w:ascii="Arial" w:cs="Arial" w:eastAsia="Arial" w:hAnsi="Arial"/>
                <w:b w:val="1"/>
                <w:i w:val="1"/>
                <w:color w:val="1f3864"/>
              </w:rPr>
            </w:pPr>
            <w:r w:rsidDel="00000000" w:rsidR="00000000" w:rsidRPr="00000000">
              <w:rPr>
                <w:rFonts w:ascii="Arial" w:cs="Arial" w:eastAsia="Arial" w:hAnsi="Arial"/>
                <w:b w:val="1"/>
                <w:i w:val="1"/>
                <w:color w:val="1f3864"/>
                <w:rtl w:val="0"/>
              </w:rPr>
              <w:t xml:space="preserve">(47)</w:t>
            </w:r>
          </w:p>
        </w:tc>
      </w:tr>
      <w:tr>
        <w:trPr>
          <w:cantSplit w:val="0"/>
          <w:tblHeader w:val="0"/>
        </w:trPr>
        <w:tc>
          <w:tcPr/>
          <w:p w:rsidR="00000000" w:rsidDel="00000000" w:rsidP="00000000" w:rsidRDefault="00000000" w:rsidRPr="00000000" w14:paraId="000000A4">
            <w:pPr>
              <w:spacing w:line="360" w:lineRule="auto"/>
              <w:jc w:val="both"/>
              <w:rPr>
                <w:rFonts w:ascii="Arial" w:cs="Arial" w:eastAsia="Arial" w:hAnsi="Arial"/>
                <w:highlight w:val="yellow"/>
              </w:rPr>
            </w:pPr>
            <w:r w:rsidDel="00000000" w:rsidR="00000000" w:rsidRPr="00000000">
              <w:rPr>
                <w:rFonts w:ascii="Arial" w:cs="Arial" w:eastAsia="Arial" w:hAnsi="Arial"/>
                <w:highlight w:val="yellow"/>
                <w:rtl w:val="0"/>
              </w:rPr>
              <w:t xml:space="preserve">Contribution per unit (£)</w:t>
            </w:r>
          </w:p>
        </w:tc>
        <w:tc>
          <w:tcPr/>
          <w:p w:rsidR="00000000" w:rsidDel="00000000" w:rsidP="00000000" w:rsidRDefault="00000000" w:rsidRPr="00000000" w14:paraId="000000A5">
            <w:pPr>
              <w:spacing w:line="360" w:lineRule="auto"/>
              <w:jc w:val="both"/>
              <w:rPr>
                <w:rFonts w:ascii="Arial" w:cs="Arial" w:eastAsia="Arial" w:hAnsi="Arial"/>
                <w:b w:val="1"/>
                <w:i w:val="1"/>
                <w:highlight w:val="yellow"/>
              </w:rPr>
            </w:pPr>
            <w:r w:rsidDel="00000000" w:rsidR="00000000" w:rsidRPr="00000000">
              <w:rPr>
                <w:rFonts w:ascii="Arial" w:cs="Arial" w:eastAsia="Arial" w:hAnsi="Arial"/>
                <w:b w:val="1"/>
                <w:i w:val="1"/>
                <w:highlight w:val="yellow"/>
                <w:rtl w:val="0"/>
              </w:rPr>
              <w:t xml:space="preserve">176</w:t>
            </w:r>
          </w:p>
        </w:tc>
        <w:tc>
          <w:tcPr/>
          <w:p w:rsidR="00000000" w:rsidDel="00000000" w:rsidP="00000000" w:rsidRDefault="00000000" w:rsidRPr="00000000" w14:paraId="000000A6">
            <w:pPr>
              <w:spacing w:line="360" w:lineRule="auto"/>
              <w:jc w:val="both"/>
              <w:rPr>
                <w:rFonts w:ascii="Arial" w:cs="Arial" w:eastAsia="Arial" w:hAnsi="Arial"/>
                <w:b w:val="1"/>
                <w:i w:val="1"/>
                <w:highlight w:val="yellow"/>
              </w:rPr>
            </w:pPr>
            <w:r w:rsidDel="00000000" w:rsidR="00000000" w:rsidRPr="00000000">
              <w:rPr>
                <w:rFonts w:ascii="Arial" w:cs="Arial" w:eastAsia="Arial" w:hAnsi="Arial"/>
                <w:b w:val="1"/>
                <w:i w:val="1"/>
                <w:highlight w:val="yellow"/>
                <w:rtl w:val="0"/>
              </w:rPr>
              <w:t xml:space="preserve">-8</w:t>
            </w:r>
          </w:p>
        </w:tc>
        <w:tc>
          <w:tcPr/>
          <w:p w:rsidR="00000000" w:rsidDel="00000000" w:rsidP="00000000" w:rsidRDefault="00000000" w:rsidRPr="00000000" w14:paraId="000000A7">
            <w:pPr>
              <w:spacing w:line="360" w:lineRule="auto"/>
              <w:jc w:val="both"/>
              <w:rPr>
                <w:rFonts w:ascii="Arial" w:cs="Arial" w:eastAsia="Arial" w:hAnsi="Arial"/>
                <w:b w:val="1"/>
                <w:i w:val="1"/>
                <w:highlight w:val="yellow"/>
              </w:rPr>
            </w:pPr>
            <w:r w:rsidDel="00000000" w:rsidR="00000000" w:rsidRPr="00000000">
              <w:rPr>
                <w:rFonts w:ascii="Arial" w:cs="Arial" w:eastAsia="Arial" w:hAnsi="Arial"/>
                <w:b w:val="1"/>
                <w:i w:val="1"/>
                <w:highlight w:val="yellow"/>
                <w:rtl w:val="0"/>
              </w:rPr>
              <w:t xml:space="preserve">3</w:t>
            </w:r>
          </w:p>
        </w:tc>
        <w:tc>
          <w:tcPr/>
          <w:p w:rsidR="00000000" w:rsidDel="00000000" w:rsidP="00000000" w:rsidRDefault="00000000" w:rsidRPr="00000000" w14:paraId="000000A8">
            <w:pPr>
              <w:spacing w:line="360" w:lineRule="auto"/>
              <w:jc w:val="both"/>
              <w:rPr>
                <w:rFonts w:ascii="Arial" w:cs="Arial" w:eastAsia="Arial" w:hAnsi="Arial"/>
                <w:b w:val="1"/>
                <w:i w:val="1"/>
                <w:color w:val="1f3864"/>
                <w:highlight w:val="yellow"/>
              </w:rPr>
            </w:pPr>
            <w:r w:rsidDel="00000000" w:rsidR="00000000" w:rsidRPr="00000000">
              <w:rPr>
                <w:rFonts w:ascii="Arial" w:cs="Arial" w:eastAsia="Arial" w:hAnsi="Arial"/>
                <w:b w:val="1"/>
                <w:i w:val="1"/>
                <w:color w:val="1f3864"/>
                <w:highlight w:val="yellow"/>
                <w:rtl w:val="0"/>
              </w:rPr>
              <w:t xml:space="preserve">31</w:t>
            </w:r>
          </w:p>
        </w:tc>
      </w:tr>
      <w:tr>
        <w:trPr>
          <w:cantSplit w:val="0"/>
          <w:tblHeader w:val="0"/>
        </w:trPr>
        <w:tc>
          <w:tcPr/>
          <w:p w:rsidR="00000000" w:rsidDel="00000000" w:rsidP="00000000" w:rsidRDefault="00000000" w:rsidRPr="00000000" w14:paraId="000000A9">
            <w:pPr>
              <w:spacing w:line="360" w:lineRule="auto"/>
              <w:jc w:val="both"/>
              <w:rPr>
                <w:rFonts w:ascii="Arial" w:cs="Arial" w:eastAsia="Arial" w:hAnsi="Arial"/>
                <w:b w:val="1"/>
                <w:i w:val="1"/>
                <w:highlight w:val="yellow"/>
              </w:rPr>
            </w:pPr>
            <w:r w:rsidDel="00000000" w:rsidR="00000000" w:rsidRPr="00000000">
              <w:rPr>
                <w:rFonts w:ascii="Arial" w:cs="Arial" w:eastAsia="Arial" w:hAnsi="Arial"/>
                <w:b w:val="1"/>
                <w:i w:val="1"/>
                <w:highlight w:val="yellow"/>
                <w:rtl w:val="0"/>
              </w:rPr>
              <w:t xml:space="preserve">Total contribution(Contribution per unit*units)</w:t>
            </w:r>
          </w:p>
        </w:tc>
        <w:tc>
          <w:tcPr/>
          <w:p w:rsidR="00000000" w:rsidDel="00000000" w:rsidP="00000000" w:rsidRDefault="00000000" w:rsidRPr="00000000" w14:paraId="000000AA">
            <w:pPr>
              <w:spacing w:line="360" w:lineRule="auto"/>
              <w:jc w:val="both"/>
              <w:rPr>
                <w:rFonts w:ascii="Arial" w:cs="Arial" w:eastAsia="Arial" w:hAnsi="Arial"/>
                <w:b w:val="1"/>
                <w:i w:val="1"/>
                <w:highlight w:val="yellow"/>
              </w:rPr>
            </w:pPr>
            <w:r w:rsidDel="00000000" w:rsidR="00000000" w:rsidRPr="00000000">
              <w:rPr>
                <w:rFonts w:ascii="Arial" w:cs="Arial" w:eastAsia="Arial" w:hAnsi="Arial"/>
                <w:b w:val="1"/>
                <w:i w:val="1"/>
                <w:highlight w:val="yellow"/>
                <w:rtl w:val="0"/>
              </w:rPr>
              <w:t xml:space="preserve">176*40=7040</w:t>
            </w:r>
          </w:p>
        </w:tc>
        <w:tc>
          <w:tcPr/>
          <w:p w:rsidR="00000000" w:rsidDel="00000000" w:rsidP="00000000" w:rsidRDefault="00000000" w:rsidRPr="00000000" w14:paraId="000000AB">
            <w:pPr>
              <w:spacing w:line="360" w:lineRule="auto"/>
              <w:jc w:val="both"/>
              <w:rPr>
                <w:rFonts w:ascii="Arial" w:cs="Arial" w:eastAsia="Arial" w:hAnsi="Arial"/>
                <w:b w:val="1"/>
                <w:i w:val="1"/>
                <w:highlight w:val="yellow"/>
              </w:rPr>
            </w:pPr>
            <w:r w:rsidDel="00000000" w:rsidR="00000000" w:rsidRPr="00000000">
              <w:rPr>
                <w:rFonts w:ascii="Arial" w:cs="Arial" w:eastAsia="Arial" w:hAnsi="Arial"/>
                <w:b w:val="1"/>
                <w:i w:val="1"/>
                <w:highlight w:val="yellow"/>
                <w:rtl w:val="0"/>
              </w:rPr>
              <w:t xml:space="preserve">(8)*93=(744)</w:t>
            </w:r>
          </w:p>
        </w:tc>
        <w:tc>
          <w:tcPr/>
          <w:p w:rsidR="00000000" w:rsidDel="00000000" w:rsidP="00000000" w:rsidRDefault="00000000" w:rsidRPr="00000000" w14:paraId="000000AC">
            <w:pPr>
              <w:spacing w:line="360" w:lineRule="auto"/>
              <w:jc w:val="both"/>
              <w:rPr>
                <w:rFonts w:ascii="Arial" w:cs="Arial" w:eastAsia="Arial" w:hAnsi="Arial"/>
                <w:b w:val="1"/>
                <w:i w:val="1"/>
                <w:highlight w:val="yellow"/>
              </w:rPr>
            </w:pPr>
            <w:r w:rsidDel="00000000" w:rsidR="00000000" w:rsidRPr="00000000">
              <w:rPr>
                <w:rFonts w:ascii="Arial" w:cs="Arial" w:eastAsia="Arial" w:hAnsi="Arial"/>
                <w:b w:val="1"/>
                <w:i w:val="1"/>
                <w:highlight w:val="yellow"/>
                <w:rtl w:val="0"/>
              </w:rPr>
              <w:t xml:space="preserve">3*77=231</w:t>
            </w:r>
          </w:p>
        </w:tc>
        <w:tc>
          <w:tcPr/>
          <w:p w:rsidR="00000000" w:rsidDel="00000000" w:rsidP="00000000" w:rsidRDefault="00000000" w:rsidRPr="00000000" w14:paraId="000000AD">
            <w:pPr>
              <w:spacing w:line="360" w:lineRule="auto"/>
              <w:jc w:val="both"/>
              <w:rPr>
                <w:rFonts w:ascii="Arial" w:cs="Arial" w:eastAsia="Arial" w:hAnsi="Arial"/>
                <w:b w:val="1"/>
                <w:i w:val="1"/>
                <w:color w:val="1f3864"/>
              </w:rPr>
            </w:pPr>
            <w:r w:rsidDel="00000000" w:rsidR="00000000" w:rsidRPr="00000000">
              <w:rPr>
                <w:rFonts w:ascii="Arial" w:cs="Arial" w:eastAsia="Arial" w:hAnsi="Arial"/>
                <w:b w:val="1"/>
                <w:i w:val="1"/>
                <w:color w:val="1f3864"/>
                <w:highlight w:val="yellow"/>
                <w:rtl w:val="0"/>
              </w:rPr>
              <w:t xml:space="preserve">31*(40+93+77)=6510</w:t>
            </w:r>
            <w:r w:rsidDel="00000000" w:rsidR="00000000" w:rsidRPr="00000000">
              <w:rPr>
                <w:rtl w:val="0"/>
              </w:rPr>
            </w:r>
          </w:p>
        </w:tc>
      </w:tr>
      <w:tr>
        <w:trPr>
          <w:cantSplit w:val="0"/>
          <w:tblHeader w:val="0"/>
        </w:trPr>
        <w:tc>
          <w:tcPr/>
          <w:p w:rsidR="00000000" w:rsidDel="00000000" w:rsidP="00000000" w:rsidRDefault="00000000" w:rsidRPr="00000000" w14:paraId="000000AE">
            <w:pPr>
              <w:spacing w:line="360" w:lineRule="auto"/>
              <w:jc w:val="both"/>
              <w:rPr>
                <w:rFonts w:ascii="Arial" w:cs="Arial" w:eastAsia="Arial" w:hAnsi="Arial"/>
              </w:rPr>
            </w:pPr>
            <w:r w:rsidDel="00000000" w:rsidR="00000000" w:rsidRPr="00000000">
              <w:rPr>
                <w:rFonts w:ascii="Arial" w:cs="Arial" w:eastAsia="Arial" w:hAnsi="Arial"/>
                <w:rtl w:val="0"/>
              </w:rPr>
              <w:t xml:space="preserve">Less; Fixed overheads (£)</w:t>
            </w:r>
          </w:p>
        </w:tc>
        <w:tc>
          <w:tcPr/>
          <w:p w:rsidR="00000000" w:rsidDel="00000000" w:rsidP="00000000" w:rsidRDefault="00000000" w:rsidRPr="00000000" w14:paraId="000000AF">
            <w:pPr>
              <w:spacing w:line="360" w:lineRule="auto"/>
              <w:jc w:val="both"/>
              <w:rPr>
                <w:rFonts w:ascii="Arial" w:cs="Arial" w:eastAsia="Arial" w:hAnsi="Arial"/>
              </w:rPr>
            </w:pPr>
            <w:r w:rsidDel="00000000" w:rsidR="00000000" w:rsidRPr="00000000">
              <w:rPr>
                <w:rFonts w:ascii="Arial" w:cs="Arial" w:eastAsia="Arial" w:hAnsi="Arial"/>
                <w:rtl w:val="0"/>
              </w:rPr>
              <w:t xml:space="preserve">(6030) </w:t>
            </w:r>
          </w:p>
          <w:p w:rsidR="00000000" w:rsidDel="00000000" w:rsidP="00000000" w:rsidRDefault="00000000" w:rsidRPr="00000000" w14:paraId="000000B0">
            <w:pPr>
              <w:spacing w:line="36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B1">
            <w:pPr>
              <w:spacing w:line="360" w:lineRule="auto"/>
              <w:jc w:val="both"/>
              <w:rPr>
                <w:rFonts w:ascii="Arial" w:cs="Arial" w:eastAsia="Arial" w:hAnsi="Arial"/>
              </w:rPr>
            </w:pPr>
            <w:r w:rsidDel="00000000" w:rsidR="00000000" w:rsidRPr="00000000">
              <w:rPr>
                <w:rFonts w:ascii="Arial" w:cs="Arial" w:eastAsia="Arial" w:hAnsi="Arial"/>
                <w:rtl w:val="0"/>
              </w:rPr>
              <w:t xml:space="preserve">(5961.6)</w:t>
            </w:r>
          </w:p>
          <w:p w:rsidR="00000000" w:rsidDel="00000000" w:rsidP="00000000" w:rsidRDefault="00000000" w:rsidRPr="00000000" w14:paraId="000000B2">
            <w:pPr>
              <w:spacing w:line="36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B3">
            <w:pPr>
              <w:spacing w:line="360" w:lineRule="auto"/>
              <w:jc w:val="both"/>
              <w:rPr>
                <w:rFonts w:ascii="Arial" w:cs="Arial" w:eastAsia="Arial" w:hAnsi="Arial"/>
              </w:rPr>
            </w:pPr>
            <w:r w:rsidDel="00000000" w:rsidR="00000000" w:rsidRPr="00000000">
              <w:rPr>
                <w:rFonts w:ascii="Arial" w:cs="Arial" w:eastAsia="Arial" w:hAnsi="Arial"/>
                <w:rtl w:val="0"/>
              </w:rPr>
              <w:t xml:space="preserve">(7334.76)</w:t>
            </w:r>
          </w:p>
        </w:tc>
        <w:tc>
          <w:tcPr/>
          <w:p w:rsidR="00000000" w:rsidDel="00000000" w:rsidP="00000000" w:rsidRDefault="00000000" w:rsidRPr="00000000" w14:paraId="000000B4">
            <w:pPr>
              <w:spacing w:line="360" w:lineRule="auto"/>
              <w:jc w:val="both"/>
              <w:rPr>
                <w:rFonts w:ascii="Arial" w:cs="Arial" w:eastAsia="Arial" w:hAnsi="Arial"/>
                <w:b w:val="1"/>
                <w:i w:val="1"/>
                <w:color w:val="1f3864"/>
              </w:rPr>
            </w:pPr>
            <w:r w:rsidDel="00000000" w:rsidR="00000000" w:rsidRPr="00000000">
              <w:rPr>
                <w:rFonts w:ascii="Arial" w:cs="Arial" w:eastAsia="Arial" w:hAnsi="Arial"/>
                <w:b w:val="1"/>
                <w:i w:val="1"/>
                <w:color w:val="1f3864"/>
                <w:rtl w:val="0"/>
              </w:rPr>
              <w:t xml:space="preserve">(19326.36)</w:t>
            </w:r>
          </w:p>
        </w:tc>
      </w:tr>
      <w:tr>
        <w:trPr>
          <w:cantSplit w:val="0"/>
          <w:tblHeader w:val="0"/>
        </w:trPr>
        <w:tc>
          <w:tcPr/>
          <w:p w:rsidR="00000000" w:rsidDel="00000000" w:rsidP="00000000" w:rsidRDefault="00000000" w:rsidRPr="00000000" w14:paraId="000000B5">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Total profit</w:t>
            </w:r>
          </w:p>
        </w:tc>
        <w:tc>
          <w:tcPr/>
          <w:p w:rsidR="00000000" w:rsidDel="00000000" w:rsidP="00000000" w:rsidRDefault="00000000" w:rsidRPr="00000000" w14:paraId="000000B6">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1010</w:t>
            </w:r>
          </w:p>
        </w:tc>
        <w:tc>
          <w:tcPr/>
          <w:p w:rsidR="00000000" w:rsidDel="00000000" w:rsidP="00000000" w:rsidRDefault="00000000" w:rsidRPr="00000000" w14:paraId="000000B7">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(6705.6)</w:t>
            </w:r>
          </w:p>
        </w:tc>
        <w:tc>
          <w:tcPr/>
          <w:p w:rsidR="00000000" w:rsidDel="00000000" w:rsidP="00000000" w:rsidRDefault="00000000" w:rsidRPr="00000000" w14:paraId="000000B8">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(7103.76)</w:t>
            </w:r>
          </w:p>
        </w:tc>
        <w:tc>
          <w:tcPr/>
          <w:p w:rsidR="00000000" w:rsidDel="00000000" w:rsidP="00000000" w:rsidRDefault="00000000" w:rsidRPr="00000000" w14:paraId="000000B9">
            <w:pPr>
              <w:spacing w:line="360" w:lineRule="auto"/>
              <w:jc w:val="both"/>
              <w:rPr>
                <w:rFonts w:ascii="Arial" w:cs="Arial" w:eastAsia="Arial" w:hAnsi="Arial"/>
                <w:b w:val="1"/>
                <w:i w:val="1"/>
                <w:color w:val="1f3864"/>
              </w:rPr>
            </w:pPr>
            <w:r w:rsidDel="00000000" w:rsidR="00000000" w:rsidRPr="00000000">
              <w:rPr>
                <w:rFonts w:ascii="Arial" w:cs="Arial" w:eastAsia="Arial" w:hAnsi="Arial"/>
                <w:b w:val="1"/>
                <w:i w:val="1"/>
                <w:color w:val="1f3864"/>
                <w:rtl w:val="0"/>
              </w:rPr>
              <w:t xml:space="preserve">(12816.36)</w:t>
            </w:r>
          </w:p>
        </w:tc>
      </w:tr>
    </w:tbl>
    <w:p w:rsidR="00000000" w:rsidDel="00000000" w:rsidP="00000000" w:rsidRDefault="00000000" w:rsidRPr="00000000" w14:paraId="000000B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pStyle w:val="Heading2"/>
        <w:spacing w:line="360" w:lineRule="auto"/>
        <w:rPr>
          <w:b w:val="1"/>
        </w:rPr>
      </w:pPr>
      <w:bookmarkStart w:colFirst="0" w:colLast="0" w:name="_3znysh7" w:id="3"/>
      <w:bookmarkEnd w:id="3"/>
      <w:r w:rsidDel="00000000" w:rsidR="00000000" w:rsidRPr="00000000">
        <w:rPr>
          <w:b w:val="1"/>
          <w:rtl w:val="0"/>
        </w:rPr>
        <w:t xml:space="preserve">1.3 </w:t>
      </w:r>
      <w:r w:rsidDel="00000000" w:rsidR="00000000" w:rsidRPr="00000000">
        <w:rPr>
          <w:b w:val="1"/>
          <w:i w:val="1"/>
          <w:rtl w:val="0"/>
        </w:rPr>
        <w:t xml:space="preserve">Marginal Costing Statement showing the results if MSG stops making Hoists</w:t>
      </w:r>
      <w:r w:rsidDel="00000000" w:rsidR="00000000" w:rsidRPr="00000000">
        <w:rPr>
          <w:rtl w:val="0"/>
        </w:rPr>
      </w:r>
    </w:p>
    <w:tbl>
      <w:tblPr>
        <w:tblStyle w:val="Table3"/>
        <w:tblW w:w="919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6"/>
        <w:gridCol w:w="2012"/>
        <w:gridCol w:w="2160"/>
        <w:gridCol w:w="1890"/>
        <w:tblGridChange w:id="0">
          <w:tblGrid>
            <w:gridCol w:w="3136"/>
            <w:gridCol w:w="2012"/>
            <w:gridCol w:w="2160"/>
            <w:gridCol w:w="1890"/>
          </w:tblGrid>
        </w:tblGridChange>
      </w:tblGrid>
      <w:tr>
        <w:trPr>
          <w:cantSplit w:val="0"/>
          <w:tblHeader w:val="0"/>
        </w:trPr>
        <w:tc>
          <w:tcPr/>
          <w:p w:rsidR="00000000" w:rsidDel="00000000" w:rsidP="00000000" w:rsidRDefault="00000000" w:rsidRPr="00000000" w14:paraId="000000BC">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Particulars</w:t>
            </w:r>
          </w:p>
        </w:tc>
        <w:tc>
          <w:tcPr/>
          <w:p w:rsidR="00000000" w:rsidDel="00000000" w:rsidP="00000000" w:rsidRDefault="00000000" w:rsidRPr="00000000" w14:paraId="000000BD">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Wheelchairs</w:t>
            </w:r>
          </w:p>
        </w:tc>
        <w:tc>
          <w:tcPr/>
          <w:p w:rsidR="00000000" w:rsidDel="00000000" w:rsidP="00000000" w:rsidRDefault="00000000" w:rsidRPr="00000000" w14:paraId="000000BE">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Mobile Beds</w:t>
            </w:r>
          </w:p>
        </w:tc>
        <w:tc>
          <w:tcPr/>
          <w:p w:rsidR="00000000" w:rsidDel="00000000" w:rsidP="00000000" w:rsidRDefault="00000000" w:rsidRPr="00000000" w14:paraId="000000BF">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Total</w:t>
            </w:r>
          </w:p>
        </w:tc>
      </w:tr>
      <w:tr>
        <w:trPr>
          <w:cantSplit w:val="0"/>
          <w:tblHeader w:val="0"/>
        </w:trPr>
        <w:tc>
          <w:tcPr/>
          <w:p w:rsidR="00000000" w:rsidDel="00000000" w:rsidP="00000000" w:rsidRDefault="00000000" w:rsidRPr="00000000" w14:paraId="000000C0">
            <w:pPr>
              <w:spacing w:line="360" w:lineRule="auto"/>
              <w:jc w:val="both"/>
              <w:rPr>
                <w:rFonts w:ascii="Arial" w:cs="Arial" w:eastAsia="Arial" w:hAnsi="Arial"/>
              </w:rPr>
            </w:pPr>
            <w:r w:rsidDel="00000000" w:rsidR="00000000" w:rsidRPr="00000000">
              <w:rPr>
                <w:rFonts w:ascii="Arial" w:cs="Arial" w:eastAsia="Arial" w:hAnsi="Arial"/>
                <w:rtl w:val="0"/>
              </w:rPr>
              <w:t xml:space="preserve">Selling price</w:t>
            </w:r>
          </w:p>
        </w:tc>
        <w:tc>
          <w:tcPr/>
          <w:p w:rsidR="00000000" w:rsidDel="00000000" w:rsidP="00000000" w:rsidRDefault="00000000" w:rsidRPr="00000000" w14:paraId="000000C1">
            <w:pPr>
              <w:spacing w:line="360" w:lineRule="auto"/>
              <w:jc w:val="both"/>
              <w:rPr>
                <w:rFonts w:ascii="Arial" w:cs="Arial" w:eastAsia="Arial" w:hAnsi="Arial"/>
              </w:rPr>
            </w:pPr>
            <w:r w:rsidDel="00000000" w:rsidR="00000000" w:rsidRPr="00000000">
              <w:rPr>
                <w:rFonts w:ascii="Arial" w:cs="Arial" w:eastAsia="Arial" w:hAnsi="Arial"/>
                <w:rtl w:val="0"/>
              </w:rPr>
              <w:t xml:space="preserve">503</w:t>
            </w:r>
          </w:p>
        </w:tc>
        <w:tc>
          <w:tcPr/>
          <w:p w:rsidR="00000000" w:rsidDel="00000000" w:rsidP="00000000" w:rsidRDefault="00000000" w:rsidRPr="00000000" w14:paraId="000000C2">
            <w:pPr>
              <w:spacing w:line="360" w:lineRule="auto"/>
              <w:jc w:val="both"/>
              <w:rPr>
                <w:rFonts w:ascii="Arial" w:cs="Arial" w:eastAsia="Arial" w:hAnsi="Arial"/>
              </w:rPr>
            </w:pPr>
            <w:r w:rsidDel="00000000" w:rsidR="00000000" w:rsidRPr="00000000">
              <w:rPr>
                <w:rFonts w:ascii="Arial" w:cs="Arial" w:eastAsia="Arial" w:hAnsi="Arial"/>
                <w:rtl w:val="0"/>
              </w:rPr>
              <w:t xml:space="preserve">251</w:t>
            </w:r>
          </w:p>
        </w:tc>
        <w:tc>
          <w:tcPr/>
          <w:p w:rsidR="00000000" w:rsidDel="00000000" w:rsidP="00000000" w:rsidRDefault="00000000" w:rsidRPr="00000000" w14:paraId="000000C3">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337</w:t>
            </w:r>
          </w:p>
        </w:tc>
      </w:tr>
      <w:tr>
        <w:trPr>
          <w:cantSplit w:val="0"/>
          <w:tblHeader w:val="0"/>
        </w:trPr>
        <w:tc>
          <w:tcPr/>
          <w:p w:rsidR="00000000" w:rsidDel="00000000" w:rsidP="00000000" w:rsidRDefault="00000000" w:rsidRPr="00000000" w14:paraId="000000C4">
            <w:pPr>
              <w:spacing w:line="360" w:lineRule="auto"/>
              <w:jc w:val="both"/>
              <w:rPr>
                <w:rFonts w:ascii="Arial" w:cs="Arial" w:eastAsia="Arial" w:hAnsi="Arial"/>
              </w:rPr>
            </w:pPr>
            <w:r w:rsidDel="00000000" w:rsidR="00000000" w:rsidRPr="00000000">
              <w:rPr>
                <w:rFonts w:ascii="Arial" w:cs="Arial" w:eastAsia="Arial" w:hAnsi="Arial"/>
                <w:rtl w:val="0"/>
              </w:rPr>
              <w:t xml:space="preserve">Less: Direct Material (£)</w:t>
            </w:r>
          </w:p>
        </w:tc>
        <w:tc>
          <w:tcPr/>
          <w:p w:rsidR="00000000" w:rsidDel="00000000" w:rsidP="00000000" w:rsidRDefault="00000000" w:rsidRPr="00000000" w14:paraId="000000C5">
            <w:pPr>
              <w:spacing w:line="360" w:lineRule="auto"/>
              <w:jc w:val="both"/>
              <w:rPr>
                <w:rFonts w:ascii="Arial" w:cs="Arial" w:eastAsia="Arial" w:hAnsi="Arial"/>
              </w:rPr>
            </w:pPr>
            <w:r w:rsidDel="00000000" w:rsidR="00000000" w:rsidRPr="00000000">
              <w:rPr>
                <w:rFonts w:ascii="Arial" w:cs="Arial" w:eastAsia="Arial" w:hAnsi="Arial"/>
                <w:rtl w:val="0"/>
              </w:rPr>
              <w:t xml:space="preserve">(116)</w:t>
            </w:r>
          </w:p>
        </w:tc>
        <w:tc>
          <w:tcPr/>
          <w:p w:rsidR="00000000" w:rsidDel="00000000" w:rsidP="00000000" w:rsidRDefault="00000000" w:rsidRPr="00000000" w14:paraId="000000C6">
            <w:pPr>
              <w:spacing w:line="360" w:lineRule="auto"/>
              <w:jc w:val="both"/>
              <w:rPr>
                <w:rFonts w:ascii="Arial" w:cs="Arial" w:eastAsia="Arial" w:hAnsi="Arial"/>
              </w:rPr>
            </w:pPr>
            <w:r w:rsidDel="00000000" w:rsidR="00000000" w:rsidRPr="00000000">
              <w:rPr>
                <w:rFonts w:ascii="Arial" w:cs="Arial" w:eastAsia="Arial" w:hAnsi="Arial"/>
                <w:rtl w:val="0"/>
              </w:rPr>
              <w:t xml:space="preserve">(120)</w:t>
            </w:r>
          </w:p>
        </w:tc>
        <w:tc>
          <w:tcPr/>
          <w:p w:rsidR="00000000" w:rsidDel="00000000" w:rsidP="00000000" w:rsidRDefault="00000000" w:rsidRPr="00000000" w14:paraId="000000C7">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(119)</w:t>
            </w:r>
          </w:p>
        </w:tc>
      </w:tr>
      <w:tr>
        <w:trPr>
          <w:cantSplit w:val="0"/>
          <w:tblHeader w:val="0"/>
        </w:trPr>
        <w:tc>
          <w:tcPr/>
          <w:p w:rsidR="00000000" w:rsidDel="00000000" w:rsidP="00000000" w:rsidRDefault="00000000" w:rsidRPr="00000000" w14:paraId="000000C8">
            <w:pPr>
              <w:spacing w:line="360" w:lineRule="auto"/>
              <w:jc w:val="both"/>
              <w:rPr>
                <w:rFonts w:ascii="Arial" w:cs="Arial" w:eastAsia="Arial" w:hAnsi="Arial"/>
              </w:rPr>
            </w:pPr>
            <w:r w:rsidDel="00000000" w:rsidR="00000000" w:rsidRPr="00000000">
              <w:rPr>
                <w:rFonts w:ascii="Arial" w:cs="Arial" w:eastAsia="Arial" w:hAnsi="Arial"/>
                <w:rtl w:val="0"/>
              </w:rPr>
              <w:t xml:space="preserve">Less: Direct Labour (£)</w:t>
            </w:r>
          </w:p>
        </w:tc>
        <w:tc>
          <w:tcPr/>
          <w:p w:rsidR="00000000" w:rsidDel="00000000" w:rsidP="00000000" w:rsidRDefault="00000000" w:rsidRPr="00000000" w14:paraId="000000C9">
            <w:pPr>
              <w:spacing w:line="360" w:lineRule="auto"/>
              <w:jc w:val="both"/>
              <w:rPr>
                <w:rFonts w:ascii="Arial" w:cs="Arial" w:eastAsia="Arial" w:hAnsi="Arial"/>
              </w:rPr>
            </w:pPr>
            <w:r w:rsidDel="00000000" w:rsidR="00000000" w:rsidRPr="00000000">
              <w:rPr>
                <w:rFonts w:ascii="Arial" w:cs="Arial" w:eastAsia="Arial" w:hAnsi="Arial"/>
                <w:rtl w:val="0"/>
              </w:rPr>
              <w:t xml:space="preserve">(156)</w:t>
            </w:r>
          </w:p>
        </w:tc>
        <w:tc>
          <w:tcPr/>
          <w:p w:rsidR="00000000" w:rsidDel="00000000" w:rsidP="00000000" w:rsidRDefault="00000000" w:rsidRPr="00000000" w14:paraId="000000CA">
            <w:pPr>
              <w:spacing w:line="360" w:lineRule="auto"/>
              <w:jc w:val="both"/>
              <w:rPr>
                <w:rFonts w:ascii="Arial" w:cs="Arial" w:eastAsia="Arial" w:hAnsi="Arial"/>
              </w:rPr>
            </w:pPr>
            <w:r w:rsidDel="00000000" w:rsidR="00000000" w:rsidRPr="00000000">
              <w:rPr>
                <w:rFonts w:ascii="Arial" w:cs="Arial" w:eastAsia="Arial" w:hAnsi="Arial"/>
                <w:rtl w:val="0"/>
              </w:rPr>
              <w:t xml:space="preserve">(88)</w:t>
            </w:r>
          </w:p>
        </w:tc>
        <w:tc>
          <w:tcPr/>
          <w:p w:rsidR="00000000" w:rsidDel="00000000" w:rsidP="00000000" w:rsidRDefault="00000000" w:rsidRPr="00000000" w14:paraId="000000CB">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(111)</w:t>
            </w:r>
          </w:p>
        </w:tc>
      </w:tr>
      <w:tr>
        <w:trPr>
          <w:cantSplit w:val="0"/>
          <w:tblHeader w:val="0"/>
        </w:trPr>
        <w:tc>
          <w:tcPr/>
          <w:p w:rsidR="00000000" w:rsidDel="00000000" w:rsidP="00000000" w:rsidRDefault="00000000" w:rsidRPr="00000000" w14:paraId="000000CC">
            <w:pPr>
              <w:spacing w:line="360" w:lineRule="auto"/>
              <w:jc w:val="both"/>
              <w:rPr>
                <w:rFonts w:ascii="Arial" w:cs="Arial" w:eastAsia="Arial" w:hAnsi="Arial"/>
              </w:rPr>
            </w:pPr>
            <w:r w:rsidDel="00000000" w:rsidR="00000000" w:rsidRPr="00000000">
              <w:rPr>
                <w:rFonts w:ascii="Arial" w:cs="Arial" w:eastAsia="Arial" w:hAnsi="Arial"/>
                <w:rtl w:val="0"/>
              </w:rPr>
              <w:t xml:space="preserve">Less: Other variable expenses (£)</w:t>
            </w:r>
          </w:p>
        </w:tc>
        <w:tc>
          <w:tcPr/>
          <w:p w:rsidR="00000000" w:rsidDel="00000000" w:rsidP="00000000" w:rsidRDefault="00000000" w:rsidRPr="00000000" w14:paraId="000000CD">
            <w:pPr>
              <w:spacing w:line="360" w:lineRule="auto"/>
              <w:jc w:val="both"/>
              <w:rPr>
                <w:rFonts w:ascii="Arial" w:cs="Arial" w:eastAsia="Arial" w:hAnsi="Arial"/>
              </w:rPr>
            </w:pPr>
            <w:r w:rsidDel="00000000" w:rsidR="00000000" w:rsidRPr="00000000">
              <w:rPr>
                <w:rFonts w:ascii="Arial" w:cs="Arial" w:eastAsia="Arial" w:hAnsi="Arial"/>
                <w:rtl w:val="0"/>
              </w:rPr>
              <w:t xml:space="preserve">(55)</w:t>
            </w:r>
          </w:p>
        </w:tc>
        <w:tc>
          <w:tcPr/>
          <w:p w:rsidR="00000000" w:rsidDel="00000000" w:rsidP="00000000" w:rsidRDefault="00000000" w:rsidRPr="00000000" w14:paraId="000000CE">
            <w:pPr>
              <w:spacing w:line="360" w:lineRule="auto"/>
              <w:jc w:val="both"/>
              <w:rPr>
                <w:rFonts w:ascii="Arial" w:cs="Arial" w:eastAsia="Arial" w:hAnsi="Arial"/>
              </w:rPr>
            </w:pPr>
            <w:r w:rsidDel="00000000" w:rsidR="00000000" w:rsidRPr="00000000">
              <w:rPr>
                <w:rFonts w:ascii="Arial" w:cs="Arial" w:eastAsia="Arial" w:hAnsi="Arial"/>
                <w:rtl w:val="0"/>
              </w:rPr>
              <w:t xml:space="preserve">(40)</w:t>
            </w:r>
          </w:p>
        </w:tc>
        <w:tc>
          <w:tcPr/>
          <w:p w:rsidR="00000000" w:rsidDel="00000000" w:rsidP="00000000" w:rsidRDefault="00000000" w:rsidRPr="00000000" w14:paraId="000000CF">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(45)</w:t>
            </w:r>
          </w:p>
        </w:tc>
      </w:tr>
      <w:tr>
        <w:trPr>
          <w:cantSplit w:val="0"/>
          <w:tblHeader w:val="0"/>
        </w:trPr>
        <w:tc>
          <w:tcPr/>
          <w:p w:rsidR="00000000" w:rsidDel="00000000" w:rsidP="00000000" w:rsidRDefault="00000000" w:rsidRPr="00000000" w14:paraId="000000D0">
            <w:pPr>
              <w:spacing w:line="360" w:lineRule="auto"/>
              <w:jc w:val="both"/>
              <w:rPr>
                <w:rFonts w:ascii="Arial" w:cs="Arial" w:eastAsia="Arial" w:hAnsi="Arial"/>
              </w:rPr>
            </w:pPr>
            <w:r w:rsidDel="00000000" w:rsidR="00000000" w:rsidRPr="00000000">
              <w:rPr>
                <w:rFonts w:ascii="Arial" w:cs="Arial" w:eastAsia="Arial" w:hAnsi="Arial"/>
                <w:rtl w:val="0"/>
              </w:rPr>
              <w:t xml:space="preserve">Contribution per unit (£)</w:t>
            </w:r>
          </w:p>
        </w:tc>
        <w:tc>
          <w:tcPr/>
          <w:p w:rsidR="00000000" w:rsidDel="00000000" w:rsidP="00000000" w:rsidRDefault="00000000" w:rsidRPr="00000000" w14:paraId="000000D1">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176</w:t>
            </w:r>
          </w:p>
        </w:tc>
        <w:tc>
          <w:tcPr/>
          <w:p w:rsidR="00000000" w:rsidDel="00000000" w:rsidP="00000000" w:rsidRDefault="00000000" w:rsidRPr="00000000" w14:paraId="000000D2">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3</w:t>
            </w:r>
          </w:p>
        </w:tc>
        <w:tc>
          <w:tcPr/>
          <w:p w:rsidR="00000000" w:rsidDel="00000000" w:rsidP="00000000" w:rsidRDefault="00000000" w:rsidRPr="00000000" w14:paraId="000000D3">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62</w:t>
            </w:r>
          </w:p>
        </w:tc>
      </w:tr>
      <w:tr>
        <w:trPr>
          <w:cantSplit w:val="0"/>
          <w:tblHeader w:val="0"/>
        </w:trPr>
        <w:tc>
          <w:tcPr/>
          <w:p w:rsidR="00000000" w:rsidDel="00000000" w:rsidP="00000000" w:rsidRDefault="00000000" w:rsidRPr="00000000" w14:paraId="000000D4">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Total contribution(Contribution per unit*units) (</w:t>
            </w:r>
            <w:r w:rsidDel="00000000" w:rsidR="00000000" w:rsidRPr="00000000">
              <w:rPr>
                <w:rFonts w:ascii="Arial" w:cs="Arial" w:eastAsia="Arial" w:hAnsi="Arial"/>
                <w:rtl w:val="0"/>
              </w:rPr>
              <w:t xml:space="preserve">Blocher, 2019).</w:t>
            </w:r>
            <w:r w:rsidDel="00000000" w:rsidR="00000000" w:rsidRPr="00000000">
              <w:rPr>
                <w:rtl w:val="0"/>
              </w:rPr>
            </w:r>
          </w:p>
        </w:tc>
        <w:tc>
          <w:tcPr/>
          <w:p w:rsidR="00000000" w:rsidDel="00000000" w:rsidP="00000000" w:rsidRDefault="00000000" w:rsidRPr="00000000" w14:paraId="000000D5">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176*40=7040</w:t>
            </w:r>
          </w:p>
        </w:tc>
        <w:tc>
          <w:tcPr/>
          <w:p w:rsidR="00000000" w:rsidDel="00000000" w:rsidP="00000000" w:rsidRDefault="00000000" w:rsidRPr="00000000" w14:paraId="000000D6">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3*77=231</w:t>
            </w:r>
          </w:p>
        </w:tc>
        <w:tc>
          <w:tcPr/>
          <w:p w:rsidR="00000000" w:rsidDel="00000000" w:rsidP="00000000" w:rsidRDefault="00000000" w:rsidRPr="00000000" w14:paraId="000000D7">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7254</w:t>
            </w:r>
          </w:p>
        </w:tc>
      </w:tr>
      <w:tr>
        <w:trPr>
          <w:cantSplit w:val="0"/>
          <w:tblHeader w:val="0"/>
        </w:trPr>
        <w:tc>
          <w:tcPr/>
          <w:p w:rsidR="00000000" w:rsidDel="00000000" w:rsidP="00000000" w:rsidRDefault="00000000" w:rsidRPr="00000000" w14:paraId="000000D8">
            <w:pPr>
              <w:spacing w:line="360" w:lineRule="auto"/>
              <w:jc w:val="both"/>
              <w:rPr>
                <w:rFonts w:ascii="Arial" w:cs="Arial" w:eastAsia="Arial" w:hAnsi="Arial"/>
              </w:rPr>
            </w:pPr>
            <w:r w:rsidDel="00000000" w:rsidR="00000000" w:rsidRPr="00000000">
              <w:rPr>
                <w:rFonts w:ascii="Arial" w:cs="Arial" w:eastAsia="Arial" w:hAnsi="Arial"/>
                <w:rtl w:val="0"/>
              </w:rPr>
              <w:t xml:space="preserve">Less; Fixed overheads (£)</w:t>
            </w:r>
          </w:p>
        </w:tc>
        <w:tc>
          <w:tcPr/>
          <w:p w:rsidR="00000000" w:rsidDel="00000000" w:rsidP="00000000" w:rsidRDefault="00000000" w:rsidRPr="00000000" w14:paraId="000000D9">
            <w:pPr>
              <w:spacing w:line="360" w:lineRule="auto"/>
              <w:jc w:val="both"/>
              <w:rPr>
                <w:rFonts w:ascii="Arial" w:cs="Arial" w:eastAsia="Arial" w:hAnsi="Arial"/>
              </w:rPr>
            </w:pPr>
            <w:r w:rsidDel="00000000" w:rsidR="00000000" w:rsidRPr="00000000">
              <w:rPr>
                <w:rFonts w:ascii="Arial" w:cs="Arial" w:eastAsia="Arial" w:hAnsi="Arial"/>
                <w:rtl w:val="0"/>
              </w:rPr>
              <w:t xml:space="preserve">(6030) </w:t>
            </w:r>
          </w:p>
          <w:p w:rsidR="00000000" w:rsidDel="00000000" w:rsidP="00000000" w:rsidRDefault="00000000" w:rsidRPr="00000000" w14:paraId="000000DA">
            <w:pPr>
              <w:spacing w:line="36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DB">
            <w:pPr>
              <w:spacing w:line="360" w:lineRule="auto"/>
              <w:jc w:val="both"/>
              <w:rPr>
                <w:rFonts w:ascii="Arial" w:cs="Arial" w:eastAsia="Arial" w:hAnsi="Arial"/>
              </w:rPr>
            </w:pPr>
            <w:r w:rsidDel="00000000" w:rsidR="00000000" w:rsidRPr="00000000">
              <w:rPr>
                <w:rFonts w:ascii="Arial" w:cs="Arial" w:eastAsia="Arial" w:hAnsi="Arial"/>
                <w:rtl w:val="0"/>
              </w:rPr>
              <w:t xml:space="preserve">(7334.76)</w:t>
            </w:r>
          </w:p>
        </w:tc>
        <w:tc>
          <w:tcPr/>
          <w:p w:rsidR="00000000" w:rsidDel="00000000" w:rsidP="00000000" w:rsidRDefault="00000000" w:rsidRPr="00000000" w14:paraId="000000DC">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(19326.36)</w:t>
            </w:r>
          </w:p>
        </w:tc>
      </w:tr>
      <w:tr>
        <w:trPr>
          <w:cantSplit w:val="0"/>
          <w:tblHeader w:val="0"/>
        </w:trPr>
        <w:tc>
          <w:tcPr/>
          <w:p w:rsidR="00000000" w:rsidDel="00000000" w:rsidP="00000000" w:rsidRDefault="00000000" w:rsidRPr="00000000" w14:paraId="000000DD">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Total profit</w:t>
            </w:r>
          </w:p>
        </w:tc>
        <w:tc>
          <w:tcPr/>
          <w:p w:rsidR="00000000" w:rsidDel="00000000" w:rsidP="00000000" w:rsidRDefault="00000000" w:rsidRPr="00000000" w14:paraId="000000DE">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1010</w:t>
            </w:r>
          </w:p>
        </w:tc>
        <w:tc>
          <w:tcPr/>
          <w:p w:rsidR="00000000" w:rsidDel="00000000" w:rsidP="00000000" w:rsidRDefault="00000000" w:rsidRPr="00000000" w14:paraId="000000DF">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(7103.76)</w:t>
            </w:r>
          </w:p>
        </w:tc>
        <w:tc>
          <w:tcPr/>
          <w:p w:rsidR="00000000" w:rsidDel="00000000" w:rsidP="00000000" w:rsidRDefault="00000000" w:rsidRPr="00000000" w14:paraId="000000E0">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(12072.36)</w:t>
            </w:r>
          </w:p>
        </w:tc>
      </w:tr>
    </w:tbl>
    <w:p w:rsidR="00000000" w:rsidDel="00000000" w:rsidP="00000000" w:rsidRDefault="00000000" w:rsidRPr="00000000" w14:paraId="000000E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2">
      <w:pPr>
        <w:spacing w:line="360" w:lineRule="auto"/>
        <w:jc w:val="both"/>
        <w:rPr>
          <w:rFonts w:ascii="Arial" w:cs="Arial" w:eastAsia="Arial" w:hAnsi="Arial"/>
        </w:rPr>
      </w:pPr>
      <w:r w:rsidDel="00000000" w:rsidR="00000000" w:rsidRPr="00000000">
        <w:rPr>
          <w:rFonts w:ascii="Arial" w:cs="Arial" w:eastAsia="Arial" w:hAnsi="Arial"/>
          <w:rtl w:val="0"/>
        </w:rPr>
        <w:t xml:space="preserve">Based on the contribution calculated above, MSG should cease the production of Hoists. Because the contribution per unit is negative £8 which means it is making £8 loss producing per unit of Hoists and £744 loss by producing 93 units of Hoists (Desai, and Mital, 2018). On the other hand by stopping producing this product it can avoid loss and improve its profit and its overall performance. </w:t>
      </w:r>
    </w:p>
    <w:p w:rsidR="00000000" w:rsidDel="00000000" w:rsidP="00000000" w:rsidRDefault="00000000" w:rsidRPr="00000000" w14:paraId="000000E3">
      <w:pPr>
        <w:spacing w:line="360" w:lineRule="auto"/>
        <w:jc w:val="both"/>
        <w:rPr>
          <w:rFonts w:ascii="Arial" w:cs="Arial" w:eastAsia="Arial" w:hAnsi="Arial"/>
        </w:rPr>
      </w:pPr>
      <w:r w:rsidDel="00000000" w:rsidR="00000000" w:rsidRPr="00000000">
        <w:rPr>
          <w:rFonts w:ascii="Arial" w:cs="Arial" w:eastAsia="Arial" w:hAnsi="Arial"/>
          <w:rtl w:val="0"/>
        </w:rPr>
        <w:t xml:space="preserve">If a comparison is made between the previous calculations with the above calculation without considering Hoists or stopping the production of Hoists, then it is clear that the total loss for MSG has come down to almost half of the loss incurred by producing Hoists along with the other three products (Goel, 2019). Besides, MSG does not have any negative contribution and the total contribution is 7254, higher than the contribution of 6510 in the previous calculation. Therefore, MSG should stop producing Hoists. </w:t>
      </w:r>
    </w:p>
    <w:p w:rsidR="00000000" w:rsidDel="00000000" w:rsidP="00000000" w:rsidRDefault="00000000" w:rsidRPr="00000000" w14:paraId="000000E4">
      <w:pPr>
        <w:pStyle w:val="Heading2"/>
        <w:spacing w:line="360" w:lineRule="auto"/>
        <w:rPr>
          <w:b w:val="1"/>
        </w:rPr>
      </w:pPr>
      <w:bookmarkStart w:colFirst="0" w:colLast="0" w:name="_2et92p0" w:id="4"/>
      <w:bookmarkEnd w:id="4"/>
      <w:r w:rsidDel="00000000" w:rsidR="00000000" w:rsidRPr="00000000">
        <w:rPr>
          <w:b w:val="1"/>
          <w:rtl w:val="0"/>
        </w:rPr>
        <w:t xml:space="preserve">1.4 </w:t>
      </w:r>
      <w:r w:rsidDel="00000000" w:rsidR="00000000" w:rsidRPr="00000000">
        <w:rPr>
          <w:b w:val="1"/>
          <w:i w:val="1"/>
          <w:rtl w:val="0"/>
        </w:rPr>
        <w:t xml:space="preserve">Marginal Costing Statement showing the results if MSG stops making Mobile Beds</w:t>
      </w:r>
      <w:r w:rsidDel="00000000" w:rsidR="00000000" w:rsidRPr="00000000">
        <w:rPr>
          <w:rtl w:val="0"/>
        </w:rPr>
      </w:r>
    </w:p>
    <w:p w:rsidR="00000000" w:rsidDel="00000000" w:rsidP="00000000" w:rsidRDefault="00000000" w:rsidRPr="00000000" w14:paraId="000000E5">
      <w:pPr>
        <w:spacing w:line="360" w:lineRule="auto"/>
        <w:jc w:val="both"/>
        <w:rPr>
          <w:rFonts w:ascii="Arial" w:cs="Arial" w:eastAsia="Arial" w:hAnsi="Arial"/>
        </w:rPr>
      </w:pPr>
      <w:r w:rsidDel="00000000" w:rsidR="00000000" w:rsidRPr="00000000">
        <w:rPr>
          <w:rFonts w:ascii="Arial" w:cs="Arial" w:eastAsia="Arial" w:hAnsi="Arial"/>
          <w:rtl w:val="0"/>
        </w:rPr>
        <w:t xml:space="preserve">The contribution calculated in part 1.2 shows that MSG is making £3 per Mobile Bed. The profit is very low but the company is not making a loss. If MSG thinks that making £3 is good considering market conditions, competitors’ prices, customers’ demand and its position in the market then it can continue producing the product (Drury, 2021). Otherwise, the £3 profit is very low compared to its other product, special personal mobility equipment which is highly profitable. Moreover, MSG follows the marginal costing method and in this method profit depends on sales price not the number of units. This means even if MSG increases the number of units produced and sold, it will not be able to increase profit sufficiently at the current unit price, £251. By producing this product, MSG makes £176 per unit of that product and £7040</w:t>
      </w:r>
      <w:r w:rsidDel="00000000" w:rsidR="00000000" w:rsidRPr="00000000">
        <w:rPr>
          <w:rFonts w:ascii="Arial" w:cs="Arial" w:eastAsia="Arial" w:hAnsi="Arial"/>
          <w:b w:val="1"/>
          <w:i w:val="1"/>
          <w:rtl w:val="0"/>
        </w:rPr>
        <w:t xml:space="preserve"> </w:t>
      </w:r>
      <w:r w:rsidDel="00000000" w:rsidR="00000000" w:rsidRPr="00000000">
        <w:rPr>
          <w:rFonts w:ascii="Arial" w:cs="Arial" w:eastAsia="Arial" w:hAnsi="Arial"/>
          <w:rtl w:val="0"/>
        </w:rPr>
        <w:t xml:space="preserve">in total.</w:t>
      </w:r>
      <w:r w:rsidDel="00000000" w:rsidR="00000000" w:rsidRPr="00000000">
        <w:rPr>
          <w:rFonts w:ascii="Arial" w:cs="Arial" w:eastAsia="Arial" w:hAnsi="Arial"/>
          <w:b w:val="1"/>
          <w:i w:val="1"/>
          <w:rtl w:val="0"/>
        </w:rPr>
        <w:t xml:space="preserve"> </w:t>
      </w:r>
      <w:r w:rsidDel="00000000" w:rsidR="00000000" w:rsidRPr="00000000">
        <w:rPr>
          <w:rFonts w:ascii="Arial" w:cs="Arial" w:eastAsia="Arial" w:hAnsi="Arial"/>
          <w:rtl w:val="0"/>
        </w:rPr>
        <w:t xml:space="preserve">Considering this comparison, producing Mobile Beds does not seem lucrative. If MSG decides to cease producing Mobile Beds, MSG should switch to products on which it can charge high figures and make a handsome profit. It will enable MSG to avoid loss and improve its profit and its overall performance. </w:t>
      </w:r>
    </w:p>
    <w:tbl>
      <w:tblPr>
        <w:tblStyle w:val="Table4"/>
        <w:tblW w:w="910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6"/>
        <w:gridCol w:w="2372"/>
        <w:gridCol w:w="2070"/>
        <w:gridCol w:w="1530"/>
        <w:tblGridChange w:id="0">
          <w:tblGrid>
            <w:gridCol w:w="3136"/>
            <w:gridCol w:w="2372"/>
            <w:gridCol w:w="2070"/>
            <w:gridCol w:w="1530"/>
          </w:tblGrid>
        </w:tblGridChange>
      </w:tblGrid>
      <w:tr>
        <w:trPr>
          <w:cantSplit w:val="0"/>
          <w:tblHeader w:val="0"/>
        </w:trPr>
        <w:tc>
          <w:tcPr/>
          <w:p w:rsidR="00000000" w:rsidDel="00000000" w:rsidP="00000000" w:rsidRDefault="00000000" w:rsidRPr="00000000" w14:paraId="000000E6">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Particulars</w:t>
            </w:r>
          </w:p>
        </w:tc>
        <w:tc>
          <w:tcPr/>
          <w:p w:rsidR="00000000" w:rsidDel="00000000" w:rsidP="00000000" w:rsidRDefault="00000000" w:rsidRPr="00000000" w14:paraId="000000E7">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Wheelchairs</w:t>
            </w:r>
          </w:p>
        </w:tc>
        <w:tc>
          <w:tcPr/>
          <w:p w:rsidR="00000000" w:rsidDel="00000000" w:rsidP="00000000" w:rsidRDefault="00000000" w:rsidRPr="00000000" w14:paraId="000000E8">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Hoists</w:t>
            </w:r>
          </w:p>
        </w:tc>
        <w:tc>
          <w:tcPr/>
          <w:p w:rsidR="00000000" w:rsidDel="00000000" w:rsidP="00000000" w:rsidRDefault="00000000" w:rsidRPr="00000000" w14:paraId="000000E9">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Total</w:t>
            </w:r>
          </w:p>
        </w:tc>
      </w:tr>
      <w:tr>
        <w:trPr>
          <w:cantSplit w:val="0"/>
          <w:tblHeader w:val="0"/>
        </w:trPr>
        <w:tc>
          <w:tcPr/>
          <w:p w:rsidR="00000000" w:rsidDel="00000000" w:rsidP="00000000" w:rsidRDefault="00000000" w:rsidRPr="00000000" w14:paraId="000000EA">
            <w:pPr>
              <w:spacing w:line="360" w:lineRule="auto"/>
              <w:jc w:val="both"/>
              <w:rPr>
                <w:rFonts w:ascii="Arial" w:cs="Arial" w:eastAsia="Arial" w:hAnsi="Arial"/>
              </w:rPr>
            </w:pPr>
            <w:r w:rsidDel="00000000" w:rsidR="00000000" w:rsidRPr="00000000">
              <w:rPr>
                <w:rFonts w:ascii="Arial" w:cs="Arial" w:eastAsia="Arial" w:hAnsi="Arial"/>
                <w:rtl w:val="0"/>
              </w:rPr>
              <w:t xml:space="preserve">Selling price</w:t>
            </w:r>
          </w:p>
        </w:tc>
        <w:tc>
          <w:tcPr/>
          <w:p w:rsidR="00000000" w:rsidDel="00000000" w:rsidP="00000000" w:rsidRDefault="00000000" w:rsidRPr="00000000" w14:paraId="000000EB">
            <w:pPr>
              <w:spacing w:line="360" w:lineRule="auto"/>
              <w:jc w:val="both"/>
              <w:rPr>
                <w:rFonts w:ascii="Arial" w:cs="Arial" w:eastAsia="Arial" w:hAnsi="Arial"/>
              </w:rPr>
            </w:pPr>
            <w:r w:rsidDel="00000000" w:rsidR="00000000" w:rsidRPr="00000000">
              <w:rPr>
                <w:rFonts w:ascii="Arial" w:cs="Arial" w:eastAsia="Arial" w:hAnsi="Arial"/>
                <w:rtl w:val="0"/>
              </w:rPr>
              <w:t xml:space="preserve">503</w:t>
            </w:r>
          </w:p>
        </w:tc>
        <w:tc>
          <w:tcPr/>
          <w:p w:rsidR="00000000" w:rsidDel="00000000" w:rsidP="00000000" w:rsidRDefault="00000000" w:rsidRPr="00000000" w14:paraId="000000EC">
            <w:pPr>
              <w:spacing w:line="360" w:lineRule="auto"/>
              <w:jc w:val="both"/>
              <w:rPr>
                <w:rFonts w:ascii="Arial" w:cs="Arial" w:eastAsia="Arial" w:hAnsi="Arial"/>
              </w:rPr>
            </w:pPr>
            <w:r w:rsidDel="00000000" w:rsidR="00000000" w:rsidRPr="00000000">
              <w:rPr>
                <w:rFonts w:ascii="Arial" w:cs="Arial" w:eastAsia="Arial" w:hAnsi="Arial"/>
                <w:rtl w:val="0"/>
              </w:rPr>
              <w:t xml:space="preserve">200</w:t>
            </w:r>
          </w:p>
        </w:tc>
        <w:tc>
          <w:tcPr/>
          <w:p w:rsidR="00000000" w:rsidDel="00000000" w:rsidP="00000000" w:rsidRDefault="00000000" w:rsidRPr="00000000" w14:paraId="000000ED">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291</w:t>
            </w:r>
          </w:p>
        </w:tc>
      </w:tr>
      <w:tr>
        <w:trPr>
          <w:cantSplit w:val="0"/>
          <w:tblHeader w:val="0"/>
        </w:trPr>
        <w:tc>
          <w:tcPr/>
          <w:p w:rsidR="00000000" w:rsidDel="00000000" w:rsidP="00000000" w:rsidRDefault="00000000" w:rsidRPr="00000000" w14:paraId="000000EE">
            <w:pPr>
              <w:spacing w:line="360" w:lineRule="auto"/>
              <w:jc w:val="both"/>
              <w:rPr>
                <w:rFonts w:ascii="Arial" w:cs="Arial" w:eastAsia="Arial" w:hAnsi="Arial"/>
              </w:rPr>
            </w:pPr>
            <w:r w:rsidDel="00000000" w:rsidR="00000000" w:rsidRPr="00000000">
              <w:rPr>
                <w:rFonts w:ascii="Arial" w:cs="Arial" w:eastAsia="Arial" w:hAnsi="Arial"/>
                <w:rtl w:val="0"/>
              </w:rPr>
              <w:t xml:space="preserve">Less: Direct Material (£)</w:t>
            </w:r>
          </w:p>
        </w:tc>
        <w:tc>
          <w:tcPr/>
          <w:p w:rsidR="00000000" w:rsidDel="00000000" w:rsidP="00000000" w:rsidRDefault="00000000" w:rsidRPr="00000000" w14:paraId="000000EF">
            <w:pPr>
              <w:spacing w:line="360" w:lineRule="auto"/>
              <w:jc w:val="both"/>
              <w:rPr>
                <w:rFonts w:ascii="Arial" w:cs="Arial" w:eastAsia="Arial" w:hAnsi="Arial"/>
              </w:rPr>
            </w:pPr>
            <w:r w:rsidDel="00000000" w:rsidR="00000000" w:rsidRPr="00000000">
              <w:rPr>
                <w:rFonts w:ascii="Arial" w:cs="Arial" w:eastAsia="Arial" w:hAnsi="Arial"/>
                <w:rtl w:val="0"/>
              </w:rPr>
              <w:t xml:space="preserve">(116)</w:t>
            </w:r>
          </w:p>
        </w:tc>
        <w:tc>
          <w:tcPr/>
          <w:p w:rsidR="00000000" w:rsidDel="00000000" w:rsidP="00000000" w:rsidRDefault="00000000" w:rsidRPr="00000000" w14:paraId="000000F0">
            <w:pPr>
              <w:spacing w:line="360" w:lineRule="auto"/>
              <w:jc w:val="both"/>
              <w:rPr>
                <w:rFonts w:ascii="Arial" w:cs="Arial" w:eastAsia="Arial" w:hAnsi="Arial"/>
              </w:rPr>
            </w:pPr>
            <w:r w:rsidDel="00000000" w:rsidR="00000000" w:rsidRPr="00000000">
              <w:rPr>
                <w:rFonts w:ascii="Arial" w:cs="Arial" w:eastAsia="Arial" w:hAnsi="Arial"/>
                <w:rtl w:val="0"/>
              </w:rPr>
              <w:t xml:space="preserve">(74)</w:t>
            </w:r>
          </w:p>
        </w:tc>
        <w:tc>
          <w:tcPr/>
          <w:p w:rsidR="00000000" w:rsidDel="00000000" w:rsidP="00000000" w:rsidRDefault="00000000" w:rsidRPr="00000000" w14:paraId="000000F1">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(87)</w:t>
            </w:r>
          </w:p>
        </w:tc>
      </w:tr>
      <w:tr>
        <w:trPr>
          <w:cantSplit w:val="0"/>
          <w:tblHeader w:val="0"/>
        </w:trPr>
        <w:tc>
          <w:tcPr/>
          <w:p w:rsidR="00000000" w:rsidDel="00000000" w:rsidP="00000000" w:rsidRDefault="00000000" w:rsidRPr="00000000" w14:paraId="000000F2">
            <w:pPr>
              <w:spacing w:line="360" w:lineRule="auto"/>
              <w:jc w:val="both"/>
              <w:rPr>
                <w:rFonts w:ascii="Arial" w:cs="Arial" w:eastAsia="Arial" w:hAnsi="Arial"/>
              </w:rPr>
            </w:pPr>
            <w:r w:rsidDel="00000000" w:rsidR="00000000" w:rsidRPr="00000000">
              <w:rPr>
                <w:rFonts w:ascii="Arial" w:cs="Arial" w:eastAsia="Arial" w:hAnsi="Arial"/>
                <w:rtl w:val="0"/>
              </w:rPr>
              <w:t xml:space="preserve">Less: Direct Labour (£)</w:t>
            </w:r>
          </w:p>
        </w:tc>
        <w:tc>
          <w:tcPr/>
          <w:p w:rsidR="00000000" w:rsidDel="00000000" w:rsidP="00000000" w:rsidRDefault="00000000" w:rsidRPr="00000000" w14:paraId="000000F3">
            <w:pPr>
              <w:spacing w:line="360" w:lineRule="auto"/>
              <w:jc w:val="both"/>
              <w:rPr>
                <w:rFonts w:ascii="Arial" w:cs="Arial" w:eastAsia="Arial" w:hAnsi="Arial"/>
              </w:rPr>
            </w:pPr>
            <w:r w:rsidDel="00000000" w:rsidR="00000000" w:rsidRPr="00000000">
              <w:rPr>
                <w:rFonts w:ascii="Arial" w:cs="Arial" w:eastAsia="Arial" w:hAnsi="Arial"/>
                <w:rtl w:val="0"/>
              </w:rPr>
              <w:t xml:space="preserve">(156)</w:t>
            </w:r>
          </w:p>
        </w:tc>
        <w:tc>
          <w:tcPr/>
          <w:p w:rsidR="00000000" w:rsidDel="00000000" w:rsidP="00000000" w:rsidRDefault="00000000" w:rsidRPr="00000000" w14:paraId="000000F4">
            <w:pPr>
              <w:spacing w:line="360" w:lineRule="auto"/>
              <w:jc w:val="both"/>
              <w:rPr>
                <w:rFonts w:ascii="Arial" w:cs="Arial" w:eastAsia="Arial" w:hAnsi="Arial"/>
              </w:rPr>
            </w:pPr>
            <w:r w:rsidDel="00000000" w:rsidR="00000000" w:rsidRPr="00000000">
              <w:rPr>
                <w:rFonts w:ascii="Arial" w:cs="Arial" w:eastAsia="Arial" w:hAnsi="Arial"/>
                <w:rtl w:val="0"/>
              </w:rPr>
              <w:t xml:space="preserve">(84)</w:t>
            </w:r>
          </w:p>
        </w:tc>
        <w:tc>
          <w:tcPr/>
          <w:p w:rsidR="00000000" w:rsidDel="00000000" w:rsidP="00000000" w:rsidRDefault="00000000" w:rsidRPr="00000000" w14:paraId="000000F5">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(106)</w:t>
            </w:r>
          </w:p>
        </w:tc>
      </w:tr>
      <w:tr>
        <w:trPr>
          <w:cantSplit w:val="0"/>
          <w:tblHeader w:val="0"/>
        </w:trPr>
        <w:tc>
          <w:tcPr/>
          <w:p w:rsidR="00000000" w:rsidDel="00000000" w:rsidP="00000000" w:rsidRDefault="00000000" w:rsidRPr="00000000" w14:paraId="000000F6">
            <w:pPr>
              <w:spacing w:line="360" w:lineRule="auto"/>
              <w:jc w:val="both"/>
              <w:rPr>
                <w:rFonts w:ascii="Arial" w:cs="Arial" w:eastAsia="Arial" w:hAnsi="Arial"/>
              </w:rPr>
            </w:pPr>
            <w:r w:rsidDel="00000000" w:rsidR="00000000" w:rsidRPr="00000000">
              <w:rPr>
                <w:rFonts w:ascii="Arial" w:cs="Arial" w:eastAsia="Arial" w:hAnsi="Arial"/>
                <w:rtl w:val="0"/>
              </w:rPr>
              <w:t xml:space="preserve">Less: Other variable expenses (£)</w:t>
            </w:r>
          </w:p>
        </w:tc>
        <w:tc>
          <w:tcPr/>
          <w:p w:rsidR="00000000" w:rsidDel="00000000" w:rsidP="00000000" w:rsidRDefault="00000000" w:rsidRPr="00000000" w14:paraId="000000F7">
            <w:pPr>
              <w:spacing w:line="360" w:lineRule="auto"/>
              <w:jc w:val="both"/>
              <w:rPr>
                <w:rFonts w:ascii="Arial" w:cs="Arial" w:eastAsia="Arial" w:hAnsi="Arial"/>
              </w:rPr>
            </w:pPr>
            <w:r w:rsidDel="00000000" w:rsidR="00000000" w:rsidRPr="00000000">
              <w:rPr>
                <w:rFonts w:ascii="Arial" w:cs="Arial" w:eastAsia="Arial" w:hAnsi="Arial"/>
                <w:rtl w:val="0"/>
              </w:rPr>
              <w:t xml:space="preserve">(55)</w:t>
            </w:r>
          </w:p>
        </w:tc>
        <w:tc>
          <w:tcPr/>
          <w:p w:rsidR="00000000" w:rsidDel="00000000" w:rsidP="00000000" w:rsidRDefault="00000000" w:rsidRPr="00000000" w14:paraId="000000F8">
            <w:pPr>
              <w:spacing w:line="360" w:lineRule="auto"/>
              <w:jc w:val="both"/>
              <w:rPr>
                <w:rFonts w:ascii="Arial" w:cs="Arial" w:eastAsia="Arial" w:hAnsi="Arial"/>
              </w:rPr>
            </w:pPr>
            <w:r w:rsidDel="00000000" w:rsidR="00000000" w:rsidRPr="00000000">
              <w:rPr>
                <w:rFonts w:ascii="Arial" w:cs="Arial" w:eastAsia="Arial" w:hAnsi="Arial"/>
                <w:rtl w:val="0"/>
              </w:rPr>
              <w:t xml:space="preserve">(50)</w:t>
            </w:r>
          </w:p>
        </w:tc>
        <w:tc>
          <w:tcPr/>
          <w:p w:rsidR="00000000" w:rsidDel="00000000" w:rsidP="00000000" w:rsidRDefault="00000000" w:rsidRPr="00000000" w14:paraId="000000F9">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(52)</w:t>
            </w:r>
          </w:p>
        </w:tc>
      </w:tr>
      <w:tr>
        <w:trPr>
          <w:cantSplit w:val="0"/>
          <w:tblHeader w:val="0"/>
        </w:trPr>
        <w:tc>
          <w:tcPr/>
          <w:p w:rsidR="00000000" w:rsidDel="00000000" w:rsidP="00000000" w:rsidRDefault="00000000" w:rsidRPr="00000000" w14:paraId="000000FA">
            <w:pPr>
              <w:spacing w:line="360" w:lineRule="auto"/>
              <w:jc w:val="both"/>
              <w:rPr>
                <w:rFonts w:ascii="Arial" w:cs="Arial" w:eastAsia="Arial" w:hAnsi="Arial"/>
              </w:rPr>
            </w:pPr>
            <w:r w:rsidDel="00000000" w:rsidR="00000000" w:rsidRPr="00000000">
              <w:rPr>
                <w:rFonts w:ascii="Arial" w:cs="Arial" w:eastAsia="Arial" w:hAnsi="Arial"/>
                <w:rtl w:val="0"/>
              </w:rPr>
              <w:t xml:space="preserve">Contribution per unit (£)</w:t>
            </w:r>
          </w:p>
        </w:tc>
        <w:tc>
          <w:tcPr/>
          <w:p w:rsidR="00000000" w:rsidDel="00000000" w:rsidP="00000000" w:rsidRDefault="00000000" w:rsidRPr="00000000" w14:paraId="000000FB">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176</w:t>
            </w:r>
          </w:p>
        </w:tc>
        <w:tc>
          <w:tcPr/>
          <w:p w:rsidR="00000000" w:rsidDel="00000000" w:rsidP="00000000" w:rsidRDefault="00000000" w:rsidRPr="00000000" w14:paraId="000000FC">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-8</w:t>
            </w:r>
          </w:p>
        </w:tc>
        <w:tc>
          <w:tcPr/>
          <w:p w:rsidR="00000000" w:rsidDel="00000000" w:rsidP="00000000" w:rsidRDefault="00000000" w:rsidRPr="00000000" w14:paraId="000000FD">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46</w:t>
            </w:r>
          </w:p>
        </w:tc>
      </w:tr>
      <w:tr>
        <w:trPr>
          <w:cantSplit w:val="0"/>
          <w:tblHeader w:val="0"/>
        </w:trPr>
        <w:tc>
          <w:tcPr/>
          <w:p w:rsidR="00000000" w:rsidDel="00000000" w:rsidP="00000000" w:rsidRDefault="00000000" w:rsidRPr="00000000" w14:paraId="000000FE">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Total contribution(Contribution per unit*units)</w:t>
            </w:r>
          </w:p>
        </w:tc>
        <w:tc>
          <w:tcPr/>
          <w:p w:rsidR="00000000" w:rsidDel="00000000" w:rsidP="00000000" w:rsidRDefault="00000000" w:rsidRPr="00000000" w14:paraId="000000FF">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176*40=7040</w:t>
            </w:r>
          </w:p>
        </w:tc>
        <w:tc>
          <w:tcPr/>
          <w:p w:rsidR="00000000" w:rsidDel="00000000" w:rsidP="00000000" w:rsidRDefault="00000000" w:rsidRPr="00000000" w14:paraId="00000100">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(8)*93=(744)</w:t>
            </w:r>
          </w:p>
        </w:tc>
        <w:tc>
          <w:tcPr/>
          <w:p w:rsidR="00000000" w:rsidDel="00000000" w:rsidP="00000000" w:rsidRDefault="00000000" w:rsidRPr="00000000" w14:paraId="00000101">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6118</w:t>
            </w:r>
          </w:p>
        </w:tc>
      </w:tr>
      <w:tr>
        <w:trPr>
          <w:cantSplit w:val="0"/>
          <w:tblHeader w:val="0"/>
        </w:trPr>
        <w:tc>
          <w:tcPr/>
          <w:p w:rsidR="00000000" w:rsidDel="00000000" w:rsidP="00000000" w:rsidRDefault="00000000" w:rsidRPr="00000000" w14:paraId="00000102">
            <w:pPr>
              <w:spacing w:line="360" w:lineRule="auto"/>
              <w:jc w:val="both"/>
              <w:rPr>
                <w:rFonts w:ascii="Arial" w:cs="Arial" w:eastAsia="Arial" w:hAnsi="Arial"/>
              </w:rPr>
            </w:pPr>
            <w:r w:rsidDel="00000000" w:rsidR="00000000" w:rsidRPr="00000000">
              <w:rPr>
                <w:rFonts w:ascii="Arial" w:cs="Arial" w:eastAsia="Arial" w:hAnsi="Arial"/>
                <w:rtl w:val="0"/>
              </w:rPr>
              <w:t xml:space="preserve">Less; Fixed overheads (£)</w:t>
            </w:r>
          </w:p>
        </w:tc>
        <w:tc>
          <w:tcPr/>
          <w:p w:rsidR="00000000" w:rsidDel="00000000" w:rsidP="00000000" w:rsidRDefault="00000000" w:rsidRPr="00000000" w14:paraId="00000103">
            <w:pPr>
              <w:spacing w:line="360" w:lineRule="auto"/>
              <w:jc w:val="both"/>
              <w:rPr>
                <w:rFonts w:ascii="Arial" w:cs="Arial" w:eastAsia="Arial" w:hAnsi="Arial"/>
              </w:rPr>
            </w:pPr>
            <w:r w:rsidDel="00000000" w:rsidR="00000000" w:rsidRPr="00000000">
              <w:rPr>
                <w:rFonts w:ascii="Arial" w:cs="Arial" w:eastAsia="Arial" w:hAnsi="Arial"/>
                <w:rtl w:val="0"/>
              </w:rPr>
              <w:t xml:space="preserve">(6030) </w:t>
            </w:r>
          </w:p>
          <w:p w:rsidR="00000000" w:rsidDel="00000000" w:rsidP="00000000" w:rsidRDefault="00000000" w:rsidRPr="00000000" w14:paraId="00000104">
            <w:pPr>
              <w:spacing w:line="36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05">
            <w:pPr>
              <w:spacing w:line="360" w:lineRule="auto"/>
              <w:jc w:val="both"/>
              <w:rPr>
                <w:rFonts w:ascii="Arial" w:cs="Arial" w:eastAsia="Arial" w:hAnsi="Arial"/>
              </w:rPr>
            </w:pPr>
            <w:r w:rsidDel="00000000" w:rsidR="00000000" w:rsidRPr="00000000">
              <w:rPr>
                <w:rFonts w:ascii="Arial" w:cs="Arial" w:eastAsia="Arial" w:hAnsi="Arial"/>
                <w:rtl w:val="0"/>
              </w:rPr>
              <w:t xml:space="preserve">(5961.6)</w:t>
            </w:r>
          </w:p>
          <w:p w:rsidR="00000000" w:rsidDel="00000000" w:rsidP="00000000" w:rsidRDefault="00000000" w:rsidRPr="00000000" w14:paraId="00000106">
            <w:pPr>
              <w:spacing w:line="36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07">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w:t>
            </w:r>
            <w:r w:rsidDel="00000000" w:rsidR="00000000" w:rsidRPr="00000000">
              <w:rPr>
                <w:rFonts w:ascii="Arial" w:cs="Arial" w:eastAsia="Arial" w:hAnsi="Arial"/>
                <w:b w:val="1"/>
                <w:i w:val="1"/>
                <w:color w:val="1f3864"/>
                <w:rtl w:val="0"/>
              </w:rPr>
              <w:t xml:space="preserve">19326.36)</w:t>
            </w:r>
            <w:r w:rsidDel="00000000" w:rsidR="00000000" w:rsidRPr="00000000">
              <w:rPr>
                <w:rtl w:val="0"/>
              </w:rPr>
            </w:r>
          </w:p>
        </w:tc>
      </w:tr>
      <w:tr>
        <w:trPr>
          <w:cantSplit w:val="0"/>
          <w:tblHeader w:val="0"/>
        </w:trPr>
        <w:tc>
          <w:tcPr/>
          <w:p w:rsidR="00000000" w:rsidDel="00000000" w:rsidP="00000000" w:rsidRDefault="00000000" w:rsidRPr="00000000" w14:paraId="00000108">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Total profit</w:t>
            </w:r>
          </w:p>
        </w:tc>
        <w:tc>
          <w:tcPr/>
          <w:p w:rsidR="00000000" w:rsidDel="00000000" w:rsidP="00000000" w:rsidRDefault="00000000" w:rsidRPr="00000000" w14:paraId="00000109">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1010</w:t>
            </w:r>
          </w:p>
        </w:tc>
        <w:tc>
          <w:tcPr/>
          <w:p w:rsidR="00000000" w:rsidDel="00000000" w:rsidP="00000000" w:rsidRDefault="00000000" w:rsidRPr="00000000" w14:paraId="0000010A">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(6705.6)</w:t>
            </w:r>
          </w:p>
        </w:tc>
        <w:tc>
          <w:tcPr/>
          <w:p w:rsidR="00000000" w:rsidDel="00000000" w:rsidP="00000000" w:rsidRDefault="00000000" w:rsidRPr="00000000" w14:paraId="0000010B">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(13208.36)</w:t>
            </w:r>
          </w:p>
        </w:tc>
      </w:tr>
    </w:tbl>
    <w:p w:rsidR="00000000" w:rsidDel="00000000" w:rsidP="00000000" w:rsidRDefault="00000000" w:rsidRPr="00000000" w14:paraId="0000010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D">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The total loss made by MSG after stopping the production of Mobile Beds is £392 less in comparison to the profit in part 1.2 which is not substantial. Though MSG was incurring a substantial amount of fixed overhead for producing Mobile Beds MSG still has a positive contribution (Seal, 2018). This is why MSG can contribute the producing this product by rethinking its fixed costs. </w:t>
      </w:r>
    </w:p>
    <w:p w:rsidR="00000000" w:rsidDel="00000000" w:rsidP="00000000" w:rsidRDefault="00000000" w:rsidRPr="00000000" w14:paraId="0000010E">
      <w:pPr>
        <w:pStyle w:val="Heading2"/>
        <w:spacing w:line="360" w:lineRule="auto"/>
        <w:rPr>
          <w:b w:val="1"/>
        </w:rPr>
      </w:pPr>
      <w:bookmarkStart w:colFirst="0" w:colLast="0" w:name="_tyjcwt" w:id="5"/>
      <w:bookmarkEnd w:id="5"/>
      <w:r w:rsidDel="00000000" w:rsidR="00000000" w:rsidRPr="00000000">
        <w:rPr>
          <w:b w:val="1"/>
          <w:rtl w:val="0"/>
        </w:rPr>
        <w:t xml:space="preserve">1.5 Impact in terms of long-term business profitability and sustainable growth for ceasing production of Hoists and Mobile Beds</w:t>
      </w:r>
    </w:p>
    <w:p w:rsidR="00000000" w:rsidDel="00000000" w:rsidP="00000000" w:rsidRDefault="00000000" w:rsidRPr="00000000" w14:paraId="0000010F">
      <w:pPr>
        <w:spacing w:line="360" w:lineRule="auto"/>
        <w:jc w:val="both"/>
        <w:rPr>
          <w:rFonts w:ascii="Arial" w:cs="Arial" w:eastAsia="Arial" w:hAnsi="Arial"/>
          <w:color w:val="1f3864"/>
        </w:rPr>
      </w:pPr>
      <w:r w:rsidDel="00000000" w:rsidR="00000000" w:rsidRPr="00000000">
        <w:rPr>
          <w:rFonts w:ascii="Arial" w:cs="Arial" w:eastAsia="Arial" w:hAnsi="Arial"/>
          <w:rtl w:val="0"/>
        </w:rPr>
        <w:t xml:space="preserve">It is obvious from the above calculation of marginal profit that MSG should stop producing Hoists. </w:t>
      </w:r>
      <w:r w:rsidDel="00000000" w:rsidR="00000000" w:rsidRPr="00000000">
        <w:rPr>
          <w:rFonts w:ascii="Arial" w:cs="Arial" w:eastAsia="Arial" w:hAnsi="Arial"/>
          <w:color w:val="1f3864"/>
          <w:rtl w:val="0"/>
        </w:rPr>
        <w:t xml:space="preserve">However, MSG should find out the reason why it is making a loss in the production of Hoists and explore opportunities or its future potential to increase the profit from producing Hoists (Bhimani, 2018). By stopping the production of hoists at the current price, making the loss of £8 will make the financial performance of MSG better in the short-term or from the financial aspect. Before ceasing the production of Hoists, MSG needs to consider the impact from clients’ viewpoint across the United Kingdom because Hoists are an essential product that such institutions need for their clients and they might switch to other sellers who sell Hoists along with other two or more products. MSG might have to face reputational issues and its image in the industry or to clients might deteriorate. Workers involved in the production and distribution of this product might be laid off which will further deteriorate their morale. MSG needs to think about sustainable growth. MSG can consider restructuring its capital and expenditure management. It can think about product price negotiation with NHS and Care Homes for selling whilst negotiating with suppliers of materials for the production of its products.  More research and effort should be given to these things before abandoning the production of Hoists (Blocher, 2019). After doing extensive research on these aspects if things do not work out in favour of improving the performance of the organization, then it can think about easing the production of Hoists. </w:t>
      </w:r>
    </w:p>
    <w:p w:rsidR="00000000" w:rsidDel="00000000" w:rsidP="00000000" w:rsidRDefault="00000000" w:rsidRPr="00000000" w14:paraId="0000011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A">
      <w:pPr>
        <w:pStyle w:val="Heading1"/>
        <w:spacing w:line="360" w:lineRule="auto"/>
        <w:jc w:val="center"/>
        <w:rPr>
          <w:b w:val="1"/>
          <w:sz w:val="28"/>
          <w:szCs w:val="28"/>
        </w:rPr>
      </w:pPr>
      <w:bookmarkStart w:colFirst="0" w:colLast="0" w:name="_3dy6vkm" w:id="6"/>
      <w:bookmarkEnd w:id="6"/>
      <w:r w:rsidDel="00000000" w:rsidR="00000000" w:rsidRPr="00000000">
        <w:rPr>
          <w:b w:val="1"/>
          <w:sz w:val="28"/>
          <w:szCs w:val="28"/>
          <w:rtl w:val="0"/>
        </w:rPr>
        <w:t xml:space="preserve">B</w:t>
      </w:r>
    </w:p>
    <w:p w:rsidR="00000000" w:rsidDel="00000000" w:rsidP="00000000" w:rsidRDefault="00000000" w:rsidRPr="00000000" w14:paraId="0000011B">
      <w:pPr>
        <w:pStyle w:val="Heading2"/>
        <w:spacing w:line="360" w:lineRule="auto"/>
        <w:rPr>
          <w:b w:val="1"/>
        </w:rPr>
      </w:pPr>
      <w:bookmarkStart w:colFirst="0" w:colLast="0" w:name="_1t3h5sf" w:id="7"/>
      <w:bookmarkEnd w:id="7"/>
      <w:r w:rsidDel="00000000" w:rsidR="00000000" w:rsidRPr="00000000">
        <w:rPr>
          <w:b w:val="1"/>
          <w:rtl w:val="0"/>
        </w:rPr>
        <w:t xml:space="preserve">2.1 Break-even unit</w:t>
      </w:r>
    </w:p>
    <w:p w:rsidR="00000000" w:rsidDel="00000000" w:rsidP="00000000" w:rsidRDefault="00000000" w:rsidRPr="00000000" w14:paraId="0000011C">
      <w:pPr>
        <w:spacing w:line="360" w:lineRule="auto"/>
        <w:jc w:val="both"/>
        <w:rPr>
          <w:rFonts w:ascii="Arial" w:cs="Arial" w:eastAsia="Arial" w:hAnsi="Arial"/>
        </w:rPr>
      </w:pPr>
      <w:r w:rsidDel="00000000" w:rsidR="00000000" w:rsidRPr="00000000">
        <w:rPr>
          <w:rFonts w:ascii="Arial" w:cs="Arial" w:eastAsia="Arial" w:hAnsi="Arial"/>
          <w:rtl w:val="0"/>
        </w:rPr>
        <w:t xml:space="preserve">Here, fixed cost =£11,500</w:t>
      </w:r>
    </w:p>
    <w:p w:rsidR="00000000" w:rsidDel="00000000" w:rsidP="00000000" w:rsidRDefault="00000000" w:rsidRPr="00000000" w14:paraId="0000011D">
      <w:pPr>
        <w:spacing w:line="360" w:lineRule="auto"/>
        <w:jc w:val="both"/>
        <w:rPr>
          <w:rFonts w:ascii="Arial" w:cs="Arial" w:eastAsia="Arial" w:hAnsi="Arial"/>
        </w:rPr>
      </w:pPr>
      <w:r w:rsidDel="00000000" w:rsidR="00000000" w:rsidRPr="00000000">
        <w:rPr>
          <w:rFonts w:ascii="Arial" w:cs="Arial" w:eastAsia="Arial" w:hAnsi="Arial"/>
          <w:rtl w:val="0"/>
        </w:rPr>
        <w:t xml:space="preserve">Contribution per unit= £(65-40) or £25</w:t>
      </w:r>
    </w:p>
    <w:p w:rsidR="00000000" w:rsidDel="00000000" w:rsidP="00000000" w:rsidRDefault="00000000" w:rsidRPr="00000000" w14:paraId="0000011E">
      <w:pPr>
        <w:spacing w:line="360" w:lineRule="auto"/>
        <w:jc w:val="both"/>
        <w:rPr>
          <w:rFonts w:ascii="Arial" w:cs="Arial" w:eastAsia="Arial" w:hAnsi="Arial"/>
        </w:rPr>
      </w:pPr>
      <w:r w:rsidDel="00000000" w:rsidR="00000000" w:rsidRPr="00000000">
        <w:rPr>
          <w:rFonts w:ascii="Arial" w:cs="Arial" w:eastAsia="Arial" w:hAnsi="Arial"/>
          <w:rtl w:val="0"/>
        </w:rPr>
        <w:t xml:space="preserve">So, break-even unit=11,500/25= 460 plates</w:t>
      </w:r>
    </w:p>
    <w:p w:rsidR="00000000" w:rsidDel="00000000" w:rsidP="00000000" w:rsidRDefault="00000000" w:rsidRPr="00000000" w14:paraId="0000011F">
      <w:pPr>
        <w:pStyle w:val="Heading2"/>
        <w:rPr>
          <w:b w:val="1"/>
        </w:rPr>
      </w:pPr>
      <w:bookmarkStart w:colFirst="0" w:colLast="0" w:name="_4d34og8" w:id="8"/>
      <w:bookmarkEnd w:id="8"/>
      <w:r w:rsidDel="00000000" w:rsidR="00000000" w:rsidRPr="00000000">
        <w:rPr>
          <w:b w:val="1"/>
          <w:rtl w:val="0"/>
        </w:rPr>
        <w:t xml:space="preserve">2.2 Sales volume to make a profit of £24,000</w:t>
      </w:r>
    </w:p>
    <w:p w:rsidR="00000000" w:rsidDel="00000000" w:rsidP="00000000" w:rsidRDefault="00000000" w:rsidRPr="00000000" w14:paraId="00000120">
      <w:pPr>
        <w:spacing w:line="360" w:lineRule="auto"/>
        <w:jc w:val="both"/>
        <w:rPr>
          <w:rFonts w:ascii="Arial" w:cs="Arial" w:eastAsia="Arial" w:hAnsi="Arial"/>
        </w:rPr>
      </w:pPr>
      <w:r w:rsidDel="00000000" w:rsidR="00000000" w:rsidRPr="00000000">
        <w:rPr>
          <w:rFonts w:ascii="Arial" w:cs="Arial" w:eastAsia="Arial" w:hAnsi="Arial"/>
          <w:rtl w:val="0"/>
        </w:rPr>
        <w:t xml:space="preserve">Here, </w:t>
      </w:r>
    </w:p>
    <w:p w:rsidR="00000000" w:rsidDel="00000000" w:rsidP="00000000" w:rsidRDefault="00000000" w:rsidRPr="00000000" w14:paraId="00000121">
      <w:pPr>
        <w:spacing w:line="360" w:lineRule="auto"/>
        <w:jc w:val="both"/>
        <w:rPr>
          <w:rFonts w:ascii="Arial" w:cs="Arial" w:eastAsia="Arial" w:hAnsi="Arial"/>
        </w:rPr>
      </w:pPr>
      <w:r w:rsidDel="00000000" w:rsidR="00000000" w:rsidRPr="00000000">
        <w:rPr>
          <w:rFonts w:ascii="Arial" w:cs="Arial" w:eastAsia="Arial" w:hAnsi="Arial"/>
          <w:rtl w:val="0"/>
        </w:rPr>
        <w:t xml:space="preserve">Here, fixed cost =£11,500</w:t>
      </w:r>
    </w:p>
    <w:p w:rsidR="00000000" w:rsidDel="00000000" w:rsidP="00000000" w:rsidRDefault="00000000" w:rsidRPr="00000000" w14:paraId="00000122">
      <w:pPr>
        <w:spacing w:line="360" w:lineRule="auto"/>
        <w:jc w:val="both"/>
        <w:rPr>
          <w:rFonts w:ascii="Arial" w:cs="Arial" w:eastAsia="Arial" w:hAnsi="Arial"/>
        </w:rPr>
      </w:pPr>
      <w:r w:rsidDel="00000000" w:rsidR="00000000" w:rsidRPr="00000000">
        <w:rPr>
          <w:rFonts w:ascii="Arial" w:cs="Arial" w:eastAsia="Arial" w:hAnsi="Arial"/>
          <w:rtl w:val="0"/>
        </w:rPr>
        <w:t xml:space="preserve">Contribution per unit (Cohen, 2020) = £(65-40) or £25</w:t>
      </w:r>
    </w:p>
    <w:p w:rsidR="00000000" w:rsidDel="00000000" w:rsidP="00000000" w:rsidRDefault="00000000" w:rsidRPr="00000000" w14:paraId="00000123">
      <w:pPr>
        <w:spacing w:line="360" w:lineRule="auto"/>
        <w:jc w:val="both"/>
        <w:rPr>
          <w:rFonts w:ascii="Arial" w:cs="Arial" w:eastAsia="Arial" w:hAnsi="Arial"/>
        </w:rPr>
      </w:pPr>
      <w:r w:rsidDel="00000000" w:rsidR="00000000" w:rsidRPr="00000000">
        <w:rPr>
          <w:rFonts w:ascii="Arial" w:cs="Arial" w:eastAsia="Arial" w:hAnsi="Arial"/>
          <w:rtl w:val="0"/>
        </w:rPr>
        <w:t xml:space="preserve">So, the break-even unit for a profit of £24,000=24,000+11,500/25= 1420 plates</w:t>
      </w:r>
    </w:p>
    <w:p w:rsidR="00000000" w:rsidDel="00000000" w:rsidP="00000000" w:rsidRDefault="00000000" w:rsidRPr="00000000" w14:paraId="00000124">
      <w:pPr>
        <w:pStyle w:val="Heading2"/>
        <w:spacing w:line="360" w:lineRule="auto"/>
        <w:rPr>
          <w:b w:val="1"/>
        </w:rPr>
      </w:pPr>
      <w:bookmarkStart w:colFirst="0" w:colLast="0" w:name="_2s8eyo1" w:id="9"/>
      <w:bookmarkEnd w:id="9"/>
      <w:r w:rsidDel="00000000" w:rsidR="00000000" w:rsidRPr="00000000">
        <w:rPr>
          <w:b w:val="1"/>
          <w:rtl w:val="0"/>
        </w:rPr>
        <w:t xml:space="preserve">2.3 Sales volume to make a profit of</w:t>
      </w:r>
      <w:r w:rsidDel="00000000" w:rsidR="00000000" w:rsidRPr="00000000">
        <w:rPr>
          <w:rtl w:val="0"/>
        </w:rPr>
        <w:t xml:space="preserve"> </w:t>
      </w:r>
      <w:r w:rsidDel="00000000" w:rsidR="00000000" w:rsidRPr="00000000">
        <w:rPr>
          <w:b w:val="1"/>
          <w:rtl w:val="0"/>
        </w:rPr>
        <w:t xml:space="preserve">£18,200</w:t>
      </w:r>
    </w:p>
    <w:p w:rsidR="00000000" w:rsidDel="00000000" w:rsidP="00000000" w:rsidRDefault="00000000" w:rsidRPr="00000000" w14:paraId="00000125">
      <w:pPr>
        <w:spacing w:line="360" w:lineRule="auto"/>
        <w:jc w:val="both"/>
        <w:rPr>
          <w:rFonts w:ascii="Arial" w:cs="Arial" w:eastAsia="Arial" w:hAnsi="Arial"/>
          <w:highlight w:val="yellow"/>
        </w:rPr>
      </w:pPr>
      <w:r w:rsidDel="00000000" w:rsidR="00000000" w:rsidRPr="00000000">
        <w:rPr>
          <w:rFonts w:ascii="Arial" w:cs="Arial" w:eastAsia="Arial" w:hAnsi="Arial"/>
          <w:rtl w:val="0"/>
        </w:rPr>
        <w:t xml:space="preserve">Here, the fixed </w:t>
      </w:r>
      <w:r w:rsidDel="00000000" w:rsidR="00000000" w:rsidRPr="00000000">
        <w:rPr>
          <w:rFonts w:ascii="Arial" w:cs="Arial" w:eastAsia="Arial" w:hAnsi="Arial"/>
          <w:highlight w:val="yellow"/>
          <w:rtl w:val="0"/>
        </w:rPr>
        <w:t xml:space="preserve">cost is £16500</w:t>
      </w:r>
    </w:p>
    <w:p w:rsidR="00000000" w:rsidDel="00000000" w:rsidP="00000000" w:rsidRDefault="00000000" w:rsidRPr="00000000" w14:paraId="00000126">
      <w:pPr>
        <w:spacing w:line="360" w:lineRule="auto"/>
        <w:jc w:val="both"/>
        <w:rPr>
          <w:rFonts w:ascii="Arial" w:cs="Arial" w:eastAsia="Arial" w:hAnsi="Arial"/>
          <w:highlight w:val="yellow"/>
        </w:rPr>
      </w:pPr>
      <w:r w:rsidDel="00000000" w:rsidR="00000000" w:rsidRPr="00000000">
        <w:rPr>
          <w:rFonts w:ascii="Arial" w:cs="Arial" w:eastAsia="Arial" w:hAnsi="Arial"/>
          <w:highlight w:val="yellow"/>
          <w:rtl w:val="0"/>
        </w:rPr>
        <w:t xml:space="preserve">Contribution per unit= £(65-40) or £25</w:t>
      </w:r>
    </w:p>
    <w:p w:rsidR="00000000" w:rsidDel="00000000" w:rsidP="00000000" w:rsidRDefault="00000000" w:rsidRPr="00000000" w14:paraId="00000127">
      <w:pPr>
        <w:spacing w:line="360" w:lineRule="auto"/>
        <w:jc w:val="both"/>
        <w:rPr>
          <w:rFonts w:ascii="Arial" w:cs="Arial" w:eastAsia="Arial" w:hAnsi="Arial"/>
          <w:color w:val="1f3864"/>
        </w:rPr>
      </w:pPr>
      <w:bookmarkStart w:colFirst="0" w:colLast="0" w:name="_17dp8vu" w:id="10"/>
      <w:bookmarkEnd w:id="10"/>
      <w:r w:rsidDel="00000000" w:rsidR="00000000" w:rsidRPr="00000000">
        <w:rPr>
          <w:rFonts w:ascii="Arial" w:cs="Arial" w:eastAsia="Arial" w:hAnsi="Arial"/>
          <w:highlight w:val="yellow"/>
          <w:rtl w:val="0"/>
        </w:rPr>
        <w:t xml:space="preserve">So, break-even unit for a profit of £18,200=(£18,200+£16,500)/£25=</w:t>
      </w:r>
      <w:r w:rsidDel="00000000" w:rsidR="00000000" w:rsidRPr="00000000">
        <w:rPr>
          <w:rFonts w:ascii="Arial" w:cs="Arial" w:eastAsia="Arial" w:hAnsi="Arial"/>
          <w:color w:val="1f3864"/>
          <w:highlight w:val="yellow"/>
          <w:rtl w:val="0"/>
        </w:rPr>
        <w:t xml:space="preserve">£1388      </w:t>
      </w:r>
      <w:r w:rsidDel="00000000" w:rsidR="00000000" w:rsidRPr="00000000">
        <w:rPr>
          <w:rtl w:val="0"/>
        </w:rPr>
      </w:r>
    </w:p>
    <w:p w:rsidR="00000000" w:rsidDel="00000000" w:rsidP="00000000" w:rsidRDefault="00000000" w:rsidRPr="00000000" w14:paraId="00000128">
      <w:pPr>
        <w:spacing w:line="360" w:lineRule="auto"/>
        <w:jc w:val="both"/>
        <w:rPr/>
      </w:pPr>
      <w:r w:rsidDel="00000000" w:rsidR="00000000" w:rsidRPr="00000000">
        <w:rPr>
          <w:rtl w:val="0"/>
        </w:rPr>
      </w:r>
    </w:p>
    <w:p w:rsidR="00000000" w:rsidDel="00000000" w:rsidP="00000000" w:rsidRDefault="00000000" w:rsidRPr="00000000" w14:paraId="00000129">
      <w:pPr>
        <w:spacing w:line="360" w:lineRule="auto"/>
        <w:jc w:val="both"/>
        <w:rPr/>
      </w:pPr>
      <w:r w:rsidDel="00000000" w:rsidR="00000000" w:rsidRPr="00000000">
        <w:rPr>
          <w:b w:val="1"/>
          <w:rtl w:val="0"/>
        </w:rPr>
        <w:t xml:space="preserve">2.4 Critical discussion on the limitations of the Break-Even/ Cost-Volume-Profit Analysis and its practical applicability in DelhiCorner</w:t>
      </w:r>
      <w:r w:rsidDel="00000000" w:rsidR="00000000" w:rsidRPr="00000000">
        <w:rPr>
          <w:rtl w:val="0"/>
        </w:rPr>
      </w:r>
    </w:p>
    <w:p w:rsidR="00000000" w:rsidDel="00000000" w:rsidP="00000000" w:rsidRDefault="00000000" w:rsidRPr="00000000" w14:paraId="0000012A">
      <w:pPr>
        <w:spacing w:line="360" w:lineRule="auto"/>
        <w:jc w:val="both"/>
        <w:rPr>
          <w:rFonts w:ascii="Arial" w:cs="Arial" w:eastAsia="Arial" w:hAnsi="Arial"/>
          <w:color w:val="1f3864"/>
        </w:rPr>
      </w:pPr>
      <w:r w:rsidDel="00000000" w:rsidR="00000000" w:rsidRPr="00000000">
        <w:rPr>
          <w:rFonts w:ascii="Arial" w:cs="Arial" w:eastAsia="Arial" w:hAnsi="Arial"/>
          <w:rtl w:val="0"/>
        </w:rPr>
        <w:t xml:space="preserve">Everything on this earth has its limitation, and so does Break-even or CVP analysis (Desai, and Mital, 2018). </w:t>
      </w:r>
      <w:r w:rsidDel="00000000" w:rsidR="00000000" w:rsidRPr="00000000">
        <w:rPr>
          <w:rFonts w:ascii="Arial" w:cs="Arial" w:eastAsia="Arial" w:hAnsi="Arial"/>
          <w:color w:val="1f3864"/>
          <w:rtl w:val="0"/>
        </w:rPr>
        <w:t xml:space="preserve">This tool helps in finding out at what point a unit of production will enable an organization to cover its costs associated with the production. Changing the number of units produced, price of unit et cetera helps an organization to analyse the optimal point of production which is another beauty of this tool. However, this tool is not useful in every business situation. </w:t>
      </w:r>
    </w:p>
    <w:p w:rsidR="00000000" w:rsidDel="00000000" w:rsidP="00000000" w:rsidRDefault="00000000" w:rsidRPr="00000000" w14:paraId="000001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1f3864"/>
          <w:sz w:val="22"/>
          <w:szCs w:val="22"/>
          <w:u w:val="none"/>
          <w:shd w:fill="auto" w:val="clear"/>
          <w:vertAlign w:val="baseline"/>
        </w:rPr>
      </w:pPr>
      <w:r w:rsidDel="00000000" w:rsidR="00000000" w:rsidRPr="00000000">
        <w:rPr>
          <w:rFonts w:ascii="Arial" w:cs="Arial" w:eastAsia="Arial" w:hAnsi="Arial"/>
          <w:b w:val="0"/>
          <w:i w:val="0"/>
          <w:smallCaps w:val="0"/>
          <w:strike w:val="0"/>
          <w:color w:val="1f3864"/>
          <w:sz w:val="22"/>
          <w:szCs w:val="22"/>
          <w:u w:val="none"/>
          <w:shd w:fill="auto" w:val="clear"/>
          <w:vertAlign w:val="baseline"/>
          <w:rtl w:val="0"/>
        </w:rPr>
        <w:t xml:space="preserve">This is not useful for the long term as it uses unit variable cost and the unit variable cost is changed from time to time. </w:t>
      </w:r>
    </w:p>
    <w:p w:rsidR="00000000" w:rsidDel="00000000" w:rsidP="00000000" w:rsidRDefault="00000000" w:rsidRPr="00000000" w14:paraId="000001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1f3864"/>
          <w:sz w:val="22"/>
          <w:szCs w:val="22"/>
          <w:u w:val="none"/>
          <w:shd w:fill="auto" w:val="clear"/>
          <w:vertAlign w:val="baseline"/>
        </w:rPr>
      </w:pPr>
      <w:r w:rsidDel="00000000" w:rsidR="00000000" w:rsidRPr="00000000">
        <w:rPr>
          <w:rFonts w:ascii="Arial" w:cs="Arial" w:eastAsia="Arial" w:hAnsi="Arial"/>
          <w:b w:val="0"/>
          <w:i w:val="0"/>
          <w:smallCaps w:val="0"/>
          <w:strike w:val="0"/>
          <w:color w:val="1f3864"/>
          <w:sz w:val="22"/>
          <w:szCs w:val="22"/>
          <w:u w:val="none"/>
          <w:shd w:fill="auto" w:val="clear"/>
          <w:vertAlign w:val="baseline"/>
          <w:rtl w:val="0"/>
        </w:rPr>
        <w:t xml:space="preserve">It assumes that unit revenue and costs are fixed which in reality is not true as they will change. Market conditions or any external or internal factor might affect these variables, resulting in changes to estimates and making the previous estimate pointless. </w:t>
      </w:r>
    </w:p>
    <w:p w:rsidR="00000000" w:rsidDel="00000000" w:rsidP="00000000" w:rsidRDefault="00000000" w:rsidRPr="00000000" w14:paraId="000001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1f3864"/>
          <w:sz w:val="22"/>
          <w:szCs w:val="22"/>
          <w:u w:val="none"/>
          <w:shd w:fill="auto" w:val="clear"/>
          <w:vertAlign w:val="baseline"/>
        </w:rPr>
      </w:pPr>
      <w:r w:rsidDel="00000000" w:rsidR="00000000" w:rsidRPr="00000000">
        <w:rPr>
          <w:rFonts w:ascii="Arial" w:cs="Arial" w:eastAsia="Arial" w:hAnsi="Arial"/>
          <w:b w:val="0"/>
          <w:i w:val="0"/>
          <w:smallCaps w:val="0"/>
          <w:strike w:val="0"/>
          <w:color w:val="1f3864"/>
          <w:sz w:val="22"/>
          <w:szCs w:val="22"/>
          <w:u w:val="none"/>
          <w:shd w:fill="auto" w:val="clear"/>
          <w:vertAlign w:val="baseline"/>
          <w:rtl w:val="0"/>
        </w:rPr>
        <w:t xml:space="preserve">This tool holds inventory levels the same at the beginning and end of a period which does not hold in reality. The fixed costs are fixed up to a point and will not remain fixed always. </w:t>
      </w:r>
    </w:p>
    <w:p w:rsidR="00000000" w:rsidDel="00000000" w:rsidP="00000000" w:rsidRDefault="00000000" w:rsidRPr="00000000" w14:paraId="000001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i w:val="0"/>
          <w:smallCaps w:val="0"/>
          <w:strike w:val="0"/>
          <w:color w:val="1f3864"/>
          <w:sz w:val="22"/>
          <w:szCs w:val="22"/>
          <w:u w:val="none"/>
          <w:shd w:fill="auto" w:val="clear"/>
          <w:vertAlign w:val="baseline"/>
        </w:rPr>
      </w:pPr>
      <w:r w:rsidDel="00000000" w:rsidR="00000000" w:rsidRPr="00000000">
        <w:rPr>
          <w:rFonts w:ascii="Arial" w:cs="Arial" w:eastAsia="Arial" w:hAnsi="Arial"/>
          <w:b w:val="0"/>
          <w:i w:val="0"/>
          <w:smallCaps w:val="0"/>
          <w:strike w:val="0"/>
          <w:color w:val="1f3864"/>
          <w:sz w:val="22"/>
          <w:szCs w:val="22"/>
          <w:u w:val="none"/>
          <w:shd w:fill="auto" w:val="clear"/>
          <w:vertAlign w:val="baseline"/>
          <w:rtl w:val="0"/>
        </w:rPr>
        <w:t xml:space="preserve">Break-even analysis is carried out based on past information available to the organization and things might change in future making the analysis based on past information useless. In the long term, this tool cannot serve the purpose it is used for. </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i w:val="0"/>
          <w:smallCaps w:val="0"/>
          <w:strike w:val="0"/>
          <w:color w:val="1f3864"/>
          <w:sz w:val="22"/>
          <w:szCs w:val="22"/>
          <w:u w:val="none"/>
          <w:shd w:fill="auto" w:val="clear"/>
          <w:vertAlign w:val="baseline"/>
        </w:rPr>
      </w:pPr>
      <w:r w:rsidDel="00000000" w:rsidR="00000000" w:rsidRPr="00000000">
        <w:rPr>
          <w:rFonts w:ascii="Arial" w:cs="Arial" w:eastAsia="Arial" w:hAnsi="Arial"/>
          <w:b w:val="0"/>
          <w:i w:val="0"/>
          <w:smallCaps w:val="0"/>
          <w:strike w:val="0"/>
          <w:color w:val="1f3864"/>
          <w:sz w:val="22"/>
          <w:szCs w:val="22"/>
          <w:u w:val="none"/>
          <w:shd w:fill="auto" w:val="clear"/>
          <w:vertAlign w:val="baseline"/>
          <w:rtl w:val="0"/>
        </w:rPr>
        <w:t xml:space="preserve">This tool does not take into account capital whilst capital is a crucial business component and production capacity depends on the availability of capital too. </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i w:val="0"/>
          <w:smallCaps w:val="0"/>
          <w:strike w:val="0"/>
          <w:color w:val="1f3864"/>
          <w:sz w:val="22"/>
          <w:szCs w:val="22"/>
          <w:u w:val="none"/>
          <w:shd w:fill="auto" w:val="clear"/>
          <w:vertAlign w:val="baseline"/>
        </w:rPr>
      </w:pPr>
      <w:r w:rsidDel="00000000" w:rsidR="00000000" w:rsidRPr="00000000">
        <w:rPr>
          <w:rFonts w:ascii="Arial" w:cs="Arial" w:eastAsia="Arial" w:hAnsi="Arial"/>
          <w:b w:val="0"/>
          <w:i w:val="0"/>
          <w:smallCaps w:val="0"/>
          <w:strike w:val="0"/>
          <w:color w:val="1f3864"/>
          <w:sz w:val="22"/>
          <w:szCs w:val="22"/>
          <w:u w:val="none"/>
          <w:shd w:fill="auto" w:val="clear"/>
          <w:vertAlign w:val="baseline"/>
          <w:rtl w:val="0"/>
        </w:rPr>
        <w:t xml:space="preserve">Delhicorner serves Indian Cuisines in Birmingham which indicates it has multiple products to serve and from the above discussion it is clear that CVP analysis is hard to apply when there is more than one product (Drury, 2021). </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1f3864"/>
          <w:sz w:val="22"/>
          <w:szCs w:val="22"/>
          <w:u w:val="none"/>
          <w:shd w:fill="auto" w:val="clear"/>
          <w:vertAlign w:val="baseline"/>
        </w:rPr>
      </w:pPr>
      <w:r w:rsidDel="00000000" w:rsidR="00000000" w:rsidRPr="00000000">
        <w:rPr>
          <w:rFonts w:ascii="Arial" w:cs="Arial" w:eastAsia="Arial" w:hAnsi="Arial"/>
          <w:b w:val="0"/>
          <w:i w:val="0"/>
          <w:smallCaps w:val="0"/>
          <w:strike w:val="0"/>
          <w:color w:val="1f3864"/>
          <w:sz w:val="22"/>
          <w:szCs w:val="22"/>
          <w:u w:val="none"/>
          <w:shd w:fill="auto" w:val="clear"/>
          <w:vertAlign w:val="baseline"/>
          <w:rtl w:val="0"/>
        </w:rPr>
        <w:t xml:space="preserve">If MG uses the marginal costing method, it will break down costs as fixed and variable costs. Some costs cannot be classified as either variable or fixed and they are mixed in nature. CVP analysis is not useful as mixed costs are not considered. </w:t>
      </w:r>
      <w:r w:rsidDel="00000000" w:rsidR="00000000" w:rsidRPr="00000000">
        <w:rPr>
          <w:rtl w:val="0"/>
        </w:rPr>
      </w:r>
    </w:p>
    <w:p w:rsidR="00000000" w:rsidDel="00000000" w:rsidP="00000000" w:rsidRDefault="00000000" w:rsidRPr="00000000" w14:paraId="00000132">
      <w:pPr>
        <w:spacing w:line="360" w:lineRule="auto"/>
        <w:jc w:val="both"/>
        <w:rPr>
          <w:rFonts w:ascii="Arial" w:cs="Arial" w:eastAsia="Arial" w:hAnsi="Arial"/>
          <w:color w:val="1f3864"/>
        </w:rPr>
      </w:pPr>
      <w:r w:rsidDel="00000000" w:rsidR="00000000" w:rsidRPr="00000000">
        <w:rPr>
          <w:rFonts w:ascii="Arial" w:cs="Arial" w:eastAsia="Arial" w:hAnsi="Arial"/>
          <w:color w:val="1f3864"/>
          <w:rtl w:val="0"/>
        </w:rPr>
        <w:t xml:space="preserve">The discussion of limitations does not suggest that business organizations like MG and Delhicorner should not use CVP or break-even analysis. The point is while using these tools a user should keep these limitations in mind and apply his/her judgement considering the unique business situation. </w:t>
      </w:r>
    </w:p>
    <w:p w:rsidR="00000000" w:rsidDel="00000000" w:rsidP="00000000" w:rsidRDefault="00000000" w:rsidRPr="00000000" w14:paraId="00000133">
      <w:pPr>
        <w:spacing w:line="360" w:lineRule="auto"/>
        <w:jc w:val="both"/>
        <w:rPr>
          <w:rFonts w:ascii="Arial" w:cs="Arial" w:eastAsia="Arial" w:hAnsi="Arial"/>
          <w:color w:val="1f3864"/>
        </w:rPr>
      </w:pPr>
      <w:r w:rsidDel="00000000" w:rsidR="00000000" w:rsidRPr="00000000">
        <w:rPr>
          <w:rtl w:val="0"/>
        </w:rPr>
      </w:r>
    </w:p>
    <w:p w:rsidR="00000000" w:rsidDel="00000000" w:rsidP="00000000" w:rsidRDefault="00000000" w:rsidRPr="00000000" w14:paraId="00000134">
      <w:pPr>
        <w:spacing w:line="360" w:lineRule="auto"/>
        <w:jc w:val="both"/>
        <w:rPr>
          <w:rFonts w:ascii="Arial" w:cs="Arial" w:eastAsia="Arial" w:hAnsi="Arial"/>
          <w:color w:val="1f3864"/>
        </w:rPr>
      </w:pPr>
      <w:r w:rsidDel="00000000" w:rsidR="00000000" w:rsidRPr="00000000">
        <w:rPr>
          <w:rtl w:val="0"/>
        </w:rPr>
      </w:r>
    </w:p>
    <w:p w:rsidR="00000000" w:rsidDel="00000000" w:rsidP="00000000" w:rsidRDefault="00000000" w:rsidRPr="00000000" w14:paraId="00000135">
      <w:pPr>
        <w:spacing w:line="360" w:lineRule="auto"/>
        <w:jc w:val="both"/>
        <w:rPr>
          <w:rFonts w:ascii="Arial" w:cs="Arial" w:eastAsia="Arial" w:hAnsi="Arial"/>
          <w:color w:val="1f3864"/>
        </w:rPr>
      </w:pPr>
      <w:r w:rsidDel="00000000" w:rsidR="00000000" w:rsidRPr="00000000">
        <w:rPr>
          <w:rtl w:val="0"/>
        </w:rPr>
      </w:r>
    </w:p>
    <w:p w:rsidR="00000000" w:rsidDel="00000000" w:rsidP="00000000" w:rsidRDefault="00000000" w:rsidRPr="00000000" w14:paraId="00000136">
      <w:pPr>
        <w:pStyle w:val="Heading1"/>
        <w:spacing w:line="360" w:lineRule="auto"/>
        <w:rPr>
          <w:b w:val="1"/>
          <w:sz w:val="28"/>
          <w:szCs w:val="28"/>
        </w:rPr>
      </w:pPr>
      <w:bookmarkStart w:colFirst="0" w:colLast="0" w:name="_3rdcrjn" w:id="11"/>
      <w:bookmarkEnd w:id="11"/>
      <w:r w:rsidDel="00000000" w:rsidR="00000000" w:rsidRPr="00000000">
        <w:rPr>
          <w:b w:val="1"/>
          <w:sz w:val="28"/>
          <w:szCs w:val="28"/>
          <w:rtl w:val="0"/>
        </w:rPr>
        <w:t xml:space="preserve">Conclusion</w:t>
      </w:r>
    </w:p>
    <w:p w:rsidR="00000000" w:rsidDel="00000000" w:rsidP="00000000" w:rsidRDefault="00000000" w:rsidRPr="00000000" w14:paraId="00000137">
      <w:pPr>
        <w:spacing w:line="360" w:lineRule="auto"/>
        <w:jc w:val="both"/>
        <w:rPr>
          <w:rFonts w:ascii="Arial" w:cs="Arial" w:eastAsia="Arial" w:hAnsi="Arial"/>
        </w:rPr>
      </w:pPr>
      <w:r w:rsidDel="00000000" w:rsidR="00000000" w:rsidRPr="00000000">
        <w:rPr>
          <w:rFonts w:ascii="Arial" w:cs="Arial" w:eastAsia="Arial" w:hAnsi="Arial"/>
          <w:rtl w:val="0"/>
        </w:rPr>
        <w:t xml:space="preserve">Marginal costing, absorption costing break-even analysis and cost-volume-profit are tools popularly used by business people to understand various business or organizational situations, to evaluate and make the decision. The marginal costing method enables a user to make a decision, for example, the marginal costing method can assist one in deciding on ceasing production of a particular product or products. However, the analysis should be based on a holistic approach because these tools have their limitations. A manager needs to have sound cost and management accounting knowledge for it will enable him/her to choose the right methods and techniques and apply them appropriately. </w:t>
      </w:r>
    </w:p>
    <w:p w:rsidR="00000000" w:rsidDel="00000000" w:rsidP="00000000" w:rsidRDefault="00000000" w:rsidRPr="00000000" w14:paraId="0000013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B">
      <w:pPr>
        <w:rPr>
          <w:rFonts w:ascii="Arial" w:cs="Arial" w:eastAsia="Arial" w:hAnsi="Arial"/>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3C">
      <w:pPr>
        <w:jc w:val="both"/>
        <w:rPr>
          <w:rFonts w:ascii="Arial" w:cs="Arial" w:eastAsia="Arial" w:hAnsi="Arial"/>
          <w:b w:val="1"/>
          <w:sz w:val="28"/>
          <w:szCs w:val="28"/>
        </w:rPr>
      </w:pPr>
      <w:bookmarkStart w:colFirst="0" w:colLast="0" w:name="_26in1rg" w:id="12"/>
      <w:bookmarkEnd w:id="12"/>
      <w:r w:rsidDel="00000000" w:rsidR="00000000" w:rsidRPr="00000000">
        <w:rPr>
          <w:rFonts w:ascii="Arial" w:cs="Arial" w:eastAsia="Arial" w:hAnsi="Arial"/>
          <w:b w:val="1"/>
          <w:sz w:val="28"/>
          <w:szCs w:val="28"/>
          <w:rtl w:val="0"/>
        </w:rPr>
        <w:t xml:space="preserve">Reference List</w:t>
      </w:r>
    </w:p>
    <w:p w:rsidR="00000000" w:rsidDel="00000000" w:rsidP="00000000" w:rsidRDefault="00000000" w:rsidRPr="00000000" w14:paraId="0000013D">
      <w:pPr>
        <w:spacing w:line="360" w:lineRule="auto"/>
        <w:jc w:val="both"/>
        <w:rPr>
          <w:rFonts w:ascii="Arial" w:cs="Arial" w:eastAsia="Arial" w:hAnsi="Arial"/>
        </w:rPr>
      </w:pPr>
      <w:r w:rsidDel="00000000" w:rsidR="00000000" w:rsidRPr="00000000">
        <w:rPr>
          <w:rFonts w:ascii="Arial" w:cs="Arial" w:eastAsia="Arial" w:hAnsi="Arial"/>
          <w:rtl w:val="0"/>
        </w:rPr>
        <w:t xml:space="preserve">Bhimani, A. </w:t>
      </w:r>
      <w:r w:rsidDel="00000000" w:rsidR="00000000" w:rsidRPr="00000000">
        <w:rPr>
          <w:rFonts w:ascii="Arial" w:cs="Arial" w:eastAsia="Arial" w:hAnsi="Arial"/>
          <w:i w:val="1"/>
          <w:rtl w:val="0"/>
        </w:rPr>
        <w:t xml:space="preserve">et al.</w:t>
      </w:r>
      <w:r w:rsidDel="00000000" w:rsidR="00000000" w:rsidRPr="00000000">
        <w:rPr>
          <w:rFonts w:ascii="Arial" w:cs="Arial" w:eastAsia="Arial" w:hAnsi="Arial"/>
          <w:rtl w:val="0"/>
        </w:rPr>
        <w:t xml:space="preserve"> (2018) </w:t>
      </w:r>
      <w:r w:rsidDel="00000000" w:rsidR="00000000" w:rsidRPr="00000000">
        <w:rPr>
          <w:rFonts w:ascii="Arial" w:cs="Arial" w:eastAsia="Arial" w:hAnsi="Arial"/>
          <w:i w:val="1"/>
          <w:rtl w:val="0"/>
        </w:rPr>
        <w:t xml:space="preserve">Management and cost accounting</w:t>
      </w:r>
      <w:r w:rsidDel="00000000" w:rsidR="00000000" w:rsidRPr="00000000">
        <w:rPr>
          <w:rFonts w:ascii="Arial" w:cs="Arial" w:eastAsia="Arial" w:hAnsi="Arial"/>
          <w:rtl w:val="0"/>
        </w:rPr>
        <w:t xml:space="preserve">. Harlow, United Kingdom: Pearson Education, Limited. </w:t>
      </w:r>
    </w:p>
    <w:p w:rsidR="00000000" w:rsidDel="00000000" w:rsidP="00000000" w:rsidRDefault="00000000" w:rsidRPr="00000000" w14:paraId="0000013E">
      <w:pPr>
        <w:spacing w:line="360" w:lineRule="auto"/>
        <w:jc w:val="both"/>
        <w:rPr>
          <w:rFonts w:ascii="Arial" w:cs="Arial" w:eastAsia="Arial" w:hAnsi="Arial"/>
        </w:rPr>
      </w:pPr>
      <w:r w:rsidDel="00000000" w:rsidR="00000000" w:rsidRPr="00000000">
        <w:rPr>
          <w:rFonts w:ascii="Arial" w:cs="Arial" w:eastAsia="Arial" w:hAnsi="Arial"/>
          <w:rtl w:val="0"/>
        </w:rPr>
        <w:t xml:space="preserve">Blocher, E.J. </w:t>
      </w:r>
      <w:r w:rsidDel="00000000" w:rsidR="00000000" w:rsidRPr="00000000">
        <w:rPr>
          <w:rFonts w:ascii="Arial" w:cs="Arial" w:eastAsia="Arial" w:hAnsi="Arial"/>
          <w:i w:val="1"/>
          <w:rtl w:val="0"/>
        </w:rPr>
        <w:t xml:space="preserve">et al.</w:t>
      </w:r>
      <w:r w:rsidDel="00000000" w:rsidR="00000000" w:rsidRPr="00000000">
        <w:rPr>
          <w:rFonts w:ascii="Arial" w:cs="Arial" w:eastAsia="Arial" w:hAnsi="Arial"/>
          <w:rtl w:val="0"/>
        </w:rPr>
        <w:t xml:space="preserve"> (2019) </w:t>
      </w:r>
      <w:r w:rsidDel="00000000" w:rsidR="00000000" w:rsidRPr="00000000">
        <w:rPr>
          <w:rFonts w:ascii="Arial" w:cs="Arial" w:eastAsia="Arial" w:hAnsi="Arial"/>
          <w:i w:val="1"/>
          <w:rtl w:val="0"/>
        </w:rPr>
        <w:t xml:space="preserve">Cost management: A strategic emphasis</w:t>
      </w:r>
      <w:r w:rsidDel="00000000" w:rsidR="00000000" w:rsidRPr="00000000">
        <w:rPr>
          <w:rFonts w:ascii="Arial" w:cs="Arial" w:eastAsia="Arial" w:hAnsi="Arial"/>
          <w:rtl w:val="0"/>
        </w:rPr>
        <w:t xml:space="preserve">. New York, NY: McGraw-Hill. </w:t>
      </w:r>
    </w:p>
    <w:p w:rsidR="00000000" w:rsidDel="00000000" w:rsidP="00000000" w:rsidRDefault="00000000" w:rsidRPr="00000000" w14:paraId="0000013F">
      <w:pPr>
        <w:spacing w:line="360" w:lineRule="auto"/>
        <w:jc w:val="both"/>
        <w:rPr>
          <w:rFonts w:ascii="Arial" w:cs="Arial" w:eastAsia="Arial" w:hAnsi="Arial"/>
        </w:rPr>
      </w:pPr>
      <w:r w:rsidDel="00000000" w:rsidR="00000000" w:rsidRPr="00000000">
        <w:rPr>
          <w:rFonts w:ascii="Arial" w:cs="Arial" w:eastAsia="Arial" w:hAnsi="Arial"/>
          <w:rtl w:val="0"/>
        </w:rPr>
        <w:t xml:space="preserve">Cohen, M.A. (2020) “Cost-effectiveness and break-even analysis,” </w:t>
      </w:r>
      <w:r w:rsidDel="00000000" w:rsidR="00000000" w:rsidRPr="00000000">
        <w:rPr>
          <w:rFonts w:ascii="Arial" w:cs="Arial" w:eastAsia="Arial" w:hAnsi="Arial"/>
          <w:i w:val="1"/>
          <w:rtl w:val="0"/>
        </w:rPr>
        <w:t xml:space="preserve">The Costs of Crime and Justice</w:t>
      </w:r>
      <w:r w:rsidDel="00000000" w:rsidR="00000000" w:rsidRPr="00000000">
        <w:rPr>
          <w:rFonts w:ascii="Arial" w:cs="Arial" w:eastAsia="Arial" w:hAnsi="Arial"/>
          <w:rtl w:val="0"/>
        </w:rPr>
        <w:t xml:space="preserve">, pp. 181–192. Available at: https://doi.org/10.4324/9780429431562-13. </w:t>
      </w:r>
    </w:p>
    <w:p w:rsidR="00000000" w:rsidDel="00000000" w:rsidP="00000000" w:rsidRDefault="00000000" w:rsidRPr="00000000" w14:paraId="00000140">
      <w:pPr>
        <w:spacing w:line="360" w:lineRule="auto"/>
        <w:jc w:val="both"/>
        <w:rPr>
          <w:rFonts w:ascii="Arial" w:cs="Arial" w:eastAsia="Arial" w:hAnsi="Arial"/>
        </w:rPr>
      </w:pPr>
      <w:r w:rsidDel="00000000" w:rsidR="00000000" w:rsidRPr="00000000">
        <w:rPr>
          <w:rFonts w:ascii="Arial" w:cs="Arial" w:eastAsia="Arial" w:hAnsi="Arial"/>
          <w:rtl w:val="0"/>
        </w:rPr>
        <w:t xml:space="preserve">Desai, A. and Mital, A. (2018) “Break even and benefit cost analysis,” </w:t>
      </w:r>
      <w:r w:rsidDel="00000000" w:rsidR="00000000" w:rsidRPr="00000000">
        <w:rPr>
          <w:rFonts w:ascii="Arial" w:cs="Arial" w:eastAsia="Arial" w:hAnsi="Arial"/>
          <w:i w:val="1"/>
          <w:rtl w:val="0"/>
        </w:rPr>
        <w:t xml:space="preserve">Production Economics</w:t>
      </w:r>
      <w:r w:rsidDel="00000000" w:rsidR="00000000" w:rsidRPr="00000000">
        <w:rPr>
          <w:rFonts w:ascii="Arial" w:cs="Arial" w:eastAsia="Arial" w:hAnsi="Arial"/>
          <w:rtl w:val="0"/>
        </w:rPr>
        <w:t xml:space="preserve">, pp. 341–368. Available at: https://doi.org/10.1201/9780429487040-12. </w:t>
      </w:r>
    </w:p>
    <w:p w:rsidR="00000000" w:rsidDel="00000000" w:rsidP="00000000" w:rsidRDefault="00000000" w:rsidRPr="00000000" w14:paraId="00000141">
      <w:pPr>
        <w:spacing w:line="360" w:lineRule="auto"/>
        <w:jc w:val="both"/>
        <w:rPr>
          <w:rFonts w:ascii="Arial" w:cs="Arial" w:eastAsia="Arial" w:hAnsi="Arial"/>
        </w:rPr>
      </w:pPr>
      <w:r w:rsidDel="00000000" w:rsidR="00000000" w:rsidRPr="00000000">
        <w:rPr>
          <w:rFonts w:ascii="Arial" w:cs="Arial" w:eastAsia="Arial" w:hAnsi="Arial"/>
          <w:rtl w:val="0"/>
        </w:rPr>
        <w:t xml:space="preserve">Drury, C. (2021) </w:t>
      </w:r>
      <w:r w:rsidDel="00000000" w:rsidR="00000000" w:rsidRPr="00000000">
        <w:rPr>
          <w:rFonts w:ascii="Arial" w:cs="Arial" w:eastAsia="Arial" w:hAnsi="Arial"/>
          <w:i w:val="1"/>
          <w:rtl w:val="0"/>
        </w:rPr>
        <w:t xml:space="preserve">Management and cost accounting</w:t>
      </w:r>
      <w:r w:rsidDel="00000000" w:rsidR="00000000" w:rsidRPr="00000000">
        <w:rPr>
          <w:rFonts w:ascii="Arial" w:cs="Arial" w:eastAsia="Arial" w:hAnsi="Arial"/>
          <w:rtl w:val="0"/>
        </w:rPr>
        <w:t xml:space="preserve">. Andover, Hampshire: Cengage Learning. </w:t>
      </w:r>
    </w:p>
    <w:p w:rsidR="00000000" w:rsidDel="00000000" w:rsidP="00000000" w:rsidRDefault="00000000" w:rsidRPr="00000000" w14:paraId="00000142">
      <w:pPr>
        <w:spacing w:line="360" w:lineRule="auto"/>
        <w:jc w:val="both"/>
        <w:rPr>
          <w:rFonts w:ascii="Arial" w:cs="Arial" w:eastAsia="Arial" w:hAnsi="Arial"/>
        </w:rPr>
      </w:pPr>
      <w:r w:rsidDel="00000000" w:rsidR="00000000" w:rsidRPr="00000000">
        <w:rPr>
          <w:rFonts w:ascii="Arial" w:cs="Arial" w:eastAsia="Arial" w:hAnsi="Arial"/>
          <w:rtl w:val="0"/>
        </w:rPr>
        <w:t xml:space="preserve">Goel, S. (2019) “Marginal costing and managerial decision-making,” </w:t>
      </w:r>
      <w:r w:rsidDel="00000000" w:rsidR="00000000" w:rsidRPr="00000000">
        <w:rPr>
          <w:rFonts w:ascii="Arial" w:cs="Arial" w:eastAsia="Arial" w:hAnsi="Arial"/>
          <w:i w:val="1"/>
          <w:rtl w:val="0"/>
        </w:rPr>
        <w:t xml:space="preserve">Finance for Non-Finance People</w:t>
      </w:r>
      <w:r w:rsidDel="00000000" w:rsidR="00000000" w:rsidRPr="00000000">
        <w:rPr>
          <w:rFonts w:ascii="Arial" w:cs="Arial" w:eastAsia="Arial" w:hAnsi="Arial"/>
          <w:rtl w:val="0"/>
        </w:rPr>
        <w:t xml:space="preserve">, pp. 140–157. Available at: https://doi.org/10.4324/9780429196669-8. </w:t>
      </w:r>
    </w:p>
    <w:p w:rsidR="00000000" w:rsidDel="00000000" w:rsidP="00000000" w:rsidRDefault="00000000" w:rsidRPr="00000000" w14:paraId="00000143">
      <w:pPr>
        <w:spacing w:line="360" w:lineRule="auto"/>
        <w:jc w:val="both"/>
        <w:rPr>
          <w:rFonts w:ascii="Arial" w:cs="Arial" w:eastAsia="Arial" w:hAnsi="Arial"/>
        </w:rPr>
      </w:pPr>
      <w:r w:rsidDel="00000000" w:rsidR="00000000" w:rsidRPr="00000000">
        <w:rPr>
          <w:rFonts w:ascii="Arial" w:cs="Arial" w:eastAsia="Arial" w:hAnsi="Arial"/>
          <w:rtl w:val="0"/>
        </w:rPr>
        <w:t xml:space="preserve">Seal, W. (2018) </w:t>
      </w:r>
      <w:r w:rsidDel="00000000" w:rsidR="00000000" w:rsidRPr="00000000">
        <w:rPr>
          <w:rFonts w:ascii="Arial" w:cs="Arial" w:eastAsia="Arial" w:hAnsi="Arial"/>
          <w:i w:val="1"/>
          <w:rtl w:val="0"/>
        </w:rPr>
        <w:t xml:space="preserve">Management accounting</w:t>
      </w:r>
      <w:r w:rsidDel="00000000" w:rsidR="00000000" w:rsidRPr="00000000">
        <w:rPr>
          <w:rFonts w:ascii="Arial" w:cs="Arial" w:eastAsia="Arial" w:hAnsi="Arial"/>
          <w:rtl w:val="0"/>
        </w:rPr>
        <w:t xml:space="preserve">. London: McGraw-Hill Education. </w:t>
      </w:r>
    </w:p>
    <w:p w:rsidR="00000000" w:rsidDel="00000000" w:rsidP="00000000" w:rsidRDefault="00000000" w:rsidRPr="00000000" w14:paraId="00000144">
      <w:pPr>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4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7">
      <w:pPr>
        <w:rPr>
          <w:rFonts w:ascii="Arial" w:cs="Arial" w:eastAsia="Arial" w:hAnsi="Arial"/>
          <w:sz w:val="24"/>
          <w:szCs w:val="24"/>
        </w:rPr>
      </w:pPr>
      <w:r w:rsidDel="00000000" w:rsidR="00000000" w:rsidRPr="00000000">
        <w:rPr>
          <w:rtl w:val="0"/>
        </w:rPr>
      </w:r>
    </w:p>
    <w:sectPr>
      <w:footerReference r:id="rId6" w:type="default"/>
      <w:footerReference r:id="rId7" w:type="first"/>
      <w:pgSz w:h="16838" w:w="11906" w:orient="portrait"/>
      <w:pgMar w:bottom="1440" w:top="720" w:left="1440" w:right="1020" w:header="705.6" w:footer="705.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8">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pPr>
    <w:r w:rsidDel="00000000" w:rsidR="00000000" w:rsidRPr="00000000">
      <w:rPr>
        <w:rtl w:val="0"/>
      </w:rPr>
    </w:r>
  </w:p>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both"/>
    </w:pPr>
    <w:rPr>
      <w:rFonts w:ascii="Arial" w:cs="Arial" w:eastAsia="Arial" w:hAnsi="Arial"/>
      <w:sz w:val="32"/>
      <w:szCs w:val="32"/>
    </w:rPr>
  </w:style>
  <w:style w:type="paragraph" w:styleId="Heading2">
    <w:name w:val="heading 2"/>
    <w:basedOn w:val="Normal"/>
    <w:next w:val="Normal"/>
    <w:pPr>
      <w:keepNext w:val="1"/>
      <w:keepLines w:val="1"/>
      <w:spacing w:after="0" w:before="40" w:lineRule="auto"/>
      <w:jc w:val="both"/>
    </w:pPr>
    <w:rPr>
      <w:rFonts w:ascii="Arial" w:cs="Arial" w:eastAsia="Arial" w:hAnsi="Arial"/>
      <w:color w:val="2f5496"/>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2.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