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Calibri" w:cs="Times New Roman"/>
          <w:b/>
          <w:sz w:val="48"/>
          <w:szCs w:val="48"/>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rPr>
          <w:rFonts w:hint="default" w:eastAsia="宋体" w:cs="Times New Roman"/>
          <w:b/>
          <w:sz w:val="48"/>
          <w:szCs w:val="48"/>
          <w:lang w:val="en-US" w:eastAsia="zh-CN"/>
        </w:rPr>
      </w:pPr>
      <w:r>
        <w:rPr>
          <w:rFonts w:hint="eastAsia" w:eastAsia="宋体" w:cs="Times New Roman"/>
          <w:b/>
          <w:sz w:val="48"/>
          <w:szCs w:val="48"/>
          <w:lang w:val="en-US" w:eastAsia="zh-CN"/>
        </w:rPr>
        <w:t xml:space="preserve">             Handout</w:t>
      </w:r>
    </w:p>
    <w:p>
      <w:pPr>
        <w:ind w:firstLine="3373" w:firstLineChars="700"/>
        <w:rPr>
          <w:rFonts w:hint="eastAsia" w:eastAsia="宋体" w:cs="Times New Roman"/>
          <w:b/>
          <w:sz w:val="48"/>
          <w:szCs w:val="48"/>
          <w:lang w:val="en-US" w:eastAsia="zh-CN"/>
        </w:rPr>
      </w:pPr>
      <w:r>
        <w:rPr>
          <w:rFonts w:hint="eastAsia" w:eastAsia="宋体" w:cs="Times New Roman"/>
          <w:b/>
          <w:sz w:val="48"/>
          <w:szCs w:val="48"/>
          <w:lang w:val="en-US" w:eastAsia="zh-CN"/>
        </w:rPr>
        <w:t>Group 7</w:t>
      </w:r>
    </w:p>
    <w:p>
      <w:pPr>
        <w:rPr>
          <w:rFonts w:hint="eastAsia" w:eastAsia="宋体" w:cs="Times New Roman"/>
          <w:b/>
          <w:sz w:val="48"/>
          <w:szCs w:val="48"/>
          <w:lang w:val="en-US" w:eastAsia="zh-CN"/>
        </w:rPr>
      </w:pPr>
    </w:p>
    <w:p>
      <w:pPr>
        <w:ind w:firstLine="2711" w:firstLineChars="900"/>
        <w:rPr>
          <w:rFonts w:hint="default"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ind w:firstLine="2409" w:firstLineChars="800"/>
        <w:rPr>
          <w:rFonts w:hint="eastAsia" w:eastAsia="宋体" w:cs="Times New Roman"/>
          <w:b/>
          <w:sz w:val="30"/>
          <w:szCs w:val="30"/>
          <w:lang w:val="en-US" w:eastAsia="zh-CN"/>
        </w:rPr>
      </w:pPr>
      <w:r>
        <w:rPr>
          <w:rFonts w:hint="eastAsia" w:eastAsia="宋体" w:cs="Times New Roman"/>
          <w:b/>
          <w:sz w:val="30"/>
          <w:szCs w:val="30"/>
          <w:lang w:val="en-US" w:eastAsia="zh-CN"/>
        </w:rPr>
        <w:t>Group members: Yuhang Wu</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Chuanjing Ai</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Haotian Peng</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Tianchang Tan</w:t>
      </w:r>
    </w:p>
    <w:p>
      <w:pPr>
        <w:rPr>
          <w:rFonts w:hint="default" w:eastAsia="宋体" w:cs="Times New Roman"/>
          <w:b/>
          <w:sz w:val="30"/>
          <w:szCs w:val="30"/>
          <w:lang w:val="en-US" w:eastAsia="zh-CN"/>
        </w:rPr>
      </w:pPr>
    </w:p>
    <w:p>
      <w:pPr>
        <w:rPr>
          <w:rFonts w:hint="default" w:ascii="Times New Roman" w:hAnsi="Times New Roman" w:eastAsia="Calibri" w:cs="Times New Roman"/>
          <w:b/>
          <w:sz w:val="48"/>
          <w:szCs w:val="48"/>
        </w:rPr>
      </w:pP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 xml:space="preserve">A </w:t>
      </w:r>
      <w:r>
        <w:rPr>
          <w:rFonts w:hint="default" w:ascii="Times New Roman Regular" w:hAnsi="Times New Roman Regular" w:cs="Times New Roman Regular"/>
          <w:sz w:val="24"/>
          <w:szCs w:val="24"/>
        </w:rPr>
        <w:t>handout</w:t>
      </w:r>
      <w:r>
        <w:rPr>
          <w:rFonts w:hint="eastAsia" w:ascii="Times New Roman Regular" w:hAnsi="Times New Roman Regular" w:cs="Times New Roman Regular"/>
          <w:sz w:val="24"/>
          <w:szCs w:val="24"/>
        </w:rPr>
        <w:t xml:space="preserve"> submitted in </w:t>
      </w:r>
      <w:r>
        <w:rPr>
          <w:rFonts w:hint="default" w:ascii="Times New Roman Regular" w:hAnsi="Times New Roman Regular" w:cs="Times New Roman Regular"/>
          <w:sz w:val="24"/>
          <w:szCs w:val="24"/>
        </w:rPr>
        <w:t>fulfillment</w:t>
      </w:r>
      <w:r>
        <w:rPr>
          <w:rFonts w:hint="eastAsia" w:ascii="Times New Roman Regular" w:hAnsi="Times New Roman Regular" w:cs="Times New Roman Regular"/>
          <w:sz w:val="24"/>
          <w:szCs w:val="24"/>
        </w:rPr>
        <w:t xml:space="preserve"> of the requirements for Course</w:t>
      </w:r>
    </w:p>
    <w:p>
      <w:pPr>
        <w:spacing w:line="360" w:lineRule="auto"/>
        <w:jc w:val="center"/>
        <w:rPr>
          <w:rFonts w:ascii="Times New Roman Regular" w:hAnsi="Times New Roman Regular" w:cs="Times New Roman Regular"/>
          <w:sz w:val="24"/>
          <w:szCs w:val="24"/>
        </w:rPr>
      </w:pPr>
      <w:r>
        <w:rPr>
          <w:rFonts w:hint="eastAsia" w:ascii="Times New Roman Regular" w:hAnsi="Times New Roman Regular" w:cs="Times New Roman Regular"/>
          <w:sz w:val="24"/>
          <w:szCs w:val="24"/>
        </w:rPr>
        <w:t>BMBM60</w:t>
      </w:r>
      <w:r>
        <w:rPr>
          <w:rFonts w:hint="default" w:ascii="Times New Roman Regular" w:hAnsi="Times New Roman Regular" w:cs="Times New Roman Regular"/>
          <w:sz w:val="24"/>
          <w:szCs w:val="24"/>
        </w:rPr>
        <w:t>21</w:t>
      </w:r>
      <w:r>
        <w:rPr>
          <w:rFonts w:hint="eastAsia" w:ascii="Times New Roman Regular" w:hAnsi="Times New Roman Regular" w:cs="Times New Roman Regular"/>
          <w:sz w:val="24"/>
          <w:szCs w:val="24"/>
        </w:rPr>
        <w:t xml:space="preserve">, </w:t>
      </w:r>
      <w:r>
        <w:rPr>
          <w:rFonts w:hint="default" w:ascii="Times New Roman Regular" w:hAnsi="Times New Roman Regular" w:cs="Times New Roman Regular"/>
          <w:sz w:val="24"/>
          <w:szCs w:val="24"/>
          <w:lang w:eastAsia="zh-Hans"/>
        </w:rPr>
        <w:t>International Business Communication</w:t>
      </w:r>
      <w:r>
        <w:rPr>
          <w:rFonts w:hint="eastAsia" w:ascii="Times New Roman Regular" w:hAnsi="Times New Roman Regular" w:cs="Times New Roman Regular"/>
          <w:sz w:val="24"/>
          <w:szCs w:val="24"/>
        </w:rPr>
        <w:t>,</w:t>
      </w:r>
    </w:p>
    <w:p>
      <w:pPr>
        <w:spacing w:line="360" w:lineRule="auto"/>
        <w:jc w:val="center"/>
        <w:rPr>
          <w:rFonts w:hint="eastAsia" w:ascii="Times New Roman" w:hAnsi="Times New Roman" w:cs="Times New Roman"/>
          <w:sz w:val="36"/>
          <w:szCs w:val="36"/>
          <w:lang w:val="en-US" w:eastAsia="zh-Hans"/>
        </w:rPr>
      </w:pPr>
      <w:r>
        <w:rPr>
          <w:rFonts w:hint="eastAsia" w:ascii="Times New Roman Regular" w:hAnsi="Times New Roman Regular" w:cs="Times New Roman Regular"/>
          <w:sz w:val="24"/>
          <w:szCs w:val="24"/>
        </w:rPr>
        <w:t>University of Wales Trinity Saint David.</w:t>
      </w:r>
    </w:p>
    <w:p>
      <w:pPr>
        <w:rPr>
          <w:rFonts w:hint="default" w:ascii="Times New Roman" w:hAnsi="Times New Roman" w:eastAsia="Calibri" w:cs="Times New Roman"/>
          <w:b/>
          <w:sz w:val="48"/>
          <w:szCs w:val="48"/>
          <w:lang w:val="en-US" w:eastAsia="zh-CN"/>
        </w:rPr>
        <w:sectPr>
          <w:pgSz w:w="11906" w:h="16838"/>
          <w:pgMar w:top="1440" w:right="1800" w:bottom="1440" w:left="1800" w:header="851" w:footer="992" w:gutter="0"/>
          <w:pgNumType w:fmt="decimal" w:start="1"/>
          <w:cols w:space="425" w:num="1"/>
          <w:docGrid w:type="lines" w:linePitch="312" w:charSpace="0"/>
        </w:sectPr>
      </w:pPr>
    </w:p>
    <w:p>
      <w:pPr>
        <w:rPr>
          <w:rFonts w:hint="default" w:ascii="Times New Roman" w:hAnsi="Times New Roman" w:cs="Times New Roman"/>
          <w:b/>
          <w:bCs/>
          <w:sz w:val="44"/>
          <w:szCs w:val="44"/>
          <w:lang w:val="en-US" w:eastAsia="zh-CN"/>
        </w:rPr>
      </w:pPr>
      <w:r>
        <w:rPr>
          <w:rFonts w:hint="default" w:ascii="Times New Roman" w:hAnsi="Times New Roman" w:cs="Times New Roman"/>
          <w:b/>
          <w:bCs/>
          <w:sz w:val="44"/>
          <w:szCs w:val="44"/>
          <w:lang w:val="en-US" w:eastAsia="zh-CN"/>
        </w:rPr>
        <w:t>Content</w:t>
      </w:r>
    </w:p>
    <w:p>
      <w:pPr>
        <w:pStyle w:val="8"/>
        <w:tabs>
          <w:tab w:val="right" w:leader="dot" w:pos="8306"/>
        </w:tabs>
        <w:rPr>
          <w:sz w:val="28"/>
          <w:szCs w:val="28"/>
        </w:rPr>
      </w:pPr>
    </w:p>
    <w:p>
      <w:pPr>
        <w:pStyle w:val="8"/>
        <w:tabs>
          <w:tab w:val="right" w:leader="dot" w:pos="8306"/>
        </w:tabs>
      </w:pPr>
      <w:r>
        <w:rPr>
          <w:sz w:val="28"/>
          <w:szCs w:val="28"/>
        </w:rPr>
        <w:fldChar w:fldCharType="begin"/>
      </w:r>
      <w:r>
        <w:rPr>
          <w:sz w:val="28"/>
          <w:szCs w:val="28"/>
        </w:rPr>
        <w:instrText xml:space="preserve">TOC \o "1-3" \h \u </w:instrText>
      </w:r>
      <w:r>
        <w:rPr>
          <w:sz w:val="28"/>
          <w:szCs w:val="28"/>
        </w:rPr>
        <w:fldChar w:fldCharType="separate"/>
      </w:r>
      <w:r>
        <w:rPr>
          <w:szCs w:val="28"/>
        </w:rPr>
        <w:fldChar w:fldCharType="begin"/>
      </w:r>
      <w:r>
        <w:rPr>
          <w:szCs w:val="28"/>
        </w:rPr>
        <w:instrText xml:space="preserve"> HYPERLINK \l _Toc19302 </w:instrText>
      </w:r>
      <w:r>
        <w:rPr>
          <w:szCs w:val="28"/>
        </w:rPr>
        <w:fldChar w:fldCharType="separate"/>
      </w:r>
      <w:r>
        <w:rPr>
          <w:rFonts w:hint="default"/>
          <w:lang w:val="en-US" w:eastAsia="zh-CN"/>
        </w:rPr>
        <w:t xml:space="preserve">1.0 </w:t>
      </w:r>
      <w:r>
        <w:rPr>
          <w:rFonts w:hint="eastAsia"/>
          <w:lang w:val="en-US" w:eastAsia="zh-CN"/>
        </w:rPr>
        <w:t>I</w:t>
      </w:r>
      <w:r>
        <w:rPr>
          <w:rFonts w:hint="default"/>
          <w:lang w:val="en-US" w:eastAsia="zh-CN"/>
        </w:rPr>
        <w:t>ntroduction</w:t>
      </w:r>
      <w:r>
        <w:tab/>
      </w:r>
      <w:r>
        <w:fldChar w:fldCharType="begin"/>
      </w:r>
      <w:r>
        <w:instrText xml:space="preserve"> PAGEREF _Toc19302 \h </w:instrText>
      </w:r>
      <w:r>
        <w:fldChar w:fldCharType="separate"/>
      </w:r>
      <w:r>
        <w:t>1</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_Toc25962 </w:instrText>
      </w:r>
      <w:r>
        <w:rPr>
          <w:szCs w:val="28"/>
        </w:rPr>
        <w:fldChar w:fldCharType="separate"/>
      </w:r>
      <w:r>
        <w:rPr>
          <w:rFonts w:hint="eastAsia"/>
          <w:lang w:val="en-US" w:eastAsia="zh-CN"/>
        </w:rPr>
        <w:t>2.0 Definition of international communication</w:t>
      </w:r>
      <w:r>
        <w:tab/>
      </w:r>
      <w:r>
        <w:fldChar w:fldCharType="begin"/>
      </w:r>
      <w:r>
        <w:instrText xml:space="preserve"> PAGEREF _Toc25962 \h </w:instrText>
      </w:r>
      <w:r>
        <w:fldChar w:fldCharType="separate"/>
      </w:r>
      <w:r>
        <w:t>1</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_Toc16660 </w:instrText>
      </w:r>
      <w:r>
        <w:rPr>
          <w:szCs w:val="28"/>
        </w:rPr>
        <w:fldChar w:fldCharType="separate"/>
      </w:r>
      <w:r>
        <w:rPr>
          <w:rFonts w:hint="eastAsia"/>
          <w:lang w:val="en-US" w:eastAsia="zh-CN"/>
        </w:rPr>
        <w:t>3.0 Establishing relationships is important for establishing good international business communication</w:t>
      </w:r>
      <w:r>
        <w:tab/>
      </w:r>
      <w:r>
        <w:fldChar w:fldCharType="begin"/>
      </w:r>
      <w:r>
        <w:instrText xml:space="preserve"> PAGEREF _Toc16660 \h </w:instrText>
      </w:r>
      <w:r>
        <w:fldChar w:fldCharType="separate"/>
      </w:r>
      <w:r>
        <w:t>1</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_Toc30372 </w:instrText>
      </w:r>
      <w:r>
        <w:rPr>
          <w:szCs w:val="28"/>
        </w:rPr>
        <w:fldChar w:fldCharType="separate"/>
      </w:r>
      <w:r>
        <w:rPr>
          <w:rFonts w:hint="eastAsia"/>
          <w:lang w:val="en-US" w:eastAsia="zh-CN"/>
        </w:rPr>
        <w:t>3.1 High context and Low context cultures</w:t>
      </w:r>
      <w:r>
        <w:tab/>
      </w:r>
      <w:r>
        <w:fldChar w:fldCharType="begin"/>
      </w:r>
      <w:r>
        <w:instrText xml:space="preserve"> PAGEREF _Toc30372 \h </w:instrText>
      </w:r>
      <w:r>
        <w:fldChar w:fldCharType="separate"/>
      </w:r>
      <w:r>
        <w:t>1</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_Toc27448 </w:instrText>
      </w:r>
      <w:r>
        <w:rPr>
          <w:szCs w:val="28"/>
        </w:rPr>
        <w:fldChar w:fldCharType="separate"/>
      </w:r>
      <w:r>
        <w:rPr>
          <w:rFonts w:hint="default" w:ascii="Times New Roman" w:hAnsi="Times New Roman" w:cs="Times New Roman"/>
          <w:lang w:val="en-US" w:eastAsia="zh-CN"/>
        </w:rPr>
        <w:t>3.2  Hofstede’s Cultural Dimension</w:t>
      </w:r>
      <w:r>
        <w:tab/>
      </w:r>
      <w:r>
        <w:fldChar w:fldCharType="begin"/>
      </w:r>
      <w:r>
        <w:instrText xml:space="preserve"> PAGEREF _Toc27448 \h </w:instrText>
      </w:r>
      <w:r>
        <w:fldChar w:fldCharType="separate"/>
      </w:r>
      <w:r>
        <w:t>2</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_Toc16610 </w:instrText>
      </w:r>
      <w:r>
        <w:rPr>
          <w:szCs w:val="28"/>
        </w:rPr>
        <w:fldChar w:fldCharType="separate"/>
      </w:r>
      <w:r>
        <w:rPr>
          <w:rFonts w:hint="eastAsia"/>
          <w:lang w:val="en-US" w:eastAsia="zh-CN"/>
        </w:rPr>
        <w:t>4.0 Potentially fail</w:t>
      </w:r>
      <w:r>
        <w:tab/>
      </w:r>
      <w:r>
        <w:fldChar w:fldCharType="begin"/>
      </w:r>
      <w:r>
        <w:instrText xml:space="preserve"> PAGEREF _Toc16610 \h </w:instrText>
      </w:r>
      <w:r>
        <w:fldChar w:fldCharType="separate"/>
      </w:r>
      <w:r>
        <w:t>3</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_Toc3106 </w:instrText>
      </w:r>
      <w:r>
        <w:rPr>
          <w:szCs w:val="28"/>
        </w:rPr>
        <w:fldChar w:fldCharType="separate"/>
      </w:r>
      <w:r>
        <w:rPr>
          <w:rFonts w:hint="eastAsia"/>
          <w:lang w:val="en-US" w:eastAsia="zh-CN"/>
        </w:rPr>
        <w:t>4.1 Barriers to communication between UK and Asia</w:t>
      </w:r>
      <w:r>
        <w:tab/>
      </w:r>
      <w:r>
        <w:fldChar w:fldCharType="begin"/>
      </w:r>
      <w:r>
        <w:instrText xml:space="preserve"> PAGEREF _Toc3106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_Toc21087 </w:instrText>
      </w:r>
      <w:r>
        <w:rPr>
          <w:szCs w:val="28"/>
        </w:rPr>
        <w:fldChar w:fldCharType="separate"/>
      </w:r>
      <w:r>
        <w:rPr>
          <w:rFonts w:hint="eastAsia"/>
          <w:lang w:val="en-US" w:eastAsia="zh-CN"/>
        </w:rPr>
        <w:t>4.1.1 cultural barriers</w:t>
      </w:r>
      <w:r>
        <w:tab/>
      </w:r>
      <w:r>
        <w:fldChar w:fldCharType="begin"/>
      </w:r>
      <w:r>
        <w:instrText xml:space="preserve"> PAGEREF _Toc21087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_Toc8605 </w:instrText>
      </w:r>
      <w:r>
        <w:rPr>
          <w:szCs w:val="28"/>
        </w:rPr>
        <w:fldChar w:fldCharType="separate"/>
      </w:r>
      <w:r>
        <w:rPr>
          <w:rFonts w:hint="eastAsia"/>
          <w:lang w:val="en-US" w:eastAsia="zh-CN"/>
        </w:rPr>
        <w:t>4.2.2 language barriers</w:t>
      </w:r>
      <w:r>
        <w:tab/>
      </w:r>
      <w:r>
        <w:fldChar w:fldCharType="begin"/>
      </w:r>
      <w:r>
        <w:instrText xml:space="preserve"> PAGEREF _Toc8605 \h </w:instrText>
      </w:r>
      <w:r>
        <w:fldChar w:fldCharType="separate"/>
      </w:r>
      <w:r>
        <w:t>3</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_Toc16431 </w:instrText>
      </w:r>
      <w:r>
        <w:rPr>
          <w:szCs w:val="28"/>
        </w:rPr>
        <w:fldChar w:fldCharType="separate"/>
      </w:r>
      <w:r>
        <w:rPr>
          <w:rFonts w:hint="eastAsia"/>
          <w:lang w:val="en-US" w:eastAsia="zh-CN"/>
        </w:rPr>
        <w:t>4.2.3 interpersonal barriers</w:t>
      </w:r>
      <w:r>
        <w:tab/>
      </w:r>
      <w:r>
        <w:fldChar w:fldCharType="begin"/>
      </w:r>
      <w:r>
        <w:instrText xml:space="preserve"> PAGEREF _Toc16431 \h </w:instrText>
      </w:r>
      <w:r>
        <w:fldChar w:fldCharType="separate"/>
      </w:r>
      <w:r>
        <w:t>3</w:t>
      </w:r>
      <w:r>
        <w:fldChar w:fldCharType="end"/>
      </w:r>
      <w:r>
        <w:rPr>
          <w:szCs w:val="28"/>
        </w:rPr>
        <w:fldChar w:fldCharType="end"/>
      </w:r>
    </w:p>
    <w:p>
      <w:pPr>
        <w:pStyle w:val="9"/>
        <w:tabs>
          <w:tab w:val="right" w:leader="dot" w:pos="8306"/>
        </w:tabs>
      </w:pPr>
      <w:r>
        <w:rPr>
          <w:szCs w:val="28"/>
        </w:rPr>
        <w:fldChar w:fldCharType="begin"/>
      </w:r>
      <w:r>
        <w:rPr>
          <w:szCs w:val="28"/>
        </w:rPr>
        <w:instrText xml:space="preserve"> HYPERLINK \l _Toc10503 </w:instrText>
      </w:r>
      <w:r>
        <w:rPr>
          <w:szCs w:val="28"/>
        </w:rPr>
        <w:fldChar w:fldCharType="separate"/>
      </w:r>
      <w:r>
        <w:rPr>
          <w:rFonts w:hint="eastAsia"/>
          <w:lang w:val="en-US" w:eastAsia="zh-CN"/>
        </w:rPr>
        <w:t>4.2 cultural differences between UK and Asia</w:t>
      </w:r>
      <w:r>
        <w:tab/>
      </w:r>
      <w:r>
        <w:fldChar w:fldCharType="begin"/>
      </w:r>
      <w:r>
        <w:instrText xml:space="preserve"> PAGEREF _Toc10503 \h </w:instrText>
      </w:r>
      <w:r>
        <w:fldChar w:fldCharType="separate"/>
      </w:r>
      <w:r>
        <w:t>4</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_Toc9350 </w:instrText>
      </w:r>
      <w:r>
        <w:rPr>
          <w:szCs w:val="28"/>
        </w:rPr>
        <w:fldChar w:fldCharType="separate"/>
      </w:r>
      <w:r>
        <w:rPr>
          <w:rFonts w:hint="eastAsia"/>
          <w:lang w:val="en-US" w:eastAsia="zh-CN"/>
        </w:rPr>
        <w:t>4.2.1</w:t>
      </w:r>
      <w:r>
        <w:rPr>
          <w:rFonts w:hint="eastAsia"/>
        </w:rPr>
        <w:t xml:space="preserve"> Differences in living environment</w:t>
      </w:r>
      <w:r>
        <w:tab/>
      </w:r>
      <w:r>
        <w:fldChar w:fldCharType="begin"/>
      </w:r>
      <w:r>
        <w:instrText xml:space="preserve"> PAGEREF _Toc9350 \h </w:instrText>
      </w:r>
      <w:r>
        <w:fldChar w:fldCharType="separate"/>
      </w:r>
      <w:r>
        <w:t>4</w:t>
      </w:r>
      <w:r>
        <w:fldChar w:fldCharType="end"/>
      </w:r>
      <w:r>
        <w:rPr>
          <w:szCs w:val="28"/>
        </w:rPr>
        <w:fldChar w:fldCharType="end"/>
      </w:r>
    </w:p>
    <w:p>
      <w:pPr>
        <w:pStyle w:val="5"/>
        <w:tabs>
          <w:tab w:val="right" w:leader="dot" w:pos="8306"/>
        </w:tabs>
      </w:pPr>
      <w:r>
        <w:rPr>
          <w:szCs w:val="28"/>
        </w:rPr>
        <w:fldChar w:fldCharType="begin"/>
      </w:r>
      <w:r>
        <w:rPr>
          <w:szCs w:val="28"/>
        </w:rPr>
        <w:instrText xml:space="preserve"> HYPERLINK \l _Toc17632 </w:instrText>
      </w:r>
      <w:r>
        <w:rPr>
          <w:szCs w:val="28"/>
        </w:rPr>
        <w:fldChar w:fldCharType="separate"/>
      </w:r>
      <w:r>
        <w:rPr>
          <w:rFonts w:hint="eastAsia"/>
          <w:lang w:val="en-US" w:eastAsia="zh-CN"/>
        </w:rPr>
        <w:t>4.</w:t>
      </w:r>
      <w:r>
        <w:rPr>
          <w:rFonts w:hint="eastAsia"/>
        </w:rPr>
        <w:t>2</w:t>
      </w:r>
      <w:r>
        <w:rPr>
          <w:rFonts w:hint="eastAsia"/>
          <w:lang w:val="en-US" w:eastAsia="zh-CN"/>
        </w:rPr>
        <w:t>.2</w:t>
      </w:r>
      <w:r>
        <w:rPr>
          <w:rFonts w:hint="eastAsia"/>
        </w:rPr>
        <w:t xml:space="preserve"> Differences in customs</w:t>
      </w:r>
      <w:r>
        <w:tab/>
      </w:r>
      <w:r>
        <w:fldChar w:fldCharType="begin"/>
      </w:r>
      <w:r>
        <w:instrText xml:space="preserve"> PAGEREF _Toc17632 \h </w:instrText>
      </w:r>
      <w:r>
        <w:fldChar w:fldCharType="separate"/>
      </w:r>
      <w:r>
        <w:t>4</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_Toc19582 </w:instrText>
      </w:r>
      <w:r>
        <w:rPr>
          <w:szCs w:val="28"/>
        </w:rPr>
        <w:fldChar w:fldCharType="separate"/>
      </w:r>
      <w:r>
        <w:rPr>
          <w:rFonts w:hint="eastAsia"/>
          <w:lang w:val="en-US" w:eastAsia="zh-CN"/>
        </w:rPr>
        <w:t>5.0 Conclusion</w:t>
      </w:r>
      <w:r>
        <w:tab/>
      </w:r>
      <w:r>
        <w:fldChar w:fldCharType="begin"/>
      </w:r>
      <w:r>
        <w:instrText xml:space="preserve"> PAGEREF _Toc19582 \h </w:instrText>
      </w:r>
      <w:r>
        <w:fldChar w:fldCharType="separate"/>
      </w:r>
      <w:r>
        <w:t>5</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_Toc22543 </w:instrText>
      </w:r>
      <w:r>
        <w:rPr>
          <w:szCs w:val="28"/>
        </w:rPr>
        <w:fldChar w:fldCharType="separate"/>
      </w:r>
      <w:r>
        <w:rPr>
          <w:rFonts w:hint="eastAsia"/>
          <w:lang w:val="en-US" w:eastAsia="zh-CN"/>
        </w:rPr>
        <w:t>Reference</w:t>
      </w:r>
      <w:r>
        <w:tab/>
      </w:r>
      <w:r>
        <w:fldChar w:fldCharType="begin"/>
      </w:r>
      <w:r>
        <w:instrText xml:space="preserve"> PAGEREF _Toc22543 \h </w:instrText>
      </w:r>
      <w:r>
        <w:fldChar w:fldCharType="separate"/>
      </w:r>
      <w:r>
        <w:t>6</w:t>
      </w:r>
      <w:r>
        <w:fldChar w:fldCharType="end"/>
      </w:r>
      <w:r>
        <w:rPr>
          <w:szCs w:val="28"/>
        </w:rPr>
        <w:fldChar w:fldCharType="end"/>
      </w:r>
    </w:p>
    <w:p>
      <w:pPr>
        <w:pStyle w:val="8"/>
        <w:tabs>
          <w:tab w:val="right" w:leader="dot" w:pos="8306"/>
        </w:tabs>
      </w:pPr>
      <w:r>
        <w:rPr>
          <w:szCs w:val="28"/>
        </w:rPr>
        <w:fldChar w:fldCharType="begin"/>
      </w:r>
      <w:r>
        <w:rPr>
          <w:szCs w:val="28"/>
        </w:rPr>
        <w:instrText xml:space="preserve"> HYPERLINK \l _Toc30923 </w:instrText>
      </w:r>
      <w:r>
        <w:rPr>
          <w:szCs w:val="28"/>
        </w:rPr>
        <w:fldChar w:fldCharType="separate"/>
      </w:r>
      <w:r>
        <w:rPr>
          <w:rFonts w:hint="eastAsia"/>
          <w:lang w:val="en-US" w:eastAsia="zh-CN"/>
        </w:rPr>
        <w:t>Appendix</w:t>
      </w:r>
      <w:r>
        <w:tab/>
      </w:r>
      <w:r>
        <w:fldChar w:fldCharType="begin"/>
      </w:r>
      <w:r>
        <w:instrText xml:space="preserve"> PAGEREF _Toc30923 \h </w:instrText>
      </w:r>
      <w:r>
        <w:fldChar w:fldCharType="separate"/>
      </w:r>
      <w:r>
        <w:t>8</w:t>
      </w:r>
      <w:r>
        <w:fldChar w:fldCharType="end"/>
      </w:r>
      <w:r>
        <w:rPr>
          <w:szCs w:val="28"/>
        </w:rPr>
        <w:fldChar w:fldCharType="end"/>
      </w:r>
    </w:p>
    <w:p>
      <w:r>
        <w:rPr>
          <w:szCs w:val="28"/>
        </w:rPr>
        <w:fldChar w:fldCharType="end"/>
      </w:r>
    </w:p>
    <w:p>
      <w:pPr>
        <w:pStyle w:val="2"/>
        <w:bidi w:val="0"/>
        <w:rPr>
          <w:rFonts w:hint="default"/>
          <w:lang w:val="en-US" w:eastAsia="zh-CN"/>
        </w:rPr>
        <w:sectPr>
          <w:pgSz w:w="11906" w:h="16838"/>
          <w:pgMar w:top="1440" w:right="1800" w:bottom="1440" w:left="1800" w:header="851" w:footer="992" w:gutter="0"/>
          <w:pgNumType w:fmt="decimal" w:start="1"/>
          <w:cols w:space="425" w:num="1"/>
          <w:docGrid w:type="lines" w:linePitch="312" w:charSpace="0"/>
        </w:sectPr>
      </w:pPr>
    </w:p>
    <w:p>
      <w:pPr>
        <w:pStyle w:val="2"/>
        <w:bidi w:val="0"/>
        <w:rPr>
          <w:rFonts w:hint="default"/>
          <w:lang w:val="en-US" w:eastAsia="zh-CN"/>
        </w:rPr>
      </w:pPr>
      <w:bookmarkStart w:id="0" w:name="_Toc19302"/>
      <w:r>
        <w:rPr>
          <w:rFonts w:hint="default"/>
          <w:lang w:val="en-US" w:eastAsia="zh-CN"/>
        </w:rPr>
        <w:t xml:space="preserve">1.0 </w:t>
      </w:r>
      <w:r>
        <w:rPr>
          <w:rFonts w:hint="eastAsia"/>
          <w:lang w:val="en-US" w:eastAsia="zh-CN"/>
        </w:rPr>
        <w:t>I</w:t>
      </w:r>
      <w:r>
        <w:rPr>
          <w:rFonts w:hint="default"/>
          <w:lang w:val="en-US" w:eastAsia="zh-CN"/>
        </w:rPr>
        <w:t>ntroduction</w:t>
      </w:r>
      <w:bookmarkEnd w:id="0"/>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describes the policies and methods to help a British shoe company expand into the Asian market, and evaluates and puts forward suggestions for the company. This report introduces what is international communication, communication skills, high context and low context cultures, Hofstede's cultural dimension</w:t>
      </w:r>
      <w:r>
        <w:rPr>
          <w:rFonts w:hint="eastAsia" w:cs="Times New Roman"/>
          <w:sz w:val="24"/>
          <w:szCs w:val="24"/>
          <w:lang w:val="en-US" w:eastAsia="zh-CN"/>
        </w:rPr>
        <w:t>，</w:t>
      </w:r>
      <w:r>
        <w:rPr>
          <w:rFonts w:hint="default" w:ascii="Times New Roman" w:hAnsi="Times New Roman" w:cs="Times New Roman"/>
          <w:sz w:val="24"/>
          <w:szCs w:val="24"/>
          <w:lang w:val="en-US" w:eastAsia="zh-CN"/>
        </w:rPr>
        <w:t>barriers to communication</w:t>
      </w:r>
      <w:r>
        <w:rPr>
          <w:rFonts w:hint="eastAsia" w:cs="Times New Roman"/>
          <w:sz w:val="24"/>
          <w:szCs w:val="24"/>
          <w:lang w:val="en-US" w:eastAsia="zh-CN"/>
        </w:rPr>
        <w:t xml:space="preserve"> and the culture differences between UK and Asia.</w:t>
      </w:r>
    </w:p>
    <w:p>
      <w:pPr>
        <w:pStyle w:val="2"/>
        <w:bidi w:val="0"/>
        <w:rPr>
          <w:rFonts w:hint="eastAsia"/>
          <w:lang w:val="en-US" w:eastAsia="zh-CN"/>
        </w:rPr>
      </w:pPr>
      <w:bookmarkStart w:id="1" w:name="_Toc25962"/>
      <w:r>
        <w:rPr>
          <w:rFonts w:hint="eastAsia"/>
          <w:lang w:val="en-US" w:eastAsia="zh-CN"/>
        </w:rPr>
        <w:t>2.0 Definition of international communication</w:t>
      </w:r>
      <w:bookmarkEnd w:id="1"/>
    </w:p>
    <w:p>
      <w:pPr>
        <w:rPr>
          <w:rFonts w:hint="eastAsia"/>
          <w:lang w:val="en-US" w:eastAsia="zh-CN"/>
        </w:rPr>
      </w:pPr>
      <w:r>
        <w:rPr>
          <w:rFonts w:hint="eastAsia"/>
          <w:lang w:val="en-US" w:eastAsia="zh-CN"/>
        </w:rPr>
        <w:t xml:space="preserve">Global or international communication is the development and sharing of information, through verbal and non-verbal messages, in international settings and contexts. It is a broad field that incorporates multiple disciplines of communication, including intercultural, political, health, media, crisis, social advocacy, and integrated marketing communications, to name just a few. Individuals with a degree in global communication might find employment in advertising and marketing, public relations, international journalism, foreign service, politics and lobbying, publishing, online media, entertainment, or any other industry with an international focus. </w:t>
      </w:r>
    </w:p>
    <w:p>
      <w:pPr>
        <w:rPr>
          <w:rFonts w:hint="eastAsia"/>
          <w:lang w:val="en-US" w:eastAsia="zh-CN"/>
        </w:rPr>
      </w:pPr>
    </w:p>
    <w:p>
      <w:pPr>
        <w:pStyle w:val="2"/>
        <w:bidi w:val="0"/>
        <w:rPr>
          <w:rFonts w:hint="eastAsia"/>
          <w:lang w:val="en-US" w:eastAsia="zh-CN"/>
        </w:rPr>
      </w:pPr>
      <w:bookmarkStart w:id="2" w:name="_Toc16660"/>
      <w:r>
        <w:rPr>
          <w:rFonts w:hint="eastAsia"/>
          <w:lang w:val="en-US" w:eastAsia="zh-CN"/>
        </w:rPr>
        <w:t>3.0 Establishing relationships is important for establishing good international business communication</w:t>
      </w:r>
      <w:bookmarkEnd w:id="2"/>
    </w:p>
    <w:p>
      <w:pPr>
        <w:bidi w:val="0"/>
        <w:rPr>
          <w:rFonts w:hint="default"/>
          <w:lang w:val="en-US" w:eastAsia="zh-CN"/>
        </w:rPr>
      </w:pPr>
      <w:r>
        <w:rPr>
          <w:rFonts w:hint="eastAsia"/>
          <w:lang w:val="en-US" w:eastAsia="zh-CN"/>
        </w:rPr>
        <w:t>Good international business communication practices help maintain these intricate business dealings. Bad communication practices can cause loss of business and even international tension among countries. Communication is intricately blended with non-verbal communication and etiquette. （Bizfluent, 2019)</w:t>
      </w:r>
    </w:p>
    <w:p>
      <w:pPr>
        <w:pStyle w:val="3"/>
        <w:bidi w:val="0"/>
        <w:rPr>
          <w:rFonts w:hint="eastAsia"/>
          <w:lang w:val="en-US" w:eastAsia="zh-CN"/>
        </w:rPr>
      </w:pPr>
      <w:bookmarkStart w:id="3" w:name="_Toc30372"/>
      <w:r>
        <w:rPr>
          <w:rFonts w:hint="eastAsia"/>
          <w:lang w:val="en-US" w:eastAsia="zh-CN"/>
        </w:rPr>
        <w:t>3.1 High context and Low context cultures</w:t>
      </w:r>
      <w:bookmarkEnd w:id="3"/>
    </w:p>
    <w:p>
      <w:pPr>
        <w:rPr>
          <w:rFonts w:hint="eastAsia"/>
          <w:lang w:val="en-US" w:eastAsia="zh-CN"/>
        </w:rPr>
      </w:pPr>
      <w:r>
        <w:rPr>
          <w:rFonts w:hint="eastAsia"/>
          <w:lang w:val="en-US" w:eastAsia="zh-CN"/>
        </w:rPr>
        <w:t>The concept of high and low context was introduced by anthropologist Edward T. Hall in his 1976 book Beyond Culture, and it refers to the way cultures communicate. In high context cultures, communication is largely implicit, meaning that context and relationships are more important than the actual words. In low context cultures, the message is communicated almost entirely by the words and therefore needs to be explicit. High and low context should be seen as a continuum.</w:t>
      </w:r>
    </w:p>
    <w:p>
      <w:pPr>
        <w:rPr>
          <w:rFonts w:hint="eastAsia"/>
          <w:lang w:val="en-US" w:eastAsia="zh-CN"/>
        </w:rPr>
      </w:pPr>
    </w:p>
    <w:p>
      <w:pPr>
        <w:rPr>
          <w:rFonts w:hint="eastAsia"/>
          <w:lang w:val="en-US" w:eastAsia="zh-CN"/>
        </w:rPr>
      </w:pPr>
      <w:r>
        <w:rPr>
          <w:rFonts w:hint="default" w:ascii="Times New Roman" w:hAnsi="Times New Roman" w:eastAsia="Helvetica" w:cs="Times New Roman"/>
          <w:i w:val="0"/>
          <w:iCs w:val="0"/>
          <w:caps w:val="0"/>
          <w:color w:val="373737"/>
          <w:spacing w:val="0"/>
          <w:sz w:val="24"/>
          <w:szCs w:val="24"/>
          <w:shd w:val="clear" w:fill="FFFFFF"/>
        </w:rPr>
        <w:t>The concept of high and low context was introduced by anthropologist Edward T. Hall in his 1976 book Beyond Culture, and it refers to the way cultures communicate. In high context cultures, communication is largely implicit, meaning that context and relationships are more important than the actual words</w:t>
      </w:r>
      <w:r>
        <w:rPr>
          <w:rFonts w:hint="eastAsia" w:ascii="Times New Roman" w:hAnsi="Times New Roman" w:eastAsia="宋体" w:cs="Times New Roman"/>
          <w:i w:val="0"/>
          <w:iCs w:val="0"/>
          <w:caps w:val="0"/>
          <w:color w:val="373737"/>
          <w:spacing w:val="0"/>
          <w:sz w:val="24"/>
          <w:szCs w:val="24"/>
          <w:shd w:val="clear" w:fill="FFFFFF"/>
          <w:lang w:val="en-US" w:eastAsia="zh-CN"/>
        </w:rPr>
        <w:t>.</w:t>
      </w:r>
      <w:r>
        <w:rPr>
          <w:rFonts w:hint="default" w:ascii="Times New Roman" w:hAnsi="Times New Roman" w:eastAsia="Helvetica" w:cs="Times New Roman"/>
          <w:i w:val="0"/>
          <w:iCs w:val="0"/>
          <w:caps w:val="0"/>
          <w:color w:val="373737"/>
          <w:spacing w:val="0"/>
          <w:sz w:val="24"/>
          <w:szCs w:val="24"/>
          <w:shd w:val="clear" w:fill="FFFFFF"/>
        </w:rPr>
        <w:t xml:space="preserve"> In low context cultures, the message is communicated almost entirely by the words and therefore needs to be explicit. High and low context should be seen as a continuum</w:t>
      </w:r>
      <w:r>
        <w:rPr>
          <w:rFonts w:hint="eastAsia" w:ascii="Times New Roman" w:hAnsi="Times New Roman" w:eastAsia="宋体" w:cs="Times New Roman"/>
          <w:i w:val="0"/>
          <w:iCs w:val="0"/>
          <w:caps w:val="0"/>
          <w:color w:val="373737"/>
          <w:spacing w:val="0"/>
          <w:sz w:val="24"/>
          <w:szCs w:val="24"/>
          <w:shd w:val="clear" w:fill="FFFFFF"/>
          <w:lang w:val="en-US" w:eastAsia="zh-CN"/>
        </w:rPr>
        <w:t>.</w:t>
      </w:r>
    </w:p>
    <w:p>
      <w:pPr>
        <w:pStyle w:val="3"/>
        <w:bidi w:val="0"/>
        <w:rPr>
          <w:rFonts w:hint="default" w:ascii="Times New Roman" w:hAnsi="Times New Roman" w:cs="Times New Roman"/>
          <w:lang w:val="en-US" w:eastAsia="zh-CN"/>
        </w:rPr>
      </w:pPr>
      <w:bookmarkStart w:id="4" w:name="_Toc27448"/>
      <w:r>
        <w:rPr>
          <w:rFonts w:hint="default" w:ascii="Times New Roman" w:hAnsi="Times New Roman" w:cs="Times New Roman"/>
          <w:lang w:val="en-US" w:eastAsia="zh-CN"/>
        </w:rPr>
        <w:t>3.2  Hofstede’s Cultural Dimension</w:t>
      </w:r>
      <w:bookmarkEnd w:id="4"/>
    </w:p>
    <w:p>
      <w:pPr>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default" w:ascii="Times New Roman" w:hAnsi="Times New Roman" w:eastAsia="Helvetica" w:cs="Times New Roman"/>
          <w:i w:val="0"/>
          <w:iCs w:val="0"/>
          <w:caps w:val="0"/>
          <w:color w:val="373737"/>
          <w:spacing w:val="0"/>
          <w:sz w:val="24"/>
          <w:szCs w:val="24"/>
          <w:shd w:val="clear" w:fill="FFFFFF"/>
        </w:rPr>
        <w:t>Hofstede’s Cultural Dimension is a theory developed by Geert Hofstede that lays the foundation for cross-cultural communication. It demonstrates how society’s culture has an impact on its members and how it relates to behaviour</w:t>
      </w:r>
      <w:r>
        <w:rPr>
          <w:rFonts w:hint="eastAsia" w:eastAsia="宋体" w:cs="Times New Roman"/>
          <w:i w:val="0"/>
          <w:iCs w:val="0"/>
          <w:caps w:val="0"/>
          <w:color w:val="373737"/>
          <w:spacing w:val="0"/>
          <w:sz w:val="24"/>
          <w:szCs w:val="24"/>
          <w:shd w:val="clear" w:fill="FFFFFF"/>
          <w:lang w:val="en-US" w:eastAsia="zh-CN"/>
        </w:rPr>
        <w:t xml:space="preserve"> </w:t>
      </w: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 </w:t>
      </w:r>
      <w:r>
        <w:rPr>
          <w:rFonts w:hint="default" w:ascii="Times New Roman" w:hAnsi="Times New Roman" w:eastAsia="Helvetica" w:cs="Times New Roman"/>
          <w:i w:val="0"/>
          <w:iCs w:val="0"/>
          <w:caps w:val="0"/>
          <w:color w:val="373737"/>
          <w:spacing w:val="0"/>
          <w:sz w:val="24"/>
          <w:szCs w:val="24"/>
          <w:shd w:val="clear" w:fill="FFFFFF"/>
        </w:rPr>
        <w:t>Hofstede</w:t>
      </w:r>
      <w:r>
        <w:rPr>
          <w:rFonts w:hint="eastAsia" w:ascii="Times New Roman" w:hAnsi="Times New Roman" w:eastAsia="宋体" w:cs="Times New Roman"/>
          <w:i w:val="0"/>
          <w:iCs w:val="0"/>
          <w:caps w:val="0"/>
          <w:color w:val="373737"/>
          <w:spacing w:val="0"/>
          <w:sz w:val="24"/>
          <w:szCs w:val="24"/>
          <w:shd w:val="clear" w:fill="FFFFFF"/>
          <w:lang w:val="en-US" w:eastAsia="zh-CN"/>
        </w:rPr>
        <w:t>, 1970)</w:t>
      </w:r>
      <w:r>
        <w:rPr>
          <w:rFonts w:hint="eastAsia" w:eastAsia="宋体" w:cs="Times New Roman"/>
          <w:i w:val="0"/>
          <w:iCs w:val="0"/>
          <w:caps w:val="0"/>
          <w:color w:val="373737"/>
          <w:spacing w:val="0"/>
          <w:sz w:val="24"/>
          <w:szCs w:val="24"/>
          <w:shd w:val="clear" w:fill="FFFFFF"/>
          <w:lang w:val="en-US" w:eastAsia="zh-CN"/>
        </w:rPr>
        <w:t>.</w:t>
      </w:r>
    </w:p>
    <w:p>
      <w:pPr>
        <w:rPr>
          <w:rFonts w:hint="eastAsia" w:ascii="Times New Roman" w:hAnsi="Times New Roman" w:eastAsia="宋体" w:cs="Times New Roman"/>
          <w:i w:val="0"/>
          <w:iCs w:val="0"/>
          <w:caps w:val="0"/>
          <w:color w:val="373737"/>
          <w:spacing w:val="0"/>
          <w:sz w:val="24"/>
          <w:szCs w:val="24"/>
          <w:shd w:val="clear" w:fill="FFFFFF"/>
          <w:lang w:val="en-US" w:eastAsia="zh-CN"/>
        </w:rPr>
      </w:pPr>
    </w:p>
    <w:p>
      <w:pPr>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Hofstede’s Cultural Dimension theory is used widely in several cross-cultural fields like cross-cultural communication, international management and cross-cultural psychology. Cultural norms have a significant impact on interpersonal relationships at work. The framework provided by this theory helps to find ways to do business across different cultures and assess their impact on a business setting.</w:t>
      </w:r>
      <w:r>
        <w:rPr>
          <w:rFonts w:hint="eastAsia"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t xml:space="preserve">the six dimensions are as follows: </w:t>
      </w:r>
    </w:p>
    <w:p>
      <w:pPr>
        <w:numPr>
          <w:ilvl w:val="0"/>
          <w:numId w:val="1"/>
        </w:num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Power Distance Index (PDI)</w:t>
      </w:r>
    </w:p>
    <w:p>
      <w:p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2. Individualism Versus Collectivism (IDV)</w:t>
      </w:r>
    </w:p>
    <w:p>
      <w:p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3. Masculinity versus Femininity (MAS)</w:t>
      </w:r>
    </w:p>
    <w:p>
      <w:p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 Uncertainty Avoidance Index (UAI)</w:t>
      </w:r>
    </w:p>
    <w:p>
      <w:p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5. Long-Term Versus Short-Term Orientation (LTO)</w:t>
      </w:r>
    </w:p>
    <w:p>
      <w:pPr>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6. Indulgence Versus Restraint (IVR)</w:t>
      </w:r>
    </w:p>
    <w:p>
      <w:pPr>
        <w:rPr>
          <w:rFonts w:hint="default" w:ascii="Times New Roman" w:hAnsi="Times New Roman" w:cs="Times New Roman"/>
          <w:i w:val="0"/>
          <w:iCs w:val="0"/>
          <w:sz w:val="24"/>
          <w:szCs w:val="24"/>
          <w:lang w:val="en-US" w:eastAsia="zh-CN"/>
        </w:rPr>
      </w:pPr>
    </w:p>
    <w:p>
      <w:pPr>
        <w:pStyle w:val="10"/>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12" w:afterAutospacing="0"/>
        <w:ind w:left="0" w:right="0" w:firstLine="0"/>
        <w:rPr>
          <w:rFonts w:hint="default" w:ascii="Times New Roman" w:hAnsi="Times New Roman" w:cs="Times New Roman" w:eastAsiaTheme="minorEastAsia"/>
          <w:i w:val="0"/>
          <w:iCs w:val="0"/>
          <w:kern w:val="2"/>
          <w:sz w:val="24"/>
          <w:szCs w:val="24"/>
          <w:lang w:val="en-US" w:eastAsia="zh-CN" w:bidi="ar-SA"/>
        </w:rPr>
      </w:pPr>
      <w:r>
        <w:rPr>
          <w:rFonts w:hint="eastAsia" w:ascii="Times New Roman" w:hAnsi="Times New Roman" w:cs="Times New Roman"/>
          <w:i w:val="0"/>
          <w:iCs w:val="0"/>
          <w:kern w:val="2"/>
          <w:sz w:val="24"/>
          <w:szCs w:val="24"/>
          <w:lang w:val="en-US" w:eastAsia="zh-CN" w:bidi="ar-SA"/>
        </w:rPr>
        <w:t>Also, t</w:t>
      </w:r>
      <w:r>
        <w:rPr>
          <w:rFonts w:hint="default" w:ascii="Times New Roman" w:hAnsi="Times New Roman" w:cs="Times New Roman" w:eastAsiaTheme="minorEastAsia"/>
          <w:i w:val="0"/>
          <w:iCs w:val="0"/>
          <w:kern w:val="2"/>
          <w:sz w:val="24"/>
          <w:szCs w:val="24"/>
          <w:lang w:val="en-US" w:eastAsia="zh-CN" w:bidi="ar-SA"/>
        </w:rPr>
        <w:t>he strengths of Hofstede’s Cultural Dimension are as follows-</w:t>
      </w:r>
    </w:p>
    <w:p>
      <w:pPr>
        <w:keepNext w:val="0"/>
        <w:keepLines w:val="0"/>
        <w:widowControl/>
        <w:numPr>
          <w:ilvl w:val="0"/>
          <w:numId w:val="2"/>
        </w:numPr>
        <w:suppressLineNumbers w:val="0"/>
        <w:spacing w:before="0" w:beforeAutospacing="1" w:after="0" w:afterAutospacing="1"/>
        <w:ind w:left="480" w:hanging="360"/>
        <w:rPr>
          <w:rFonts w:hint="default" w:ascii="Times New Roman" w:hAnsi="Times New Roman" w:cs="Times New Roman" w:eastAsiaTheme="minorEastAsia"/>
          <w:i w:val="0"/>
          <w:iCs w:val="0"/>
          <w:kern w:val="2"/>
          <w:sz w:val="24"/>
          <w:szCs w:val="24"/>
          <w:lang w:val="en-US" w:eastAsia="zh-CN" w:bidi="ar-SA"/>
        </w:rPr>
      </w:pPr>
      <w:r>
        <w:rPr>
          <w:rFonts w:hint="default" w:ascii="Times New Roman" w:hAnsi="Times New Roman" w:cs="Times New Roman" w:eastAsiaTheme="minorEastAsia"/>
          <w:i w:val="0"/>
          <w:iCs w:val="0"/>
          <w:kern w:val="2"/>
          <w:sz w:val="24"/>
          <w:szCs w:val="24"/>
          <w:lang w:val="en-US" w:eastAsia="zh-CN" w:bidi="ar-SA"/>
        </w:rPr>
        <w:t>The Hofstede’s Cultural Dimension model is considered a beneficial key that helps to reflect on a personal assumption about what is normal.</w:t>
      </w:r>
    </w:p>
    <w:p>
      <w:pPr>
        <w:keepNext w:val="0"/>
        <w:keepLines w:val="0"/>
        <w:widowControl/>
        <w:numPr>
          <w:ilvl w:val="0"/>
          <w:numId w:val="2"/>
        </w:numPr>
        <w:suppressLineNumbers w:val="0"/>
        <w:spacing w:before="0" w:beforeAutospacing="1" w:after="0" w:afterAutospacing="1"/>
        <w:ind w:left="480" w:hanging="360"/>
        <w:rPr>
          <w:rFonts w:hint="default" w:ascii="Times New Roman" w:hAnsi="Times New Roman" w:cs="Times New Roman" w:eastAsiaTheme="minorEastAsia"/>
          <w:i w:val="0"/>
          <w:iCs w:val="0"/>
          <w:kern w:val="2"/>
          <w:sz w:val="24"/>
          <w:szCs w:val="24"/>
          <w:lang w:val="en-US" w:eastAsia="zh-CN" w:bidi="ar-SA"/>
        </w:rPr>
      </w:pPr>
      <w:r>
        <w:rPr>
          <w:rFonts w:hint="default" w:ascii="Times New Roman" w:hAnsi="Times New Roman" w:cs="Times New Roman" w:eastAsiaTheme="minorEastAsia"/>
          <w:i w:val="0"/>
          <w:iCs w:val="0"/>
          <w:kern w:val="2"/>
          <w:sz w:val="24"/>
          <w:szCs w:val="24"/>
          <w:lang w:val="en-US" w:eastAsia="zh-CN" w:bidi="ar-SA"/>
        </w:rPr>
        <w:t>A non-profit organization can use this theory to review its expectations and behaviours. It will ultimately assist in refining and expanding fundraising practices.</w:t>
      </w:r>
    </w:p>
    <w:p>
      <w:pPr>
        <w:pStyle w:val="10"/>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12" w:afterAutospacing="0"/>
        <w:ind w:left="0" w:right="0" w:firstLine="0"/>
        <w:rPr>
          <w:rFonts w:hint="default" w:ascii="Times New Roman" w:hAnsi="Times New Roman" w:cs="Times New Roman" w:eastAsiaTheme="minorEastAsia"/>
          <w:i w:val="0"/>
          <w:iCs w:val="0"/>
          <w:kern w:val="2"/>
          <w:sz w:val="24"/>
          <w:szCs w:val="24"/>
          <w:lang w:val="en-US" w:eastAsia="zh-CN" w:bidi="ar-SA"/>
        </w:rPr>
      </w:pPr>
      <w:r>
        <w:rPr>
          <w:rFonts w:hint="default" w:ascii="Times New Roman" w:hAnsi="Times New Roman" w:cs="Times New Roman" w:eastAsiaTheme="minorEastAsia"/>
          <w:i w:val="0"/>
          <w:iCs w:val="0"/>
          <w:kern w:val="2"/>
          <w:sz w:val="24"/>
          <w:szCs w:val="24"/>
          <w:lang w:val="en-US" w:eastAsia="zh-CN" w:bidi="ar-SA"/>
        </w:rPr>
        <w:t>The limitations of Hofstede’s Cultural Dimension are as follows-</w:t>
      </w:r>
    </w:p>
    <w:p>
      <w:pPr>
        <w:keepNext w:val="0"/>
        <w:keepLines w:val="0"/>
        <w:widowControl/>
        <w:numPr>
          <w:ilvl w:val="0"/>
          <w:numId w:val="3"/>
        </w:numPr>
        <w:suppressLineNumbers w:val="0"/>
        <w:spacing w:before="0" w:beforeAutospacing="1" w:after="0" w:afterAutospacing="1"/>
        <w:ind w:left="480" w:hanging="360"/>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default" w:ascii="Times New Roman" w:hAnsi="Times New Roman" w:cs="Times New Roman" w:eastAsiaTheme="minorEastAsia"/>
          <w:i w:val="0"/>
          <w:iCs w:val="0"/>
          <w:kern w:val="2"/>
          <w:sz w:val="24"/>
          <w:szCs w:val="24"/>
          <w:lang w:val="en-US" w:eastAsia="zh-CN" w:bidi="ar-SA"/>
        </w:rPr>
        <w:t>The vast generalization of the theory has proved its weakness. It does not compare individuals instead puts the onus on central tendencies of a country or society.</w:t>
      </w:r>
    </w:p>
    <w:p>
      <w:pPr>
        <w:pStyle w:val="2"/>
        <w:bidi w:val="0"/>
        <w:rPr>
          <w:rFonts w:hint="default"/>
          <w:lang w:val="en-US" w:eastAsia="zh-CN"/>
        </w:rPr>
      </w:pPr>
      <w:bookmarkStart w:id="5" w:name="_Toc16610"/>
      <w:r>
        <w:rPr>
          <w:rFonts w:hint="eastAsia"/>
          <w:lang w:val="en-US" w:eastAsia="zh-CN"/>
        </w:rPr>
        <w:t>4.0 Potentially fail</w:t>
      </w:r>
      <w:bookmarkEnd w:id="5"/>
    </w:p>
    <w:p>
      <w:pPr>
        <w:pStyle w:val="3"/>
        <w:bidi w:val="0"/>
        <w:rPr>
          <w:rFonts w:hint="eastAsia"/>
          <w:lang w:val="en-US" w:eastAsia="zh-CN"/>
        </w:rPr>
      </w:pPr>
      <w:bookmarkStart w:id="6" w:name="_Toc3106"/>
      <w:r>
        <w:rPr>
          <w:rFonts w:hint="eastAsia"/>
          <w:lang w:val="en-US" w:eastAsia="zh-CN"/>
        </w:rPr>
        <w:t>4.1 Barriers to communication between UK and Asia</w:t>
      </w:r>
      <w:bookmarkEnd w:id="6"/>
    </w:p>
    <w:p>
      <w:pPr>
        <w:pStyle w:val="4"/>
        <w:bidi w:val="0"/>
        <w:rPr>
          <w:rFonts w:hint="default"/>
          <w:lang w:val="en-US" w:eastAsia="zh-CN"/>
        </w:rPr>
      </w:pPr>
      <w:bookmarkStart w:id="7" w:name="_Toc21087"/>
      <w:r>
        <w:rPr>
          <w:rFonts w:hint="eastAsia"/>
          <w:lang w:val="en-US" w:eastAsia="zh-CN"/>
        </w:rPr>
        <w:t>4.1.1 cultural barriers</w:t>
      </w:r>
      <w:bookmarkEnd w:id="7"/>
      <w:r>
        <w:rPr>
          <w:rFonts w:hint="eastAsia"/>
          <w:lang w:val="en-US" w:eastAsia="zh-CN"/>
        </w:rPr>
        <w:t xml:space="preserve">  </w:t>
      </w:r>
    </w:p>
    <w:p>
      <w:pPr>
        <w:rPr>
          <w:rFonts w:hint="default"/>
          <w:lang w:val="en-US" w:eastAsia="zh-CN"/>
        </w:rPr>
      </w:pPr>
      <w:r>
        <w:rPr>
          <w:rFonts w:hint="eastAsia"/>
          <w:lang w:val="en-US" w:eastAsia="zh-CN"/>
        </w:rPr>
        <w:t xml:space="preserve">Due to the different historical backgrounds of Asia and UK, the company will encounter cultural barriers when entering the Asian market. For example, in terms of religious beliefs, most people in Britain believe in Christianity, but in Asia, most people believe in Buddhism（Rigby，2018）. In terms of negotiation, there are also cultural barriers. For example, in China, negotiators should first enter the conference room and sit directly in front of the negotiation team to avoid confusion about the identity of leaders. In addition, if the speaker makes a mistake during the speech, he can't directly interrupt his speech, but should correct and put forward it after the meeting. In terms of addressing people, when negotiating and meeting, we should also avoid calling people comprehensive, but should add suffixes, such as professors or directors, which has barriers to British culture(Goh, 1996). </w:t>
      </w:r>
    </w:p>
    <w:p>
      <w:pPr>
        <w:pStyle w:val="4"/>
        <w:bidi w:val="0"/>
        <w:rPr>
          <w:rFonts w:hint="eastAsia"/>
          <w:lang w:val="en-US" w:eastAsia="zh-CN"/>
        </w:rPr>
      </w:pPr>
      <w:bookmarkStart w:id="8" w:name="_Toc8605"/>
      <w:r>
        <w:rPr>
          <w:rFonts w:hint="eastAsia"/>
          <w:lang w:val="en-US" w:eastAsia="zh-CN"/>
        </w:rPr>
        <w:t>4.2.2 language barriers</w:t>
      </w:r>
      <w:bookmarkEnd w:id="8"/>
    </w:p>
    <w:p>
      <w:pPr>
        <w:rPr>
          <w:rFonts w:hint="default"/>
          <w:lang w:val="en-US" w:eastAsia="zh-CN"/>
        </w:rPr>
      </w:pPr>
      <w:r>
        <w:rPr>
          <w:rFonts w:hint="eastAsia"/>
          <w:lang w:val="en-US" w:eastAsia="zh-CN"/>
        </w:rPr>
        <w:t>When the company enters the Asian market, the most direct problem is the language problem. Language barrier will become the biggest barrier for companies to enter the Asian market. When trying to talk to people in different languages, it is almost impossible to reach a perfect consensus（Rigby，2018）. Language barrier is not only related to different dialects, but also related to industry terms. For example, enterprises use industry terms when talking to others in the Asian market. In the case of language barriers, it is inevitable to misinterpret each other's meaning. In Asia, especially in China, people prefer to communicate with others through indirect communication, which will be regarded as ambiguous by their peers in Britain(Casse, 1981). Language barriers will bring many communication problems to enterprises and misunderstandings between the two sides.</w:t>
      </w:r>
    </w:p>
    <w:p>
      <w:pPr>
        <w:pStyle w:val="4"/>
        <w:bidi w:val="0"/>
        <w:rPr>
          <w:rFonts w:hint="eastAsia"/>
          <w:lang w:val="en-US" w:eastAsia="zh-CN"/>
        </w:rPr>
      </w:pPr>
      <w:bookmarkStart w:id="9" w:name="_Toc16431"/>
      <w:r>
        <w:rPr>
          <w:rFonts w:hint="eastAsia"/>
          <w:lang w:val="en-US" w:eastAsia="zh-CN"/>
        </w:rPr>
        <w:t>4.2.3 interpersonal barriers</w:t>
      </w:r>
      <w:bookmarkEnd w:id="9"/>
    </w:p>
    <w:p>
      <w:pPr>
        <w:rPr>
          <w:rFonts w:hint="default"/>
          <w:lang w:val="en-US" w:eastAsia="zh-CN"/>
        </w:rPr>
      </w:pPr>
      <w:r>
        <w:rPr>
          <w:rFonts w:hint="eastAsia"/>
          <w:lang w:val="en-US" w:eastAsia="zh-CN"/>
        </w:rPr>
        <w:t>When enterprises enter the Asian market, the Asian market is a new working environment for both enterprises and employees. Employees need to adapt to the new environment, so there will be more or less anxiety and tension, which will produce interpersonal barriers. In the UK, the interpersonal relationship between enterprises is more rule-based, mainly contract. In the Asian market, especially in China, enterprises pay more attention to human sophistication and believe that business transactions are under the establishment of interpersonal relationships (Chen, 1995). In China, interpersonal relationship is one of the key factors in the process of entity negotiation. The personal relationship that connects people is not through the expression of sympathy and friendship, but through the exchange of grace. China attaches importance to social capital in the interpersonal context, while Britain attaches more importance to networks, information and institutions (Graham and Lam, 2003). Therefore, when enterprises enter the Asian market, due to the new working environment and interpersonal relationships, the enterprise's interpersonal network cannot be expanded, and the interpersonal barriers will bring many troubles and troubles to the enterprise's work(Butlery and Leung, 1998).</w:t>
      </w:r>
    </w:p>
    <w:p>
      <w:pPr>
        <w:pStyle w:val="3"/>
        <w:bidi w:val="0"/>
        <w:rPr>
          <w:rFonts w:hint="eastAsia"/>
          <w:lang w:val="en-US" w:eastAsia="zh-CN"/>
        </w:rPr>
      </w:pPr>
      <w:bookmarkStart w:id="10" w:name="_Toc10503"/>
      <w:r>
        <w:rPr>
          <w:rFonts w:hint="eastAsia"/>
          <w:lang w:val="en-US" w:eastAsia="zh-CN"/>
        </w:rPr>
        <w:t>4.2 cultural differences between UK and Asia</w:t>
      </w:r>
      <w:bookmarkEnd w:id="10"/>
    </w:p>
    <w:p>
      <w:pPr>
        <w:pStyle w:val="4"/>
        <w:bidi w:val="0"/>
      </w:pPr>
      <w:bookmarkStart w:id="11" w:name="_Toc9350"/>
      <w:r>
        <w:rPr>
          <w:rFonts w:hint="eastAsia"/>
          <w:lang w:val="en-US" w:eastAsia="zh-CN"/>
        </w:rPr>
        <w:t>4.2.1</w:t>
      </w:r>
      <w:r>
        <w:rPr>
          <w:rFonts w:hint="eastAsia"/>
        </w:rPr>
        <w:t xml:space="preserve"> Differences in living environment</w:t>
      </w:r>
      <w:bookmarkEnd w:id="11"/>
    </w:p>
    <w:p>
      <w:pPr>
        <w:spacing w:line="240" w:lineRule="auto"/>
      </w:pPr>
      <w:r>
        <w:rPr>
          <w:rFonts w:hint="eastAsia"/>
        </w:rPr>
        <w:t>The emergence of idioms is closely related to people's labor and life. Britain is an island country, and the navigation industry once led the world in history; while the Han people live and multiply on the Asian continent, and people's lives cannot be separated from the land. It is a metaphor for spending money and wasting money and spending big money. English means "spend money like water", while Chinese means "spend money like water". There are many idioms about boats and water in English, but there is no identical corresponding idiom in Chinese, such as to rest on one's oars, to keep one's head above water, all at sea, etc.</w:t>
      </w:r>
    </w:p>
    <w:p>
      <w:pPr>
        <w:pStyle w:val="4"/>
        <w:bidi w:val="0"/>
      </w:pPr>
      <w:bookmarkStart w:id="12" w:name="_Toc17632"/>
      <w:r>
        <w:rPr>
          <w:rFonts w:hint="eastAsia"/>
          <w:lang w:val="en-US" w:eastAsia="zh-CN"/>
        </w:rPr>
        <w:t>4.</w:t>
      </w:r>
      <w:r>
        <w:rPr>
          <w:rFonts w:hint="eastAsia"/>
        </w:rPr>
        <w:t>2</w:t>
      </w:r>
      <w:r>
        <w:rPr>
          <w:rFonts w:hint="eastAsia"/>
          <w:lang w:val="en-US" w:eastAsia="zh-CN"/>
        </w:rPr>
        <w:t>.2</w:t>
      </w:r>
      <w:r>
        <w:rPr>
          <w:rFonts w:hint="eastAsia"/>
        </w:rPr>
        <w:t xml:space="preserve"> Differences in customs</w:t>
      </w:r>
      <w:bookmarkEnd w:id="12"/>
    </w:p>
    <w:p>
      <w:pPr>
        <w:spacing w:line="240" w:lineRule="auto"/>
      </w:pPr>
      <w:r>
        <w:rPr>
          <w:rFonts w:hint="eastAsia"/>
        </w:rPr>
        <w:t>There are many differences in customs between English and Chinese, and the most typical one is the attitude towards animals like dogs. A dog is a humble animal in Chinese. Most of the dog-related idioms in Chinese contain derogatory meanings: "husband and dog party", "dogs jump over the wall", "wolf heart and dog lungs", "dog legs", etc., although the number of pet dogs has greatly increased in recent years, the "status" of dogs It seems to have changed, but the derogatory image of the dog remains deeply in the Chinese language and culture. In Western English-speaking countries, dogs are considered to be the most loyal friends of mankind. Except for some idioms about dogs in English that have derogatory meanings due to the influence of other languages, most of them have no derogatory meanings. In English idioms, the image of a dog is often used as a metaphor for human behavior. Such as You are a lucky dog, Every dog has his day, Old dog will not learn new tricks and so on. To describe a person "severely sick" is sick as a dog, and "extremely tired" is dog-tired. On the contrary, Chinese people like cats very much. They use "greedy cats" as a metaphor for people to be greedy and often have the element of closeness. In Western culture, "cats" are used as a metaphor for "women who hide evil intentions."</w:t>
      </w:r>
    </w:p>
    <w:p>
      <w:pPr>
        <w:rPr>
          <w:rFonts w:hint="eastAsia"/>
          <w:lang w:val="en-US" w:eastAsia="zh-CN"/>
        </w:rPr>
      </w:pPr>
      <w:r>
        <w:rPr>
          <w:rFonts w:hint="eastAsia"/>
          <w:lang w:val="en-US" w:eastAsia="zh-CN"/>
        </w:rPr>
        <w:br w:type="page"/>
      </w:r>
    </w:p>
    <w:p>
      <w:pPr>
        <w:pStyle w:val="2"/>
        <w:bidi w:val="0"/>
        <w:rPr>
          <w:rFonts w:hint="eastAsia"/>
          <w:lang w:val="en-US" w:eastAsia="zh-CN"/>
        </w:rPr>
      </w:pPr>
      <w:bookmarkStart w:id="13" w:name="_Toc19582"/>
      <w:r>
        <w:rPr>
          <w:rFonts w:hint="eastAsia"/>
          <w:lang w:val="en-US" w:eastAsia="zh-CN"/>
        </w:rPr>
        <w:t>5.0 Conclusion</w:t>
      </w:r>
      <w:bookmarkEnd w:id="13"/>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Through group discussion and theoretical demonstration, we understand what international communication is. It is very important to establish good business international communication relations. Good communication relationship can help the company expand its business better.</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improve our communication skills, we understand the concepts and differences between high context and low context, and introduce Hofstede's six cultural dimensions. This shows the impact of different social cultures on people</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When companies expand to Asia, we also need to consider the impact and disadvantages of different cultural backgrounds on communication between the UK and Asia. It includes some potential threats, such as language barriers, cultural barriers and interpersonal barriers. We can better avoid unnecessary trouble</w:t>
      </w:r>
    </w:p>
    <w:p>
      <w:pPr>
        <w:rPr>
          <w:rFonts w:hint="default" w:ascii="Times New Roman" w:hAnsi="Times New Roman" w:eastAsia="宋体" w:cs="Times New Roman"/>
          <w:sz w:val="24"/>
          <w:szCs w:val="24"/>
        </w:rPr>
      </w:pPr>
    </w:p>
    <w:p>
      <w:pPr>
        <w:rPr>
          <w:rFonts w:hint="default"/>
          <w:lang w:val="en-US" w:eastAsia="zh-CN"/>
        </w:rPr>
      </w:pPr>
      <w:r>
        <w:rPr>
          <w:rFonts w:hint="default" w:ascii="Times New Roman" w:hAnsi="Times New Roman" w:eastAsia="宋体" w:cs="Times New Roman"/>
          <w:sz w:val="24"/>
          <w:szCs w:val="24"/>
        </w:rPr>
        <w:t>We should study and verify the geographical environment and local customs. Different geographical environment will affect people's clothing, diet, outdoor activities and so on. Different customs will directly affect communication.</w:t>
      </w:r>
      <w:r>
        <w:rPr>
          <w:rFonts w:hint="default"/>
          <w:lang w:val="en-US" w:eastAsia="zh-CN"/>
        </w:rPr>
        <w:br w:type="page"/>
      </w:r>
    </w:p>
    <w:p>
      <w:pPr>
        <w:pStyle w:val="2"/>
        <w:bidi w:val="0"/>
        <w:rPr>
          <w:rFonts w:hint="default"/>
          <w:lang w:val="en-US" w:eastAsia="zh-CN"/>
        </w:rPr>
      </w:pPr>
      <w:bookmarkStart w:id="14" w:name="_Toc22543"/>
      <w:r>
        <w:rPr>
          <w:rFonts w:hint="eastAsia"/>
          <w:lang w:val="en-US" w:eastAsia="zh-CN"/>
        </w:rPr>
        <w:t>Reference</w:t>
      </w:r>
      <w:bookmarkEnd w:id="14"/>
    </w:p>
    <w:p>
      <w:pPr>
        <w:numPr>
          <w:ilvl w:val="0"/>
          <w:numId w:val="4"/>
        </w:numPr>
      </w:pPr>
      <w:r>
        <w:rPr>
          <w:rFonts w:hint="eastAsia" w:eastAsia="宋体" w:cs="Times New Roman"/>
          <w:i w:val="0"/>
          <w:iCs w:val="0"/>
          <w:caps w:val="0"/>
          <w:color w:val="373737"/>
          <w:spacing w:val="0"/>
          <w:sz w:val="24"/>
          <w:szCs w:val="24"/>
          <w:shd w:val="clear" w:fill="FFFFFF"/>
          <w:lang w:val="en-US" w:eastAsia="zh-CN"/>
        </w:rPr>
        <w:fldChar w:fldCharType="begin"/>
      </w:r>
      <w:r>
        <w:rPr>
          <w:rFonts w:hint="eastAsia" w:eastAsia="宋体" w:cs="Times New Roman"/>
          <w:i w:val="0"/>
          <w:iCs w:val="0"/>
          <w:caps w:val="0"/>
          <w:color w:val="373737"/>
          <w:spacing w:val="0"/>
          <w:sz w:val="24"/>
          <w:szCs w:val="24"/>
          <w:shd w:val="clear" w:fill="FFFFFF"/>
          <w:lang w:val="en-US" w:eastAsia="zh-CN"/>
        </w:rPr>
        <w:instrText xml:space="preserve"> HYPERLINK "https://mainecampus.com/author/bbenson/" \o "Posts by Brawley Benson" </w:instrText>
      </w:r>
      <w:r>
        <w:rPr>
          <w:rFonts w:hint="eastAsia" w:eastAsia="宋体" w:cs="Times New Roman"/>
          <w:i w:val="0"/>
          <w:iCs w:val="0"/>
          <w:caps w:val="0"/>
          <w:color w:val="373737"/>
          <w:spacing w:val="0"/>
          <w:sz w:val="24"/>
          <w:szCs w:val="24"/>
          <w:shd w:val="clear" w:fill="FFFFFF"/>
          <w:lang w:val="en-US" w:eastAsia="zh-CN"/>
        </w:rPr>
        <w:fldChar w:fldCharType="separate"/>
      </w:r>
      <w:r>
        <w:rPr>
          <w:rFonts w:hint="eastAsia" w:eastAsia="宋体" w:cs="Times New Roman"/>
          <w:i w:val="0"/>
          <w:iCs w:val="0"/>
          <w:caps w:val="0"/>
          <w:color w:val="373737"/>
          <w:spacing w:val="0"/>
          <w:sz w:val="24"/>
          <w:szCs w:val="24"/>
          <w:shd w:val="clear" w:fill="FFFFFF"/>
          <w:lang w:val="en-US" w:eastAsia="zh-CN"/>
        </w:rPr>
        <w:t>Brawley Benson</w:t>
      </w:r>
      <w:r>
        <w:rPr>
          <w:rFonts w:hint="eastAsia" w:eastAsia="宋体" w:cs="Times New Roman"/>
          <w:i w:val="0"/>
          <w:iCs w:val="0"/>
          <w:caps w:val="0"/>
          <w:color w:val="373737"/>
          <w:spacing w:val="0"/>
          <w:sz w:val="24"/>
          <w:szCs w:val="24"/>
          <w:shd w:val="clear" w:fill="FFFFFF"/>
          <w:lang w:val="en-US" w:eastAsia="zh-CN"/>
        </w:rPr>
        <w:fldChar w:fldCharType="end"/>
      </w:r>
      <w:r>
        <w:rPr>
          <w:rFonts w:hint="eastAsia" w:eastAsia="宋体" w:cs="Times New Roman"/>
          <w:i w:val="0"/>
          <w:iCs w:val="0"/>
          <w:caps w:val="0"/>
          <w:color w:val="373737"/>
          <w:spacing w:val="0"/>
          <w:sz w:val="24"/>
          <w:szCs w:val="24"/>
          <w:shd w:val="clear" w:fill="FFFFFF"/>
          <w:lang w:val="en-US" w:eastAsia="zh-CN"/>
        </w:rPr>
        <w:t xml:space="preserve"> (2018) The importance of international communication [Online] Available form: </w:t>
      </w:r>
      <w:r>
        <w:rPr>
          <w:rFonts w:hint="eastAsia" w:eastAsia="宋体" w:cs="Times New Roman"/>
          <w:i w:val="0"/>
          <w:iCs w:val="0"/>
          <w:caps w:val="0"/>
          <w:color w:val="373737"/>
          <w:spacing w:val="0"/>
          <w:sz w:val="24"/>
          <w:szCs w:val="24"/>
          <w:shd w:val="clear" w:fill="FFFFFF"/>
          <w:lang w:val="en-US" w:eastAsia="zh-CN"/>
        </w:rPr>
        <w:fldChar w:fldCharType="begin"/>
      </w:r>
      <w:r>
        <w:rPr>
          <w:rFonts w:hint="eastAsia" w:eastAsia="宋体" w:cs="Times New Roman"/>
          <w:i w:val="0"/>
          <w:iCs w:val="0"/>
          <w:caps w:val="0"/>
          <w:color w:val="373737"/>
          <w:spacing w:val="0"/>
          <w:sz w:val="24"/>
          <w:szCs w:val="24"/>
          <w:shd w:val="clear" w:fill="FFFFFF"/>
          <w:lang w:val="en-US" w:eastAsia="zh-CN"/>
        </w:rPr>
        <w:instrText xml:space="preserve"> HYPERLINK "https://mainecampus.com/2018/04/the-importance-of-international-communication/" </w:instrText>
      </w:r>
      <w:r>
        <w:rPr>
          <w:rFonts w:hint="eastAsia" w:eastAsia="宋体" w:cs="Times New Roman"/>
          <w:i w:val="0"/>
          <w:iCs w:val="0"/>
          <w:caps w:val="0"/>
          <w:color w:val="373737"/>
          <w:spacing w:val="0"/>
          <w:sz w:val="24"/>
          <w:szCs w:val="24"/>
          <w:shd w:val="clear" w:fill="FFFFFF"/>
          <w:lang w:val="en-US" w:eastAsia="zh-CN"/>
        </w:rPr>
        <w:fldChar w:fldCharType="separate"/>
      </w:r>
      <w:r>
        <w:rPr>
          <w:rStyle w:val="14"/>
          <w:rFonts w:hint="eastAsia" w:eastAsia="宋体" w:cs="Times New Roman"/>
          <w:i w:val="0"/>
          <w:iCs w:val="0"/>
          <w:caps w:val="0"/>
          <w:color w:val="373737"/>
          <w:spacing w:val="0"/>
          <w:sz w:val="24"/>
          <w:szCs w:val="24"/>
          <w:shd w:val="clear" w:fill="FFFFFF"/>
          <w:lang w:val="en-US" w:eastAsia="zh-CN"/>
        </w:rPr>
        <w:t>https://mainecampus.com/2018/04/the-importance-of-international-communication/</w:t>
      </w:r>
      <w:r>
        <w:rPr>
          <w:rFonts w:hint="eastAsia" w:eastAsia="宋体" w:cs="Times New Roman"/>
          <w:i w:val="0"/>
          <w:iCs w:val="0"/>
          <w:caps w:val="0"/>
          <w:color w:val="373737"/>
          <w:spacing w:val="0"/>
          <w:sz w:val="24"/>
          <w:szCs w:val="24"/>
          <w:shd w:val="clear" w:fill="FFFFFF"/>
          <w:lang w:val="en-US" w:eastAsia="zh-CN"/>
        </w:rPr>
        <w:fldChar w:fldCharType="end"/>
      </w:r>
      <w:r>
        <w:rPr>
          <w:rFonts w:hint="eastAsia" w:eastAsia="宋体" w:cs="Times New Roman"/>
          <w:i w:val="0"/>
          <w:iCs w:val="0"/>
          <w:caps w:val="0"/>
          <w:color w:val="373737"/>
          <w:spacing w:val="0"/>
          <w:sz w:val="24"/>
          <w:szCs w:val="24"/>
          <w:shd w:val="clear" w:fill="FFFFFF"/>
          <w:lang w:val="en-US" w:eastAsia="zh-CN"/>
        </w:rPr>
        <w:t xml:space="preserve"> (Accessed 5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textAlignment w:val="auto"/>
        <w:rPr>
          <w:rFonts w:hint="default" w:ascii="Times New Roman" w:hAnsi="Times New Roman" w:eastAsia="宋体" w:cs="Times New Roman"/>
          <w:i w:val="0"/>
          <w:iCs w:val="0"/>
          <w:caps w:val="0"/>
          <w:color w:val="373737"/>
          <w:spacing w:val="0"/>
          <w:sz w:val="24"/>
          <w:szCs w:val="24"/>
          <w:shd w:val="clear" w:fill="FFFFFF"/>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C</w:t>
      </w:r>
      <w:r>
        <w:rPr>
          <w:rFonts w:hint="default" w:ascii="Times New Roman" w:hAnsi="Times New Roman" w:eastAsia="Helvetica" w:cs="Times New Roman"/>
          <w:i w:val="0"/>
          <w:iCs w:val="0"/>
          <w:caps w:val="0"/>
          <w:color w:val="373737"/>
          <w:spacing w:val="0"/>
          <w:sz w:val="24"/>
          <w:szCs w:val="24"/>
          <w:shd w:val="clear" w:fill="FFFFFF"/>
        </w:rPr>
        <w:t xml:space="preserve">ultural </w:t>
      </w:r>
      <w:r>
        <w:rPr>
          <w:rFonts w:hint="eastAsia" w:ascii="Times New Roman" w:hAnsi="Times New Roman" w:eastAsia="宋体" w:cs="Times New Roman"/>
          <w:i w:val="0"/>
          <w:iCs w:val="0"/>
          <w:caps w:val="0"/>
          <w:color w:val="373737"/>
          <w:spacing w:val="0"/>
          <w:sz w:val="24"/>
          <w:szCs w:val="24"/>
          <w:shd w:val="clear" w:fill="FFFFFF"/>
          <w:lang w:val="en-US" w:eastAsia="zh-CN"/>
        </w:rPr>
        <w:t>D</w:t>
      </w:r>
      <w:r>
        <w:rPr>
          <w:rFonts w:hint="default" w:ascii="Times New Roman" w:hAnsi="Times New Roman" w:eastAsia="Helvetica" w:cs="Times New Roman"/>
          <w:i w:val="0"/>
          <w:iCs w:val="0"/>
          <w:caps w:val="0"/>
          <w:color w:val="373737"/>
          <w:spacing w:val="0"/>
          <w:sz w:val="24"/>
          <w:szCs w:val="24"/>
          <w:shd w:val="clear" w:fill="FFFFFF"/>
        </w:rPr>
        <w:t xml:space="preserve">imensions </w:t>
      </w:r>
      <w:r>
        <w:rPr>
          <w:rFonts w:hint="eastAsia" w:ascii="Times New Roman" w:hAnsi="Times New Roman" w:eastAsia="宋体" w:cs="Times New Roman"/>
          <w:i w:val="0"/>
          <w:iCs w:val="0"/>
          <w:caps w:val="0"/>
          <w:color w:val="373737"/>
          <w:spacing w:val="0"/>
          <w:sz w:val="24"/>
          <w:szCs w:val="24"/>
          <w:shd w:val="clear" w:fill="FFFFFF"/>
          <w:lang w:val="en-US" w:eastAsia="zh-CN"/>
        </w:rPr>
        <w:t>T</w:t>
      </w:r>
      <w:r>
        <w:rPr>
          <w:rFonts w:hint="default" w:ascii="Times New Roman" w:hAnsi="Times New Roman" w:eastAsia="Helvetica" w:cs="Times New Roman"/>
          <w:i w:val="0"/>
          <w:iCs w:val="0"/>
          <w:caps w:val="0"/>
          <w:color w:val="373737"/>
          <w:spacing w:val="0"/>
          <w:sz w:val="24"/>
          <w:szCs w:val="24"/>
          <w:shd w:val="clear" w:fill="FFFFFF"/>
        </w:rPr>
        <w:t>heory</w:t>
      </w: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 (2020), </w:t>
      </w:r>
      <w:r>
        <w:rPr>
          <w:rFonts w:hint="eastAsia" w:ascii="Times New Roman" w:hAnsi="Times New Roman" w:eastAsia="宋体" w:cs="Times New Roman"/>
          <w:i/>
          <w:iCs/>
          <w:caps w:val="0"/>
          <w:color w:val="373737"/>
          <w:spacing w:val="0"/>
          <w:sz w:val="24"/>
          <w:szCs w:val="24"/>
          <w:shd w:val="clear" w:fill="FFFFFF"/>
          <w:lang w:val="en-US" w:eastAsia="zh-CN"/>
        </w:rPr>
        <w:t>Marketing91</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"https://www.marketing91.com/hofstedes-cultural-dimensions/#What-is-Hofstedes-Cultural-Dimension"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https://www.marketing91.com/hofstedes-cultural-dimensions/#What-is-Hofstedes-Cultural-Dimension</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Edward Burnett Taylor, "Primitive Culture" (1871)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textAlignment w:val="auto"/>
        <w:rPr>
          <w:rFonts w:hint="default" w:ascii="Times New Roman" w:hAnsi="Times New Roman" w:eastAsia="Helvetica" w:cs="Times New Roman"/>
          <w:i w:val="0"/>
          <w:iCs w:val="0"/>
          <w:caps w:val="0"/>
          <w:color w:val="373737"/>
          <w:spacing w:val="0"/>
          <w:sz w:val="24"/>
          <w:szCs w:val="24"/>
          <w:shd w:val="clear" w:fill="FFFFFF"/>
        </w:rPr>
      </w:pPr>
      <w:r>
        <w:rPr>
          <w:rFonts w:hint="default" w:ascii="Times New Roman" w:hAnsi="Times New Roman" w:eastAsia="Helvetica" w:cs="Times New Roman"/>
          <w:i w:val="0"/>
          <w:iCs w:val="0"/>
          <w:caps w:val="0"/>
          <w:color w:val="373737"/>
          <w:spacing w:val="0"/>
          <w:sz w:val="24"/>
          <w:szCs w:val="24"/>
          <w:shd w:val="clear" w:fill="FFFFFF"/>
        </w:rPr>
        <w:t>Edward T. Hall, </w:t>
      </w:r>
      <w:r>
        <w:rPr>
          <w:rFonts w:hint="default" w:ascii="Times New Roman" w:hAnsi="Times New Roman" w:eastAsia="宋体" w:cs="Times New Roman"/>
          <w:i/>
          <w:iCs/>
          <w:caps w:val="0"/>
          <w:color w:val="373737"/>
          <w:spacing w:val="0"/>
          <w:sz w:val="24"/>
          <w:szCs w:val="24"/>
          <w:shd w:val="clear" w:fill="FFFFFF"/>
          <w:lang w:val="en-US" w:eastAsia="zh-CN"/>
        </w:rPr>
        <w:t>Beyond</w:t>
      </w:r>
      <w:r>
        <w:rPr>
          <w:rFonts w:hint="default" w:ascii="Times New Roman" w:hAnsi="Times New Roman" w:eastAsia="Helvetica" w:cs="Times New Roman"/>
          <w:i w:val="0"/>
          <w:iCs w:val="0"/>
          <w:caps w:val="0"/>
          <w:color w:val="373737"/>
          <w:spacing w:val="0"/>
          <w:sz w:val="24"/>
          <w:szCs w:val="24"/>
          <w:shd w:val="clear" w:fill="FFFFFF"/>
        </w:rPr>
        <w:t>, Anchor Books, 1977, p. 91-131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eastAsia" w:cs="Times New Roman"/>
          <w:i w:val="0"/>
          <w:iCs w:val="0"/>
          <w:sz w:val="24"/>
          <w:szCs w:val="24"/>
          <w:lang w:val="en-US" w:eastAsia="zh-CN"/>
        </w:rPr>
        <w:t>Harappa, (2021). Interpersonal Barriers To Communication. [Online]. Available from:</w:t>
      </w:r>
      <w:r>
        <w:rPr>
          <w:rFonts w:hint="eastAsia" w:cs="Times New Roman"/>
          <w:i w:val="0"/>
          <w:iCs w:val="0"/>
          <w:sz w:val="24"/>
          <w:szCs w:val="24"/>
          <w:lang w:val="en-US" w:eastAsia="zh-CN"/>
        </w:rPr>
        <w:fldChar w:fldCharType="begin"/>
      </w:r>
      <w:r>
        <w:rPr>
          <w:rFonts w:hint="eastAsia" w:cs="Times New Roman"/>
          <w:i w:val="0"/>
          <w:iCs w:val="0"/>
          <w:sz w:val="24"/>
          <w:szCs w:val="24"/>
          <w:lang w:val="en-US" w:eastAsia="zh-CN"/>
        </w:rPr>
        <w:instrText xml:space="preserve"> HYPERLINK "https://harappa.education/harappa-diaries/interpersonal-barriers-to-communication/" </w:instrText>
      </w:r>
      <w:r>
        <w:rPr>
          <w:rFonts w:hint="eastAsia" w:cs="Times New Roman"/>
          <w:i w:val="0"/>
          <w:iCs w:val="0"/>
          <w:sz w:val="24"/>
          <w:szCs w:val="24"/>
          <w:lang w:val="en-US" w:eastAsia="zh-CN"/>
        </w:rPr>
        <w:fldChar w:fldCharType="separate"/>
      </w:r>
      <w:r>
        <w:rPr>
          <w:rStyle w:val="14"/>
          <w:rFonts w:hint="eastAsia" w:cs="Times New Roman"/>
          <w:i w:val="0"/>
          <w:iCs w:val="0"/>
          <w:sz w:val="24"/>
          <w:szCs w:val="24"/>
          <w:lang w:val="en-US" w:eastAsia="zh-CN"/>
        </w:rPr>
        <w:t>https://harappa.education/harappa-diaries/interpersonal-barriers-to-communication/</w:t>
      </w:r>
      <w:r>
        <w:rPr>
          <w:rFonts w:hint="eastAsia" w:cs="Times New Roman"/>
          <w:i w:val="0"/>
          <w:iCs w:val="0"/>
          <w:sz w:val="24"/>
          <w:szCs w:val="24"/>
          <w:lang w:val="en-US" w:eastAsia="zh-CN"/>
        </w:rPr>
        <w:fldChar w:fldCharType="end"/>
      </w:r>
      <w:r>
        <w:rPr>
          <w:rFonts w:hint="eastAsia" w:cs="Times New Roman"/>
          <w:i w:val="0"/>
          <w:iCs w:val="0"/>
          <w:sz w:val="24"/>
          <w:szCs w:val="24"/>
          <w:lang w:val="en-US" w:eastAsia="zh-CN"/>
        </w:rPr>
        <w:t xml:space="preserve"> (Accessed 9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He Ziran, "Pragmatics and English Learning" (</w:t>
      </w:r>
      <w:r>
        <w:rPr>
          <w:rFonts w:hint="eastAsia" w:cs="Times New Roman"/>
          <w:i w:val="0"/>
          <w:iCs w:val="0"/>
          <w:sz w:val="24"/>
          <w:szCs w:val="24"/>
          <w:lang w:val="en-US" w:eastAsia="zh-CN"/>
        </w:rPr>
        <w:t>Sep，</w:t>
      </w:r>
      <w:r>
        <w:rPr>
          <w:rFonts w:hint="default" w:ascii="Times New Roman" w:hAnsi="Times New Roman" w:cs="Times New Roman"/>
          <w:i w:val="0"/>
          <w:iCs w:val="0"/>
          <w:sz w:val="24"/>
          <w:szCs w:val="24"/>
          <w:lang w:val="en-US" w:eastAsia="zh-CN"/>
        </w:rPr>
        <w:t>1997)</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eastAsia" w:ascii="Times New Roman" w:hAnsi="Times New Roman" w:cs="Times New Roman"/>
          <w:i w:val="0"/>
          <w:iCs w:val="0"/>
          <w:sz w:val="24"/>
          <w:szCs w:val="24"/>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High and Low Context Cultures, (2020), </w:t>
      </w:r>
      <w:r>
        <w:rPr>
          <w:rFonts w:hint="eastAsia" w:ascii="Times New Roman" w:hAnsi="Times New Roman" w:eastAsia="宋体" w:cs="Times New Roman"/>
          <w:i/>
          <w:iCs/>
          <w:caps w:val="0"/>
          <w:color w:val="373737"/>
          <w:spacing w:val="0"/>
          <w:sz w:val="24"/>
          <w:szCs w:val="24"/>
          <w:shd w:val="clear" w:fill="FFFFFF"/>
          <w:lang w:val="en-US" w:eastAsia="zh-CN"/>
        </w:rPr>
        <w:t>United Language Group</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"https://www.unitedlanguagegroup.com/blog/communicating-high-context-vs-low-context-cultures"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https://www.unitedlanguagegroup.com/blog/communicating-high-context-vs-low-context-cultures</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r>
        <w:rPr>
          <w:rFonts w:hint="eastAsia" w:ascii="Times New Roman" w:hAnsi="Times New Roman" w:cs="Times New Roman"/>
          <w:i w:val="0"/>
          <w:iCs w:val="0"/>
          <w:sz w:val="24"/>
          <w:szCs w:val="24"/>
          <w:lang w:val="en-US" w:eastAsia="zh-CN"/>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eastAsia"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(2019), </w:t>
      </w:r>
      <w:r>
        <w:rPr>
          <w:rFonts w:hint="eastAsia" w:ascii="Times New Roman" w:hAnsi="Times New Roman" w:eastAsia="宋体" w:cs="Times New Roman"/>
          <w:i/>
          <w:iCs/>
          <w:caps w:val="0"/>
          <w:color w:val="373737"/>
          <w:spacing w:val="0"/>
          <w:sz w:val="24"/>
          <w:szCs w:val="24"/>
          <w:shd w:val="clear" w:fill="FFFFFF"/>
          <w:lang w:val="en-US" w:eastAsia="zh-CN"/>
        </w:rPr>
        <w:t>CFI</w:t>
      </w:r>
      <w:r>
        <w:rPr>
          <w:rFonts w:hint="eastAsia"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eastAsia" w:ascii="Times New Roman" w:hAnsi="Times New Roman" w:cs="Times New Roman"/>
          <w:i w:val="0"/>
          <w:iCs w:val="0"/>
          <w:sz w:val="24"/>
          <w:szCs w:val="24"/>
          <w:lang w:val="en-US" w:eastAsia="zh-CN"/>
        </w:rPr>
        <w:t xml:space="preserve"> </w:t>
      </w:r>
      <w:r>
        <w:rPr>
          <w:rFonts w:hint="eastAsia" w:ascii="Times New Roman" w:hAnsi="Times New Roman" w:cs="Times New Roman"/>
          <w:i w:val="0"/>
          <w:iCs w:val="0"/>
          <w:sz w:val="24"/>
          <w:szCs w:val="24"/>
          <w:lang w:val="en-US" w:eastAsia="zh-CN"/>
        </w:rPr>
        <w:fldChar w:fldCharType="begin"/>
      </w:r>
      <w:r>
        <w:rPr>
          <w:rFonts w:hint="eastAsia" w:ascii="Times New Roman" w:hAnsi="Times New Roman" w:cs="Times New Roman"/>
          <w:i w:val="0"/>
          <w:iCs w:val="0"/>
          <w:sz w:val="24"/>
          <w:szCs w:val="24"/>
          <w:lang w:val="en-US" w:eastAsia="zh-CN"/>
        </w:rPr>
        <w:instrText xml:space="preserve"> HYPERLINK "https://corporatefinanceinstitute.com/resources/knowledge/other/hofstedes-cultural-dimensions-theory/" </w:instrText>
      </w:r>
      <w:r>
        <w:rPr>
          <w:rFonts w:hint="eastAsia" w:ascii="Times New Roman" w:hAnsi="Times New Roman" w:cs="Times New Roman"/>
          <w:i w:val="0"/>
          <w:iCs w:val="0"/>
          <w:sz w:val="24"/>
          <w:szCs w:val="24"/>
          <w:lang w:val="en-US" w:eastAsia="zh-CN"/>
        </w:rPr>
        <w:fldChar w:fldCharType="separate"/>
      </w:r>
      <w:r>
        <w:rPr>
          <w:rStyle w:val="14"/>
          <w:rFonts w:hint="eastAsia" w:ascii="Times New Roman" w:hAnsi="Times New Roman" w:cs="Times New Roman"/>
          <w:i w:val="0"/>
          <w:iCs w:val="0"/>
          <w:sz w:val="24"/>
          <w:szCs w:val="24"/>
          <w:lang w:val="en-US" w:eastAsia="zh-CN"/>
        </w:rPr>
        <w:t>https://corporatefinanceinstitute.com/resources/knowledge/other/hofstedes-cultural-dimensions-theory/</w:t>
      </w:r>
      <w:r>
        <w:rPr>
          <w:rFonts w:hint="eastAsia" w:ascii="Times New Roman" w:hAnsi="Times New Roman" w:cs="Times New Roman"/>
          <w:i w:val="0"/>
          <w:iCs w:val="0"/>
          <w:sz w:val="24"/>
          <w:szCs w:val="24"/>
          <w:lang w:val="en-US" w:eastAsia="zh-CN"/>
        </w:rPr>
        <w:fldChar w:fldCharType="end"/>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(Accessed </w:t>
      </w:r>
      <w:r>
        <w:rPr>
          <w:rFonts w:hint="eastAsia" w:ascii="Times New Roman" w:hAnsi="Times New Roman" w:cs="Times New Roman"/>
          <w:i w:val="0"/>
          <w:iCs w:val="0"/>
          <w:sz w:val="24"/>
          <w:szCs w:val="24"/>
          <w:lang w:val="en-US" w:eastAsia="zh-CN"/>
        </w:rPr>
        <w:t>4</w:t>
      </w:r>
      <w:r>
        <w:rPr>
          <w:rFonts w:hint="default" w:ascii="Times New Roman" w:hAnsi="Times New Roman" w:cs="Times New Roman"/>
          <w:i w:val="0"/>
          <w:iCs w:val="0"/>
          <w:sz w:val="24"/>
          <w:szCs w:val="24"/>
          <w:lang w:val="en-US" w:eastAsia="zh-CN"/>
        </w:rPr>
        <w:t xml:space="preserve"> November 2021)</w:t>
      </w:r>
      <w:r>
        <w:rPr>
          <w:rFonts w:hint="eastAsia" w:ascii="Times New Roman" w:hAnsi="Times New Roman" w:cs="Times New Roman"/>
          <w:i w:val="0"/>
          <w:iCs w:val="0"/>
          <w:sz w:val="24"/>
          <w:szCs w:val="24"/>
          <w:lang w:val="en-US" w:eastAsia="zh-CN"/>
        </w:rPr>
        <w:t xml:space="preserve"> </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International Communication, (2019), Bizfluent[online],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https://bizfluent.com/info-7761139-importance-communication-international-business.html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LAURING, J (2008). “Rethinking social identity theory in international encounters: Language use as a negotiated object for identity making”, in:. International Journal of Cross Cultural Management, 8(3), pp.343- 361.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LUNENBURG, FC (2010). “Communication: The process, barriers, and improving effectiveness.”, in:Schooling, 1(1), pp.1-10.</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Lu Peiai, Poetry is Criticism of Life, Tongji University Press, June 2017, p.89</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Master’s in Communications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"https://www.mastersincommunications.com/faqs/what-is-global-communication"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https://www.mastersincommunications.com/faqs/what-is-global-communication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 </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Northouse, P. G. (2016). Leadership Theory and Practice Seventh Edition. Western Michigan: Sage</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Paul Grice "Meaning" (1957)</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Rigby, (2018). What are the 7 barriers to communication. [Online].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"https://www.fingerprintforsuccess.com/blog/what-are-the-7-barriers-to-communication"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https://www.fingerprintforsuccess.com/blog/what-are-the-7-barriers-to-communication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"High German Translation" of the Bible (1868)</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importance of global communications in the world today [Online] Available from:https://www.global-business-school.org/announcements/the_importance_of_global_communications_in_the_world_today (Accessed 5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The importance of a successful international communication strategy [Online= Available from</w:t>
      </w:r>
      <w:r>
        <w:rPr>
          <w:rFonts w:hint="eastAsia" w:cs="Times New Roman"/>
          <w:i w:val="0"/>
          <w:iCs w:val="0"/>
          <w:sz w:val="24"/>
          <w:szCs w:val="24"/>
          <w:lang w:val="en-US" w:eastAsia="zh-CN"/>
        </w:rPr>
        <w:t>：</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"https://abbeycommunication.com/the-importance-of-a-successful-international-communication-strategy/"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https://abbeycommunication.com/the-importance-of-a-successful-international-communication-strategy/</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5 November 2021) </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Tung, R. (1995), “International Organizational Behaviour”, Luthans Virtual OB McGraw-Hill, pp 487-518</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UKEssays, (2018). Cultural Differences Between UK and China in Business.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"https://www.ukessays.com/essays/management/cultural-differences-between-the-uk-and-china-management-essay.php?vref=1"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https://www.ukessays.com/essays/management/cultural-differences-between-the-uk-and-china-management-essay.php?vref=1</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What is the international communication [Online] Available from: https://www.mastersincommunications.com/faqs/what-is-global-communication （Accessed 5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What does international communication means [Online]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"https://www.definitions.net/definition/International%20Communication"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https://www.definitions.net/definition/International%20Communication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Zhongli/Zong Wenju "Introduction to Chinese and Western Culture" (April 1, 2002)</w:t>
      </w:r>
    </w:p>
    <w:p>
      <w:pPr>
        <w:keepNext w:val="0"/>
        <w:keepLines w:val="0"/>
        <w:pageBreakBefore w:val="0"/>
        <w:widowControl w:val="0"/>
        <w:numPr>
          <w:ilvl w:val="0"/>
          <w:numId w:val="4"/>
        </w:numPr>
        <w:kinsoku/>
        <w:wordWrap/>
        <w:overflowPunct/>
        <w:topLinePunct w:val="0"/>
        <w:autoSpaceDE/>
        <w:autoSpaceDN/>
        <w:bidi w:val="0"/>
        <w:adjustRightInd/>
        <w:snapToGrid/>
        <w:spacing w:before="157" w:beforeLines="50" w:after="157" w:afterLines="50"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Zhu Guangqian（1948）“On Translation”</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360" w:lineRule="auto"/>
        <w:ind w:leftChars="0"/>
        <w:jc w:val="both"/>
        <w:textAlignment w:val="auto"/>
        <w:rPr>
          <w:rFonts w:hint="default" w:ascii="Times New Roman" w:hAnsi="Times New Roman" w:cs="Times New Roman"/>
          <w:i w:val="0"/>
          <w:iCs w:val="0"/>
          <w:sz w:val="24"/>
          <w:szCs w:val="24"/>
          <w:lang w:val="en-US" w:eastAsia="zh-CN"/>
        </w:rPr>
      </w:pPr>
    </w:p>
    <w:p>
      <w:pPr>
        <w:widowControl w:val="0"/>
        <w:numPr>
          <w:ilvl w:val="0"/>
          <w:numId w:val="0"/>
        </w:numPr>
        <w:ind w:leftChars="0"/>
        <w:jc w:val="both"/>
        <w:rPr>
          <w:rFonts w:hint="default" w:ascii="Times New Roman" w:hAnsi="Times New Roman" w:cs="Times New Roman"/>
          <w:i w:val="0"/>
          <w:iCs w:val="0"/>
          <w:sz w:val="24"/>
          <w:szCs w:val="24"/>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widowControl w:val="0"/>
        <w:numPr>
          <w:ilvl w:val="0"/>
          <w:numId w:val="0"/>
        </w:numPr>
        <w:jc w:val="both"/>
        <w:rPr>
          <w:rFonts w:hint="default" w:ascii="Times New Roman" w:hAnsi="Times New Roman" w:eastAsia="宋体" w:cs="Times New Roman"/>
          <w:i w:val="0"/>
          <w:iCs w:val="0"/>
          <w:caps w:val="0"/>
          <w:color w:val="373737"/>
          <w:spacing w:val="0"/>
          <w:sz w:val="24"/>
          <w:szCs w:val="24"/>
          <w:shd w:val="clear" w:fill="FFFFFF"/>
          <w:lang w:val="en-US" w:eastAsia="zh-CN"/>
        </w:rPr>
      </w:pPr>
    </w:p>
    <w:p>
      <w:pPr>
        <w:pStyle w:val="2"/>
        <w:bidi w:val="0"/>
        <w:rPr>
          <w:rFonts w:hint="eastAsia"/>
          <w:lang w:val="en-US" w:eastAsia="zh-CN"/>
        </w:rPr>
      </w:pPr>
      <w:bookmarkStart w:id="15" w:name="_Toc30923"/>
      <w:r>
        <w:rPr>
          <w:rFonts w:hint="eastAsia"/>
          <w:lang w:val="en-US" w:eastAsia="zh-CN"/>
        </w:rPr>
        <w:t>Appendix</w:t>
      </w:r>
      <w:bookmarkEnd w:id="15"/>
    </w:p>
    <w:p>
      <w:pPr>
        <w:rPr>
          <w:rFonts w:hint="eastAsia"/>
          <w:lang w:val="en-US" w:eastAsia="zh-CN"/>
        </w:rPr>
      </w:pPr>
    </w:p>
    <w:p>
      <w:r>
        <w:drawing>
          <wp:inline distT="0" distB="0" distL="114300" distR="114300">
            <wp:extent cx="5269865" cy="2941955"/>
            <wp:effectExtent l="0" t="0" r="3175"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269865" cy="2941955"/>
                    </a:xfrm>
                    <a:prstGeom prst="rect">
                      <a:avLst/>
                    </a:prstGeom>
                    <a:noFill/>
                    <a:ln>
                      <a:noFill/>
                    </a:ln>
                  </pic:spPr>
                </pic:pic>
              </a:graphicData>
            </a:graphic>
          </wp:inline>
        </w:drawing>
      </w:r>
    </w:p>
    <w:p/>
    <w:p/>
    <w:p>
      <w:r>
        <w:drawing>
          <wp:inline distT="0" distB="0" distL="114300" distR="114300">
            <wp:extent cx="5273675" cy="2994660"/>
            <wp:effectExtent l="0" t="0" r="14605" b="762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5273675" cy="2994660"/>
                    </a:xfrm>
                    <a:prstGeom prst="rect">
                      <a:avLst/>
                    </a:prstGeom>
                    <a:noFill/>
                    <a:ln>
                      <a:noFill/>
                    </a:ln>
                  </pic:spPr>
                </pic:pic>
              </a:graphicData>
            </a:graphic>
          </wp:inline>
        </w:drawing>
      </w:r>
    </w:p>
    <w:p/>
    <w:p>
      <w:r>
        <w:drawing>
          <wp:inline distT="0" distB="0" distL="114300" distR="114300">
            <wp:extent cx="5265420" cy="2969260"/>
            <wp:effectExtent l="0" t="0" r="7620" b="254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8"/>
                    <a:stretch>
                      <a:fillRect/>
                    </a:stretch>
                  </pic:blipFill>
                  <pic:spPr>
                    <a:xfrm>
                      <a:off x="0" y="0"/>
                      <a:ext cx="5265420" cy="2969260"/>
                    </a:xfrm>
                    <a:prstGeom prst="rect">
                      <a:avLst/>
                    </a:prstGeom>
                    <a:noFill/>
                    <a:ln>
                      <a:noFill/>
                    </a:ln>
                  </pic:spPr>
                </pic:pic>
              </a:graphicData>
            </a:graphic>
          </wp:inline>
        </w:drawing>
      </w:r>
    </w:p>
    <w:p/>
    <w:p/>
    <w:p/>
    <w:p>
      <w:r>
        <w:drawing>
          <wp:inline distT="0" distB="0" distL="114300" distR="114300">
            <wp:extent cx="5273675" cy="2955290"/>
            <wp:effectExtent l="0" t="0" r="14605" b="127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9"/>
                    <a:stretch>
                      <a:fillRect/>
                    </a:stretch>
                  </pic:blipFill>
                  <pic:spPr>
                    <a:xfrm>
                      <a:off x="0" y="0"/>
                      <a:ext cx="5273675" cy="2955290"/>
                    </a:xfrm>
                    <a:prstGeom prst="rect">
                      <a:avLst/>
                    </a:prstGeom>
                    <a:noFill/>
                    <a:ln>
                      <a:noFill/>
                    </a:ln>
                  </pic:spPr>
                </pic:pic>
              </a:graphicData>
            </a:graphic>
          </wp:inline>
        </w:drawing>
      </w:r>
    </w:p>
    <w:p/>
    <w:p>
      <w:r>
        <w:drawing>
          <wp:inline distT="0" distB="0" distL="114300" distR="114300">
            <wp:extent cx="5269865" cy="2990850"/>
            <wp:effectExtent l="0" t="0" r="3175" b="1143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10"/>
                    <a:stretch>
                      <a:fillRect/>
                    </a:stretch>
                  </pic:blipFill>
                  <pic:spPr>
                    <a:xfrm>
                      <a:off x="0" y="0"/>
                      <a:ext cx="5269865" cy="2990850"/>
                    </a:xfrm>
                    <a:prstGeom prst="rect">
                      <a:avLst/>
                    </a:prstGeom>
                    <a:noFill/>
                    <a:ln>
                      <a:noFill/>
                    </a:ln>
                  </pic:spPr>
                </pic:pic>
              </a:graphicData>
            </a:graphic>
          </wp:inline>
        </w:drawing>
      </w:r>
    </w:p>
    <w:p/>
    <w:p/>
    <w:p>
      <w:r>
        <w:drawing>
          <wp:inline distT="0" distB="0" distL="114300" distR="114300">
            <wp:extent cx="5265420" cy="2994660"/>
            <wp:effectExtent l="0" t="0" r="7620" b="7620"/>
            <wp:docPr id="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pic:cNvPicPr>
                      <a:picLocks noChangeAspect="1"/>
                    </pic:cNvPicPr>
                  </pic:nvPicPr>
                  <pic:blipFill>
                    <a:blip r:embed="rId11"/>
                    <a:stretch>
                      <a:fillRect/>
                    </a:stretch>
                  </pic:blipFill>
                  <pic:spPr>
                    <a:xfrm>
                      <a:off x="0" y="0"/>
                      <a:ext cx="5265420" cy="2994660"/>
                    </a:xfrm>
                    <a:prstGeom prst="rect">
                      <a:avLst/>
                    </a:prstGeom>
                    <a:noFill/>
                    <a:ln>
                      <a:noFill/>
                    </a:ln>
                  </pic:spPr>
                </pic:pic>
              </a:graphicData>
            </a:graphic>
          </wp:inline>
        </w:drawing>
      </w:r>
    </w:p>
    <w:p/>
    <w:p>
      <w:r>
        <w:drawing>
          <wp:inline distT="0" distB="0" distL="114300" distR="114300">
            <wp:extent cx="5265420" cy="2972435"/>
            <wp:effectExtent l="0" t="0" r="7620" b="14605"/>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12"/>
                    <a:stretch>
                      <a:fillRect/>
                    </a:stretch>
                  </pic:blipFill>
                  <pic:spPr>
                    <a:xfrm>
                      <a:off x="0" y="0"/>
                      <a:ext cx="5265420" cy="2972435"/>
                    </a:xfrm>
                    <a:prstGeom prst="rect">
                      <a:avLst/>
                    </a:prstGeom>
                    <a:noFill/>
                    <a:ln>
                      <a:noFill/>
                    </a:ln>
                  </pic:spPr>
                </pic:pic>
              </a:graphicData>
            </a:graphic>
          </wp:inline>
        </w:drawing>
      </w:r>
    </w:p>
    <w:p/>
    <w:p>
      <w:r>
        <w:drawing>
          <wp:inline distT="0" distB="0" distL="114300" distR="114300">
            <wp:extent cx="5265420" cy="2999740"/>
            <wp:effectExtent l="0" t="0" r="7620" b="2540"/>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13"/>
                    <a:stretch>
                      <a:fillRect/>
                    </a:stretch>
                  </pic:blipFill>
                  <pic:spPr>
                    <a:xfrm>
                      <a:off x="0" y="0"/>
                      <a:ext cx="5265420" cy="2999740"/>
                    </a:xfrm>
                    <a:prstGeom prst="rect">
                      <a:avLst/>
                    </a:prstGeom>
                    <a:noFill/>
                    <a:ln>
                      <a:noFill/>
                    </a:ln>
                  </pic:spPr>
                </pic:pic>
              </a:graphicData>
            </a:graphic>
          </wp:inline>
        </w:drawing>
      </w:r>
    </w:p>
    <w:p/>
    <w:p>
      <w:r>
        <w:drawing>
          <wp:inline distT="0" distB="0" distL="114300" distR="114300">
            <wp:extent cx="5269865" cy="2990850"/>
            <wp:effectExtent l="0" t="0" r="3175" b="11430"/>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14"/>
                    <a:stretch>
                      <a:fillRect/>
                    </a:stretch>
                  </pic:blipFill>
                  <pic:spPr>
                    <a:xfrm>
                      <a:off x="0" y="0"/>
                      <a:ext cx="5269865" cy="2990850"/>
                    </a:xfrm>
                    <a:prstGeom prst="rect">
                      <a:avLst/>
                    </a:prstGeom>
                    <a:noFill/>
                    <a:ln>
                      <a:noFill/>
                    </a:ln>
                  </pic:spPr>
                </pic:pic>
              </a:graphicData>
            </a:graphic>
          </wp:inline>
        </w:drawing>
      </w:r>
    </w:p>
    <w:p/>
    <w:p>
      <w:r>
        <w:drawing>
          <wp:inline distT="0" distB="0" distL="114300" distR="114300">
            <wp:extent cx="5265420" cy="2981325"/>
            <wp:effectExtent l="0" t="0" r="7620" b="5715"/>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15"/>
                    <a:stretch>
                      <a:fillRect/>
                    </a:stretch>
                  </pic:blipFill>
                  <pic:spPr>
                    <a:xfrm>
                      <a:off x="0" y="0"/>
                      <a:ext cx="5265420" cy="2981325"/>
                    </a:xfrm>
                    <a:prstGeom prst="rect">
                      <a:avLst/>
                    </a:prstGeom>
                    <a:noFill/>
                    <a:ln>
                      <a:noFill/>
                    </a:ln>
                  </pic:spPr>
                </pic:pic>
              </a:graphicData>
            </a:graphic>
          </wp:inline>
        </w:drawing>
      </w:r>
    </w:p>
    <w:p/>
    <w:p>
      <w:r>
        <w:drawing>
          <wp:inline distT="0" distB="0" distL="114300" distR="114300">
            <wp:extent cx="5269865" cy="2986405"/>
            <wp:effectExtent l="0" t="0" r="3175" b="635"/>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6"/>
                    <a:stretch>
                      <a:fillRect/>
                    </a:stretch>
                  </pic:blipFill>
                  <pic:spPr>
                    <a:xfrm>
                      <a:off x="0" y="0"/>
                      <a:ext cx="5269865" cy="2986405"/>
                    </a:xfrm>
                    <a:prstGeom prst="rect">
                      <a:avLst/>
                    </a:prstGeom>
                    <a:noFill/>
                    <a:ln>
                      <a:noFill/>
                    </a:ln>
                  </pic:spPr>
                </pic:pic>
              </a:graphicData>
            </a:graphic>
          </wp:inline>
        </w:drawing>
      </w:r>
    </w:p>
    <w:p/>
    <w:p>
      <w:r>
        <w:drawing>
          <wp:inline distT="0" distB="0" distL="114300" distR="114300">
            <wp:extent cx="5265420" cy="3256915"/>
            <wp:effectExtent l="0" t="0" r="7620" b="4445"/>
            <wp:docPr id="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17"/>
                    <a:stretch>
                      <a:fillRect/>
                    </a:stretch>
                  </pic:blipFill>
                  <pic:spPr>
                    <a:xfrm>
                      <a:off x="0" y="0"/>
                      <a:ext cx="5265420" cy="3256915"/>
                    </a:xfrm>
                    <a:prstGeom prst="rect">
                      <a:avLst/>
                    </a:prstGeom>
                    <a:noFill/>
                    <a:ln>
                      <a:noFill/>
                    </a:ln>
                  </pic:spPr>
                </pic:pic>
              </a:graphicData>
            </a:graphic>
          </wp:inline>
        </w:drawing>
      </w:r>
    </w:p>
    <w:p/>
    <w:p>
      <w:r>
        <w:drawing>
          <wp:inline distT="0" distB="0" distL="114300" distR="114300">
            <wp:extent cx="5265420" cy="3200400"/>
            <wp:effectExtent l="0" t="0" r="7620" b="0"/>
            <wp:docPr id="15"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4"/>
                    <pic:cNvPicPr>
                      <a:picLocks noChangeAspect="1"/>
                    </pic:cNvPicPr>
                  </pic:nvPicPr>
                  <pic:blipFill>
                    <a:blip r:embed="rId18"/>
                    <a:stretch>
                      <a:fillRect/>
                    </a:stretch>
                  </pic:blipFill>
                  <pic:spPr>
                    <a:xfrm>
                      <a:off x="0" y="0"/>
                      <a:ext cx="5265420" cy="3200400"/>
                    </a:xfrm>
                    <a:prstGeom prst="rect">
                      <a:avLst/>
                    </a:prstGeom>
                    <a:noFill/>
                    <a:ln>
                      <a:noFill/>
                    </a:ln>
                  </pic:spPr>
                </pic:pic>
              </a:graphicData>
            </a:graphic>
          </wp:inline>
        </w:drawing>
      </w:r>
    </w:p>
    <w:p/>
    <w:p>
      <w:r>
        <w:drawing>
          <wp:inline distT="0" distB="0" distL="114300" distR="114300">
            <wp:extent cx="5269865" cy="3247390"/>
            <wp:effectExtent l="0" t="0" r="3175" b="1397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19"/>
                    <a:stretch>
                      <a:fillRect/>
                    </a:stretch>
                  </pic:blipFill>
                  <pic:spPr>
                    <a:xfrm>
                      <a:off x="0" y="0"/>
                      <a:ext cx="5269865" cy="3247390"/>
                    </a:xfrm>
                    <a:prstGeom prst="rect">
                      <a:avLst/>
                    </a:prstGeom>
                    <a:noFill/>
                    <a:ln>
                      <a:noFill/>
                    </a:ln>
                  </pic:spPr>
                </pic:pic>
              </a:graphicData>
            </a:graphic>
          </wp:inline>
        </w:drawing>
      </w:r>
    </w:p>
    <w:p/>
    <w:p>
      <w:r>
        <w:drawing>
          <wp:inline distT="0" distB="0" distL="114300" distR="114300">
            <wp:extent cx="5270500" cy="3219450"/>
            <wp:effectExtent l="0" t="0" r="2540" b="11430"/>
            <wp:docPr id="17"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6"/>
                    <pic:cNvPicPr>
                      <a:picLocks noChangeAspect="1"/>
                    </pic:cNvPicPr>
                  </pic:nvPicPr>
                  <pic:blipFill>
                    <a:blip r:embed="rId20"/>
                    <a:stretch>
                      <a:fillRect/>
                    </a:stretch>
                  </pic:blipFill>
                  <pic:spPr>
                    <a:xfrm>
                      <a:off x="0" y="0"/>
                      <a:ext cx="5270500" cy="3219450"/>
                    </a:xfrm>
                    <a:prstGeom prst="rect">
                      <a:avLst/>
                    </a:prstGeom>
                    <a:noFill/>
                    <a:ln>
                      <a:noFill/>
                    </a:ln>
                  </pic:spPr>
                </pic:pic>
              </a:graphicData>
            </a:graphic>
          </wp:inline>
        </w:drawing>
      </w:r>
    </w:p>
    <w:p/>
    <w:p>
      <w:r>
        <w:drawing>
          <wp:inline distT="0" distB="0" distL="114300" distR="114300">
            <wp:extent cx="5265420" cy="3008630"/>
            <wp:effectExtent l="0" t="0" r="7620" b="8890"/>
            <wp:docPr id="18"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7"/>
                    <pic:cNvPicPr>
                      <a:picLocks noChangeAspect="1"/>
                    </pic:cNvPicPr>
                  </pic:nvPicPr>
                  <pic:blipFill>
                    <a:blip r:embed="rId21"/>
                    <a:stretch>
                      <a:fillRect/>
                    </a:stretch>
                  </pic:blipFill>
                  <pic:spPr>
                    <a:xfrm>
                      <a:off x="0" y="0"/>
                      <a:ext cx="5265420" cy="3008630"/>
                    </a:xfrm>
                    <a:prstGeom prst="rect">
                      <a:avLst/>
                    </a:prstGeom>
                    <a:noFill/>
                    <a:ln>
                      <a:noFill/>
                    </a:ln>
                  </pic:spPr>
                </pic:pic>
              </a:graphicData>
            </a:graphic>
          </wp:inline>
        </w:drawing>
      </w:r>
    </w:p>
    <w:p/>
    <w:p>
      <w:r>
        <w:drawing>
          <wp:inline distT="0" distB="0" distL="114300" distR="114300">
            <wp:extent cx="5265420" cy="2986405"/>
            <wp:effectExtent l="0" t="0" r="7620" b="635"/>
            <wp:docPr id="19"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8"/>
                    <pic:cNvPicPr>
                      <a:picLocks noChangeAspect="1"/>
                    </pic:cNvPicPr>
                  </pic:nvPicPr>
                  <pic:blipFill>
                    <a:blip r:embed="rId22"/>
                    <a:stretch>
                      <a:fillRect/>
                    </a:stretch>
                  </pic:blipFill>
                  <pic:spPr>
                    <a:xfrm>
                      <a:off x="0" y="0"/>
                      <a:ext cx="5265420" cy="2986405"/>
                    </a:xfrm>
                    <a:prstGeom prst="rect">
                      <a:avLst/>
                    </a:prstGeom>
                    <a:noFill/>
                    <a:ln>
                      <a:noFill/>
                    </a:ln>
                  </pic:spPr>
                </pic:pic>
              </a:graphicData>
            </a:graphic>
          </wp:inline>
        </w:drawing>
      </w:r>
    </w:p>
    <w:p/>
    <w:p>
      <w:r>
        <w:drawing>
          <wp:inline distT="0" distB="0" distL="114300" distR="114300">
            <wp:extent cx="5269865" cy="2977515"/>
            <wp:effectExtent l="0" t="0" r="3175" b="9525"/>
            <wp:docPr id="2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19"/>
                    <pic:cNvPicPr>
                      <a:picLocks noChangeAspect="1"/>
                    </pic:cNvPicPr>
                  </pic:nvPicPr>
                  <pic:blipFill>
                    <a:blip r:embed="rId23"/>
                    <a:stretch>
                      <a:fillRect/>
                    </a:stretch>
                  </pic:blipFill>
                  <pic:spPr>
                    <a:xfrm>
                      <a:off x="0" y="0"/>
                      <a:ext cx="5269865" cy="2977515"/>
                    </a:xfrm>
                    <a:prstGeom prst="rect">
                      <a:avLst/>
                    </a:prstGeom>
                    <a:noFill/>
                    <a:ln>
                      <a:noFill/>
                    </a:ln>
                  </pic:spPr>
                </pic:pic>
              </a:graphicData>
            </a:graphic>
          </wp:inline>
        </w:drawing>
      </w:r>
    </w:p>
    <w:p/>
    <w:p>
      <w:r>
        <w:drawing>
          <wp:inline distT="0" distB="0" distL="114300" distR="114300">
            <wp:extent cx="5273675" cy="2967355"/>
            <wp:effectExtent l="0" t="0" r="14605" b="4445"/>
            <wp:docPr id="21"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0"/>
                    <pic:cNvPicPr>
                      <a:picLocks noChangeAspect="1"/>
                    </pic:cNvPicPr>
                  </pic:nvPicPr>
                  <pic:blipFill>
                    <a:blip r:embed="rId24"/>
                    <a:stretch>
                      <a:fillRect/>
                    </a:stretch>
                  </pic:blipFill>
                  <pic:spPr>
                    <a:xfrm>
                      <a:off x="0" y="0"/>
                      <a:ext cx="5273675" cy="2967355"/>
                    </a:xfrm>
                    <a:prstGeom prst="rect">
                      <a:avLst/>
                    </a:prstGeom>
                    <a:noFill/>
                    <a:ln>
                      <a:noFill/>
                    </a:ln>
                  </pic:spPr>
                </pic:pic>
              </a:graphicData>
            </a:graphic>
          </wp:inline>
        </w:drawing>
      </w:r>
    </w:p>
    <w:p/>
    <w:p>
      <w:pPr>
        <w:rPr>
          <w:rFonts w:hint="default"/>
          <w:lang w:val="en-US" w:eastAsia="zh-CN"/>
        </w:rPr>
      </w:pPr>
      <w:r>
        <w:drawing>
          <wp:inline distT="0" distB="0" distL="114300" distR="114300">
            <wp:extent cx="5266055" cy="2956560"/>
            <wp:effectExtent l="0" t="0" r="6985" b="0"/>
            <wp:docPr id="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
                    <pic:cNvPicPr>
                      <a:picLocks noChangeAspect="1"/>
                    </pic:cNvPicPr>
                  </pic:nvPicPr>
                  <pic:blipFill>
                    <a:blip r:embed="rId25"/>
                    <a:stretch>
                      <a:fillRect/>
                    </a:stretch>
                  </pic:blipFill>
                  <pic:spPr>
                    <a:xfrm>
                      <a:off x="0" y="0"/>
                      <a:ext cx="5266055" cy="2956560"/>
                    </a:xfrm>
                    <a:prstGeom prst="rect">
                      <a:avLst/>
                    </a:prstGeom>
                    <a:noFill/>
                    <a:ln>
                      <a:noFill/>
                    </a:ln>
                  </pic:spPr>
                </pic:pic>
              </a:graphicData>
            </a:graphic>
          </wp:inline>
        </w:drawing>
      </w:r>
      <w:bookmarkStart w:id="16" w:name="_GoBack"/>
      <w:bookmarkEnd w:id="16"/>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Regular">
    <w:altName w:val="Times New Roman"/>
    <w:panose1 w:val="02020803070505020304"/>
    <w:charset w:val="00"/>
    <w:family w:val="auto"/>
    <w:pitch w:val="default"/>
    <w:sig w:usb0="00000000" w:usb1="00000000"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F2B65C8"/>
    <w:multiLevelType w:val="multilevel"/>
    <w:tmpl w:val="AF2B65C8"/>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
    <w:nsid w:val="B3B34892"/>
    <w:multiLevelType w:val="singleLevel"/>
    <w:tmpl w:val="B3B34892"/>
    <w:lvl w:ilvl="0" w:tentative="0">
      <w:start w:val="1"/>
      <w:numFmt w:val="decimal"/>
      <w:suff w:val="space"/>
      <w:lvlText w:val="%1."/>
      <w:lvlJc w:val="left"/>
    </w:lvl>
  </w:abstractNum>
  <w:abstractNum w:abstractNumId="2">
    <w:nsid w:val="C1BDE86E"/>
    <w:multiLevelType w:val="singleLevel"/>
    <w:tmpl w:val="C1BDE86E"/>
    <w:lvl w:ilvl="0" w:tentative="0">
      <w:start w:val="1"/>
      <w:numFmt w:val="decimal"/>
      <w:suff w:val="space"/>
      <w:lvlText w:val="%1."/>
      <w:lvlJc w:val="left"/>
    </w:lvl>
  </w:abstractNum>
  <w:abstractNum w:abstractNumId="3">
    <w:nsid w:val="4B4B9178"/>
    <w:multiLevelType w:val="multilevel"/>
    <w:tmpl w:val="4B4B9178"/>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07D6568"/>
    <w:rsid w:val="108E0357"/>
    <w:rsid w:val="110C3AA5"/>
    <w:rsid w:val="17EA3959"/>
    <w:rsid w:val="181D34AD"/>
    <w:rsid w:val="1AE631F0"/>
    <w:rsid w:val="20FC0072"/>
    <w:rsid w:val="22D06ECA"/>
    <w:rsid w:val="231F36E7"/>
    <w:rsid w:val="295A6337"/>
    <w:rsid w:val="2C725CCF"/>
    <w:rsid w:val="2DAA3EFD"/>
    <w:rsid w:val="2FED02E8"/>
    <w:rsid w:val="31E742C1"/>
    <w:rsid w:val="320D5094"/>
    <w:rsid w:val="386C12AB"/>
    <w:rsid w:val="395A37A5"/>
    <w:rsid w:val="39A961C5"/>
    <w:rsid w:val="3E1F60DB"/>
    <w:rsid w:val="3E3F6DF9"/>
    <w:rsid w:val="46896F19"/>
    <w:rsid w:val="47DD2682"/>
    <w:rsid w:val="48CE5620"/>
    <w:rsid w:val="649056EE"/>
    <w:rsid w:val="64FF7052"/>
    <w:rsid w:val="6A2323B9"/>
    <w:rsid w:val="6C461914"/>
    <w:rsid w:val="70967A88"/>
    <w:rsid w:val="73B76F88"/>
    <w:rsid w:val="748C3DA1"/>
    <w:rsid w:val="7CAB55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heme="minorEastAsia"/>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sz w:val="30"/>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eastAsiaTheme="minorEastAsia"/>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3">
    <w:name w:val="Emphasis"/>
    <w:basedOn w:val="12"/>
    <w:qFormat/>
    <w:uiPriority w:val="0"/>
    <w:rPr>
      <w:i/>
    </w:rPr>
  </w:style>
  <w:style w:type="character" w:styleId="14">
    <w:name w:val="Hyperlink"/>
    <w:basedOn w:val="12"/>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8" Type="http://schemas.openxmlformats.org/officeDocument/2006/relationships/fontTable" Target="fontTable.xml"/><Relationship Id="rId27" Type="http://schemas.openxmlformats.org/officeDocument/2006/relationships/numbering" Target="numbering.xml"/><Relationship Id="rId26" Type="http://schemas.openxmlformats.org/officeDocument/2006/relationships/customXml" Target="../customXml/item1.xml"/><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2021-11-08T19:23:00Z</dcterms:created>
  <dc:creator>Lenovo</dc:creator>
  <cp:lastModifiedBy>WPS_1547003711</cp:lastModifiedBy>
  <dcterms:modified xsi:type="dcterms:W3CDTF">2021-11-11T14:07:55Z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B0F53BF199574974868F11045F1E769E</vt:lpwstr>
  </property>
</Properties>
</file>