
<file path=[Content_Types].xml><?xml version="1.0" encoding="utf-8"?>
<Types xmlns="http://schemas.openxmlformats.org/package/2006/content-types">
  <Default Extension="xml" ContentType="application/xml"/>
  <Default Extension="wmf" ContentType="image/x-w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46CD731">
      <w:pPr>
        <w:pStyle w:val="36"/>
        <w:rPr>
          <w:rFonts w:hint="default" w:ascii="Calibri" w:hAnsi="Calibri" w:cs="Calibri"/>
          <w:sz w:val="21"/>
          <w:szCs w:val="21"/>
        </w:rPr>
      </w:pPr>
      <w:r>
        <w:rPr>
          <w:rFonts w:hint="default" w:ascii="Calibri" w:hAnsi="Calibri" w:cs="Calibri"/>
          <w:sz w:val="21"/>
          <w:szCs w:val="21"/>
        </w:rPr>
        <w:t>Activity 1 Detailed Answer Guide</w:t>
      </w:r>
    </w:p>
    <w:p w14:paraId="4F6B0775">
      <w:pPr>
        <w:pStyle w:val="34"/>
        <w:rPr>
          <w:rFonts w:hint="default" w:ascii="Calibri" w:hAnsi="Calibri" w:cs="Calibri"/>
          <w:sz w:val="21"/>
          <w:szCs w:val="21"/>
        </w:rPr>
      </w:pPr>
      <w:r>
        <w:rPr>
          <w:rFonts w:hint="default" w:ascii="Calibri" w:hAnsi="Calibri" w:cs="Calibri"/>
          <w:sz w:val="21"/>
          <w:szCs w:val="21"/>
        </w:rPr>
        <w:t>Volkswagen Emissions Case Instructor Reference</w:t>
      </w:r>
    </w:p>
    <w:p w14:paraId="6E4CCF5C">
      <w:pPr>
        <w:rPr>
          <w:rFonts w:hint="default" w:ascii="Calibri" w:hAnsi="Calibri" w:cs="Calibri"/>
          <w:sz w:val="21"/>
          <w:szCs w:val="21"/>
        </w:rPr>
      </w:pPr>
      <w:r>
        <w:rPr>
          <w:rFonts w:hint="default" w:ascii="Calibri" w:hAnsi="Calibri" w:cs="Calibri"/>
          <w:b/>
          <w:i w:val="0"/>
          <w:sz w:val="21"/>
          <w:szCs w:val="21"/>
        </w:rPr>
        <w:t>Overall conclusion.</w:t>
      </w:r>
      <w:r>
        <w:rPr>
          <w:rFonts w:hint="default" w:ascii="Calibri" w:hAnsi="Calibri" w:cs="Calibri"/>
          <w:b w:val="0"/>
          <w:i w:val="0"/>
          <w:sz w:val="21"/>
          <w:szCs w:val="21"/>
        </w:rPr>
        <w:t xml:space="preserve"> The 2015 materials present a serious regulatory allegation about software that detected emissions testing, alongside Volkswagen’s acknowledgement of irregularities, an investigation and planned remedies. They give strong grounds to question whether the issue was a simple technical error. On their own, however, they do not identify which employees or executives knew about, approved or concealed the software. Later DOJ proceedings support a stronger conclusion about corporate-level deliberate deception; that later evidence should be clearly labelled as hindsight.</w:t>
      </w:r>
    </w:p>
    <w:p w14:paraId="4F7BCEE7">
      <w:pPr>
        <w:pStyle w:val="2"/>
        <w:rPr>
          <w:rFonts w:hint="default" w:ascii="Calibri" w:hAnsi="Calibri" w:cs="Calibri"/>
          <w:sz w:val="21"/>
          <w:szCs w:val="21"/>
        </w:rPr>
      </w:pPr>
      <w:r>
        <w:rPr>
          <w:rFonts w:hint="default" w:ascii="Calibri" w:hAnsi="Calibri" w:cs="Calibri"/>
          <w:sz w:val="21"/>
          <w:szCs w:val="21"/>
        </w:rPr>
        <w:t>1. EPA allegation</w:t>
      </w:r>
    </w:p>
    <w:p w14:paraId="6CB22EF7">
      <w:pPr>
        <w:rPr>
          <w:rFonts w:hint="default" w:ascii="Calibri" w:hAnsi="Calibri" w:cs="Calibri"/>
          <w:sz w:val="21"/>
          <w:szCs w:val="21"/>
        </w:rPr>
      </w:pPr>
      <w:r>
        <w:rPr>
          <w:rFonts w:hint="default" w:ascii="Calibri" w:hAnsi="Calibri" w:cs="Calibri"/>
          <w:sz w:val="21"/>
          <w:szCs w:val="21"/>
        </w:rPr>
        <w:t>The EPA issued a Notice of Violation under the U.S. Clean Air Act on 18 September 2015 to Volkswagen AG, Audi AG and Volkswagen Group of America. The notice alleged that certain model-year 2009–2015, 2.0-litre diesel vehicles used software that could recognise when the vehicle was undergoing an official laboratory emissions test. According to the allegation, the vehicles used full emissions controls during the test but reduced those controls during ordinary road driving. The EPA said on-road nitrogen oxide (NOx) emissions could reach up to 40 times the applicable standard. [1, 2]</w:t>
      </w:r>
    </w:p>
    <w:p w14:paraId="507858B8">
      <w:pPr>
        <w:rPr>
          <w:rFonts w:hint="default" w:ascii="Calibri" w:hAnsi="Calibri" w:cs="Calibri"/>
          <w:sz w:val="21"/>
          <w:szCs w:val="21"/>
        </w:rPr>
      </w:pPr>
      <w:r>
        <w:rPr>
          <w:rFonts w:hint="default" w:ascii="Calibri" w:hAnsi="Calibri" w:cs="Calibri"/>
          <w:sz w:val="21"/>
          <w:szCs w:val="21"/>
        </w:rPr>
        <w:t>The central allegation was therefore that test-detection software changed the vehicles’ emissions-control behaviour so they could pass laboratory testing while emitting substantially more pollution on the road. In the Reuters reading, this is a report of what the regulator alleged, not proof that every Volkswagen employee knew about the system. The notice was a formal regulatory allegation; students should not describe it as a final finding of individual guilt at that point.</w:t>
      </w:r>
    </w:p>
    <w:p w14:paraId="3E0FEC4B">
      <w:pPr>
        <w:pStyle w:val="2"/>
        <w:rPr>
          <w:rFonts w:hint="default" w:ascii="Calibri" w:hAnsi="Calibri" w:cs="Calibri"/>
          <w:sz w:val="21"/>
          <w:szCs w:val="21"/>
        </w:rPr>
      </w:pPr>
      <w:r>
        <w:rPr>
          <w:rFonts w:hint="default" w:ascii="Calibri" w:hAnsi="Calibri" w:cs="Calibri"/>
          <w:sz w:val="21"/>
          <w:szCs w:val="21"/>
        </w:rPr>
        <w:t>2. Company statement</w:t>
      </w:r>
    </w:p>
    <w:p w14:paraId="419CDEE6">
      <w:pPr>
        <w:rPr>
          <w:rFonts w:hint="default" w:ascii="Calibri" w:hAnsi="Calibri" w:cs="Calibri"/>
          <w:sz w:val="21"/>
          <w:szCs w:val="21"/>
        </w:rPr>
      </w:pPr>
      <w:r>
        <w:rPr>
          <w:rFonts w:hint="default" w:ascii="Calibri" w:hAnsi="Calibri" w:cs="Calibri"/>
          <w:sz w:val="21"/>
          <w:szCs w:val="21"/>
        </w:rPr>
        <w:t>In its 22 September 2015 announcement, Volkswagen described the matter as “irregularities” involving software in diesel engines and a “noticeable deviation” between test-bench results and actual road use. It said the issue concerned vehicles with Type EA 189 engines and estimated that around 11 million vehicles worldwide were affected. It also said the software appeared in other Group diesel vehicles but had no effect in most of those engines. [3]</w:t>
      </w:r>
    </w:p>
    <w:p w14:paraId="21A64117">
      <w:pPr>
        <w:rPr>
          <w:rFonts w:hint="default" w:ascii="Calibri" w:hAnsi="Calibri" w:cs="Calibri"/>
          <w:sz w:val="21"/>
          <w:szCs w:val="21"/>
        </w:rPr>
      </w:pPr>
      <w:r>
        <w:rPr>
          <w:rFonts w:hint="default" w:ascii="Calibri" w:hAnsi="Calibri" w:cs="Calibri"/>
          <w:sz w:val="21"/>
          <w:szCs w:val="21"/>
        </w:rPr>
        <w:t>Volkswagen said it was working to clarify the issue, contacting the relevant authorities and preparing technical measures. It planned to set aside approximately €6.5 billion for service measures and other efforts to regain customer trust, while warning that the estimate could change. [3] The Reuters article separately reported that CEO Martin Winterkorn expressed regret for the loss of trust, ordered an external investigation and said Volkswagen would cooperate with authorities. The article noted that he had not named who would conduct the investigation. [4]</w:t>
      </w:r>
    </w:p>
    <w:p w14:paraId="63B6C616">
      <w:pPr>
        <w:rPr>
          <w:rFonts w:hint="default" w:ascii="Calibri" w:hAnsi="Calibri" w:cs="Calibri"/>
          <w:sz w:val="21"/>
          <w:szCs w:val="21"/>
        </w:rPr>
      </w:pPr>
      <w:r>
        <w:rPr>
          <w:rFonts w:hint="default" w:ascii="Calibri" w:hAnsi="Calibri" w:cs="Calibri"/>
          <w:sz w:val="21"/>
          <w:szCs w:val="21"/>
        </w:rPr>
        <w:t>These statements describe Volkswagen’s account and initial response. They show that the company publicly acknowledged an issue, estimated its scale and announced investigation and remedial steps. They do not, by themselves, verify the cause, establish who made the decisions or demonstrate what particular people knew at the time.</w:t>
      </w:r>
    </w:p>
    <w:p w14:paraId="1BEC3448">
      <w:pPr>
        <w:pStyle w:val="2"/>
        <w:rPr>
          <w:rFonts w:hint="default" w:ascii="Calibri" w:hAnsi="Calibri" w:cs="Calibri"/>
          <w:sz w:val="21"/>
          <w:szCs w:val="21"/>
        </w:rPr>
      </w:pPr>
      <w:r>
        <w:rPr>
          <w:rFonts w:hint="default" w:ascii="Calibri" w:hAnsi="Calibri" w:cs="Calibri"/>
          <w:sz w:val="21"/>
          <w:szCs w:val="21"/>
        </w:rPr>
        <w:t>3. What do the sources support and what remains unproven</w:t>
      </w:r>
    </w:p>
    <w:p w14:paraId="53721CEA">
      <w:pPr>
        <w:rPr>
          <w:rFonts w:hint="default" w:ascii="Calibri" w:hAnsi="Calibri" w:cs="Calibri"/>
          <w:sz w:val="21"/>
          <w:szCs w:val="21"/>
        </w:rPr>
      </w:pPr>
      <w:r>
        <w:rPr>
          <w:rFonts w:hint="default" w:ascii="Calibri" w:hAnsi="Calibri" w:cs="Calibri"/>
          <w:sz w:val="21"/>
          <w:szCs w:val="21"/>
        </w:rPr>
        <w:t>The activity prompt names error, omission, misleading communication and deliberate deception. Because negligence is also one of the five concepts taught in Week 4, it is included below for a complete comparison. The classifications apply to different claims and actors, so more than one may be relevant when students identify the evidence for each.</w:t>
      </w:r>
    </w:p>
    <w:tbl>
      <w:tblPr>
        <w:tblStyle w:val="12"/>
        <w:tblW w:w="0" w:type="auto"/>
        <w:jc w:val="center"/>
        <w:tblBorders>
          <w:top w:val="single" w:color="D9D9D9" w:sz="4" w:space="0"/>
          <w:left w:val="single" w:color="D9D9D9" w:sz="4" w:space="0"/>
          <w:bottom w:val="single" w:color="D9D9D9" w:sz="4" w:space="0"/>
          <w:right w:val="single" w:color="D9D9D9" w:sz="4" w:space="0"/>
          <w:insideH w:val="single" w:color="D9D9D9" w:sz="4" w:space="0"/>
          <w:insideV w:val="single" w:color="D9D9D9" w:sz="4" w:space="0"/>
        </w:tblBorders>
        <w:tblLayout w:type="fixed"/>
        <w:tblCellMar>
          <w:top w:w="0" w:type="dxa"/>
          <w:left w:w="108" w:type="dxa"/>
          <w:bottom w:w="0" w:type="dxa"/>
          <w:right w:w="108" w:type="dxa"/>
        </w:tblCellMar>
      </w:tblPr>
      <w:tblGrid>
        <w:gridCol w:w="3331"/>
        <w:gridCol w:w="3331"/>
        <w:gridCol w:w="3331"/>
      </w:tblGrid>
      <w:tr w14:paraId="6195F5E3">
        <w:tblPrEx>
          <w:tblBorders>
            <w:top w:val="single" w:color="D9D9D9" w:sz="4" w:space="0"/>
            <w:left w:val="single" w:color="D9D9D9" w:sz="4" w:space="0"/>
            <w:bottom w:val="single" w:color="D9D9D9" w:sz="4" w:space="0"/>
            <w:right w:val="single" w:color="D9D9D9" w:sz="4" w:space="0"/>
            <w:insideH w:val="single" w:color="D9D9D9" w:sz="4" w:space="0"/>
            <w:insideV w:val="single" w:color="D9D9D9" w:sz="4" w:space="0"/>
          </w:tblBorders>
          <w:tblCellMar>
            <w:top w:w="0" w:type="dxa"/>
            <w:left w:w="108" w:type="dxa"/>
            <w:bottom w:w="0" w:type="dxa"/>
            <w:right w:w="108" w:type="dxa"/>
          </w:tblCellMar>
        </w:tblPrEx>
        <w:trPr>
          <w:cantSplit/>
          <w:tblHeader/>
          <w:jc w:val="center"/>
        </w:trPr>
        <w:tc>
          <w:tcPr>
            <w:tcW w:w="1613" w:type="dxa"/>
            <w:shd w:val="clear" w:color="auto" w:fill="1C3A5E"/>
            <w:tcMar>
              <w:top w:w="120" w:type="dxa"/>
              <w:left w:w="120" w:type="dxa"/>
              <w:bottom w:w="120" w:type="dxa"/>
              <w:right w:w="120" w:type="dxa"/>
            </w:tcMar>
            <w:vAlign w:val="center"/>
          </w:tcPr>
          <w:p w14:paraId="3CAE871A">
            <w:pPr>
              <w:spacing w:after="0"/>
              <w:rPr>
                <w:rFonts w:hint="default" w:ascii="Calibri" w:hAnsi="Calibri" w:cs="Calibri"/>
                <w:sz w:val="21"/>
                <w:szCs w:val="21"/>
              </w:rPr>
            </w:pPr>
            <w:r>
              <w:rPr>
                <w:rFonts w:hint="default" w:ascii="Calibri" w:hAnsi="Calibri" w:cs="Calibri"/>
                <w:b/>
                <w:color w:val="FFFFFF"/>
                <w:sz w:val="21"/>
                <w:szCs w:val="21"/>
              </w:rPr>
              <w:t>Concept</w:t>
            </w:r>
          </w:p>
        </w:tc>
        <w:tc>
          <w:tcPr>
            <w:tcW w:w="4349" w:type="dxa"/>
            <w:shd w:val="clear" w:color="auto" w:fill="1C3A5E"/>
            <w:tcMar>
              <w:top w:w="120" w:type="dxa"/>
              <w:left w:w="120" w:type="dxa"/>
              <w:bottom w:w="120" w:type="dxa"/>
              <w:right w:w="120" w:type="dxa"/>
            </w:tcMar>
            <w:vAlign w:val="center"/>
          </w:tcPr>
          <w:p w14:paraId="38658B38">
            <w:pPr>
              <w:spacing w:after="0"/>
              <w:rPr>
                <w:rFonts w:hint="default" w:ascii="Calibri" w:hAnsi="Calibri" w:cs="Calibri"/>
                <w:sz w:val="21"/>
                <w:szCs w:val="21"/>
              </w:rPr>
            </w:pPr>
            <w:r>
              <w:rPr>
                <w:rFonts w:hint="default" w:ascii="Calibri" w:hAnsi="Calibri" w:cs="Calibri"/>
                <w:b/>
                <w:color w:val="FFFFFF"/>
                <w:sz w:val="21"/>
                <w:szCs w:val="21"/>
              </w:rPr>
              <w:t>What the activity sources support</w:t>
            </w:r>
          </w:p>
        </w:tc>
        <w:tc>
          <w:tcPr>
            <w:tcW w:w="4003" w:type="dxa"/>
            <w:shd w:val="clear" w:color="auto" w:fill="1C3A5E"/>
            <w:tcMar>
              <w:top w:w="120" w:type="dxa"/>
              <w:left w:w="120" w:type="dxa"/>
              <w:bottom w:w="120" w:type="dxa"/>
              <w:right w:w="120" w:type="dxa"/>
            </w:tcMar>
            <w:vAlign w:val="center"/>
          </w:tcPr>
          <w:p w14:paraId="6B11E82E">
            <w:pPr>
              <w:spacing w:after="0"/>
              <w:rPr>
                <w:rFonts w:hint="default" w:ascii="Calibri" w:hAnsi="Calibri" w:cs="Calibri"/>
                <w:sz w:val="21"/>
                <w:szCs w:val="21"/>
              </w:rPr>
            </w:pPr>
            <w:r>
              <w:rPr>
                <w:rFonts w:hint="default" w:ascii="Calibri" w:hAnsi="Calibri" w:cs="Calibri"/>
                <w:b/>
                <w:color w:val="FFFFFF"/>
                <w:sz w:val="21"/>
                <w:szCs w:val="21"/>
              </w:rPr>
              <w:t>What remains unproven</w:t>
            </w:r>
          </w:p>
        </w:tc>
      </w:tr>
      <w:tr w14:paraId="7AC82765">
        <w:tblPrEx>
          <w:tblBorders>
            <w:top w:val="single" w:color="D9D9D9" w:sz="4" w:space="0"/>
            <w:left w:val="single" w:color="D9D9D9" w:sz="4" w:space="0"/>
            <w:bottom w:val="single" w:color="D9D9D9" w:sz="4" w:space="0"/>
            <w:right w:val="single" w:color="D9D9D9" w:sz="4" w:space="0"/>
            <w:insideH w:val="single" w:color="D9D9D9" w:sz="4" w:space="0"/>
            <w:insideV w:val="single" w:color="D9D9D9" w:sz="4" w:space="0"/>
          </w:tblBorders>
          <w:tblCellMar>
            <w:top w:w="0" w:type="dxa"/>
            <w:left w:w="108" w:type="dxa"/>
            <w:bottom w:w="0" w:type="dxa"/>
            <w:right w:w="108" w:type="dxa"/>
          </w:tblCellMar>
        </w:tblPrEx>
        <w:trPr>
          <w:cantSplit/>
          <w:jc w:val="center"/>
        </w:trPr>
        <w:tc>
          <w:tcPr>
            <w:tcW w:w="1613" w:type="dxa"/>
            <w:tcMar>
              <w:top w:w="115" w:type="dxa"/>
              <w:left w:w="120" w:type="dxa"/>
              <w:bottom w:w="115" w:type="dxa"/>
              <w:right w:w="120" w:type="dxa"/>
            </w:tcMar>
            <w:vAlign w:val="center"/>
          </w:tcPr>
          <w:p w14:paraId="0AE378BA">
            <w:pPr>
              <w:spacing w:after="0" w:line="245" w:lineRule="auto"/>
              <w:rPr>
                <w:rFonts w:hint="default" w:ascii="Calibri" w:hAnsi="Calibri" w:cs="Calibri"/>
                <w:sz w:val="21"/>
                <w:szCs w:val="21"/>
              </w:rPr>
            </w:pPr>
            <w:r>
              <w:rPr>
                <w:rFonts w:hint="default" w:ascii="Calibri" w:hAnsi="Calibri" w:cs="Calibri"/>
                <w:b/>
                <w:sz w:val="21"/>
                <w:szCs w:val="21"/>
              </w:rPr>
              <w:t>Error</w:t>
            </w:r>
          </w:p>
        </w:tc>
        <w:tc>
          <w:tcPr>
            <w:tcW w:w="4349" w:type="dxa"/>
            <w:tcMar>
              <w:top w:w="115" w:type="dxa"/>
              <w:left w:w="120" w:type="dxa"/>
              <w:bottom w:w="115" w:type="dxa"/>
              <w:right w:w="120" w:type="dxa"/>
            </w:tcMar>
            <w:vAlign w:val="center"/>
          </w:tcPr>
          <w:p w14:paraId="4F651789">
            <w:pPr>
              <w:spacing w:after="0" w:line="245" w:lineRule="auto"/>
              <w:rPr>
                <w:rFonts w:hint="default" w:ascii="Calibri" w:hAnsi="Calibri" w:cs="Calibri"/>
                <w:sz w:val="21"/>
                <w:szCs w:val="21"/>
              </w:rPr>
            </w:pPr>
            <w:r>
              <w:rPr>
                <w:rFonts w:hint="default" w:ascii="Calibri" w:hAnsi="Calibri" w:cs="Calibri"/>
                <w:sz w:val="21"/>
                <w:szCs w:val="21"/>
              </w:rPr>
              <w:t>A simple accidental error is a weak explanation for the core allegation. The EPA described software that detected test conditions and changed emissions-control behaviour. If that account is correct, the software’s function was systematic rather than an accidental one-off.</w:t>
            </w:r>
          </w:p>
        </w:tc>
        <w:tc>
          <w:tcPr>
            <w:tcW w:w="4003" w:type="dxa"/>
            <w:tcMar>
              <w:top w:w="115" w:type="dxa"/>
              <w:left w:w="120" w:type="dxa"/>
              <w:bottom w:w="115" w:type="dxa"/>
              <w:right w:w="120" w:type="dxa"/>
            </w:tcMar>
            <w:vAlign w:val="center"/>
          </w:tcPr>
          <w:p w14:paraId="737B1672">
            <w:pPr>
              <w:spacing w:after="0" w:line="245" w:lineRule="auto"/>
              <w:rPr>
                <w:rFonts w:hint="default" w:ascii="Calibri" w:hAnsi="Calibri" w:cs="Calibri"/>
                <w:sz w:val="21"/>
                <w:szCs w:val="21"/>
              </w:rPr>
            </w:pPr>
            <w:r>
              <w:rPr>
                <w:rFonts w:hint="default" w:ascii="Calibri" w:hAnsi="Calibri" w:cs="Calibri"/>
                <w:sz w:val="21"/>
                <w:szCs w:val="21"/>
              </w:rPr>
              <w:t>The 2015 texts do not establish who designed, approved or knowingly used it. Do not infer that every employee intended to deceive.</w:t>
            </w:r>
          </w:p>
        </w:tc>
      </w:tr>
      <w:tr w14:paraId="2F5BAFFA">
        <w:tblPrEx>
          <w:tblBorders>
            <w:top w:val="single" w:color="D9D9D9" w:sz="4" w:space="0"/>
            <w:left w:val="single" w:color="D9D9D9" w:sz="4" w:space="0"/>
            <w:bottom w:val="single" w:color="D9D9D9" w:sz="4" w:space="0"/>
            <w:right w:val="single" w:color="D9D9D9" w:sz="4" w:space="0"/>
            <w:insideH w:val="single" w:color="D9D9D9" w:sz="4" w:space="0"/>
            <w:insideV w:val="single" w:color="D9D9D9" w:sz="4" w:space="0"/>
          </w:tblBorders>
          <w:tblCellMar>
            <w:top w:w="0" w:type="dxa"/>
            <w:left w:w="108" w:type="dxa"/>
            <w:bottom w:w="0" w:type="dxa"/>
            <w:right w:w="108" w:type="dxa"/>
          </w:tblCellMar>
        </w:tblPrEx>
        <w:trPr>
          <w:cantSplit/>
          <w:jc w:val="center"/>
        </w:trPr>
        <w:tc>
          <w:tcPr>
            <w:tcW w:w="1613" w:type="dxa"/>
            <w:shd w:val="clear" w:color="auto" w:fill="F2F5F8"/>
            <w:tcMar>
              <w:top w:w="115" w:type="dxa"/>
              <w:left w:w="120" w:type="dxa"/>
              <w:bottom w:w="115" w:type="dxa"/>
              <w:right w:w="120" w:type="dxa"/>
            </w:tcMar>
            <w:vAlign w:val="center"/>
          </w:tcPr>
          <w:p w14:paraId="20F280A1">
            <w:pPr>
              <w:spacing w:after="0" w:line="245" w:lineRule="auto"/>
              <w:rPr>
                <w:rFonts w:hint="default" w:ascii="Calibri" w:hAnsi="Calibri" w:cs="Calibri"/>
                <w:sz w:val="21"/>
                <w:szCs w:val="21"/>
              </w:rPr>
            </w:pPr>
            <w:r>
              <w:rPr>
                <w:rFonts w:hint="default" w:ascii="Calibri" w:hAnsi="Calibri" w:cs="Calibri"/>
                <w:b/>
                <w:sz w:val="21"/>
                <w:szCs w:val="21"/>
              </w:rPr>
              <w:t>Negligence</w:t>
            </w:r>
          </w:p>
        </w:tc>
        <w:tc>
          <w:tcPr>
            <w:tcW w:w="4349" w:type="dxa"/>
            <w:shd w:val="clear" w:color="auto" w:fill="F2F5F8"/>
            <w:tcMar>
              <w:top w:w="115" w:type="dxa"/>
              <w:left w:w="120" w:type="dxa"/>
              <w:bottom w:w="115" w:type="dxa"/>
              <w:right w:w="120" w:type="dxa"/>
            </w:tcMar>
            <w:vAlign w:val="center"/>
          </w:tcPr>
          <w:p w14:paraId="0F595E36">
            <w:pPr>
              <w:spacing w:after="0" w:line="245" w:lineRule="auto"/>
              <w:rPr>
                <w:rFonts w:hint="default" w:ascii="Calibri" w:hAnsi="Calibri" w:cs="Calibri"/>
                <w:sz w:val="21"/>
                <w:szCs w:val="21"/>
              </w:rPr>
            </w:pPr>
            <w:r>
              <w:rPr>
                <w:rFonts w:hint="default" w:ascii="Calibri" w:hAnsi="Calibri" w:cs="Calibri"/>
                <w:sz w:val="21"/>
                <w:szCs w:val="21"/>
              </w:rPr>
              <w:t>Negligence is possible if responsible people failed to use reasonable care in design, testing, oversight or disclosure. The gap between lab and road performance makes questions about controls and oversight reasonable.</w:t>
            </w:r>
          </w:p>
        </w:tc>
        <w:tc>
          <w:tcPr>
            <w:tcW w:w="4003" w:type="dxa"/>
            <w:shd w:val="clear" w:color="auto" w:fill="F2F5F8"/>
            <w:tcMar>
              <w:top w:w="115" w:type="dxa"/>
              <w:left w:w="120" w:type="dxa"/>
              <w:bottom w:w="115" w:type="dxa"/>
              <w:right w:w="120" w:type="dxa"/>
            </w:tcMar>
            <w:vAlign w:val="center"/>
          </w:tcPr>
          <w:p w14:paraId="14DA32A4">
            <w:pPr>
              <w:spacing w:after="0" w:line="245" w:lineRule="auto"/>
              <w:rPr>
                <w:rFonts w:hint="default" w:ascii="Calibri" w:hAnsi="Calibri" w:cs="Calibri"/>
                <w:sz w:val="21"/>
                <w:szCs w:val="21"/>
              </w:rPr>
            </w:pPr>
            <w:r>
              <w:rPr>
                <w:rFonts w:hint="default" w:ascii="Calibri" w:hAnsi="Calibri" w:cs="Calibri"/>
                <w:sz w:val="21"/>
                <w:szCs w:val="21"/>
              </w:rPr>
              <w:t>The readings do not explain internal duties, warnings, review processes or who failed to act. They are not enough by themselves to prove a particular person or unit was negligent.</w:t>
            </w:r>
          </w:p>
        </w:tc>
      </w:tr>
      <w:tr w14:paraId="27ED34AE">
        <w:tblPrEx>
          <w:tblBorders>
            <w:top w:val="single" w:color="D9D9D9" w:sz="4" w:space="0"/>
            <w:left w:val="single" w:color="D9D9D9" w:sz="4" w:space="0"/>
            <w:bottom w:val="single" w:color="D9D9D9" w:sz="4" w:space="0"/>
            <w:right w:val="single" w:color="D9D9D9" w:sz="4" w:space="0"/>
            <w:insideH w:val="single" w:color="D9D9D9" w:sz="4" w:space="0"/>
            <w:insideV w:val="single" w:color="D9D9D9" w:sz="4" w:space="0"/>
          </w:tblBorders>
          <w:tblCellMar>
            <w:top w:w="0" w:type="dxa"/>
            <w:left w:w="108" w:type="dxa"/>
            <w:bottom w:w="0" w:type="dxa"/>
            <w:right w:w="108" w:type="dxa"/>
          </w:tblCellMar>
        </w:tblPrEx>
        <w:trPr>
          <w:cantSplit/>
          <w:jc w:val="center"/>
        </w:trPr>
        <w:tc>
          <w:tcPr>
            <w:tcW w:w="1613" w:type="dxa"/>
            <w:tcMar>
              <w:top w:w="115" w:type="dxa"/>
              <w:left w:w="120" w:type="dxa"/>
              <w:bottom w:w="115" w:type="dxa"/>
              <w:right w:w="120" w:type="dxa"/>
            </w:tcMar>
            <w:vAlign w:val="center"/>
          </w:tcPr>
          <w:p w14:paraId="1E440B99">
            <w:pPr>
              <w:spacing w:after="0" w:line="245" w:lineRule="auto"/>
              <w:rPr>
                <w:rFonts w:hint="default" w:ascii="Calibri" w:hAnsi="Calibri" w:cs="Calibri"/>
                <w:sz w:val="21"/>
                <w:szCs w:val="21"/>
              </w:rPr>
            </w:pPr>
            <w:r>
              <w:rPr>
                <w:rFonts w:hint="default" w:ascii="Calibri" w:hAnsi="Calibri" w:cs="Calibri"/>
                <w:b/>
                <w:sz w:val="21"/>
                <w:szCs w:val="21"/>
              </w:rPr>
              <w:t>Omission</w:t>
            </w:r>
          </w:p>
        </w:tc>
        <w:tc>
          <w:tcPr>
            <w:tcW w:w="4349" w:type="dxa"/>
            <w:tcMar>
              <w:top w:w="115" w:type="dxa"/>
              <w:left w:w="120" w:type="dxa"/>
              <w:bottom w:w="115" w:type="dxa"/>
              <w:right w:w="120" w:type="dxa"/>
            </w:tcMar>
            <w:vAlign w:val="center"/>
          </w:tcPr>
          <w:p w14:paraId="0825FE55">
            <w:pPr>
              <w:spacing w:after="0" w:line="245" w:lineRule="auto"/>
              <w:rPr>
                <w:rFonts w:hint="default" w:ascii="Calibri" w:hAnsi="Calibri" w:cs="Calibri"/>
                <w:sz w:val="21"/>
                <w:szCs w:val="21"/>
              </w:rPr>
            </w:pPr>
            <w:r>
              <w:rPr>
                <w:rFonts w:hint="default" w:ascii="Calibri" w:hAnsi="Calibri" w:cs="Calibri"/>
                <w:sz w:val="21"/>
                <w:szCs w:val="21"/>
              </w:rPr>
              <w:t>The Volkswagen announcement leaves important matters unanswered, including the detailed mechanism, the decision-making chain and who knew what. Those gaps justify asking what information the company had and disclosed.</w:t>
            </w:r>
          </w:p>
        </w:tc>
        <w:tc>
          <w:tcPr>
            <w:tcW w:w="4003" w:type="dxa"/>
            <w:tcMar>
              <w:top w:w="115" w:type="dxa"/>
              <w:left w:w="120" w:type="dxa"/>
              <w:bottom w:w="115" w:type="dxa"/>
              <w:right w:w="120" w:type="dxa"/>
            </w:tcMar>
            <w:vAlign w:val="center"/>
          </w:tcPr>
          <w:p w14:paraId="27C7E9C7">
            <w:pPr>
              <w:spacing w:after="0" w:line="245" w:lineRule="auto"/>
              <w:rPr>
                <w:rFonts w:hint="default" w:ascii="Calibri" w:hAnsi="Calibri" w:cs="Calibri"/>
                <w:sz w:val="21"/>
                <w:szCs w:val="21"/>
              </w:rPr>
            </w:pPr>
            <w:r>
              <w:rPr>
                <w:rFonts w:hint="default" w:ascii="Calibri" w:hAnsi="Calibri" w:cs="Calibri"/>
                <w:sz w:val="21"/>
                <w:szCs w:val="21"/>
              </w:rPr>
              <w:t>A short statement that leaves questions unanswered is not automatically an unethical omission. Evidence is needed that the information was material, known, and expected or required to be disclosed.</w:t>
            </w:r>
          </w:p>
        </w:tc>
      </w:tr>
      <w:tr w14:paraId="524D0834">
        <w:tblPrEx>
          <w:tblBorders>
            <w:top w:val="single" w:color="D9D9D9" w:sz="4" w:space="0"/>
            <w:left w:val="single" w:color="D9D9D9" w:sz="4" w:space="0"/>
            <w:bottom w:val="single" w:color="D9D9D9" w:sz="4" w:space="0"/>
            <w:right w:val="single" w:color="D9D9D9" w:sz="4" w:space="0"/>
            <w:insideH w:val="single" w:color="D9D9D9" w:sz="4" w:space="0"/>
            <w:insideV w:val="single" w:color="D9D9D9" w:sz="4" w:space="0"/>
          </w:tblBorders>
          <w:tblCellMar>
            <w:top w:w="0" w:type="dxa"/>
            <w:left w:w="108" w:type="dxa"/>
            <w:bottom w:w="0" w:type="dxa"/>
            <w:right w:w="108" w:type="dxa"/>
          </w:tblCellMar>
        </w:tblPrEx>
        <w:trPr>
          <w:cantSplit/>
          <w:jc w:val="center"/>
        </w:trPr>
        <w:tc>
          <w:tcPr>
            <w:tcW w:w="1613" w:type="dxa"/>
            <w:shd w:val="clear" w:color="auto" w:fill="F2F5F8"/>
            <w:tcMar>
              <w:top w:w="115" w:type="dxa"/>
              <w:left w:w="120" w:type="dxa"/>
              <w:bottom w:w="115" w:type="dxa"/>
              <w:right w:w="120" w:type="dxa"/>
            </w:tcMar>
            <w:vAlign w:val="center"/>
          </w:tcPr>
          <w:p w14:paraId="3DFA3D7C">
            <w:pPr>
              <w:spacing w:after="0" w:line="245" w:lineRule="auto"/>
              <w:rPr>
                <w:rFonts w:hint="default" w:ascii="Calibri" w:hAnsi="Calibri" w:cs="Calibri"/>
                <w:sz w:val="21"/>
                <w:szCs w:val="21"/>
              </w:rPr>
            </w:pPr>
            <w:r>
              <w:rPr>
                <w:rFonts w:hint="default" w:ascii="Calibri" w:hAnsi="Calibri" w:cs="Calibri"/>
                <w:b/>
                <w:sz w:val="21"/>
                <w:szCs w:val="21"/>
              </w:rPr>
              <w:t>Misleading communication</w:t>
            </w:r>
          </w:p>
        </w:tc>
        <w:tc>
          <w:tcPr>
            <w:tcW w:w="4349" w:type="dxa"/>
            <w:shd w:val="clear" w:color="auto" w:fill="F2F5F8"/>
            <w:tcMar>
              <w:top w:w="115" w:type="dxa"/>
              <w:left w:w="120" w:type="dxa"/>
              <w:bottom w:w="115" w:type="dxa"/>
              <w:right w:w="120" w:type="dxa"/>
            </w:tcMar>
            <w:vAlign w:val="center"/>
          </w:tcPr>
          <w:p w14:paraId="3C1C4724">
            <w:pPr>
              <w:spacing w:after="0" w:line="245" w:lineRule="auto"/>
              <w:rPr>
                <w:rFonts w:hint="default" w:ascii="Calibri" w:hAnsi="Calibri" w:cs="Calibri"/>
                <w:sz w:val="21"/>
                <w:szCs w:val="21"/>
              </w:rPr>
            </w:pPr>
            <w:r>
              <w:rPr>
                <w:rFonts w:hint="default" w:ascii="Calibri" w:hAnsi="Calibri" w:cs="Calibri"/>
                <w:sz w:val="21"/>
                <w:szCs w:val="21"/>
              </w:rPr>
              <w:t>The difference between the EPA’s explicit “defeat device” allegation and Volkswagen’s softer terms such as “irregularities” and “deviation” warrants scrutiny. Students may argue that the wording could leave readers with an incomplete impression.</w:t>
            </w:r>
          </w:p>
        </w:tc>
        <w:tc>
          <w:tcPr>
            <w:tcW w:w="4003" w:type="dxa"/>
            <w:shd w:val="clear" w:color="auto" w:fill="F2F5F8"/>
            <w:tcMar>
              <w:top w:w="115" w:type="dxa"/>
              <w:left w:w="120" w:type="dxa"/>
              <w:bottom w:w="115" w:type="dxa"/>
              <w:right w:w="120" w:type="dxa"/>
            </w:tcMar>
            <w:vAlign w:val="center"/>
          </w:tcPr>
          <w:p w14:paraId="3F287CBF">
            <w:pPr>
              <w:spacing w:after="0" w:line="245" w:lineRule="auto"/>
              <w:rPr>
                <w:rFonts w:hint="default" w:ascii="Calibri" w:hAnsi="Calibri" w:cs="Calibri"/>
                <w:sz w:val="21"/>
                <w:szCs w:val="21"/>
              </w:rPr>
            </w:pPr>
            <w:r>
              <w:rPr>
                <w:rFonts w:hint="default" w:ascii="Calibri" w:hAnsi="Calibri" w:cs="Calibri"/>
                <w:sz w:val="21"/>
                <w:szCs w:val="21"/>
              </w:rPr>
              <w:t>The two texts do not alone establish that Volkswagen’s specific statements were materially false or that the company knew the wording would mislead. Compare the complete statement with what decision-makers knew at that time.</w:t>
            </w:r>
          </w:p>
        </w:tc>
      </w:tr>
      <w:tr w14:paraId="7B342E21">
        <w:tblPrEx>
          <w:tblBorders>
            <w:top w:val="single" w:color="D9D9D9" w:sz="4" w:space="0"/>
            <w:left w:val="single" w:color="D9D9D9" w:sz="4" w:space="0"/>
            <w:bottom w:val="single" w:color="D9D9D9" w:sz="4" w:space="0"/>
            <w:right w:val="single" w:color="D9D9D9" w:sz="4" w:space="0"/>
            <w:insideH w:val="single" w:color="D9D9D9" w:sz="4" w:space="0"/>
            <w:insideV w:val="single" w:color="D9D9D9" w:sz="4" w:space="0"/>
          </w:tblBorders>
          <w:tblCellMar>
            <w:top w:w="0" w:type="dxa"/>
            <w:left w:w="108" w:type="dxa"/>
            <w:bottom w:w="0" w:type="dxa"/>
            <w:right w:w="108" w:type="dxa"/>
          </w:tblCellMar>
        </w:tblPrEx>
        <w:trPr>
          <w:cantSplit/>
          <w:jc w:val="center"/>
        </w:trPr>
        <w:tc>
          <w:tcPr>
            <w:tcW w:w="1613" w:type="dxa"/>
            <w:tcMar>
              <w:top w:w="115" w:type="dxa"/>
              <w:left w:w="120" w:type="dxa"/>
              <w:bottom w:w="115" w:type="dxa"/>
              <w:right w:w="120" w:type="dxa"/>
            </w:tcMar>
            <w:vAlign w:val="center"/>
          </w:tcPr>
          <w:p w14:paraId="7D9C06FD">
            <w:pPr>
              <w:spacing w:after="0" w:line="245" w:lineRule="auto"/>
              <w:rPr>
                <w:rFonts w:hint="default" w:ascii="Calibri" w:hAnsi="Calibri" w:cs="Calibri"/>
                <w:sz w:val="21"/>
                <w:szCs w:val="21"/>
              </w:rPr>
            </w:pPr>
            <w:r>
              <w:rPr>
                <w:rFonts w:hint="default" w:ascii="Calibri" w:hAnsi="Calibri" w:cs="Calibri"/>
                <w:b/>
                <w:sz w:val="21"/>
                <w:szCs w:val="21"/>
              </w:rPr>
              <w:t>Deliberate deception</w:t>
            </w:r>
          </w:p>
        </w:tc>
        <w:tc>
          <w:tcPr>
            <w:tcW w:w="4349" w:type="dxa"/>
            <w:tcMar>
              <w:top w:w="115" w:type="dxa"/>
              <w:left w:w="120" w:type="dxa"/>
              <w:bottom w:w="115" w:type="dxa"/>
              <w:right w:w="120" w:type="dxa"/>
            </w:tcMar>
            <w:vAlign w:val="center"/>
          </w:tcPr>
          <w:p w14:paraId="496F2AE7">
            <w:pPr>
              <w:spacing w:after="0" w:line="245" w:lineRule="auto"/>
              <w:rPr>
                <w:rFonts w:hint="default" w:ascii="Calibri" w:hAnsi="Calibri" w:cs="Calibri"/>
                <w:sz w:val="21"/>
                <w:szCs w:val="21"/>
              </w:rPr>
            </w:pPr>
            <w:r>
              <w:rPr>
                <w:rFonts w:hint="default" w:ascii="Calibri" w:hAnsi="Calibri" w:cs="Calibri"/>
                <w:sz w:val="21"/>
                <w:szCs w:val="21"/>
              </w:rPr>
              <w:t>The alleged software behaviour is strongly consistent with deliberate test evasion: it detected the test and changed emissions controls. The EPA’s 2015 notice formally alleged this, but at that time students should describe it as an allegation. [1, 2]</w:t>
            </w:r>
          </w:p>
        </w:tc>
        <w:tc>
          <w:tcPr>
            <w:tcW w:w="4003" w:type="dxa"/>
            <w:tcMar>
              <w:top w:w="115" w:type="dxa"/>
              <w:left w:w="120" w:type="dxa"/>
              <w:bottom w:w="115" w:type="dxa"/>
              <w:right w:w="120" w:type="dxa"/>
            </w:tcMar>
            <w:vAlign w:val="center"/>
          </w:tcPr>
          <w:p w14:paraId="2B4BCB3D">
            <w:pPr>
              <w:spacing w:after="0" w:line="245" w:lineRule="auto"/>
              <w:rPr>
                <w:rFonts w:hint="default" w:ascii="Calibri" w:hAnsi="Calibri" w:cs="Calibri"/>
                <w:sz w:val="21"/>
                <w:szCs w:val="21"/>
              </w:rPr>
            </w:pPr>
            <w:r>
              <w:rPr>
                <w:rFonts w:hint="default" w:ascii="Calibri" w:hAnsi="Calibri" w:cs="Calibri"/>
                <w:sz w:val="21"/>
                <w:szCs w:val="21"/>
              </w:rPr>
              <w:t>The 2015 readings do not prove which individuals knew, authorised or concealed the system. Later, Volkswagen agreed to plead guilty to three criminal felony counts, including conspiracy involving cheating on emissions tests and misleading regulators and U.S. customers. This supports a corporate-level conclusion based on later evidence. Six individuals were also indicted; the DOJ release states that the charges against them were accusations and they were presumed innocent unless proven guilty. [5]</w:t>
            </w:r>
          </w:p>
        </w:tc>
      </w:tr>
    </w:tbl>
    <w:p w14:paraId="4CC2E91E">
      <w:pPr>
        <w:rPr>
          <w:rFonts w:hint="default" w:ascii="Calibri" w:hAnsi="Calibri" w:cs="Calibri"/>
          <w:sz w:val="21"/>
          <w:szCs w:val="21"/>
        </w:rPr>
      </w:pPr>
      <w:r>
        <w:rPr>
          <w:rFonts w:hint="default" w:ascii="Calibri" w:hAnsi="Calibri" w:cs="Calibri"/>
          <w:b/>
          <w:i w:val="0"/>
          <w:sz w:val="21"/>
          <w:szCs w:val="21"/>
        </w:rPr>
        <w:t>Answer in one sentence.</w:t>
      </w:r>
      <w:r>
        <w:rPr>
          <w:rFonts w:hint="default" w:ascii="Calibri" w:hAnsi="Calibri" w:cs="Calibri"/>
          <w:b w:val="0"/>
          <w:i w:val="0"/>
          <w:sz w:val="21"/>
          <w:szCs w:val="21"/>
        </w:rPr>
        <w:t xml:space="preserve"> Based on the 2015 activity sources, the strongest supported conclusion is that the EPA alleged a software-based scheme designed to evade emissions testing; the materials justify investigating deliberate deception, but they do not yet establish individual knowledge or responsibility. The later DOJ corporate plea agreement strengthens the conclusion about Volkswagen as an organisation, while individual accountability still needs to be stated with care.</w:t>
      </w:r>
    </w:p>
    <w:p w14:paraId="73E2CEAF">
      <w:pPr>
        <w:pStyle w:val="2"/>
        <w:rPr>
          <w:rFonts w:hint="default" w:ascii="Calibri" w:hAnsi="Calibri" w:cs="Calibri"/>
          <w:sz w:val="21"/>
          <w:szCs w:val="21"/>
        </w:rPr>
      </w:pPr>
      <w:r>
        <w:rPr>
          <w:rFonts w:hint="default" w:ascii="Calibri" w:hAnsi="Calibri" w:cs="Calibri"/>
          <w:sz w:val="21"/>
          <w:szCs w:val="21"/>
        </w:rPr>
        <w:t>4. Evidence needed</w:t>
      </w:r>
      <w:bookmarkStart w:id="0" w:name="_GoBack"/>
      <w:bookmarkEnd w:id="0"/>
    </w:p>
    <w:p w14:paraId="3A82460B">
      <w:pPr>
        <w:rPr>
          <w:rFonts w:hint="default" w:ascii="Calibri" w:hAnsi="Calibri" w:cs="Calibri"/>
          <w:color w:val="C00000"/>
          <w:sz w:val="21"/>
          <w:szCs w:val="21"/>
          <w:highlight w:val="none"/>
        </w:rPr>
      </w:pPr>
      <w:r>
        <w:rPr>
          <w:rFonts w:hint="default" w:ascii="Calibri" w:hAnsi="Calibri" w:cs="Calibri"/>
          <w:sz w:val="21"/>
          <w:szCs w:val="21"/>
        </w:rPr>
        <w:t>To move from allegation or suspicion to a well-supported conclusion,</w:t>
      </w:r>
      <w:r>
        <w:rPr>
          <w:rFonts w:hint="default" w:ascii="Calibri" w:hAnsi="Calibri" w:cs="Calibri"/>
          <w:color w:val="C00000"/>
          <w:sz w:val="21"/>
          <w:szCs w:val="21"/>
          <w:highlight w:val="none"/>
        </w:rPr>
        <w:t xml:space="preserve"> students would need evidence matched to the question they are trying to answer:</w:t>
      </w:r>
    </w:p>
    <w:p w14:paraId="5E7C570C">
      <w:pPr>
        <w:pStyle w:val="23"/>
        <w:spacing w:after="60"/>
        <w:rPr>
          <w:rFonts w:hint="default" w:ascii="Calibri" w:hAnsi="Calibri" w:cs="Calibri"/>
          <w:sz w:val="21"/>
          <w:szCs w:val="21"/>
        </w:rPr>
      </w:pPr>
      <w:r>
        <w:rPr>
          <w:rFonts w:hint="default" w:ascii="Calibri" w:hAnsi="Calibri" w:cs="Calibri"/>
          <w:b/>
          <w:i w:val="0"/>
          <w:sz w:val="21"/>
          <w:szCs w:val="21"/>
        </w:rPr>
        <w:t xml:space="preserve">To verify the software’s behaviour: </w:t>
      </w:r>
      <w:r>
        <w:rPr>
          <w:rFonts w:hint="default" w:ascii="Calibri" w:hAnsi="Calibri" w:cs="Calibri"/>
          <w:b w:val="0"/>
          <w:i w:val="0"/>
          <w:sz w:val="21"/>
          <w:szCs w:val="21"/>
        </w:rPr>
        <w:t>the EPA notice, EPA and CARB test results, technical specifications and independent engineering analysis.</w:t>
      </w:r>
    </w:p>
    <w:p w14:paraId="0969FB78">
      <w:pPr>
        <w:pStyle w:val="23"/>
        <w:spacing w:after="60"/>
        <w:rPr>
          <w:rFonts w:hint="default" w:ascii="Calibri" w:hAnsi="Calibri" w:cs="Calibri"/>
          <w:sz w:val="21"/>
          <w:szCs w:val="21"/>
        </w:rPr>
      </w:pPr>
      <w:r>
        <w:rPr>
          <w:rFonts w:hint="default" w:ascii="Calibri" w:hAnsi="Calibri" w:cs="Calibri"/>
          <w:b/>
          <w:i w:val="0"/>
          <w:sz w:val="21"/>
          <w:szCs w:val="21"/>
        </w:rPr>
        <w:t xml:space="preserve">To establish who knew and when: </w:t>
      </w:r>
      <w:r>
        <w:rPr>
          <w:rFonts w:hint="default" w:ascii="Calibri" w:hAnsi="Calibri" w:cs="Calibri"/>
          <w:b w:val="0"/>
          <w:i w:val="0"/>
          <w:sz w:val="21"/>
          <w:szCs w:val="21"/>
        </w:rPr>
        <w:t>software design and change records, test data, emails, meeting records, escalation records and relevant testimony.</w:t>
      </w:r>
    </w:p>
    <w:p w14:paraId="57DC3E69">
      <w:pPr>
        <w:pStyle w:val="23"/>
        <w:spacing w:after="60"/>
        <w:rPr>
          <w:rFonts w:hint="default" w:ascii="Calibri" w:hAnsi="Calibri" w:cs="Calibri"/>
          <w:sz w:val="21"/>
          <w:szCs w:val="21"/>
        </w:rPr>
      </w:pPr>
      <w:r>
        <w:rPr>
          <w:rFonts w:hint="default" w:ascii="Calibri" w:hAnsi="Calibri" w:cs="Calibri"/>
          <w:b/>
          <w:i w:val="0"/>
          <w:sz w:val="21"/>
          <w:szCs w:val="21"/>
        </w:rPr>
        <w:t xml:space="preserve">To assess oversight or negligence: </w:t>
      </w:r>
      <w:r>
        <w:rPr>
          <w:rFonts w:hint="default" w:ascii="Calibri" w:hAnsi="Calibri" w:cs="Calibri"/>
          <w:b w:val="0"/>
          <w:i w:val="0"/>
          <w:sz w:val="21"/>
          <w:szCs w:val="21"/>
        </w:rPr>
        <w:t>compliance procedures, assigned responsibilities, audit findings, warnings received and evidence of how managers responded.</w:t>
      </w:r>
    </w:p>
    <w:p w14:paraId="70D1FB41">
      <w:pPr>
        <w:pStyle w:val="23"/>
        <w:spacing w:after="60"/>
        <w:rPr>
          <w:rFonts w:hint="default" w:ascii="Calibri" w:hAnsi="Calibri" w:cs="Calibri"/>
          <w:sz w:val="21"/>
          <w:szCs w:val="21"/>
        </w:rPr>
      </w:pPr>
      <w:r>
        <w:rPr>
          <w:rFonts w:hint="default" w:ascii="Calibri" w:hAnsi="Calibri" w:cs="Calibri"/>
          <w:b/>
          <w:i w:val="0"/>
          <w:sz w:val="21"/>
          <w:szCs w:val="21"/>
        </w:rPr>
        <w:t xml:space="preserve">To assess omission or misleading communication: </w:t>
      </w:r>
      <w:r>
        <w:rPr>
          <w:rFonts w:hint="default" w:ascii="Calibri" w:hAnsi="Calibri" w:cs="Calibri"/>
          <w:b w:val="0"/>
          <w:i w:val="0"/>
          <w:sz w:val="21"/>
          <w:szCs w:val="21"/>
        </w:rPr>
        <w:t>dated public statements compared with internal knowledge and any relevant disclosure duty or expectation.</w:t>
      </w:r>
    </w:p>
    <w:p w14:paraId="216BF6E2">
      <w:pPr>
        <w:pStyle w:val="23"/>
        <w:spacing w:after="60"/>
        <w:rPr>
          <w:rFonts w:hint="default" w:ascii="Calibri" w:hAnsi="Calibri" w:cs="Calibri"/>
          <w:sz w:val="21"/>
          <w:szCs w:val="21"/>
        </w:rPr>
      </w:pPr>
      <w:r>
        <w:rPr>
          <w:rFonts w:hint="default" w:ascii="Calibri" w:hAnsi="Calibri" w:cs="Calibri"/>
          <w:b/>
          <w:i w:val="0"/>
          <w:sz w:val="21"/>
          <w:szCs w:val="21"/>
        </w:rPr>
        <w:t xml:space="preserve">To establish later responsibility: </w:t>
      </w:r>
      <w:r>
        <w:rPr>
          <w:rFonts w:hint="default" w:ascii="Calibri" w:hAnsi="Calibri" w:cs="Calibri"/>
          <w:b w:val="0"/>
          <w:i w:val="0"/>
          <w:sz w:val="21"/>
          <w:szCs w:val="21"/>
        </w:rPr>
        <w:t>the DOJ plea agreement, court orders, testimony and final decisions, distinguishing corporate admissions from allegations against individuals.</w:t>
      </w:r>
    </w:p>
    <w:p w14:paraId="25E81D82">
      <w:pPr>
        <w:rPr>
          <w:rFonts w:hint="default" w:ascii="Calibri" w:hAnsi="Calibri" w:cs="Calibri"/>
          <w:sz w:val="21"/>
          <w:szCs w:val="21"/>
        </w:rPr>
      </w:pPr>
      <w:r>
        <w:rPr>
          <w:rFonts w:hint="default" w:ascii="Calibri" w:hAnsi="Calibri" w:cs="Calibri"/>
          <w:sz w:val="21"/>
          <w:szCs w:val="21"/>
        </w:rPr>
        <w:t>Match each source to the claim. Code can show how the system behaved but not, by itself, who understood or approved it. Communications need a clear author, date, recipient and context.</w:t>
      </w:r>
    </w:p>
    <w:p w14:paraId="102EE5C9">
      <w:pPr>
        <w:pStyle w:val="2"/>
        <w:rPr>
          <w:rFonts w:hint="default" w:ascii="Calibri" w:hAnsi="Calibri" w:cs="Calibri"/>
          <w:sz w:val="21"/>
          <w:szCs w:val="21"/>
        </w:rPr>
      </w:pPr>
      <w:r>
        <w:rPr>
          <w:rFonts w:hint="default" w:ascii="Calibri" w:hAnsi="Calibri" w:cs="Calibri"/>
          <w:sz w:val="21"/>
          <w:szCs w:val="21"/>
        </w:rPr>
        <w:t>Discussion questions</w:t>
      </w:r>
    </w:p>
    <w:p w14:paraId="2E34847B">
      <w:pPr>
        <w:pStyle w:val="3"/>
        <w:rPr>
          <w:rFonts w:hint="default" w:ascii="Calibri" w:hAnsi="Calibri" w:cs="Calibri"/>
          <w:sz w:val="21"/>
          <w:szCs w:val="21"/>
        </w:rPr>
      </w:pPr>
      <w:r>
        <w:rPr>
          <w:rFonts w:hint="default" w:ascii="Calibri" w:hAnsi="Calibri" w:cs="Calibri"/>
          <w:sz w:val="21"/>
          <w:szCs w:val="21"/>
        </w:rPr>
        <w:t>Is an allegation the same as the company’s description</w:t>
      </w:r>
    </w:p>
    <w:p w14:paraId="1FA7D65E">
      <w:pPr>
        <w:rPr>
          <w:rFonts w:hint="default" w:ascii="Calibri" w:hAnsi="Calibri" w:cs="Calibri"/>
          <w:sz w:val="21"/>
          <w:szCs w:val="21"/>
        </w:rPr>
      </w:pPr>
      <w:r>
        <w:rPr>
          <w:rFonts w:hint="default" w:ascii="Calibri" w:hAnsi="Calibri" w:cs="Calibri"/>
          <w:sz w:val="21"/>
          <w:szCs w:val="21"/>
        </w:rPr>
        <w:t>No. An allegation is a regulator’s formal claim based on its investigation, but it is not automatically a final judgment. A company statement is the organisation’s own account and may reflect information the public lacks as well as its interest in presenting the issue. Reuters reports and attributes both sides; the EPA notice and Volkswagen announcement are the primary sources for checking exact wording. The two accounts are not equivalent, and they may differ in emphasis without contradicting every fact.</w:t>
      </w:r>
    </w:p>
    <w:p w14:paraId="6B964314">
      <w:pPr>
        <w:pStyle w:val="3"/>
        <w:rPr>
          <w:rFonts w:hint="default" w:ascii="Calibri" w:hAnsi="Calibri" w:cs="Calibri"/>
          <w:sz w:val="21"/>
          <w:szCs w:val="21"/>
        </w:rPr>
      </w:pPr>
      <w:r>
        <w:rPr>
          <w:rFonts w:hint="default" w:ascii="Calibri" w:hAnsi="Calibri" w:cs="Calibri"/>
          <w:sz w:val="21"/>
          <w:szCs w:val="21"/>
        </w:rPr>
        <w:t>Does announcing an investigation prove the cause</w:t>
      </w:r>
    </w:p>
    <w:p w14:paraId="68A61A4A">
      <w:pPr>
        <w:rPr>
          <w:rFonts w:hint="default" w:ascii="Calibri" w:hAnsi="Calibri" w:cs="Calibri"/>
          <w:sz w:val="21"/>
          <w:szCs w:val="21"/>
        </w:rPr>
      </w:pPr>
      <w:r>
        <w:rPr>
          <w:rFonts w:hint="default" w:ascii="Calibri" w:hAnsi="Calibri" w:cs="Calibri"/>
          <w:sz w:val="21"/>
          <w:szCs w:val="21"/>
        </w:rPr>
        <w:t>No. It proves that the company announced an investigation, not that the inquiry was independent, complete or correct. It does not establish the technical cause, who made decisions, what they knew or whether controls failed. Investigation findings, regulator tests, internal records and later proceedings would be needed.</w:t>
      </w:r>
    </w:p>
    <w:p w14:paraId="5F04EA7B">
      <w:pPr>
        <w:pStyle w:val="3"/>
        <w:rPr>
          <w:rFonts w:hint="default" w:ascii="Calibri" w:hAnsi="Calibri" w:cs="Calibri"/>
          <w:sz w:val="21"/>
          <w:szCs w:val="21"/>
        </w:rPr>
      </w:pPr>
      <w:r>
        <w:rPr>
          <w:rFonts w:hint="default" w:ascii="Calibri" w:hAnsi="Calibri" w:cs="Calibri"/>
          <w:sz w:val="21"/>
          <w:szCs w:val="21"/>
        </w:rPr>
        <w:t>Does an apology establish responsibility</w:t>
      </w:r>
    </w:p>
    <w:p w14:paraId="7F710F60">
      <w:pPr>
        <w:rPr>
          <w:rFonts w:hint="default" w:ascii="Calibri" w:hAnsi="Calibri" w:cs="Calibri"/>
          <w:sz w:val="21"/>
          <w:szCs w:val="21"/>
        </w:rPr>
      </w:pPr>
      <w:r>
        <w:rPr>
          <w:rFonts w:hint="default" w:ascii="Calibri" w:hAnsi="Calibri" w:cs="Calibri"/>
          <w:sz w:val="21"/>
          <w:szCs w:val="21"/>
        </w:rPr>
        <w:t>No. Winterkorn’s apology, reported by Reuters, expresses regret and acknowledges damaged trust. It does not prove who designed or approved the software, who knew about it or who had a duty to act. An apology may recognise organisational harm without assigning individual responsibility or admitting a specific legal claim. Volkswagen’s later agreement to plead guilty is separate corporate-level evidence; it does not establish that every employee or executive was responsible.</w:t>
      </w:r>
    </w:p>
    <w:p w14:paraId="71FB9614">
      <w:pPr>
        <w:pStyle w:val="2"/>
        <w:rPr>
          <w:rFonts w:hint="default" w:ascii="Calibri" w:hAnsi="Calibri" w:cs="Calibri"/>
          <w:sz w:val="21"/>
          <w:szCs w:val="21"/>
        </w:rPr>
      </w:pPr>
      <w:r>
        <w:rPr>
          <w:rFonts w:hint="default" w:ascii="Calibri" w:hAnsi="Calibri" w:cs="Calibri"/>
          <w:sz w:val="21"/>
          <w:szCs w:val="21"/>
        </w:rPr>
        <w:t>Sources</w:t>
      </w:r>
    </w:p>
    <w:p w14:paraId="41E2AD20">
      <w:pPr>
        <w:keepLines/>
        <w:spacing w:after="60"/>
        <w:ind w:left="317" w:hanging="317"/>
        <w:rPr>
          <w:rFonts w:hint="default" w:ascii="Calibri" w:hAnsi="Calibri" w:cs="Calibri"/>
          <w:sz w:val="21"/>
          <w:szCs w:val="21"/>
        </w:rPr>
      </w:pPr>
      <w:r>
        <w:rPr>
          <w:rFonts w:hint="default" w:ascii="Calibri" w:hAnsi="Calibri" w:cs="Calibri"/>
          <w:b w:val="0"/>
          <w:i w:val="0"/>
          <w:sz w:val="21"/>
          <w:szCs w:val="21"/>
        </w:rPr>
        <w:t xml:space="preserve">[1] U.S. Environmental Protection Agency. Notice of Violation under the Clean Air Act to Volkswagen, Audi and Volkswagen Group of America, 18 September 2015. </w:t>
      </w:r>
      <w:r>
        <w:rPr>
          <w:rFonts w:hint="default" w:ascii="Calibri" w:hAnsi="Calibri" w:cs="Calibri"/>
          <w:sz w:val="21"/>
          <w:szCs w:val="21"/>
        </w:rPr>
        <w:fldChar w:fldCharType="begin"/>
      </w:r>
      <w:r>
        <w:rPr>
          <w:rFonts w:hint="default" w:ascii="Calibri" w:hAnsi="Calibri" w:cs="Calibri"/>
          <w:sz w:val="21"/>
          <w:szCs w:val="21"/>
        </w:rPr>
        <w:instrText xml:space="preserve"> HYPERLINK "https://www.epa.gov/sites/default/files/2015-10/documents/vw-nov-caa-09-18-15.pdf" \h </w:instrText>
      </w:r>
      <w:r>
        <w:rPr>
          <w:rFonts w:hint="default" w:ascii="Calibri" w:hAnsi="Calibri" w:cs="Calibri"/>
          <w:sz w:val="21"/>
          <w:szCs w:val="21"/>
        </w:rPr>
        <w:fldChar w:fldCharType="separate"/>
      </w:r>
      <w:r>
        <w:rPr>
          <w:rFonts w:hint="default" w:ascii="Calibri" w:hAnsi="Calibri" w:cs="Calibri"/>
          <w:color w:val="1C3A5E"/>
          <w:sz w:val="21"/>
          <w:szCs w:val="21"/>
          <w:u w:val="single"/>
        </w:rPr>
        <w:t>Open source</w:t>
      </w:r>
      <w:r>
        <w:rPr>
          <w:rFonts w:hint="default" w:ascii="Calibri" w:hAnsi="Calibri" w:cs="Calibri"/>
          <w:color w:val="1C3A5E"/>
          <w:sz w:val="21"/>
          <w:szCs w:val="21"/>
          <w:u w:val="single"/>
        </w:rPr>
        <w:fldChar w:fldCharType="end"/>
      </w:r>
    </w:p>
    <w:p w14:paraId="1803B332">
      <w:pPr>
        <w:keepLines/>
        <w:spacing w:after="60"/>
        <w:ind w:left="317" w:hanging="317"/>
        <w:rPr>
          <w:rFonts w:hint="default" w:ascii="Calibri" w:hAnsi="Calibri" w:cs="Calibri"/>
          <w:sz w:val="21"/>
          <w:szCs w:val="21"/>
        </w:rPr>
      </w:pPr>
      <w:r>
        <w:rPr>
          <w:rFonts w:hint="default" w:ascii="Calibri" w:hAnsi="Calibri" w:cs="Calibri"/>
          <w:b w:val="0"/>
          <w:i w:val="0"/>
          <w:sz w:val="21"/>
          <w:szCs w:val="21"/>
        </w:rPr>
        <w:t xml:space="preserve">[2] U.S. Environmental Protection Agency. Learn About Volkswagen Violations. Current case summary and timeline. </w:t>
      </w:r>
      <w:r>
        <w:rPr>
          <w:rFonts w:hint="default" w:ascii="Calibri" w:hAnsi="Calibri" w:cs="Calibri"/>
          <w:sz w:val="21"/>
          <w:szCs w:val="21"/>
        </w:rPr>
        <w:fldChar w:fldCharType="begin"/>
      </w:r>
      <w:r>
        <w:rPr>
          <w:rFonts w:hint="default" w:ascii="Calibri" w:hAnsi="Calibri" w:cs="Calibri"/>
          <w:sz w:val="21"/>
          <w:szCs w:val="21"/>
        </w:rPr>
        <w:instrText xml:space="preserve"> HYPERLINK "https://www.epa.gov/enforcement/learn-about-volkswagen-violations" \h </w:instrText>
      </w:r>
      <w:r>
        <w:rPr>
          <w:rFonts w:hint="default" w:ascii="Calibri" w:hAnsi="Calibri" w:cs="Calibri"/>
          <w:sz w:val="21"/>
          <w:szCs w:val="21"/>
        </w:rPr>
        <w:fldChar w:fldCharType="separate"/>
      </w:r>
      <w:r>
        <w:rPr>
          <w:rFonts w:hint="default" w:ascii="Calibri" w:hAnsi="Calibri" w:cs="Calibri"/>
          <w:color w:val="1C3A5E"/>
          <w:sz w:val="21"/>
          <w:szCs w:val="21"/>
          <w:u w:val="single"/>
        </w:rPr>
        <w:t>Open source</w:t>
      </w:r>
      <w:r>
        <w:rPr>
          <w:rFonts w:hint="default" w:ascii="Calibri" w:hAnsi="Calibri" w:cs="Calibri"/>
          <w:color w:val="1C3A5E"/>
          <w:sz w:val="21"/>
          <w:szCs w:val="21"/>
          <w:u w:val="single"/>
        </w:rPr>
        <w:fldChar w:fldCharType="end"/>
      </w:r>
    </w:p>
    <w:p w14:paraId="1E26DCA6">
      <w:pPr>
        <w:keepLines/>
        <w:spacing w:after="60"/>
        <w:ind w:left="317" w:hanging="317"/>
        <w:rPr>
          <w:rFonts w:hint="default" w:ascii="Calibri" w:hAnsi="Calibri" w:cs="Calibri"/>
          <w:sz w:val="21"/>
          <w:szCs w:val="21"/>
        </w:rPr>
      </w:pPr>
      <w:r>
        <w:rPr>
          <w:rFonts w:hint="default" w:ascii="Calibri" w:hAnsi="Calibri" w:cs="Calibri"/>
          <w:b w:val="0"/>
          <w:i w:val="0"/>
          <w:sz w:val="21"/>
          <w:szCs w:val="21"/>
        </w:rPr>
        <w:t xml:space="preserve">[3] Volkswagen AG. “Volkswagen AG has issued the following information,” 22 September 2015. </w:t>
      </w:r>
      <w:r>
        <w:rPr>
          <w:rFonts w:hint="default" w:ascii="Calibri" w:hAnsi="Calibri" w:cs="Calibri"/>
          <w:sz w:val="21"/>
          <w:szCs w:val="21"/>
        </w:rPr>
        <w:fldChar w:fldCharType="begin"/>
      </w:r>
      <w:r>
        <w:rPr>
          <w:rFonts w:hint="default" w:ascii="Calibri" w:hAnsi="Calibri" w:cs="Calibri"/>
          <w:sz w:val="21"/>
          <w:szCs w:val="21"/>
        </w:rPr>
        <w:instrText xml:space="preserve"> HYPERLINK "https://www.vwpress.co.uk/releases/2396" \h </w:instrText>
      </w:r>
      <w:r>
        <w:rPr>
          <w:rFonts w:hint="default" w:ascii="Calibri" w:hAnsi="Calibri" w:cs="Calibri"/>
          <w:sz w:val="21"/>
          <w:szCs w:val="21"/>
        </w:rPr>
        <w:fldChar w:fldCharType="separate"/>
      </w:r>
      <w:r>
        <w:rPr>
          <w:rFonts w:hint="default" w:ascii="Calibri" w:hAnsi="Calibri" w:cs="Calibri"/>
          <w:color w:val="1C3A5E"/>
          <w:sz w:val="21"/>
          <w:szCs w:val="21"/>
          <w:u w:val="single"/>
        </w:rPr>
        <w:t>Open source</w:t>
      </w:r>
      <w:r>
        <w:rPr>
          <w:rFonts w:hint="default" w:ascii="Calibri" w:hAnsi="Calibri" w:cs="Calibri"/>
          <w:color w:val="1C3A5E"/>
          <w:sz w:val="21"/>
          <w:szCs w:val="21"/>
          <w:u w:val="single"/>
        </w:rPr>
        <w:fldChar w:fldCharType="end"/>
      </w:r>
    </w:p>
    <w:p w14:paraId="1B23BFFB">
      <w:pPr>
        <w:keepLines/>
        <w:spacing w:after="60"/>
        <w:ind w:left="317" w:hanging="317"/>
        <w:rPr>
          <w:rFonts w:hint="default" w:ascii="Calibri" w:hAnsi="Calibri" w:cs="Calibri"/>
          <w:sz w:val="21"/>
          <w:szCs w:val="21"/>
        </w:rPr>
      </w:pPr>
      <w:r>
        <w:rPr>
          <w:rFonts w:hint="default" w:ascii="Calibri" w:hAnsi="Calibri" w:cs="Calibri"/>
          <w:b w:val="0"/>
          <w:i w:val="0"/>
          <w:sz w:val="21"/>
          <w:szCs w:val="21"/>
        </w:rPr>
        <w:t xml:space="preserve">[4] Steitz, C., &amp; Schwartz, J. “Volkswagen CEO deeply sorry for breach of US environment rules.” Reuters, 20 September 2015. </w:t>
      </w:r>
      <w:r>
        <w:rPr>
          <w:rFonts w:hint="default" w:ascii="Calibri" w:hAnsi="Calibri" w:cs="Calibri"/>
          <w:sz w:val="21"/>
          <w:szCs w:val="21"/>
        </w:rPr>
        <w:fldChar w:fldCharType="begin"/>
      </w:r>
      <w:r>
        <w:rPr>
          <w:rFonts w:hint="default" w:ascii="Calibri" w:hAnsi="Calibri" w:cs="Calibri"/>
          <w:sz w:val="21"/>
          <w:szCs w:val="21"/>
        </w:rPr>
        <w:instrText xml:space="preserve"> HYPERLINK "https://www.reuters.com/article/technology/volkswagen-ceo-deeply-sorry-for-breach-of-us-environment-rules-idUSKCN0RK0K5/" \h </w:instrText>
      </w:r>
      <w:r>
        <w:rPr>
          <w:rFonts w:hint="default" w:ascii="Calibri" w:hAnsi="Calibri" w:cs="Calibri"/>
          <w:sz w:val="21"/>
          <w:szCs w:val="21"/>
        </w:rPr>
        <w:fldChar w:fldCharType="separate"/>
      </w:r>
      <w:r>
        <w:rPr>
          <w:rFonts w:hint="default" w:ascii="Calibri" w:hAnsi="Calibri" w:cs="Calibri"/>
          <w:color w:val="1C3A5E"/>
          <w:sz w:val="21"/>
          <w:szCs w:val="21"/>
          <w:u w:val="single"/>
        </w:rPr>
        <w:t>Open source</w:t>
      </w:r>
      <w:r>
        <w:rPr>
          <w:rFonts w:hint="default" w:ascii="Calibri" w:hAnsi="Calibri" w:cs="Calibri"/>
          <w:color w:val="1C3A5E"/>
          <w:sz w:val="21"/>
          <w:szCs w:val="21"/>
          <w:u w:val="single"/>
        </w:rPr>
        <w:fldChar w:fldCharType="end"/>
      </w:r>
    </w:p>
    <w:p w14:paraId="7C90E898">
      <w:pPr>
        <w:keepLines/>
        <w:spacing w:after="60"/>
        <w:ind w:left="317" w:hanging="317"/>
        <w:rPr>
          <w:rFonts w:hint="default" w:ascii="Calibri" w:hAnsi="Calibri" w:cs="Calibri"/>
          <w:sz w:val="21"/>
          <w:szCs w:val="21"/>
        </w:rPr>
      </w:pPr>
      <w:r>
        <w:rPr>
          <w:rFonts w:hint="default" w:ascii="Calibri" w:hAnsi="Calibri" w:cs="Calibri"/>
          <w:b w:val="0"/>
          <w:i w:val="0"/>
          <w:sz w:val="21"/>
          <w:szCs w:val="21"/>
        </w:rPr>
        <w:t xml:space="preserve">[5] U.S. Department of Justice. Volkswagen AG Agrees to Plead Guilty and Pay $4.3 Billion in Criminal and Civil Penalties, 11 January 2017. </w:t>
      </w:r>
      <w:r>
        <w:rPr>
          <w:rFonts w:hint="default" w:ascii="Calibri" w:hAnsi="Calibri" w:cs="Calibri"/>
          <w:sz w:val="21"/>
          <w:szCs w:val="21"/>
        </w:rPr>
        <w:fldChar w:fldCharType="begin"/>
      </w:r>
      <w:r>
        <w:rPr>
          <w:rFonts w:hint="default" w:ascii="Calibri" w:hAnsi="Calibri" w:cs="Calibri"/>
          <w:sz w:val="21"/>
          <w:szCs w:val="21"/>
        </w:rPr>
        <w:instrText xml:space="preserve"> HYPERLINK "https://www.justice.gov/archives/opa/pr/volkswagen-ag-agrees-plead-guilty-and-pay-43-billion-criminal-and-civil-penalties-six" \h </w:instrText>
      </w:r>
      <w:r>
        <w:rPr>
          <w:rFonts w:hint="default" w:ascii="Calibri" w:hAnsi="Calibri" w:cs="Calibri"/>
          <w:sz w:val="21"/>
          <w:szCs w:val="21"/>
        </w:rPr>
        <w:fldChar w:fldCharType="separate"/>
      </w:r>
      <w:r>
        <w:rPr>
          <w:rFonts w:hint="default" w:ascii="Calibri" w:hAnsi="Calibri" w:cs="Calibri"/>
          <w:color w:val="1C3A5E"/>
          <w:sz w:val="21"/>
          <w:szCs w:val="21"/>
          <w:u w:val="single"/>
        </w:rPr>
        <w:t>Open source</w:t>
      </w:r>
      <w:r>
        <w:rPr>
          <w:rFonts w:hint="default" w:ascii="Calibri" w:hAnsi="Calibri" w:cs="Calibri"/>
          <w:color w:val="1C3A5E"/>
          <w:sz w:val="21"/>
          <w:szCs w:val="21"/>
          <w:u w:val="single"/>
        </w:rPr>
        <w:fldChar w:fldCharType="end"/>
      </w:r>
    </w:p>
    <w:sectPr>
      <w:footerReference r:id="rId5" w:type="default"/>
      <w:pgSz w:w="12240" w:h="15840"/>
      <w:pgMar w:top="979" w:right="1123" w:bottom="979" w:left="1123"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mbria">
    <w:panose1 w:val="02040503050406030204"/>
    <w:charset w:val="00"/>
    <w:family w:val="auto"/>
    <w:pitch w:val="default"/>
    <w:sig w:usb0="E00006FF" w:usb1="420024FF" w:usb2="02000000" w:usb3="00000000" w:csb0="2000019F" w:csb1="00000000"/>
  </w:font>
  <w:font w:name="ＭＳ 明朝">
    <w:altName w:val="Yu Gothic"/>
    <w:panose1 w:val="00000000000000000000"/>
    <w:charset w:val="80"/>
    <w:family w:val="roman"/>
    <w:pitch w:val="default"/>
    <w:sig w:usb0="00000000" w:usb1="00000000" w:usb2="00000010" w:usb3="00000000" w:csb0="00020000" w:csb1="00000000"/>
  </w:font>
  <w:font w:name="ＭＳ 明朝">
    <w:altName w:val="SimSun"/>
    <w:panose1 w:val="00000000000000000000"/>
    <w:charset w:val="86"/>
    <w:family w:val="auto"/>
    <w:pitch w:val="default"/>
    <w:sig w:usb0="00000000" w:usb1="00000000" w:usb2="00000000" w:usb3="00000000" w:csb0="00000000" w:csb1="0000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auto"/>
    <w:pitch w:val="default"/>
    <w:sig w:usb0="00000000" w:usb1="00000000" w:usb2="00000000" w:usb3="00000000" w:csb0="80000000" w:csb1="00000000"/>
  </w:font>
  <w:font w:name="Courier">
    <w:altName w:val="Courier New"/>
    <w:panose1 w:val="02000500000000000000"/>
    <w:charset w:val="00"/>
    <w:family w:val="auto"/>
    <w:pitch w:val="default"/>
    <w:sig w:usb0="00000000" w:usb1="00000000" w:usb2="00000000" w:usb3="00000000" w:csb0="00000001" w:csb1="00000000"/>
  </w:font>
  <w:font w:name="ＭＳ 明朝">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85647A6">
    <w:pPr>
      <w:pStyle w:val="18"/>
      <w:spacing w:before="80"/>
      <w:jc w:val="center"/>
    </w:pPr>
    <w:r>
      <w:rPr>
        <w:rFonts w:ascii="Calibri" w:hAnsi="Calibri"/>
        <w:color w:val="566575"/>
        <w:sz w:val="16"/>
      </w:rPr>
      <w:t xml:space="preserve">BMBM6008 Global Ethics  |  Activity 1 Answer Guide  |  Page </w:t>
    </w:r>
    <w:r>
      <w:fldChar w:fldCharType="begin"/>
    </w:r>
    <w:r>
      <w:instrText xml:space="preserve">PAGE</w:instrText>
    </w:r>
    <w:r>
      <w:fldChar w:fldCharType="separate"/>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31"/>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30"/>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25"/>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4"/>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29"/>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23"/>
      <w:lvlText w:val=""/>
      <w:lvlJc w:val="left"/>
      <w:pPr>
        <w:tabs>
          <w:tab w:val="left" w:pos="360"/>
        </w:tabs>
        <w:ind w:left="360" w:hanging="360"/>
      </w:pPr>
      <w:rPr>
        <w:rFonts w:hint="default" w:ascii="Symbol" w:hAnsi="Symbol"/>
      </w:rPr>
    </w:lvl>
  </w:abstractNum>
  <w:num w:numId="1">
    <w:abstractNumId w:val="5"/>
  </w:num>
  <w:num w:numId="2">
    <w:abstractNumId w:val="3"/>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37EF3C2B"/>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doNotIncludeSubdocsInStats/>
  <w14:defaultImageDpi w14:val="300"/>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qFormat="1" w:uiPriority="99" w:semiHidden="0" w:name="macro"/>
    <w:lsdException w:uiPriority="99" w:name="toa heading"/>
    <w:lsdException w:qFormat="1" w:uiPriority="99" w:semiHidden="0" w:name="List"/>
    <w:lsdException w:qFormat="1" w:uiPriority="99" w:semiHidden="0" w:name="List Bullet"/>
    <w:lsdException w:qFormat="1" w:uiPriority="99" w:semiHidden="0" w:name="List Number"/>
    <w:lsdException w:qFormat="1" w:uiPriority="99" w:semiHidden="0" w:name="List 2"/>
    <w:lsdException w:qFormat="1" w:uiPriority="99" w:semiHidden="0" w:name="List 3"/>
    <w:lsdException w:uiPriority="99" w:name="List 4"/>
    <w:lsdException w:uiPriority="99" w:name="List 5"/>
    <w:lsdException w:qFormat="1" w:uiPriority="99" w:semiHidden="0" w:name="List Bullet 2"/>
    <w:lsdException w:qFormat="1" w:uiPriority="99" w:semiHidden="0" w:name="List Bullet 3"/>
    <w:lsdException w:uiPriority="99" w:name="List Bullet 4"/>
    <w:lsdException w:uiPriority="99" w:name="List Bullet 5"/>
    <w:lsdException w:qFormat="1" w:uiPriority="99" w:semiHidden="0" w:name="List Number 2"/>
    <w:lsdException w:qFormat="1"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qFormat="1" w:uiPriority="99" w:semiHidden="0" w:name="List Continue"/>
    <w:lsdException w:qFormat="1" w:uiPriority="99" w:semiHidden="0" w:name="List Continue 2"/>
    <w:lsdException w:qFormat="1"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iPriority="99" w:semiHidden="0" w:name="Body Text 2"/>
    <w:lsdException w:qFormat="1" w:uiPriority="99" w:semiHidden="0"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qFormat="1"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qFormat="1" w:unhideWhenUsed="0" w:uiPriority="64" w:semiHidden="0" w:name="Medium Shading 2"/>
    <w:lsdException w:qFormat="1" w:unhideWhenUsed="0" w:uiPriority="65" w:semiHidden="0" w:name="Medium List 1"/>
    <w:lsdException w:qFormat="1" w:unhideWhenUsed="0" w:uiPriority="66" w:semiHidden="0" w:name="Medium List 2"/>
    <w:lsdException w:qFormat="1" w:unhideWhenUsed="0" w:uiPriority="67" w:semiHidden="0" w:name="Medium Grid 1"/>
    <w:lsdException w:qFormat="1"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qFormat="1" w:unhideWhenUsed="0" w:uiPriority="72" w:semiHidden="0" w:name="Colorful List"/>
    <w:lsdException w:qFormat="1" w:unhideWhenUsed="0" w:uiPriority="73" w:semiHidden="0" w:name="Colorful Grid"/>
    <w:lsdException w:qFormat="1" w:unhideWhenUsed="0" w:uiPriority="60" w:semiHidden="0" w:name="Light Shading Accent 1"/>
    <w:lsdException w:qFormat="1" w:unhideWhenUsed="0" w:uiPriority="61" w:semiHidden="0" w:name="Light List Accent 1"/>
    <w:lsdException w:qFormat="1" w:unhideWhenUsed="0" w:uiPriority="62" w:semiHidden="0" w:name="Light Grid Accent 1"/>
    <w:lsdException w:unhideWhenUsed="0" w:uiPriority="63" w:semiHidden="0" w:name="Medium Shading 1 Accent 1"/>
    <w:lsdException w:qFormat="1" w:unhideWhenUsed="0" w:uiPriority="64" w:semiHidden="0" w:name="Medium Shading 2 Accent 1"/>
    <w:lsdException w:qFormat="1"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qFormat="1" w:unhideWhenUsed="0" w:uiPriority="66" w:semiHidden="0" w:name="Medium List 2 Accent 1"/>
    <w:lsdException w:qFormat="1" w:unhideWhenUsed="0" w:uiPriority="67" w:semiHidden="0" w:name="Medium Grid 1 Accent 1"/>
    <w:lsdException w:qFormat="1"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qFormat="1" w:unhideWhenUsed="0" w:uiPriority="60" w:semiHidden="0" w:name="Light Shading Accent 2"/>
    <w:lsdException w:qFormat="1" w:unhideWhenUsed="0" w:uiPriority="61" w:semiHidden="0" w:name="Light List Accent 2"/>
    <w:lsdException w:qFormat="1" w:unhideWhenUsed="0" w:uiPriority="62" w:semiHidden="0" w:name="Light Grid Accent 2"/>
    <w:lsdException w:qFormat="1" w:unhideWhenUsed="0" w:uiPriority="63" w:semiHidden="0" w:name="Medium Shading 1 Accent 2"/>
    <w:lsdException w:qFormat="1" w:unhideWhenUsed="0" w:uiPriority="64" w:semiHidden="0" w:name="Medium Shading 2 Accent 2"/>
    <w:lsdException w:qFormat="1" w:unhideWhenUsed="0" w:uiPriority="65" w:semiHidden="0" w:name="Medium List 1 Accent 2"/>
    <w:lsdException w:qFormat="1" w:unhideWhenUsed="0" w:uiPriority="66" w:semiHidden="0" w:name="Medium List 2 Accent 2"/>
    <w:lsdException w:qFormat="1" w:unhideWhenUsed="0" w:uiPriority="67" w:semiHidden="0" w:name="Medium Grid 1 Accent 2"/>
    <w:lsdException w:qFormat="1"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qFormat="1" w:unhideWhenUsed="0" w:uiPriority="60" w:semiHidden="0" w:name="Light Shading Accent 3"/>
    <w:lsdException w:qFormat="1" w:unhideWhenUsed="0" w:uiPriority="61" w:semiHidden="0" w:name="Light List Accent 3"/>
    <w:lsdException w:qFormat="1" w:unhideWhenUsed="0" w:uiPriority="62" w:semiHidden="0" w:name="Light Grid Accent 3"/>
    <w:lsdException w:unhideWhenUsed="0" w:uiPriority="63" w:semiHidden="0" w:name="Medium Shading 1 Accent 3"/>
    <w:lsdException w:qFormat="1" w:unhideWhenUsed="0" w:uiPriority="64" w:semiHidden="0" w:name="Medium Shading 2 Accent 3"/>
    <w:lsdException w:qFormat="1" w:unhideWhenUsed="0" w:uiPriority="65" w:semiHidden="0" w:name="Medium List 1 Accent 3"/>
    <w:lsdException w:qFormat="1" w:unhideWhenUsed="0" w:uiPriority="66" w:semiHidden="0" w:name="Medium List 2 Accent 3"/>
    <w:lsdException w:qFormat="1" w:unhideWhenUsed="0" w:uiPriority="67" w:semiHidden="0" w:name="Medium Grid 1 Accent 3"/>
    <w:lsdException w:qFormat="1" w:unhideWhenUsed="0" w:uiPriority="68" w:semiHidden="0" w:name="Medium Grid 2 Accent 3"/>
    <w:lsdException w:unhideWhenUsed="0" w:uiPriority="69" w:semiHidden="0" w:name="Medium Grid 3 Accent 3"/>
    <w:lsdException w:unhideWhenUsed="0" w:uiPriority="70" w:semiHidden="0" w:name="Dark List Accent 3"/>
    <w:lsdException w:qFormat="1"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qFormat="1" w:unhideWhenUsed="0" w:uiPriority="60" w:semiHidden="0" w:name="Light Shading Accent 4"/>
    <w:lsdException w:qFormat="1" w:unhideWhenUsed="0" w:uiPriority="61" w:semiHidden="0" w:name="Light List Accent 4"/>
    <w:lsdException w:qFormat="1" w:unhideWhenUsed="0" w:uiPriority="62" w:semiHidden="0" w:name="Light Grid Accent 4"/>
    <w:lsdException w:qFormat="1"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qFormat="1" w:unhideWhenUsed="0" w:uiPriority="66" w:semiHidden="0" w:name="Medium List 2 Accent 4"/>
    <w:lsdException w:qFormat="1"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qFormat="1"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qFormat="1" w:unhideWhenUsed="0" w:uiPriority="60" w:semiHidden="0" w:name="Light Shading Accent 5"/>
    <w:lsdException w:qFormat="1"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qFormat="1" w:unhideWhenUsed="0" w:uiPriority="65" w:semiHidden="0" w:name="Medium List 1 Accent 5"/>
    <w:lsdException w:qFormat="1" w:unhideWhenUsed="0" w:uiPriority="66" w:semiHidden="0" w:name="Medium List 2 Accent 5"/>
    <w:lsdException w:qFormat="1"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qFormat="1"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qFormat="1" w:unhideWhenUsed="0" w:uiPriority="60" w:semiHidden="0" w:name="Light Shading Accent 6"/>
    <w:lsdException w:unhideWhenUsed="0" w:uiPriority="61" w:semiHidden="0" w:name="Light List Accent 6"/>
    <w:lsdException w:qFormat="1" w:unhideWhenUsed="0" w:uiPriority="62" w:semiHidden="0" w:name="Light Grid Accent 6"/>
    <w:lsdException w:qFormat="1" w:unhideWhenUsed="0" w:uiPriority="63" w:semiHidden="0" w:name="Medium Shading 1 Accent 6"/>
    <w:lsdException w:qFormat="1" w:unhideWhenUsed="0" w:uiPriority="64" w:semiHidden="0" w:name="Medium Shading 2 Accent 6"/>
    <w:lsdException w:qFormat="1" w:unhideWhenUsed="0" w:uiPriority="65" w:semiHidden="0" w:name="Medium List 1 Accent 6"/>
    <w:lsdException w:qFormat="1" w:unhideWhenUsed="0" w:uiPriority="66" w:semiHidden="0" w:name="Medium List 2 Accent 6"/>
    <w:lsdException w:qFormat="1"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qFormat="1" w:unhideWhenUsed="0" w:uiPriority="71" w:semiHidden="0" w:name="Colorful Shading Accent 6"/>
    <w:lsdException w:qFormat="1" w:unhideWhenUsed="0" w:uiPriority="72" w:semiHidden="0" w:name="Colorful List Accent 6"/>
    <w:lsdException w:qFormat="1" w:unhideWhenUsed="0" w:uiPriority="73" w:semiHidden="0" w:name="Colorful Grid Accent 6"/>
  </w:latentStyles>
  <w:style w:type="paragraph" w:default="1" w:styleId="1">
    <w:name w:val="Normal"/>
    <w:qFormat/>
    <w:uiPriority w:val="0"/>
    <w:pPr>
      <w:spacing w:after="100" w:line="259" w:lineRule="auto"/>
    </w:pPr>
    <w:rPr>
      <w:rFonts w:ascii="Calibri" w:hAnsi="Calibri" w:eastAsiaTheme="minorEastAsia" w:cstheme="minorBidi"/>
      <w:color w:val="222222"/>
      <w:sz w:val="21"/>
      <w:szCs w:val="22"/>
      <w:lang w:val="en-US" w:eastAsia="en-US" w:bidi="ar-SA"/>
    </w:rPr>
  </w:style>
  <w:style w:type="paragraph" w:styleId="2">
    <w:name w:val="heading 1"/>
    <w:basedOn w:val="1"/>
    <w:next w:val="1"/>
    <w:link w:val="138"/>
    <w:qFormat/>
    <w:uiPriority w:val="9"/>
    <w:pPr>
      <w:keepNext/>
      <w:keepLines/>
      <w:spacing w:before="200" w:after="80"/>
      <w:outlineLvl w:val="0"/>
    </w:pPr>
    <w:rPr>
      <w:rFonts w:asciiTheme="majorHAnsi" w:hAnsiTheme="majorHAnsi" w:eastAsiaTheme="majorEastAsia" w:cstheme="majorBidi"/>
      <w:b/>
      <w:bCs/>
      <w:color w:val="000000"/>
      <w:sz w:val="30"/>
      <w:szCs w:val="28"/>
    </w:rPr>
  </w:style>
  <w:style w:type="paragraph" w:styleId="3">
    <w:name w:val="heading 2"/>
    <w:basedOn w:val="1"/>
    <w:next w:val="1"/>
    <w:link w:val="139"/>
    <w:unhideWhenUsed/>
    <w:qFormat/>
    <w:uiPriority w:val="9"/>
    <w:pPr>
      <w:keepNext/>
      <w:keepLines/>
      <w:spacing w:before="120" w:after="40"/>
      <w:outlineLvl w:val="1"/>
    </w:pPr>
    <w:rPr>
      <w:rFonts w:asciiTheme="majorHAnsi" w:hAnsiTheme="majorHAnsi" w:eastAsiaTheme="majorEastAsia" w:cstheme="majorBidi"/>
      <w:b/>
      <w:bCs/>
      <w:color w:val="000000"/>
      <w:sz w:val="24"/>
      <w:szCs w:val="26"/>
    </w:rPr>
  </w:style>
  <w:style w:type="paragraph" w:styleId="4">
    <w:name w:val="heading 3"/>
    <w:basedOn w:val="1"/>
    <w:next w:val="1"/>
    <w:link w:val="140"/>
    <w:unhideWhenUsed/>
    <w:qFormat/>
    <w:uiPriority w:val="9"/>
    <w:pPr>
      <w:keepNext/>
      <w:keepLines/>
      <w:spacing w:before="200" w:after="0"/>
      <w:outlineLvl w:val="2"/>
    </w:pPr>
    <w:rPr>
      <w:rFonts w:asciiTheme="majorHAnsi" w:hAnsiTheme="majorHAnsi" w:eastAsiaTheme="majorEastAsia" w:cstheme="majorBidi"/>
      <w:b/>
      <w:bCs/>
      <w:color w:val="000000"/>
      <w:sz w:val="21"/>
    </w:rPr>
  </w:style>
  <w:style w:type="paragraph" w:styleId="5">
    <w:name w:val="heading 4"/>
    <w:basedOn w:val="1"/>
    <w:next w:val="1"/>
    <w:link w:val="150"/>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6">
    <w:name w:val="heading 5"/>
    <w:basedOn w:val="1"/>
    <w:next w:val="1"/>
    <w:link w:val="151"/>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7">
    <w:name w:val="heading 6"/>
    <w:basedOn w:val="1"/>
    <w:next w:val="1"/>
    <w:link w:val="152"/>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8">
    <w:name w:val="heading 7"/>
    <w:basedOn w:val="1"/>
    <w:next w:val="1"/>
    <w:link w:val="153"/>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154"/>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0">
    <w:name w:val="heading 9"/>
    <w:basedOn w:val="1"/>
    <w:next w:val="1"/>
    <w:link w:val="155"/>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Body Text"/>
    <w:basedOn w:val="1"/>
    <w:link w:val="144"/>
    <w:unhideWhenUsed/>
    <w:qFormat/>
    <w:uiPriority w:val="99"/>
    <w:pPr>
      <w:spacing w:after="120"/>
    </w:pPr>
  </w:style>
  <w:style w:type="paragraph" w:styleId="14">
    <w:name w:val="Body Text 2"/>
    <w:basedOn w:val="1"/>
    <w:link w:val="145"/>
    <w:unhideWhenUsed/>
    <w:qFormat/>
    <w:uiPriority w:val="99"/>
    <w:pPr>
      <w:spacing w:after="120" w:line="480" w:lineRule="auto"/>
    </w:pPr>
  </w:style>
  <w:style w:type="paragraph" w:styleId="15">
    <w:name w:val="Body Text 3"/>
    <w:basedOn w:val="1"/>
    <w:link w:val="146"/>
    <w:unhideWhenUsed/>
    <w:qFormat/>
    <w:uiPriority w:val="99"/>
    <w:pPr>
      <w:spacing w:after="120"/>
    </w:pPr>
    <w:rPr>
      <w:sz w:val="16"/>
      <w:szCs w:val="16"/>
    </w:rPr>
  </w:style>
  <w:style w:type="paragraph" w:styleId="16">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character" w:styleId="17">
    <w:name w:val="Emphasis"/>
    <w:basedOn w:val="11"/>
    <w:qFormat/>
    <w:uiPriority w:val="20"/>
    <w:rPr>
      <w:i/>
      <w:iCs/>
    </w:rPr>
  </w:style>
  <w:style w:type="paragraph" w:styleId="18">
    <w:name w:val="footer"/>
    <w:basedOn w:val="1"/>
    <w:link w:val="136"/>
    <w:unhideWhenUsed/>
    <w:qFormat/>
    <w:uiPriority w:val="99"/>
    <w:pPr>
      <w:tabs>
        <w:tab w:val="center" w:pos="4680"/>
        <w:tab w:val="right" w:pos="9360"/>
      </w:tabs>
      <w:spacing w:after="0" w:line="240" w:lineRule="auto"/>
    </w:pPr>
  </w:style>
  <w:style w:type="paragraph" w:styleId="19">
    <w:name w:val="header"/>
    <w:basedOn w:val="1"/>
    <w:link w:val="135"/>
    <w:unhideWhenUsed/>
    <w:qFormat/>
    <w:uiPriority w:val="99"/>
    <w:pPr>
      <w:tabs>
        <w:tab w:val="center" w:pos="4680"/>
        <w:tab w:val="right" w:pos="9360"/>
      </w:tabs>
      <w:spacing w:after="0" w:line="240" w:lineRule="auto"/>
    </w:pPr>
  </w:style>
  <w:style w:type="paragraph" w:styleId="20">
    <w:name w:val="List"/>
    <w:basedOn w:val="1"/>
    <w:unhideWhenUsed/>
    <w:qFormat/>
    <w:uiPriority w:val="99"/>
    <w:pPr>
      <w:ind w:left="360" w:hanging="360"/>
      <w:contextualSpacing/>
    </w:pPr>
  </w:style>
  <w:style w:type="paragraph" w:styleId="21">
    <w:name w:val="List 2"/>
    <w:basedOn w:val="1"/>
    <w:unhideWhenUsed/>
    <w:qFormat/>
    <w:uiPriority w:val="99"/>
    <w:pPr>
      <w:ind w:left="720" w:hanging="360"/>
      <w:contextualSpacing/>
    </w:pPr>
  </w:style>
  <w:style w:type="paragraph" w:styleId="22">
    <w:name w:val="List 3"/>
    <w:basedOn w:val="1"/>
    <w:unhideWhenUsed/>
    <w:qFormat/>
    <w:uiPriority w:val="99"/>
    <w:pPr>
      <w:ind w:left="1080" w:hanging="360"/>
      <w:contextualSpacing/>
    </w:pPr>
  </w:style>
  <w:style w:type="paragraph" w:styleId="23">
    <w:name w:val="List Bullet"/>
    <w:basedOn w:val="1"/>
    <w:unhideWhenUsed/>
    <w:qFormat/>
    <w:uiPriority w:val="99"/>
    <w:pPr>
      <w:numPr>
        <w:ilvl w:val="0"/>
        <w:numId w:val="1"/>
      </w:numPr>
      <w:contextualSpacing/>
    </w:pPr>
  </w:style>
  <w:style w:type="paragraph" w:styleId="24">
    <w:name w:val="List Bullet 2"/>
    <w:basedOn w:val="1"/>
    <w:unhideWhenUsed/>
    <w:qFormat/>
    <w:uiPriority w:val="99"/>
    <w:pPr>
      <w:numPr>
        <w:ilvl w:val="0"/>
        <w:numId w:val="2"/>
      </w:numPr>
      <w:contextualSpacing/>
    </w:pPr>
  </w:style>
  <w:style w:type="paragraph" w:styleId="25">
    <w:name w:val="List Bullet 3"/>
    <w:basedOn w:val="1"/>
    <w:unhideWhenUsed/>
    <w:qFormat/>
    <w:uiPriority w:val="99"/>
    <w:pPr>
      <w:numPr>
        <w:ilvl w:val="0"/>
        <w:numId w:val="3"/>
      </w:numPr>
      <w:contextualSpacing/>
    </w:pPr>
  </w:style>
  <w:style w:type="paragraph" w:styleId="26">
    <w:name w:val="List Continue"/>
    <w:basedOn w:val="1"/>
    <w:unhideWhenUsed/>
    <w:qFormat/>
    <w:uiPriority w:val="99"/>
    <w:pPr>
      <w:spacing w:after="120"/>
      <w:ind w:left="360"/>
      <w:contextualSpacing/>
    </w:pPr>
  </w:style>
  <w:style w:type="paragraph" w:styleId="27">
    <w:name w:val="List Continue 2"/>
    <w:basedOn w:val="1"/>
    <w:unhideWhenUsed/>
    <w:qFormat/>
    <w:uiPriority w:val="99"/>
    <w:pPr>
      <w:spacing w:after="120"/>
      <w:ind w:left="720"/>
      <w:contextualSpacing/>
    </w:pPr>
  </w:style>
  <w:style w:type="paragraph" w:styleId="28">
    <w:name w:val="List Continue 3"/>
    <w:basedOn w:val="1"/>
    <w:unhideWhenUsed/>
    <w:qFormat/>
    <w:uiPriority w:val="99"/>
    <w:pPr>
      <w:spacing w:after="120"/>
      <w:ind w:left="1080"/>
      <w:contextualSpacing/>
    </w:pPr>
  </w:style>
  <w:style w:type="paragraph" w:styleId="29">
    <w:name w:val="List Number"/>
    <w:basedOn w:val="1"/>
    <w:unhideWhenUsed/>
    <w:qFormat/>
    <w:uiPriority w:val="99"/>
    <w:pPr>
      <w:numPr>
        <w:ilvl w:val="0"/>
        <w:numId w:val="4"/>
      </w:numPr>
      <w:contextualSpacing/>
    </w:pPr>
  </w:style>
  <w:style w:type="paragraph" w:styleId="30">
    <w:name w:val="List Number 2"/>
    <w:basedOn w:val="1"/>
    <w:unhideWhenUsed/>
    <w:qFormat/>
    <w:uiPriority w:val="99"/>
    <w:pPr>
      <w:numPr>
        <w:ilvl w:val="0"/>
        <w:numId w:val="5"/>
      </w:numPr>
      <w:contextualSpacing/>
    </w:pPr>
  </w:style>
  <w:style w:type="paragraph" w:styleId="31">
    <w:name w:val="List Number 3"/>
    <w:basedOn w:val="1"/>
    <w:unhideWhenUsed/>
    <w:qFormat/>
    <w:uiPriority w:val="99"/>
    <w:pPr>
      <w:numPr>
        <w:ilvl w:val="0"/>
        <w:numId w:val="6"/>
      </w:numPr>
      <w:contextualSpacing/>
    </w:pPr>
  </w:style>
  <w:style w:type="paragraph" w:styleId="32">
    <w:name w:val="macro"/>
    <w:link w:val="147"/>
    <w:unhideWhenUsed/>
    <w:qFormat/>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character" w:styleId="33">
    <w:name w:val="Strong"/>
    <w:basedOn w:val="11"/>
    <w:qFormat/>
    <w:uiPriority w:val="22"/>
    <w:rPr>
      <w:b/>
      <w:bCs/>
    </w:rPr>
  </w:style>
  <w:style w:type="paragraph" w:styleId="34">
    <w:name w:val="Subtitle"/>
    <w:basedOn w:val="1"/>
    <w:next w:val="1"/>
    <w:link w:val="142"/>
    <w:qFormat/>
    <w:uiPriority w:val="11"/>
    <w:pPr>
      <w:spacing w:after="240"/>
    </w:pPr>
    <w:rPr>
      <w:rFonts w:asciiTheme="majorHAnsi" w:hAnsiTheme="majorHAnsi" w:eastAsiaTheme="majorEastAsia" w:cstheme="majorBidi"/>
      <w:iCs/>
      <w:color w:val="000000"/>
      <w:spacing w:val="15"/>
      <w:sz w:val="22"/>
      <w:szCs w:val="24"/>
    </w:rPr>
  </w:style>
  <w:style w:type="table" w:styleId="35">
    <w:name w:val="Table Grid"/>
    <w:basedOn w:val="12"/>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36">
    <w:name w:val="Title"/>
    <w:basedOn w:val="1"/>
    <w:next w:val="1"/>
    <w:link w:val="141"/>
    <w:qFormat/>
    <w:uiPriority w:val="10"/>
    <w:pPr>
      <w:spacing w:after="60" w:line="240" w:lineRule="auto"/>
      <w:contextualSpacing/>
    </w:pPr>
    <w:rPr>
      <w:rFonts w:asciiTheme="majorHAnsi" w:hAnsiTheme="majorHAnsi" w:eastAsiaTheme="majorEastAsia" w:cstheme="majorBidi"/>
      <w:color w:val="000000"/>
      <w:spacing w:val="5"/>
      <w:kern w:val="28"/>
      <w:sz w:val="48"/>
      <w:szCs w:val="52"/>
    </w:rPr>
  </w:style>
  <w:style w:type="table" w:styleId="37">
    <w:name w:val="Light Shading"/>
    <w:basedOn w:val="12"/>
    <w:qFormat/>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8">
    <w:name w:val="Light Shading Accent 1"/>
    <w:basedOn w:val="12"/>
    <w:qFormat/>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39">
    <w:name w:val="Light Shading Accent 2"/>
    <w:basedOn w:val="12"/>
    <w:qFormat/>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40">
    <w:name w:val="Light Shading Accent 3"/>
    <w:basedOn w:val="12"/>
    <w:qFormat/>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1">
    <w:name w:val="Light Shading Accent 4"/>
    <w:basedOn w:val="12"/>
    <w:qFormat/>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2">
    <w:name w:val="Light Shading Accent 5"/>
    <w:basedOn w:val="12"/>
    <w:qFormat/>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3">
    <w:name w:val="Light Shading Accent 6"/>
    <w:basedOn w:val="12"/>
    <w:qFormat/>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4">
    <w:name w:val="Light List"/>
    <w:basedOn w:val="12"/>
    <w:qFormat/>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5">
    <w:name w:val="Light List Accent 1"/>
    <w:basedOn w:val="12"/>
    <w:qFormat/>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6">
    <w:name w:val="Light List Accent 2"/>
    <w:basedOn w:val="12"/>
    <w:qFormat/>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7">
    <w:name w:val="Light List Accent 3"/>
    <w:basedOn w:val="12"/>
    <w:qFormat/>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8">
    <w:name w:val="Light List Accent 4"/>
    <w:basedOn w:val="12"/>
    <w:qFormat/>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49">
    <w:name w:val="Light List Accent 5"/>
    <w:basedOn w:val="12"/>
    <w:qFormat/>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50">
    <w:name w:val="Light List Accent 6"/>
    <w:basedOn w:val="12"/>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51">
    <w:name w:val="Light Grid"/>
    <w:basedOn w:val="12"/>
    <w:qFormat/>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2">
    <w:name w:val="Light Grid Accent 1"/>
    <w:basedOn w:val="12"/>
    <w:qFormat/>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3">
    <w:name w:val="Light Grid Accent 2"/>
    <w:basedOn w:val="12"/>
    <w:qFormat/>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4">
    <w:name w:val="Light Grid Accent 3"/>
    <w:basedOn w:val="12"/>
    <w:qFormat/>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5">
    <w:name w:val="Light Grid Accent 4"/>
    <w:basedOn w:val="12"/>
    <w:qFormat/>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6">
    <w:name w:val="Light Grid Accent 5"/>
    <w:basedOn w:val="12"/>
    <w:qFormat/>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7">
    <w:name w:val="Light Grid Accent 6"/>
    <w:basedOn w:val="12"/>
    <w:qFormat/>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8">
    <w:name w:val="Medium Shading 1"/>
    <w:basedOn w:val="12"/>
    <w:qFormat/>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59">
    <w:name w:val="Medium Shading 1 Accent 1"/>
    <w:basedOn w:val="12"/>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60">
    <w:name w:val="Medium Shading 1 Accent 2"/>
    <w:basedOn w:val="12"/>
    <w:qFormat/>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61">
    <w:name w:val="Medium Shading 1 Accent 3"/>
    <w:basedOn w:val="12"/>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2">
    <w:name w:val="Medium Shading 1 Accent 4"/>
    <w:basedOn w:val="12"/>
    <w:qFormat/>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3">
    <w:name w:val="Medium Shading 1 Accent 5"/>
    <w:basedOn w:val="12"/>
    <w:qFormat/>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4">
    <w:name w:val="Medium Shading 1 Accent 6"/>
    <w:basedOn w:val="12"/>
    <w:qFormat/>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5">
    <w:name w:val="Medium Shading 2"/>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6">
    <w:name w:val="Medium Shading 2 Accent 1"/>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2"/>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3"/>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4"/>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Shading 2 Accent 5"/>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1">
    <w:name w:val="Medium Shading 2 Accent 6"/>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2">
    <w:name w:val="Medium List 1"/>
    <w:basedOn w:val="12"/>
    <w:qFormat/>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3">
    <w:name w:val="Medium List 1 Accent 1"/>
    <w:basedOn w:val="12"/>
    <w:qFormat/>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4">
    <w:name w:val="Medium List 1 Accent 2"/>
    <w:basedOn w:val="12"/>
    <w:qFormat/>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5">
    <w:name w:val="Medium List 1 Accent 3"/>
    <w:basedOn w:val="12"/>
    <w:qFormat/>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6">
    <w:name w:val="Medium List 1 Accent 4"/>
    <w:basedOn w:val="12"/>
    <w:qFormat/>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7">
    <w:name w:val="Medium List 1 Accent 5"/>
    <w:basedOn w:val="12"/>
    <w:qFormat/>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8">
    <w:name w:val="Medium List 1 Accent 6"/>
    <w:basedOn w:val="12"/>
    <w:qFormat/>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79">
    <w:name w:val="Medium List 2"/>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80">
    <w:name w:val="Medium List 2 Accent 1"/>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2"/>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3"/>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4"/>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List 2 Accent 5"/>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5">
    <w:name w:val="Medium List 2 Accent 6"/>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6">
    <w:name w:val="Medium Grid 1"/>
    <w:basedOn w:val="12"/>
    <w:qFormat/>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CellMar>
        <w:top w:w="0" w:type="dxa"/>
        <w:left w:w="108" w:type="dxa"/>
        <w:bottom w:w="0" w:type="dxa"/>
        <w:right w:w="108" w:type="dxa"/>
      </w:tblCellMar>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7">
    <w:name w:val="Medium Grid 1 Accent 1"/>
    <w:basedOn w:val="12"/>
    <w:qFormat/>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8">
    <w:name w:val="Medium Grid 1 Accent 2"/>
    <w:basedOn w:val="12"/>
    <w:qFormat/>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89">
    <w:name w:val="Medium Grid 1 Accent 3"/>
    <w:basedOn w:val="12"/>
    <w:qFormat/>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90">
    <w:name w:val="Medium Grid 1 Accent 4"/>
    <w:basedOn w:val="12"/>
    <w:qFormat/>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91">
    <w:name w:val="Medium Grid 1 Accent 5"/>
    <w:basedOn w:val="12"/>
    <w:qFormat/>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2">
    <w:name w:val="Medium Grid 1 Accent 6"/>
    <w:basedOn w:val="12"/>
    <w:qFormat/>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3">
    <w:name w:val="Medium Grid 2"/>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4">
    <w:name w:val="Medium Grid 2 Accent 1"/>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5">
    <w:name w:val="Medium Grid 2 Accent 2"/>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6">
    <w:name w:val="Medium Grid 2 Accent 3"/>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7">
    <w:name w:val="Medium Grid 2 Accent 4"/>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8">
    <w:name w:val="Medium Grid 2 Accent 5"/>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99">
    <w:name w:val="Medium Grid 2 Accent 6"/>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100">
    <w:name w:val="Medium Grid 3"/>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101">
    <w:name w:val="Medium Grid 3 Accent 1"/>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2">
    <w:name w:val="Medium Grid 3 Accent 2"/>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3">
    <w:name w:val="Medium Grid 3 Accent 3"/>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4">
    <w:name w:val="Medium Grid 3 Accent 4"/>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5">
    <w:name w:val="Medium Grid 3 Accent 5"/>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6">
    <w:name w:val="Medium Grid 3 Accent 6"/>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7">
    <w:name w:val="Dark List"/>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8">
    <w:name w:val="Dark List Accent 1"/>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09">
    <w:name w:val="Dark List Accent 2"/>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10">
    <w:name w:val="Dark List Accent 3"/>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11">
    <w:name w:val="Dark List Accent 4"/>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2">
    <w:name w:val="Dark List Accent 5"/>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3">
    <w:name w:val="Dark List Accent 6"/>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4">
    <w:name w:val="Colorful Shading"/>
    <w:basedOn w:val="1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5">
    <w:name w:val="Colorful Shading Accent 1"/>
    <w:basedOn w:val="1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6">
    <w:name w:val="Colorful Shading Accent 2"/>
    <w:basedOn w:val="1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7">
    <w:name w:val="Colorful Shading Accent 3"/>
    <w:basedOn w:val="12"/>
    <w:qFormat/>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8">
    <w:name w:val="Colorful Shading Accent 4"/>
    <w:basedOn w:val="12"/>
    <w:qFormat/>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9">
    <w:name w:val="Colorful Shading Accent 5"/>
    <w:basedOn w:val="12"/>
    <w:qFormat/>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0">
    <w:name w:val="Colorful Shading Accent 6"/>
    <w:basedOn w:val="12"/>
    <w:qFormat/>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1">
    <w:name w:val="Colorful List"/>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2">
    <w:name w:val="Colorful List Accent 1"/>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3">
    <w:name w:val="Colorful List Accent 2"/>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4">
    <w:name w:val="Colorful List Accent 3"/>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5">
    <w:name w:val="Colorful List Accent 4"/>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6">
    <w:name w:val="Colorful List Accent 5"/>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7">
    <w:name w:val="Colorful List Accent 6"/>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8">
    <w:name w:val="Colorful Grid"/>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29">
    <w:name w:val="Colorful Grid Accent 1"/>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30">
    <w:name w:val="Colorful Grid Accent 2"/>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Colorful Grid Accent 3"/>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2">
    <w:name w:val="Colorful Grid Accent 4"/>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3">
    <w:name w:val="Colorful Grid Accent 5"/>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4">
    <w:name w:val="Colorful Grid Accent 6"/>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135">
    <w:name w:val="Header Char"/>
    <w:basedOn w:val="11"/>
    <w:link w:val="19"/>
    <w:qFormat/>
    <w:uiPriority w:val="99"/>
  </w:style>
  <w:style w:type="character" w:customStyle="1" w:styleId="136">
    <w:name w:val="Footer Char"/>
    <w:basedOn w:val="11"/>
    <w:link w:val="18"/>
    <w:qFormat/>
    <w:uiPriority w:val="99"/>
  </w:style>
  <w:style w:type="paragraph" w:styleId="137">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8">
    <w:name w:val="Heading 1 Char"/>
    <w:basedOn w:val="11"/>
    <w:link w:val="2"/>
    <w:qFormat/>
    <w:uiPriority w:val="9"/>
    <w:rPr>
      <w:rFonts w:asciiTheme="majorHAnsi" w:hAnsiTheme="majorHAnsi" w:eastAsiaTheme="majorEastAsia" w:cstheme="majorBidi"/>
      <w:b/>
      <w:bCs/>
      <w:color w:val="376092" w:themeColor="accent1" w:themeShade="BF"/>
      <w:sz w:val="28"/>
      <w:szCs w:val="28"/>
    </w:rPr>
  </w:style>
  <w:style w:type="character" w:customStyle="1" w:styleId="139">
    <w:name w:val="Heading 2 Char"/>
    <w:basedOn w:val="11"/>
    <w:link w:val="3"/>
    <w:qFormat/>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0">
    <w:name w:val="Heading 3 Char"/>
    <w:basedOn w:val="11"/>
    <w:link w:val="4"/>
    <w:qFormat/>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1">
    <w:name w:val="Title Char"/>
    <w:basedOn w:val="11"/>
    <w:link w:val="36"/>
    <w:qFormat/>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2">
    <w:name w:val="Subtitle Char"/>
    <w:basedOn w:val="11"/>
    <w:link w:val="34"/>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3">
    <w:name w:val="List Paragraph"/>
    <w:basedOn w:val="1"/>
    <w:qFormat/>
    <w:uiPriority w:val="34"/>
    <w:pPr>
      <w:ind w:left="720"/>
      <w:contextualSpacing/>
    </w:pPr>
  </w:style>
  <w:style w:type="character" w:customStyle="1" w:styleId="144">
    <w:name w:val="Body Text Char"/>
    <w:basedOn w:val="11"/>
    <w:link w:val="13"/>
    <w:qFormat/>
    <w:uiPriority w:val="99"/>
  </w:style>
  <w:style w:type="character" w:customStyle="1" w:styleId="145">
    <w:name w:val="Body Text 2 Char"/>
    <w:basedOn w:val="11"/>
    <w:link w:val="14"/>
    <w:qFormat/>
    <w:uiPriority w:val="99"/>
  </w:style>
  <w:style w:type="character" w:customStyle="1" w:styleId="146">
    <w:name w:val="Body Text 3 Char"/>
    <w:basedOn w:val="11"/>
    <w:link w:val="15"/>
    <w:qFormat/>
    <w:uiPriority w:val="99"/>
    <w:rPr>
      <w:sz w:val="16"/>
      <w:szCs w:val="16"/>
    </w:rPr>
  </w:style>
  <w:style w:type="character" w:customStyle="1" w:styleId="147">
    <w:name w:val="Macro Text Char"/>
    <w:basedOn w:val="11"/>
    <w:link w:val="32"/>
    <w:qFormat/>
    <w:uiPriority w:val="99"/>
    <w:rPr>
      <w:rFonts w:ascii="Courier" w:hAnsi="Courier"/>
      <w:sz w:val="20"/>
      <w:szCs w:val="20"/>
    </w:rPr>
  </w:style>
  <w:style w:type="paragraph" w:styleId="148">
    <w:name w:val="Quote"/>
    <w:basedOn w:val="1"/>
    <w:next w:val="1"/>
    <w:link w:val="149"/>
    <w:qFormat/>
    <w:uiPriority w:val="29"/>
    <w:rPr>
      <w:i/>
      <w:iCs/>
      <w:color w:val="000000" w:themeColor="text1"/>
      <w14:textFill>
        <w14:solidFill>
          <w14:schemeClr w14:val="tx1"/>
        </w14:solidFill>
      </w14:textFill>
    </w:rPr>
  </w:style>
  <w:style w:type="character" w:customStyle="1" w:styleId="149">
    <w:name w:val="Quote Char"/>
    <w:basedOn w:val="11"/>
    <w:link w:val="148"/>
    <w:qFormat/>
    <w:uiPriority w:val="29"/>
    <w:rPr>
      <w:i/>
      <w:iCs/>
      <w:color w:val="000000" w:themeColor="text1"/>
      <w14:textFill>
        <w14:solidFill>
          <w14:schemeClr w14:val="tx1"/>
        </w14:solidFill>
      </w14:textFill>
    </w:rPr>
  </w:style>
  <w:style w:type="character" w:customStyle="1" w:styleId="150">
    <w:name w:val="Heading 4 Char"/>
    <w:basedOn w:val="11"/>
    <w:link w:val="5"/>
    <w:semiHidden/>
    <w:qFormat/>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1">
    <w:name w:val="Heading 5 Char"/>
    <w:basedOn w:val="11"/>
    <w:link w:val="6"/>
    <w:semiHidden/>
    <w:qFormat/>
    <w:uiPriority w:val="9"/>
    <w:rPr>
      <w:rFonts w:asciiTheme="majorHAnsi" w:hAnsiTheme="majorHAnsi" w:eastAsiaTheme="majorEastAsia" w:cstheme="majorBidi"/>
      <w:color w:val="254061" w:themeColor="accent1" w:themeShade="80"/>
    </w:rPr>
  </w:style>
  <w:style w:type="character" w:customStyle="1" w:styleId="152">
    <w:name w:val="Heading 6 Char"/>
    <w:basedOn w:val="11"/>
    <w:link w:val="7"/>
    <w:semiHidden/>
    <w:qFormat/>
    <w:uiPriority w:val="9"/>
    <w:rPr>
      <w:rFonts w:asciiTheme="majorHAnsi" w:hAnsiTheme="majorHAnsi" w:eastAsiaTheme="majorEastAsia" w:cstheme="majorBidi"/>
      <w:i/>
      <w:iCs/>
      <w:color w:val="254061" w:themeColor="accent1" w:themeShade="80"/>
    </w:rPr>
  </w:style>
  <w:style w:type="character" w:customStyle="1" w:styleId="153">
    <w:name w:val="Heading 7 Char"/>
    <w:basedOn w:val="11"/>
    <w:link w:val="8"/>
    <w:semiHidden/>
    <w:qFormat/>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4">
    <w:name w:val="Heading 8 Char"/>
    <w:basedOn w:val="11"/>
    <w:link w:val="9"/>
    <w:semiHidden/>
    <w:qFormat/>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5">
    <w:name w:val="Heading 9 Char"/>
    <w:basedOn w:val="11"/>
    <w:link w:val="10"/>
    <w:semiHidden/>
    <w:qFormat/>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6">
    <w:name w:val="Intense Quote"/>
    <w:basedOn w:val="1"/>
    <w:next w:val="1"/>
    <w:link w:val="157"/>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57">
    <w:name w:val="Intense Quote Char"/>
    <w:basedOn w:val="11"/>
    <w:link w:val="156"/>
    <w:qFormat/>
    <w:uiPriority w:val="30"/>
    <w:rPr>
      <w:b/>
      <w:bCs/>
      <w:i/>
      <w:iCs/>
      <w:color w:val="4F81BD" w:themeColor="accent1"/>
      <w14:textFill>
        <w14:solidFill>
          <w14:schemeClr w14:val="accent1"/>
        </w14:solidFill>
      </w14:textFill>
    </w:rPr>
  </w:style>
  <w:style w:type="character" w:customStyle="1" w:styleId="158">
    <w:name w:val="Subtle Emphasis"/>
    <w:basedOn w:val="11"/>
    <w:qFormat/>
    <w:uiPriority w:val="19"/>
    <w:rPr>
      <w:i/>
      <w:iCs/>
      <w:color w:val="808080" w:themeColor="text1" w:themeTint="80"/>
      <w14:textFill>
        <w14:solidFill>
          <w14:schemeClr w14:val="tx1">
            <w14:lumMod w14:val="50000"/>
            <w14:lumOff w14:val="50000"/>
          </w14:schemeClr>
        </w14:solidFill>
      </w14:textFill>
    </w:rPr>
  </w:style>
  <w:style w:type="character" w:customStyle="1" w:styleId="159">
    <w:name w:val="Intense Emphasis"/>
    <w:basedOn w:val="11"/>
    <w:qFormat/>
    <w:uiPriority w:val="21"/>
    <w:rPr>
      <w:b/>
      <w:bCs/>
      <w:i/>
      <w:iCs/>
      <w:color w:val="4F81BD" w:themeColor="accent1"/>
      <w14:textFill>
        <w14:solidFill>
          <w14:schemeClr w14:val="accent1"/>
        </w14:solidFill>
      </w14:textFill>
    </w:rPr>
  </w:style>
  <w:style w:type="character" w:customStyle="1" w:styleId="160">
    <w:name w:val="Subtle Reference"/>
    <w:basedOn w:val="11"/>
    <w:qFormat/>
    <w:uiPriority w:val="31"/>
    <w:rPr>
      <w:smallCaps/>
      <w:color w:val="C0504D" w:themeColor="accent2"/>
      <w:u w:val="single"/>
      <w14:textFill>
        <w14:solidFill>
          <w14:schemeClr w14:val="accent2"/>
        </w14:solidFill>
      </w14:textFill>
    </w:rPr>
  </w:style>
  <w:style w:type="character" w:customStyle="1" w:styleId="161">
    <w:name w:val="Intense Reference"/>
    <w:basedOn w:val="11"/>
    <w:qFormat/>
    <w:uiPriority w:val="32"/>
    <w:rPr>
      <w:b/>
      <w:bCs/>
      <w:smallCaps/>
      <w:color w:val="C0504D" w:themeColor="accent2"/>
      <w:spacing w:val="5"/>
      <w:u w:val="single"/>
      <w14:textFill>
        <w14:solidFill>
          <w14:schemeClr w14:val="accent2"/>
        </w14:solidFill>
      </w14:textFill>
    </w:rPr>
  </w:style>
  <w:style w:type="character" w:customStyle="1" w:styleId="162">
    <w:name w:val="Book Title"/>
    <w:basedOn w:val="11"/>
    <w:qFormat/>
    <w:uiPriority w:val="33"/>
    <w:rPr>
      <w:b/>
      <w:bCs/>
      <w:smallCaps/>
      <w:spacing w:val="5"/>
    </w:rPr>
  </w:style>
  <w:style w:type="paragraph" w:customStyle="1" w:styleId="163">
    <w:name w:val="TOC Heading"/>
    <w:basedOn w:val="2"/>
    <w:next w:val="1"/>
    <w:semiHidden/>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datastoreItem>
</file>

<file path=docProps/app.xml><?xml version="1.0" encoding="utf-8"?>
<Properties xmlns="http://schemas.openxmlformats.org/officeDocument/2006/extended-properties" xmlns:vt="http://schemas.openxmlformats.org/officeDocument/2006/docPropsVTypes">
  <Template>Normal.dotm</Template>
  <Pages>4</Pages>
  <Words>1513</Words>
  <Characters>8799</Characters>
  <Lines>0</Lines>
  <Paragraphs>0</Paragraphs>
  <TotalTime>1</TotalTime>
  <ScaleCrop>false</ScaleCrop>
  <LinksUpToDate>false</LinksUpToDate>
  <CharactersWithSpaces>10259</CharactersWithSpaces>
  <Application>WPS Office_12.1.0.29162_F1E327BC-269C-435d-A152-05C5408002CA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2013-12-23T23:15:00Z</dcterms:created>
  <dc:creator>BMBM6008 Global Ethics</dc:creator>
  <dc:description>generated by python-docx</dc:description>
  <cp:lastModifiedBy>Maggie</cp:lastModifiedBy>
  <dcterms:modified xsi:type="dcterms:W3CDTF">2026-10-23T06:44:38Z</dcterms:modified>
  <dc:subject>Detailed answers to the Volkswagen emissions case activity</dc:subject>
  <dc:title>Activity 1 Detailed Answer Guide</dc:title>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eyJoZGlkIjoiOTdhNmJjN2FjMjM0MmExNDdkNjFmMTU5MjVhZGU4ZDUiLCJ1c2VySWQiOiIzODY1ODgxNjYwNTYzIn0=</vt:lpwstr>
  </property>
  <property fmtid="{D5CDD505-2E9C-101B-9397-08002B2CF9AE}" pid="3" name="KSOProductBuildVer">
    <vt:lpwstr>1033-12.1.0.29162</vt:lpwstr>
  </property>
  <property fmtid="{D5CDD505-2E9C-101B-9397-08002B2CF9AE}" pid="4" name="ICV">
    <vt:lpwstr>A04D987183B84F85B4D3715A5ADF156F_12</vt:lpwstr>
  </property>
</Properties>
</file>