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6603" w:rsidRDefault="009B6603" w:rsidP="009B6603">
      <w:pPr>
        <w:ind w:left="360"/>
        <w:jc w:val="center"/>
        <w:rPr>
          <w:b/>
          <w:u w:val="single"/>
        </w:rPr>
      </w:pPr>
      <w:r w:rsidRPr="009B6603">
        <w:rPr>
          <w:b/>
          <w:u w:val="single"/>
        </w:rPr>
        <w:t>Herodotus 1.8</w:t>
      </w:r>
      <w:r w:rsidR="00583BA2">
        <w:rPr>
          <w:b/>
          <w:u w:val="single"/>
        </w:rPr>
        <w:t>-1.13:</w:t>
      </w:r>
      <w:r w:rsidRPr="009B6603">
        <w:rPr>
          <w:b/>
          <w:u w:val="single"/>
        </w:rPr>
        <w:t xml:space="preserve"> </w:t>
      </w:r>
      <w:proofErr w:type="spellStart"/>
      <w:r w:rsidRPr="009B6603">
        <w:rPr>
          <w:b/>
          <w:u w:val="single"/>
        </w:rPr>
        <w:t>Candaules</w:t>
      </w:r>
      <w:proofErr w:type="spellEnd"/>
      <w:r w:rsidRPr="009B6603">
        <w:rPr>
          <w:b/>
          <w:u w:val="single"/>
        </w:rPr>
        <w:t>’ Boast:</w:t>
      </w:r>
    </w:p>
    <w:p w:rsidR="009B6603" w:rsidRDefault="00A66281" w:rsidP="00A66281">
      <w:r>
        <w:t>Herodotus finished his Histories after his return to Athens in 431 BC</w:t>
      </w:r>
      <w:r w:rsidR="007F788D">
        <w:rPr>
          <w:rStyle w:val="FootnoteReference"/>
        </w:rPr>
        <w:footnoteReference w:id="1"/>
      </w:r>
      <w:r>
        <w:t>, but was notably a non-Greek born of Halicarnassus in Asia Minor – at the time, part of Lydia within the Persian Empire</w:t>
      </w:r>
      <w:r w:rsidR="007F788D">
        <w:rPr>
          <w:rStyle w:val="FootnoteReference"/>
        </w:rPr>
        <w:footnoteReference w:id="2"/>
      </w:r>
      <w:r>
        <w:t>.</w:t>
      </w:r>
      <w:r w:rsidR="007F788D">
        <w:t xml:space="preserve"> During his writings Herodotus had seen major political upheaval in Halicarnassus with the expulsion of a powerful tyrant which will be reflected throughout his narrative.</w:t>
      </w:r>
      <w:r w:rsidR="007F788D">
        <w:rPr>
          <w:rStyle w:val="FootnoteReference"/>
        </w:rPr>
        <w:footnoteReference w:id="3"/>
      </w:r>
      <w:r w:rsidR="007F788D">
        <w:t xml:space="preserve"> Although the passage itself focuses on Lydian Succe</w:t>
      </w:r>
      <w:r w:rsidR="00C624AD">
        <w:t>ssion</w:t>
      </w:r>
      <w:r w:rsidR="00845D12">
        <w:t>,</w:t>
      </w:r>
      <w:r w:rsidR="00C624AD">
        <w:t xml:space="preserve"> the Histories is a list of tensions between different peoples and states in an attempt to explore the causes a</w:t>
      </w:r>
      <w:r w:rsidR="00845D12">
        <w:t>nd effects of historical events with main focus on the conflict between Greece and Persia.</w:t>
      </w:r>
      <w:r w:rsidR="00845D12">
        <w:rPr>
          <w:rStyle w:val="FootnoteReference"/>
        </w:rPr>
        <w:footnoteReference w:id="4"/>
      </w:r>
    </w:p>
    <w:p w:rsidR="008B1AD0" w:rsidRDefault="00FE0299" w:rsidP="00A66281">
      <w:r>
        <w:t xml:space="preserve">To give a summary of the passages preluding to, and following on from </w:t>
      </w:r>
      <w:proofErr w:type="spellStart"/>
      <w:r>
        <w:t>Candaules</w:t>
      </w:r>
      <w:proofErr w:type="spellEnd"/>
      <w:r>
        <w:t>’</w:t>
      </w:r>
      <w:r w:rsidR="00122FF8">
        <w:t xml:space="preserve"> boast; Passage 1.8 appears to be a digression of Lydian’s chronological </w:t>
      </w:r>
      <w:r w:rsidR="00C7303A">
        <w:t>kingship,</w:t>
      </w:r>
      <w:r w:rsidR="00122FF8">
        <w:t xml:space="preserve"> giving a small background lineage of Croesus leading up towards </w:t>
      </w:r>
      <w:proofErr w:type="spellStart"/>
      <w:r w:rsidR="00122FF8">
        <w:t>Candaules</w:t>
      </w:r>
      <w:proofErr w:type="spellEnd"/>
      <w:r w:rsidR="00122FF8">
        <w:t xml:space="preserve"> whom ended the </w:t>
      </w:r>
      <w:proofErr w:type="spellStart"/>
      <w:r w:rsidR="00122FF8">
        <w:t>Heraclid</w:t>
      </w:r>
      <w:proofErr w:type="spellEnd"/>
      <w:r w:rsidR="00122FF8">
        <w:t xml:space="preserve"> line.</w:t>
      </w:r>
      <w:r w:rsidR="00122FF8">
        <w:rPr>
          <w:rStyle w:val="FootnoteReference"/>
        </w:rPr>
        <w:footnoteReference w:id="5"/>
      </w:r>
      <w:r w:rsidR="00C7303A">
        <w:t xml:space="preserve"> The Passage itself </w:t>
      </w:r>
      <w:r w:rsidR="007F6EAF">
        <w:t xml:space="preserve">reflects upon </w:t>
      </w:r>
      <w:proofErr w:type="spellStart"/>
      <w:r w:rsidR="00583BA2">
        <w:t>Candaules</w:t>
      </w:r>
      <w:proofErr w:type="spellEnd"/>
      <w:r w:rsidR="00583BA2">
        <w:t xml:space="preserve">’ great affection for his wife leading to him asking his guard to see his wife naked - Upon discovering this his wife forces </w:t>
      </w:r>
      <w:proofErr w:type="spellStart"/>
      <w:r w:rsidR="00583BA2">
        <w:t>Gyges</w:t>
      </w:r>
      <w:proofErr w:type="spellEnd"/>
      <w:r w:rsidR="00583BA2">
        <w:t xml:space="preserve"> into an ultimatum “Either you kill </w:t>
      </w:r>
      <w:proofErr w:type="spellStart"/>
      <w:r w:rsidR="00583BA2">
        <w:t>Candaules</w:t>
      </w:r>
      <w:proofErr w:type="spellEnd"/>
      <w:r w:rsidR="00583BA2">
        <w:t xml:space="preserve"> have me and the kingdom of Lydia for your own, or you must die yourself right now.”</w:t>
      </w:r>
      <w:r w:rsidR="00583BA2">
        <w:rPr>
          <w:rStyle w:val="FootnoteReference"/>
        </w:rPr>
        <w:footnoteReference w:id="6"/>
      </w:r>
      <w:r w:rsidR="00583BA2">
        <w:t xml:space="preserve"> After this ultimatum </w:t>
      </w:r>
      <w:proofErr w:type="spellStart"/>
      <w:r w:rsidR="00583BA2">
        <w:t>Gyges</w:t>
      </w:r>
      <w:proofErr w:type="spellEnd"/>
      <w:r w:rsidR="00583BA2">
        <w:t xml:space="preserve"> goes on to regicide and marries </w:t>
      </w:r>
      <w:proofErr w:type="spellStart"/>
      <w:r w:rsidR="00583BA2">
        <w:t>Candaules</w:t>
      </w:r>
      <w:proofErr w:type="spellEnd"/>
      <w:r w:rsidR="00583BA2">
        <w:t>’ wife and becomes ruler of Lydia</w:t>
      </w:r>
      <w:r w:rsidR="00E02718">
        <w:rPr>
          <w:rStyle w:val="FootnoteReference"/>
        </w:rPr>
        <w:footnoteReference w:id="7"/>
      </w:r>
      <w:r w:rsidR="00583BA2">
        <w:t>.</w:t>
      </w:r>
      <w:r w:rsidR="008B1AD0">
        <w:t xml:space="preserve"> </w:t>
      </w:r>
    </w:p>
    <w:p w:rsidR="008B1AD0" w:rsidRDefault="008B1AD0" w:rsidP="00A66281">
      <w:r>
        <w:t xml:space="preserve">Herodotus’ source for this passage comes from accounts of “The </w:t>
      </w:r>
      <w:proofErr w:type="spellStart"/>
      <w:r>
        <w:t>Pesians</w:t>
      </w:r>
      <w:proofErr w:type="spellEnd"/>
      <w:r>
        <w:t xml:space="preserve"> and the Phoenicians”, being under the rule of the Persian Empire Lydia would be subject to their scrutiny.</w:t>
      </w:r>
      <w:r>
        <w:rPr>
          <w:rStyle w:val="FootnoteReference"/>
        </w:rPr>
        <w:footnoteReference w:id="8"/>
      </w:r>
      <w:r>
        <w:t xml:space="preserve"> </w:t>
      </w:r>
      <w:r w:rsidR="009C3862">
        <w:t xml:space="preserve"> </w:t>
      </w:r>
      <w:proofErr w:type="spellStart"/>
      <w:r w:rsidR="009C3862">
        <w:t>Detlev</w:t>
      </w:r>
      <w:proofErr w:type="spellEnd"/>
      <w:r w:rsidR="009C3862">
        <w:t xml:space="preserve"> Fehling (1989) subjects passages such as these to scrutiny due to the dubious nature of oral sources and the notion of Herodotus’ own interpretation of histories leaking through with lie-literature</w:t>
      </w:r>
      <w:r w:rsidR="009A57F8">
        <w:t xml:space="preserve"> to construct a ‘cloak of respectability’</w:t>
      </w:r>
      <w:r w:rsidR="009C3862">
        <w:rPr>
          <w:rStyle w:val="FootnoteReference"/>
        </w:rPr>
        <w:footnoteReference w:id="9"/>
      </w:r>
      <w:r w:rsidR="002F4EC1">
        <w:t xml:space="preserve">, contrastingly  K. H. Waters (1985) argues that even his ancient scholars such as Plutarch questioned his pro-foreigner/’barbarian’ standpoint in his works . Whether he is pro-Greek or anti-Greek, </w:t>
      </w:r>
      <w:r w:rsidR="00732105">
        <w:t xml:space="preserve">Thomas </w:t>
      </w:r>
      <w:proofErr w:type="spellStart"/>
      <w:proofErr w:type="gramStart"/>
      <w:r w:rsidR="00732105">
        <w:t>F.Scanlon</w:t>
      </w:r>
      <w:proofErr w:type="spellEnd"/>
      <w:proofErr w:type="gramEnd"/>
      <w:r w:rsidR="00732105">
        <w:t xml:space="preserve"> </w:t>
      </w:r>
      <w:r w:rsidR="002F4EC1">
        <w:t>(2015) concludes</w:t>
      </w:r>
      <w:r w:rsidR="00732105">
        <w:t xml:space="preserve"> that we should set aside this and study the narrative of the passage to stud</w:t>
      </w:r>
      <w:r w:rsidR="002F4EC1">
        <w:t>y the underlying themes , of which several seem to be at play.</w:t>
      </w:r>
      <w:r w:rsidR="00732105">
        <w:rPr>
          <w:rStyle w:val="FootnoteReference"/>
        </w:rPr>
        <w:footnoteReference w:id="10"/>
      </w:r>
      <w:r w:rsidR="002F4EC1">
        <w:t xml:space="preserve"> </w:t>
      </w:r>
    </w:p>
    <w:p w:rsidR="002F76E3" w:rsidRDefault="002F4EC1" w:rsidP="00A66281">
      <w:r>
        <w:t xml:space="preserve">One undercurrent theme in this passage is of ‘destiny’ and ‘fate’ in the foreshadowing of the fall of the </w:t>
      </w:r>
      <w:proofErr w:type="spellStart"/>
      <w:r>
        <w:t>Hericlid</w:t>
      </w:r>
      <w:proofErr w:type="spellEnd"/>
      <w:r>
        <w:t xml:space="preserve"> line in 1.7, whereupon it is commented that Croesus’ line was doomed from the start with the story of </w:t>
      </w:r>
      <w:proofErr w:type="spellStart"/>
      <w:r>
        <w:t>Gyges</w:t>
      </w:r>
      <w:proofErr w:type="spellEnd"/>
      <w:r w:rsidR="00483F09">
        <w:rPr>
          <w:rStyle w:val="FootnoteReference"/>
        </w:rPr>
        <w:footnoteReference w:id="11"/>
      </w:r>
      <w:r>
        <w:t>.</w:t>
      </w:r>
      <w:r w:rsidR="00483F09">
        <w:t xml:space="preserve">  </w:t>
      </w:r>
      <w:r w:rsidR="003E62E1">
        <w:t>Fehling (1989)</w:t>
      </w:r>
      <w:r w:rsidR="001B28B7">
        <w:t xml:space="preserve"> argues t</w:t>
      </w:r>
      <w:r w:rsidR="00483F09">
        <w:t>his is a literary device of foreshadowing, which follows the track of Herodotus using the stories/genealogies to fit his particular narrative</w:t>
      </w:r>
      <w:r w:rsidR="001B28B7">
        <w:t xml:space="preserve"> and interpretation of the story rather than an inclusion of Oracle/Divine.</w:t>
      </w:r>
      <w:r w:rsidR="003E62E1">
        <w:rPr>
          <w:rStyle w:val="FootnoteReference"/>
        </w:rPr>
        <w:footnoteReference w:id="12"/>
      </w:r>
      <w:r w:rsidR="001B28B7">
        <w:rPr>
          <w:rStyle w:val="FootnoteReference"/>
        </w:rPr>
        <w:footnoteReference w:id="13"/>
      </w:r>
      <w:r w:rsidR="003E62E1">
        <w:t xml:space="preserve"> Contrasting this Scanlon (2015) argues that the divine is an existing theme in the text and has been used throughout The Histories to bridge to other themes such as human nature and fate and argues that these themes appear in many ancient historians as a literary device </w:t>
      </w:r>
      <w:r w:rsidR="003E62E1">
        <w:rPr>
          <w:rStyle w:val="FootnoteReference"/>
        </w:rPr>
        <w:footnoteReference w:id="14"/>
      </w:r>
      <w:r w:rsidR="003E62E1">
        <w:t>.</w:t>
      </w:r>
      <w:r w:rsidR="002F76E3">
        <w:t xml:space="preserve"> </w:t>
      </w:r>
    </w:p>
    <w:p w:rsidR="002F4EC1" w:rsidRDefault="002F76E3" w:rsidP="00A66281">
      <w:r>
        <w:lastRenderedPageBreak/>
        <w:t xml:space="preserve">This idea of ‘fate’ and ‘destiny’ leads onto the theme of ‘greed’ and ‘human nature’ easily as the tale of </w:t>
      </w:r>
      <w:proofErr w:type="spellStart"/>
      <w:r>
        <w:t>Candaules</w:t>
      </w:r>
      <w:proofErr w:type="spellEnd"/>
      <w:r>
        <w:t>’ Eros (Blind passion) towards his wife, need for admiration, and power. This passage links in with other non-Greek passages about Eros and how they affect power and lust to the point of empire-changing situations</w:t>
      </w:r>
      <w:r w:rsidR="00745E2E">
        <w:t xml:space="preserve"> such as Xerxes</w:t>
      </w:r>
      <w:r>
        <w:rPr>
          <w:rStyle w:val="FootnoteReference"/>
        </w:rPr>
        <w:footnoteReference w:id="15"/>
      </w:r>
      <w:r>
        <w:t>.  Not only does this lead to the collapse of a dynasty but also directly contradicts the laws of Lydia itself touching on the perverse, illegal, and taboo.</w:t>
      </w:r>
      <w:r>
        <w:rPr>
          <w:rStyle w:val="FootnoteReference"/>
        </w:rPr>
        <w:footnoteReference w:id="16"/>
      </w:r>
      <w:r>
        <w:t xml:space="preserve"> This appears to be repetitive throughout the Histories of non-Greek situations involving Eros</w:t>
      </w:r>
      <w:r w:rsidR="00BE5017">
        <w:rPr>
          <w:rStyle w:val="FootnoteReference"/>
        </w:rPr>
        <w:footnoteReference w:id="17"/>
      </w:r>
      <w:r>
        <w:t xml:space="preserve"> (Even though the Greeks fair no better) and the lust for power, possibly bridging upon the context of the times in which Herodotus is writing, giving the notion of ‘Presentism</w:t>
      </w:r>
      <w:r w:rsidR="00BE5017">
        <w:t>.</w:t>
      </w:r>
      <w:r>
        <w:t xml:space="preserve">’ </w:t>
      </w:r>
      <w:r>
        <w:rPr>
          <w:rStyle w:val="FootnoteReference"/>
        </w:rPr>
        <w:footnoteReference w:id="18"/>
      </w:r>
      <w:r w:rsidR="00BE5017">
        <w:t xml:space="preserve"> </w:t>
      </w:r>
    </w:p>
    <w:p w:rsidR="002C725F" w:rsidRDefault="00254268" w:rsidP="00A66281">
      <w:r>
        <w:t xml:space="preserve">The use of Eros for ‘Power’ and ‘Greed’ also brings the </w:t>
      </w:r>
      <w:r w:rsidR="00745E2E">
        <w:t xml:space="preserve">theme of ‘Shame’ into the equation, aforementioned is the connection between Xerxes and </w:t>
      </w:r>
      <w:proofErr w:type="spellStart"/>
      <w:r w:rsidR="00745E2E">
        <w:t>Candaules</w:t>
      </w:r>
      <w:proofErr w:type="spellEnd"/>
      <w:r w:rsidR="002C725F">
        <w:t xml:space="preserve"> </w:t>
      </w:r>
      <w:r w:rsidR="00745E2E">
        <w:t>is evident</w:t>
      </w:r>
      <w:r w:rsidR="002C725F">
        <w:rPr>
          <w:rStyle w:val="FootnoteReference"/>
        </w:rPr>
        <w:footnoteReference w:id="19"/>
      </w:r>
      <w:r w:rsidR="002C725F">
        <w:t xml:space="preserve"> </w:t>
      </w:r>
      <w:r w:rsidR="00745E2E">
        <w:t xml:space="preserve"> </w:t>
      </w:r>
      <w:r w:rsidR="002C725F">
        <w:t xml:space="preserve">, we see this in the form of the social taboo of the Non-Greeks to women and their modesty. </w:t>
      </w:r>
    </w:p>
    <w:p w:rsidR="00254268" w:rsidRDefault="002C725F" w:rsidP="00A66281">
      <w:r>
        <w:t xml:space="preserve"> “It is a great shame to see a MAN naked.”</w:t>
      </w:r>
      <w:r>
        <w:rPr>
          <w:rStyle w:val="FootnoteReference"/>
        </w:rPr>
        <w:footnoteReference w:id="20"/>
      </w:r>
      <w:r>
        <w:t xml:space="preserve"> </w:t>
      </w:r>
    </w:p>
    <w:p w:rsidR="002C725F" w:rsidRDefault="002C725F" w:rsidP="00A66281">
      <w:r>
        <w:t>“When a woman sheds her clothes she sheds her modesty.”</w:t>
      </w:r>
      <w:r>
        <w:rPr>
          <w:rStyle w:val="FootnoteReference"/>
        </w:rPr>
        <w:footnoteReference w:id="21"/>
      </w:r>
    </w:p>
    <w:p w:rsidR="002C725F" w:rsidRDefault="002C725F" w:rsidP="00A66281">
      <w:r>
        <w:t xml:space="preserve">This refers back to the ‘shame’ that Heracles felt in the myths, shadowed in </w:t>
      </w:r>
      <w:proofErr w:type="spellStart"/>
      <w:r>
        <w:t>Candaules</w:t>
      </w:r>
      <w:proofErr w:type="spellEnd"/>
      <w:r>
        <w:t xml:space="preserve"> and </w:t>
      </w:r>
      <w:proofErr w:type="spellStart"/>
      <w:r w:rsidR="001D5640">
        <w:t>Gyges</w:t>
      </w:r>
      <w:proofErr w:type="spellEnd"/>
      <w:r w:rsidR="001D5640">
        <w:t xml:space="preserve"> in Herodotus 1.8-1.13, a direct foreshadowing of Xerxes, and the tale of Croesus in the narrative of The Histories.</w:t>
      </w:r>
      <w:r w:rsidR="001D5640">
        <w:rPr>
          <w:rStyle w:val="FootnoteReference"/>
        </w:rPr>
        <w:footnoteReference w:id="22"/>
      </w:r>
      <w:r w:rsidR="00020AD7">
        <w:t xml:space="preserve"> This yet again delves into the narrative of the author and the underlying themes of The Histories as a whole, as </w:t>
      </w:r>
      <w:r w:rsidR="007F49D2">
        <w:t>Scanlon (2015</w:t>
      </w:r>
      <w:r w:rsidR="00020AD7">
        <w:t xml:space="preserve">) stated </w:t>
      </w:r>
      <w:r w:rsidR="007F49D2">
        <w:t>previously.</w:t>
      </w:r>
      <w:r w:rsidR="00651A6A">
        <w:t xml:space="preserve"> This leads the audience to the conclusion that </w:t>
      </w:r>
      <w:proofErr w:type="spellStart"/>
      <w:r w:rsidR="00651A6A">
        <w:t>eros</w:t>
      </w:r>
      <w:proofErr w:type="spellEnd"/>
      <w:r w:rsidR="00651A6A">
        <w:t xml:space="preserve"> for passion, </w:t>
      </w:r>
      <w:proofErr w:type="spellStart"/>
      <w:r w:rsidR="00651A6A">
        <w:t>eros</w:t>
      </w:r>
      <w:proofErr w:type="spellEnd"/>
      <w:r w:rsidR="00651A6A">
        <w:t xml:space="preserve"> for power, and </w:t>
      </w:r>
      <w:proofErr w:type="spellStart"/>
      <w:r w:rsidR="00651A6A">
        <w:t>eros</w:t>
      </w:r>
      <w:proofErr w:type="spellEnd"/>
      <w:r w:rsidR="00651A6A">
        <w:t xml:space="preserve"> for revenge are pieces of human nature as a whole, as is the analogy for </w:t>
      </w:r>
      <w:proofErr w:type="spellStart"/>
      <w:r w:rsidR="00651A6A">
        <w:t>eros</w:t>
      </w:r>
      <w:proofErr w:type="spellEnd"/>
      <w:r w:rsidR="00651A6A">
        <w:t xml:space="preserve"> for the growing ambitions of the countries behind the plot, and the underlying themes are integral to the narrative plot to stir the audience to fate, epic and the comeuppance of ‘villains’ in the narrative piece as a whole. The story in itself has dubious sources but as argued by Scanlon (2015), the sources origins can be ignored to look into the commentary and narrative in the piece as a whole.</w:t>
      </w:r>
      <w:bookmarkStart w:id="0" w:name="_GoBack"/>
      <w:bookmarkEnd w:id="0"/>
    </w:p>
    <w:p w:rsidR="00FE5ECA" w:rsidRPr="009B6603" w:rsidRDefault="00583BA2" w:rsidP="00A66281">
      <w:r>
        <w:t xml:space="preserve"> </w:t>
      </w:r>
    </w:p>
    <w:p w:rsidR="009B6603" w:rsidRDefault="009B6603" w:rsidP="009B6603">
      <w:pPr>
        <w:ind w:left="360"/>
      </w:pPr>
    </w:p>
    <w:p w:rsidR="007F788D" w:rsidRDefault="007F788D" w:rsidP="009B6603"/>
    <w:p w:rsidR="009835EC" w:rsidRDefault="007F788D" w:rsidP="009B6603">
      <w:pPr>
        <w:rPr>
          <w:b/>
          <w:u w:val="single"/>
        </w:rPr>
      </w:pPr>
      <w:r w:rsidRPr="007F788D">
        <w:rPr>
          <w:b/>
          <w:u w:val="single"/>
        </w:rPr>
        <w:t>Bibliography:</w:t>
      </w:r>
    </w:p>
    <w:p w:rsidR="001D5640" w:rsidRDefault="001D5640" w:rsidP="009B6603">
      <w:proofErr w:type="spellStart"/>
      <w:r>
        <w:t>Fanfani</w:t>
      </w:r>
      <w:proofErr w:type="spellEnd"/>
      <w:r>
        <w:t xml:space="preserve"> G., Harlow M., </w:t>
      </w:r>
      <w:proofErr w:type="spellStart"/>
      <w:r>
        <w:t>Nosch</w:t>
      </w:r>
      <w:proofErr w:type="spellEnd"/>
      <w:r>
        <w:t xml:space="preserve"> M. (2016). Spinning Fates and the Song of the Loom. </w:t>
      </w:r>
      <w:proofErr w:type="spellStart"/>
      <w:r>
        <w:t>Oxbrow</w:t>
      </w:r>
      <w:proofErr w:type="spellEnd"/>
      <w:r>
        <w:t xml:space="preserve"> Publishing Ltd. (Oxford and </w:t>
      </w:r>
      <w:proofErr w:type="spellStart"/>
      <w:r>
        <w:t>Piladelphia</w:t>
      </w:r>
      <w:proofErr w:type="spellEnd"/>
      <w:r>
        <w:t>).</w:t>
      </w:r>
    </w:p>
    <w:p w:rsidR="001D5640" w:rsidRDefault="000211A1" w:rsidP="009B6603">
      <w:r>
        <w:t>Fehling D. Herodotus and his ‘Sources’</w:t>
      </w:r>
      <w:r w:rsidR="005C0419">
        <w:t xml:space="preserve"> Citation, Invention, and Narrative Art</w:t>
      </w:r>
      <w:r>
        <w:t>.</w:t>
      </w:r>
      <w:r w:rsidR="005C0419">
        <w:t xml:space="preserve"> (trans) J. G. Howie.</w:t>
      </w:r>
      <w:r>
        <w:t xml:space="preserve"> (1989). </w:t>
      </w:r>
      <w:r w:rsidR="005C0419">
        <w:t xml:space="preserve"> Francis Cairns Publishing Ltd. (Leeds).</w:t>
      </w:r>
    </w:p>
    <w:p w:rsidR="00BE5017" w:rsidRDefault="00BE5017" w:rsidP="009B6603">
      <w:proofErr w:type="spellStart"/>
      <w:r>
        <w:t>Hartog</w:t>
      </w:r>
      <w:proofErr w:type="spellEnd"/>
      <w:r>
        <w:t xml:space="preserve"> F. (2009). The Mirror of Herodotus. The Representation of the Other in the Writing of History. University of California Press. </w:t>
      </w:r>
    </w:p>
    <w:p w:rsidR="009835EC" w:rsidRDefault="009835EC" w:rsidP="009B6603">
      <w:r>
        <w:lastRenderedPageBreak/>
        <w:t xml:space="preserve">Herodotus, The Histories. R. Waterfield (trans.). </w:t>
      </w:r>
      <w:r w:rsidR="000211A1">
        <w:t>(</w:t>
      </w:r>
      <w:r>
        <w:t>1998</w:t>
      </w:r>
      <w:r w:rsidR="000211A1">
        <w:t>)</w:t>
      </w:r>
      <w:r>
        <w:t>. Oxford University Press.</w:t>
      </w:r>
      <w:r w:rsidR="00BE5017">
        <w:t xml:space="preserve"> (</w:t>
      </w:r>
      <w:proofErr w:type="spellStart"/>
      <w:r w:rsidR="00BE5017">
        <w:t>Ofxord</w:t>
      </w:r>
      <w:proofErr w:type="spellEnd"/>
      <w:r w:rsidR="00BE5017">
        <w:t>).</w:t>
      </w:r>
    </w:p>
    <w:p w:rsidR="00745E2E" w:rsidRDefault="00745E2E" w:rsidP="009B6603">
      <w:r>
        <w:t xml:space="preserve">Larson S. (2006). </w:t>
      </w:r>
      <w:proofErr w:type="spellStart"/>
      <w:r>
        <w:t>Kandaules</w:t>
      </w:r>
      <w:proofErr w:type="spellEnd"/>
      <w:r>
        <w:t xml:space="preserve">' Wife, </w:t>
      </w:r>
      <w:proofErr w:type="spellStart"/>
      <w:r>
        <w:t>Masistes</w:t>
      </w:r>
      <w:proofErr w:type="spellEnd"/>
      <w:r>
        <w:t>' Wife: Herodotus' Narrative Strategy in Suppressing Names of Women: (</w:t>
      </w:r>
      <w:proofErr w:type="spellStart"/>
      <w:r>
        <w:t>Hdt</w:t>
      </w:r>
      <w:proofErr w:type="spellEnd"/>
      <w:r>
        <w:t>. 1.8-12 and 9.108-13). The Classical Journal, Vol. 101, No. 3 (Feb. - Mar., 2006), The Classical Association of the Middle West and South, Inc. (CAMWS).</w:t>
      </w:r>
    </w:p>
    <w:p w:rsidR="008B6542" w:rsidRDefault="008B6542" w:rsidP="009B6603">
      <w:r>
        <w:t xml:space="preserve">Scanlon T. F. (2015). </w:t>
      </w:r>
      <w:r w:rsidR="006D2D53">
        <w:t>Greek Historiography. Wiley Blackwell. (Chichester).</w:t>
      </w:r>
    </w:p>
    <w:p w:rsidR="00FE5ECA" w:rsidRDefault="008B6542" w:rsidP="009B6603">
      <w:r>
        <w:t>Waters K. H</w:t>
      </w:r>
      <w:r w:rsidR="00FE5ECA">
        <w:t xml:space="preserve">. (1985). Herodotus the Historian: His Problems, Methods and Originality. </w:t>
      </w:r>
      <w:proofErr w:type="spellStart"/>
      <w:r w:rsidR="00FE5ECA">
        <w:t>Croom</w:t>
      </w:r>
      <w:proofErr w:type="spellEnd"/>
      <w:r w:rsidR="00FE5ECA">
        <w:t xml:space="preserve"> Helm (London &amp; Sydney).</w:t>
      </w:r>
    </w:p>
    <w:p w:rsidR="007F788D" w:rsidRDefault="007F788D" w:rsidP="009B6603">
      <w:r>
        <w:t>Wells. J, W. How. (1979). A Commentary on Herodotus. Clarendon Press. (Oxford).</w:t>
      </w:r>
    </w:p>
    <w:p w:rsidR="00745E2E" w:rsidRPr="007F788D" w:rsidRDefault="00745E2E" w:rsidP="00745E2E">
      <w:r>
        <w:t>Larson</w:t>
      </w:r>
      <w:r>
        <w:t xml:space="preserve"> S. (2006). </w:t>
      </w:r>
      <w:proofErr w:type="spellStart"/>
      <w:r>
        <w:t>Kandaules</w:t>
      </w:r>
      <w:proofErr w:type="spellEnd"/>
      <w:r>
        <w:t xml:space="preserve">' Wife, </w:t>
      </w:r>
      <w:proofErr w:type="spellStart"/>
      <w:r>
        <w:t>Masistes</w:t>
      </w:r>
      <w:proofErr w:type="spellEnd"/>
      <w:r>
        <w:t>' Wife: Herodotus' Narrative Strategy in Suppressing Names of Wo</w:t>
      </w:r>
      <w:r>
        <w:t>men: (</w:t>
      </w:r>
      <w:proofErr w:type="spellStart"/>
      <w:r>
        <w:t>Hdt</w:t>
      </w:r>
      <w:proofErr w:type="spellEnd"/>
      <w:r>
        <w:t xml:space="preserve">. 1.8-12 and 9.108-13). </w:t>
      </w:r>
      <w:r>
        <w:t>The Classical Journal, Vol. 101, No. 3 (Feb. - Mar., 2006), The Classical Association of the Middle West and South, Inc. (CAMWS)</w:t>
      </w:r>
      <w:r>
        <w:t>.</w:t>
      </w:r>
    </w:p>
    <w:p w:rsidR="00311F20" w:rsidRDefault="00311F20"/>
    <w:sectPr w:rsidR="00311F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9A5" w:rsidRDefault="00E859A5" w:rsidP="007F788D">
      <w:pPr>
        <w:spacing w:after="0" w:line="240" w:lineRule="auto"/>
      </w:pPr>
      <w:r>
        <w:separator/>
      </w:r>
    </w:p>
  </w:endnote>
  <w:endnote w:type="continuationSeparator" w:id="0">
    <w:p w:rsidR="00E859A5" w:rsidRDefault="00E859A5" w:rsidP="007F7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9A5" w:rsidRDefault="00E859A5" w:rsidP="007F788D">
      <w:pPr>
        <w:spacing w:after="0" w:line="240" w:lineRule="auto"/>
      </w:pPr>
      <w:r>
        <w:separator/>
      </w:r>
    </w:p>
  </w:footnote>
  <w:footnote w:type="continuationSeparator" w:id="0">
    <w:p w:rsidR="00E859A5" w:rsidRDefault="00E859A5" w:rsidP="007F788D">
      <w:pPr>
        <w:spacing w:after="0" w:line="240" w:lineRule="auto"/>
      </w:pPr>
      <w:r>
        <w:continuationSeparator/>
      </w:r>
    </w:p>
  </w:footnote>
  <w:footnote w:id="1">
    <w:p w:rsidR="007F788D" w:rsidRDefault="007F788D">
      <w:pPr>
        <w:pStyle w:val="FootnoteText"/>
      </w:pPr>
      <w:r>
        <w:rPr>
          <w:rStyle w:val="FootnoteReference"/>
        </w:rPr>
        <w:footnoteRef/>
      </w:r>
      <w:r>
        <w:t xml:space="preserve"> </w:t>
      </w:r>
      <w:r w:rsidR="00273ED6">
        <w:t xml:space="preserve">Joseph Wells (1979). </w:t>
      </w:r>
      <w:r w:rsidR="00732105">
        <w:t>P</w:t>
      </w:r>
      <w:r>
        <w:t>p</w:t>
      </w:r>
      <w:r w:rsidR="00732105">
        <w:t>.</w:t>
      </w:r>
      <w:r>
        <w:t>9-11.</w:t>
      </w:r>
    </w:p>
  </w:footnote>
  <w:footnote w:id="2">
    <w:p w:rsidR="007F788D" w:rsidRDefault="007F788D">
      <w:pPr>
        <w:pStyle w:val="FootnoteText"/>
      </w:pPr>
      <w:r>
        <w:rPr>
          <w:rStyle w:val="FootnoteReference"/>
        </w:rPr>
        <w:footnoteRef/>
      </w:r>
      <w:r w:rsidR="00273ED6">
        <w:t xml:space="preserve"> Joseph Wells (1979). </w:t>
      </w:r>
      <w:r w:rsidR="00732105">
        <w:t>P</w:t>
      </w:r>
      <w:r w:rsidR="00273ED6">
        <w:t>p</w:t>
      </w:r>
      <w:r w:rsidR="00732105">
        <w:t>.</w:t>
      </w:r>
      <w:r>
        <w:t>9-11.</w:t>
      </w:r>
    </w:p>
  </w:footnote>
  <w:footnote w:id="3">
    <w:p w:rsidR="007F788D" w:rsidRDefault="007F788D">
      <w:pPr>
        <w:pStyle w:val="FootnoteText"/>
      </w:pPr>
      <w:r>
        <w:rPr>
          <w:rStyle w:val="FootnoteReference"/>
        </w:rPr>
        <w:footnoteRef/>
      </w:r>
      <w:r w:rsidR="00273ED6">
        <w:t xml:space="preserve"> Joseph Wells (1979). </w:t>
      </w:r>
      <w:r w:rsidR="00732105">
        <w:t>P</w:t>
      </w:r>
      <w:r>
        <w:t>p</w:t>
      </w:r>
      <w:r w:rsidR="00732105">
        <w:t>.</w:t>
      </w:r>
      <w:r>
        <w:t>9-11.</w:t>
      </w:r>
    </w:p>
  </w:footnote>
  <w:footnote w:id="4">
    <w:p w:rsidR="00845D12" w:rsidRDefault="00845D12">
      <w:pPr>
        <w:pStyle w:val="FootnoteText"/>
      </w:pPr>
      <w:r>
        <w:rPr>
          <w:rStyle w:val="FootnoteReference"/>
        </w:rPr>
        <w:footnoteRef/>
      </w:r>
      <w:r>
        <w:t xml:space="preserve"> </w:t>
      </w:r>
      <w:r w:rsidR="00D61B31">
        <w:t>K. H. Waters (</w:t>
      </w:r>
      <w:r w:rsidR="00FE5ECA">
        <w:t>1985). ‘Life of Herodotus’.</w:t>
      </w:r>
    </w:p>
  </w:footnote>
  <w:footnote w:id="5">
    <w:p w:rsidR="00122FF8" w:rsidRDefault="00122FF8">
      <w:pPr>
        <w:pStyle w:val="FootnoteText"/>
      </w:pPr>
      <w:r>
        <w:rPr>
          <w:rStyle w:val="FootnoteReference"/>
        </w:rPr>
        <w:footnoteRef/>
      </w:r>
      <w:r>
        <w:t xml:space="preserve"> </w:t>
      </w:r>
      <w:r w:rsidR="00811884">
        <w:t>Thomas F Scanlon (2015) pp</w:t>
      </w:r>
      <w:r w:rsidR="00732105">
        <w:t>.</w:t>
      </w:r>
      <w:r w:rsidR="00811884">
        <w:t>40-41.</w:t>
      </w:r>
    </w:p>
  </w:footnote>
  <w:footnote w:id="6">
    <w:p w:rsidR="00583BA2" w:rsidRDefault="00583BA2">
      <w:pPr>
        <w:pStyle w:val="FootnoteText"/>
      </w:pPr>
      <w:r>
        <w:rPr>
          <w:rStyle w:val="FootnoteReference"/>
        </w:rPr>
        <w:footnoteRef/>
      </w:r>
      <w:r>
        <w:t xml:space="preserve"> Herodotus. 1.11.</w:t>
      </w:r>
    </w:p>
  </w:footnote>
  <w:footnote w:id="7">
    <w:p w:rsidR="00E02718" w:rsidRDefault="00E02718">
      <w:pPr>
        <w:pStyle w:val="FootnoteText"/>
      </w:pPr>
      <w:r>
        <w:rPr>
          <w:rStyle w:val="FootnoteReference"/>
        </w:rPr>
        <w:footnoteRef/>
      </w:r>
      <w:r>
        <w:t xml:space="preserve"> </w:t>
      </w:r>
      <w:r w:rsidR="008B6542">
        <w:t>Thomas F Scanlon (2015)</w:t>
      </w:r>
      <w:r w:rsidR="00273ED6">
        <w:t>.</w:t>
      </w:r>
      <w:r w:rsidR="008B6542">
        <w:t xml:space="preserve"> </w:t>
      </w:r>
      <w:r w:rsidR="00732105">
        <w:t>P</w:t>
      </w:r>
      <w:r w:rsidR="008B6542">
        <w:t>p</w:t>
      </w:r>
      <w:r w:rsidR="00732105">
        <w:t>.</w:t>
      </w:r>
      <w:r w:rsidR="008B6542">
        <w:t>40-41.</w:t>
      </w:r>
    </w:p>
  </w:footnote>
  <w:footnote w:id="8">
    <w:p w:rsidR="008B1AD0" w:rsidRDefault="008B1AD0">
      <w:pPr>
        <w:pStyle w:val="FootnoteText"/>
      </w:pPr>
      <w:r>
        <w:rPr>
          <w:rStyle w:val="FootnoteReference"/>
        </w:rPr>
        <w:footnoteRef/>
      </w:r>
      <w:r>
        <w:t xml:space="preserve"> </w:t>
      </w:r>
      <w:r w:rsidR="00273ED6">
        <w:t xml:space="preserve">Joseph Wells (1979). </w:t>
      </w:r>
      <w:r w:rsidR="00732105">
        <w:t>P</w:t>
      </w:r>
      <w:r>
        <w:t>p</w:t>
      </w:r>
      <w:r w:rsidR="00732105">
        <w:t>.</w:t>
      </w:r>
      <w:r>
        <w:t>9-11.</w:t>
      </w:r>
    </w:p>
  </w:footnote>
  <w:footnote w:id="9">
    <w:p w:rsidR="009C3862" w:rsidRDefault="009C3862">
      <w:pPr>
        <w:pStyle w:val="FootnoteText"/>
      </w:pPr>
      <w:r>
        <w:rPr>
          <w:rStyle w:val="FootnoteReference"/>
        </w:rPr>
        <w:footnoteRef/>
      </w:r>
      <w:r>
        <w:t xml:space="preserve"> </w:t>
      </w:r>
      <w:proofErr w:type="spellStart"/>
      <w:r w:rsidR="00273ED6">
        <w:t>Detlev</w:t>
      </w:r>
      <w:proofErr w:type="spellEnd"/>
      <w:r w:rsidR="00273ED6">
        <w:t xml:space="preserve"> Fehling. (1989). </w:t>
      </w:r>
      <w:r w:rsidR="00732105">
        <w:t>Pp.</w:t>
      </w:r>
      <w:r w:rsidR="00273ED6">
        <w:t>117-118</w:t>
      </w:r>
    </w:p>
  </w:footnote>
  <w:footnote w:id="10">
    <w:p w:rsidR="00732105" w:rsidRDefault="00732105" w:rsidP="00732105">
      <w:pPr>
        <w:pStyle w:val="FootnoteText"/>
      </w:pPr>
      <w:r>
        <w:rPr>
          <w:rStyle w:val="FootnoteReference"/>
        </w:rPr>
        <w:footnoteRef/>
      </w:r>
      <w:r>
        <w:t xml:space="preserve"> </w:t>
      </w:r>
      <w:r>
        <w:t>Thomas F Scanlon (2015</w:t>
      </w:r>
      <w:r>
        <w:t>)</w:t>
      </w:r>
      <w:r w:rsidR="00483F09">
        <w:t>.</w:t>
      </w:r>
      <w:r>
        <w:t xml:space="preserve"> pp.33</w:t>
      </w:r>
    </w:p>
  </w:footnote>
  <w:footnote w:id="11">
    <w:p w:rsidR="00483F09" w:rsidRDefault="00483F09">
      <w:pPr>
        <w:pStyle w:val="FootnoteText"/>
      </w:pPr>
      <w:r>
        <w:rPr>
          <w:rStyle w:val="FootnoteReference"/>
        </w:rPr>
        <w:footnoteRef/>
      </w:r>
      <w:r>
        <w:t xml:space="preserve"> Robin Waterfield (1998). Pp598.</w:t>
      </w:r>
    </w:p>
  </w:footnote>
  <w:footnote w:id="12">
    <w:p w:rsidR="003E62E1" w:rsidRDefault="003E62E1">
      <w:pPr>
        <w:pStyle w:val="FootnoteText"/>
      </w:pPr>
      <w:r>
        <w:rPr>
          <w:rStyle w:val="FootnoteReference"/>
        </w:rPr>
        <w:footnoteRef/>
      </w:r>
      <w:r>
        <w:t xml:space="preserve"> </w:t>
      </w:r>
      <w:proofErr w:type="spellStart"/>
      <w:r>
        <w:t>Detlev</w:t>
      </w:r>
      <w:proofErr w:type="spellEnd"/>
      <w:r>
        <w:t xml:space="preserve"> Fehling. (1989). Pp31-33</w:t>
      </w:r>
    </w:p>
  </w:footnote>
  <w:footnote w:id="13">
    <w:p w:rsidR="001B28B7" w:rsidRDefault="001B28B7" w:rsidP="001B28B7">
      <w:pPr>
        <w:pStyle w:val="FootnoteText"/>
      </w:pPr>
      <w:r>
        <w:rPr>
          <w:rStyle w:val="FootnoteReference"/>
        </w:rPr>
        <w:footnoteRef/>
      </w:r>
      <w:r>
        <w:t xml:space="preserve"> </w:t>
      </w:r>
      <w:proofErr w:type="spellStart"/>
      <w:r>
        <w:t>Detlev</w:t>
      </w:r>
      <w:proofErr w:type="spellEnd"/>
      <w:r>
        <w:t xml:space="preserve"> Fehling. (1989).</w:t>
      </w:r>
      <w:r>
        <w:t xml:space="preserve"> Pp31-33.</w:t>
      </w:r>
    </w:p>
  </w:footnote>
  <w:footnote w:id="14">
    <w:p w:rsidR="003E62E1" w:rsidRDefault="003E62E1">
      <w:pPr>
        <w:pStyle w:val="FootnoteText"/>
      </w:pPr>
      <w:r>
        <w:rPr>
          <w:rStyle w:val="FootnoteReference"/>
        </w:rPr>
        <w:footnoteRef/>
      </w:r>
      <w:r>
        <w:t xml:space="preserve"> </w:t>
      </w:r>
      <w:r>
        <w:t>Thomas F Scanlon (2015</w:t>
      </w:r>
      <w:r>
        <w:t xml:space="preserve">). </w:t>
      </w:r>
      <w:proofErr w:type="spellStart"/>
      <w:r>
        <w:t>Ppviii</w:t>
      </w:r>
      <w:proofErr w:type="spellEnd"/>
      <w:r>
        <w:t>.</w:t>
      </w:r>
    </w:p>
  </w:footnote>
  <w:footnote w:id="15">
    <w:p w:rsidR="002F76E3" w:rsidRDefault="002F76E3" w:rsidP="002F76E3">
      <w:pPr>
        <w:pStyle w:val="FootnoteText"/>
      </w:pPr>
      <w:r>
        <w:rPr>
          <w:rStyle w:val="FootnoteReference"/>
        </w:rPr>
        <w:footnoteRef/>
      </w:r>
      <w:r>
        <w:t xml:space="preserve"> </w:t>
      </w:r>
      <w:r>
        <w:t>Thomas F Scanlon (2015).</w:t>
      </w:r>
      <w:r>
        <w:t xml:space="preserve"> Pp40-41.</w:t>
      </w:r>
    </w:p>
  </w:footnote>
  <w:footnote w:id="16">
    <w:p w:rsidR="002F76E3" w:rsidRDefault="002F76E3">
      <w:pPr>
        <w:pStyle w:val="FootnoteText"/>
      </w:pPr>
      <w:r>
        <w:rPr>
          <w:rStyle w:val="FootnoteReference"/>
        </w:rPr>
        <w:footnoteRef/>
      </w:r>
      <w:r>
        <w:t xml:space="preserve"> </w:t>
      </w:r>
      <w:r>
        <w:t>Thomas F Scanlon (2015). Pp40-41.</w:t>
      </w:r>
    </w:p>
  </w:footnote>
  <w:footnote w:id="17">
    <w:p w:rsidR="00BE5017" w:rsidRDefault="00BE5017">
      <w:pPr>
        <w:pStyle w:val="FootnoteText"/>
      </w:pPr>
      <w:r>
        <w:rPr>
          <w:rStyle w:val="FootnoteReference"/>
        </w:rPr>
        <w:footnoteRef/>
      </w:r>
      <w:r>
        <w:t xml:space="preserve"> </w:t>
      </w:r>
      <w:r>
        <w:t>Thomas F Scanlon (2015). Pp4</w:t>
      </w:r>
      <w:r>
        <w:t>0-43.</w:t>
      </w:r>
    </w:p>
  </w:footnote>
  <w:footnote w:id="18">
    <w:p w:rsidR="002F76E3" w:rsidRDefault="002F76E3">
      <w:pPr>
        <w:pStyle w:val="FootnoteText"/>
      </w:pPr>
      <w:r>
        <w:rPr>
          <w:rStyle w:val="FootnoteReference"/>
        </w:rPr>
        <w:footnoteRef/>
      </w:r>
      <w:r>
        <w:t xml:space="preserve"> </w:t>
      </w:r>
      <w:r w:rsidR="00BE5017">
        <w:t xml:space="preserve">Francois </w:t>
      </w:r>
      <w:proofErr w:type="spellStart"/>
      <w:r w:rsidR="00BE5017">
        <w:t>Hartog</w:t>
      </w:r>
      <w:proofErr w:type="spellEnd"/>
      <w:r w:rsidR="00BE5017">
        <w:t xml:space="preserve"> (2009). </w:t>
      </w:r>
    </w:p>
  </w:footnote>
  <w:footnote w:id="19">
    <w:p w:rsidR="002C725F" w:rsidRDefault="002C725F" w:rsidP="002C725F">
      <w:pPr>
        <w:pStyle w:val="FootnoteText"/>
      </w:pPr>
      <w:r>
        <w:rPr>
          <w:rStyle w:val="FootnoteReference"/>
        </w:rPr>
        <w:footnoteRef/>
      </w:r>
      <w:r>
        <w:t xml:space="preserve"> Stephanie Larson. (2006). pp225-244.</w:t>
      </w:r>
    </w:p>
  </w:footnote>
  <w:footnote w:id="20">
    <w:p w:rsidR="002C725F" w:rsidRDefault="002C725F">
      <w:pPr>
        <w:pStyle w:val="FootnoteText"/>
      </w:pPr>
      <w:r>
        <w:rPr>
          <w:rStyle w:val="FootnoteReference"/>
        </w:rPr>
        <w:footnoteRef/>
      </w:r>
      <w:r>
        <w:t xml:space="preserve"> Herodotus. 1.10.</w:t>
      </w:r>
    </w:p>
  </w:footnote>
  <w:footnote w:id="21">
    <w:p w:rsidR="002C725F" w:rsidRDefault="002C725F">
      <w:pPr>
        <w:pStyle w:val="FootnoteText"/>
      </w:pPr>
      <w:r>
        <w:rPr>
          <w:rStyle w:val="FootnoteReference"/>
        </w:rPr>
        <w:footnoteRef/>
      </w:r>
      <w:r>
        <w:t xml:space="preserve"> Herodotus. 1.9.</w:t>
      </w:r>
    </w:p>
  </w:footnote>
  <w:footnote w:id="22">
    <w:p w:rsidR="001D5640" w:rsidRDefault="001D5640">
      <w:pPr>
        <w:pStyle w:val="FootnoteText"/>
      </w:pPr>
      <w:r>
        <w:rPr>
          <w:rStyle w:val="FootnoteReference"/>
        </w:rPr>
        <w:footnoteRef/>
      </w:r>
      <w:r>
        <w:t xml:space="preserve"> Giovanni </w:t>
      </w:r>
      <w:proofErr w:type="spellStart"/>
      <w:r>
        <w:t>Fanfani</w:t>
      </w:r>
      <w:proofErr w:type="spellEnd"/>
      <w:r>
        <w:t xml:space="preserve"> et al. (2016). Pp36-37.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C53F0"/>
    <w:multiLevelType w:val="hybridMultilevel"/>
    <w:tmpl w:val="D92AB49E"/>
    <w:lvl w:ilvl="0" w:tplc="A8289726">
      <w:start w:val="1"/>
      <w:numFmt w:val="decimal"/>
      <w:lvlText w:val="%1)"/>
      <w:lvlJc w:val="left"/>
      <w:pPr>
        <w:tabs>
          <w:tab w:val="num" w:pos="720"/>
        </w:tabs>
        <w:ind w:left="720" w:hanging="360"/>
      </w:pPr>
    </w:lvl>
    <w:lvl w:ilvl="1" w:tplc="3AC64CFE" w:tentative="1">
      <w:start w:val="1"/>
      <w:numFmt w:val="decimal"/>
      <w:lvlText w:val="%2)"/>
      <w:lvlJc w:val="left"/>
      <w:pPr>
        <w:tabs>
          <w:tab w:val="num" w:pos="1440"/>
        </w:tabs>
        <w:ind w:left="1440" w:hanging="360"/>
      </w:pPr>
    </w:lvl>
    <w:lvl w:ilvl="2" w:tplc="0240A320" w:tentative="1">
      <w:start w:val="1"/>
      <w:numFmt w:val="decimal"/>
      <w:lvlText w:val="%3)"/>
      <w:lvlJc w:val="left"/>
      <w:pPr>
        <w:tabs>
          <w:tab w:val="num" w:pos="2160"/>
        </w:tabs>
        <w:ind w:left="2160" w:hanging="360"/>
      </w:pPr>
    </w:lvl>
    <w:lvl w:ilvl="3" w:tplc="A634B774" w:tentative="1">
      <w:start w:val="1"/>
      <w:numFmt w:val="decimal"/>
      <w:lvlText w:val="%4)"/>
      <w:lvlJc w:val="left"/>
      <w:pPr>
        <w:tabs>
          <w:tab w:val="num" w:pos="2880"/>
        </w:tabs>
        <w:ind w:left="2880" w:hanging="360"/>
      </w:pPr>
    </w:lvl>
    <w:lvl w:ilvl="4" w:tplc="6E2C1368" w:tentative="1">
      <w:start w:val="1"/>
      <w:numFmt w:val="decimal"/>
      <w:lvlText w:val="%5)"/>
      <w:lvlJc w:val="left"/>
      <w:pPr>
        <w:tabs>
          <w:tab w:val="num" w:pos="3600"/>
        </w:tabs>
        <w:ind w:left="3600" w:hanging="360"/>
      </w:pPr>
    </w:lvl>
    <w:lvl w:ilvl="5" w:tplc="CD445206" w:tentative="1">
      <w:start w:val="1"/>
      <w:numFmt w:val="decimal"/>
      <w:lvlText w:val="%6)"/>
      <w:lvlJc w:val="left"/>
      <w:pPr>
        <w:tabs>
          <w:tab w:val="num" w:pos="4320"/>
        </w:tabs>
        <w:ind w:left="4320" w:hanging="360"/>
      </w:pPr>
    </w:lvl>
    <w:lvl w:ilvl="6" w:tplc="0B46FDA4" w:tentative="1">
      <w:start w:val="1"/>
      <w:numFmt w:val="decimal"/>
      <w:lvlText w:val="%7)"/>
      <w:lvlJc w:val="left"/>
      <w:pPr>
        <w:tabs>
          <w:tab w:val="num" w:pos="5040"/>
        </w:tabs>
        <w:ind w:left="5040" w:hanging="360"/>
      </w:pPr>
    </w:lvl>
    <w:lvl w:ilvl="7" w:tplc="0F884846" w:tentative="1">
      <w:start w:val="1"/>
      <w:numFmt w:val="decimal"/>
      <w:lvlText w:val="%8)"/>
      <w:lvlJc w:val="left"/>
      <w:pPr>
        <w:tabs>
          <w:tab w:val="num" w:pos="5760"/>
        </w:tabs>
        <w:ind w:left="5760" w:hanging="360"/>
      </w:pPr>
    </w:lvl>
    <w:lvl w:ilvl="8" w:tplc="F9CCC09E"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603"/>
    <w:rsid w:val="00020AD7"/>
    <w:rsid w:val="000211A1"/>
    <w:rsid w:val="000429C3"/>
    <w:rsid w:val="00122FF8"/>
    <w:rsid w:val="001B28B7"/>
    <w:rsid w:val="001D5640"/>
    <w:rsid w:val="00254268"/>
    <w:rsid w:val="00273ED6"/>
    <w:rsid w:val="002C725F"/>
    <w:rsid w:val="002F4EC1"/>
    <w:rsid w:val="002F76E3"/>
    <w:rsid w:val="00311F20"/>
    <w:rsid w:val="00353B76"/>
    <w:rsid w:val="003B099C"/>
    <w:rsid w:val="003E62E1"/>
    <w:rsid w:val="00483F09"/>
    <w:rsid w:val="00583BA2"/>
    <w:rsid w:val="005C0419"/>
    <w:rsid w:val="00651A6A"/>
    <w:rsid w:val="006C0C3E"/>
    <w:rsid w:val="006D2D53"/>
    <w:rsid w:val="00732105"/>
    <w:rsid w:val="00745E2E"/>
    <w:rsid w:val="007F49D2"/>
    <w:rsid w:val="007F6EAF"/>
    <w:rsid w:val="007F788D"/>
    <w:rsid w:val="00811884"/>
    <w:rsid w:val="00845D12"/>
    <w:rsid w:val="008B1AD0"/>
    <w:rsid w:val="008B6542"/>
    <w:rsid w:val="009835EC"/>
    <w:rsid w:val="009A57F8"/>
    <w:rsid w:val="009B6603"/>
    <w:rsid w:val="009C3862"/>
    <w:rsid w:val="00A66281"/>
    <w:rsid w:val="00B94AEC"/>
    <w:rsid w:val="00BE5017"/>
    <w:rsid w:val="00C624AD"/>
    <w:rsid w:val="00C7303A"/>
    <w:rsid w:val="00D61B31"/>
    <w:rsid w:val="00DA6DD8"/>
    <w:rsid w:val="00E02718"/>
    <w:rsid w:val="00E859A5"/>
    <w:rsid w:val="00F56DBB"/>
    <w:rsid w:val="00FE0299"/>
    <w:rsid w:val="00FE5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D8176"/>
  <w15:chartTrackingRefBased/>
  <w15:docId w15:val="{40D37A50-956E-487A-903D-4299C67A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F78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788D"/>
    <w:rPr>
      <w:sz w:val="20"/>
      <w:szCs w:val="20"/>
    </w:rPr>
  </w:style>
  <w:style w:type="character" w:styleId="FootnoteReference">
    <w:name w:val="footnote reference"/>
    <w:basedOn w:val="DefaultParagraphFont"/>
    <w:uiPriority w:val="99"/>
    <w:semiHidden/>
    <w:unhideWhenUsed/>
    <w:rsid w:val="007F78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248111">
      <w:bodyDiv w:val="1"/>
      <w:marLeft w:val="0"/>
      <w:marRight w:val="0"/>
      <w:marTop w:val="0"/>
      <w:marBottom w:val="0"/>
      <w:divBdr>
        <w:top w:val="none" w:sz="0" w:space="0" w:color="auto"/>
        <w:left w:val="none" w:sz="0" w:space="0" w:color="auto"/>
        <w:bottom w:val="none" w:sz="0" w:space="0" w:color="auto"/>
        <w:right w:val="none" w:sz="0" w:space="0" w:color="auto"/>
      </w:divBdr>
      <w:divsChild>
        <w:div w:id="98339022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60419-A688-4D0F-AE0B-CB5423D86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Pages>
  <Words>938</Words>
  <Characters>5349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Kerslake (1501314)</dc:creator>
  <cp:keywords/>
  <dc:description/>
  <cp:lastModifiedBy>Charlotte Kerslake (1501314)</cp:lastModifiedBy>
  <cp:revision>31</cp:revision>
  <dcterms:created xsi:type="dcterms:W3CDTF">2019-02-25T18:20:00Z</dcterms:created>
  <dcterms:modified xsi:type="dcterms:W3CDTF">2019-02-25T22:42:00Z</dcterms:modified>
</cp:coreProperties>
</file>