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BDEA7" w14:textId="3F450024" w:rsidR="00A43E5D" w:rsidRPr="00E157D2" w:rsidRDefault="00A43E5D" w:rsidP="00E157D2">
      <w:pPr>
        <w:jc w:val="center"/>
        <w:rPr>
          <w:b/>
          <w:bCs/>
          <w:u w:val="single"/>
        </w:rPr>
      </w:pPr>
      <w:r w:rsidRPr="00E157D2">
        <w:rPr>
          <w:b/>
          <w:bCs/>
          <w:u w:val="single"/>
        </w:rPr>
        <w:t xml:space="preserve">Homer’s Iliad, Book 24 </w:t>
      </w:r>
      <w:r w:rsidR="00E157D2" w:rsidRPr="00E157D2">
        <w:rPr>
          <w:b/>
          <w:bCs/>
          <w:u w:val="single"/>
        </w:rPr>
        <w:t>–</w:t>
      </w:r>
      <w:r w:rsidRPr="00E157D2">
        <w:rPr>
          <w:b/>
          <w:bCs/>
          <w:u w:val="single"/>
        </w:rPr>
        <w:t xml:space="preserve"> </w:t>
      </w:r>
      <w:r w:rsidR="00E157D2" w:rsidRPr="00E157D2">
        <w:rPr>
          <w:b/>
          <w:bCs/>
          <w:u w:val="single"/>
        </w:rPr>
        <w:t>776 - 803</w:t>
      </w:r>
    </w:p>
    <w:p w14:paraId="7FEC998E" w14:textId="7FC5FC92" w:rsidR="005C0247" w:rsidRPr="000F0531" w:rsidRDefault="00AA2C92" w:rsidP="000F0531">
      <w:r w:rsidRPr="000F0531">
        <w:t>Believed to have been written, or comp</w:t>
      </w:r>
      <w:r w:rsidR="00F86857">
        <w:t>osed</w:t>
      </w:r>
      <w:r w:rsidRPr="000F0531">
        <w:t>, in the</w:t>
      </w:r>
      <w:r w:rsidR="00FD3F18" w:rsidRPr="000F0531">
        <w:t xml:space="preserve"> </w:t>
      </w:r>
      <w:r w:rsidR="00A14B51" w:rsidRPr="000F0531">
        <w:t>7th to 8</w:t>
      </w:r>
      <w:r w:rsidR="00FD3F18" w:rsidRPr="000F0531">
        <w:t>th Century BC, Homer’s Iliad</w:t>
      </w:r>
      <w:r w:rsidR="000F0531" w:rsidRPr="000F0531">
        <w:t xml:space="preserve"> </w:t>
      </w:r>
      <w:r w:rsidR="00FD3F18" w:rsidRPr="000F0531">
        <w:t>depicts the mythical Trojan War, with Book 24 focusing on the death and burial of the Trojan Her</w:t>
      </w:r>
      <w:r w:rsidR="00BC01B6" w:rsidRPr="000F0531">
        <w:t>o, Hector</w:t>
      </w:r>
      <w:r w:rsidR="00A14B51" w:rsidRPr="000F0531">
        <w:t xml:space="preserve"> </w:t>
      </w:r>
      <w:r w:rsidR="00A14B51" w:rsidRPr="000F0531">
        <w:footnoteReference w:id="1"/>
      </w:r>
      <w:r w:rsidR="00BC01B6" w:rsidRPr="000F0531">
        <w:t xml:space="preserve">. </w:t>
      </w:r>
      <w:r w:rsidR="001F699C">
        <w:t>Homer’s Iliad was one of many pieces in the epic cycle of Troy, giving us</w:t>
      </w:r>
      <w:r w:rsidR="0024197E">
        <w:t xml:space="preserve"> an account of the war, and perhaps an insight to practises of the time. While we may be able to infer some burial practises of the story, “Placed in a golden urn … </w:t>
      </w:r>
      <w:r w:rsidR="000076D2">
        <w:t xml:space="preserve">laid the urn in a hollow grave”, it </w:t>
      </w:r>
      <w:r w:rsidR="00B574A1">
        <w:t>is difficult</w:t>
      </w:r>
      <w:r w:rsidR="000076D2">
        <w:t xml:space="preserve"> to discern whether </w:t>
      </w:r>
      <w:r w:rsidR="00A04F1B">
        <w:t xml:space="preserve">these were common practises of their period, or an especially elevated </w:t>
      </w:r>
      <w:r w:rsidR="008B2184">
        <w:t xml:space="preserve">burial given to Hector, as a Prince of Troy and focal point of the story. </w:t>
      </w:r>
      <w:r w:rsidR="00B574A1">
        <w:t xml:space="preserve">Burials such as the tholos tombs of Mycenae </w:t>
      </w:r>
      <w:r w:rsidR="006F5040">
        <w:t>show high volumes of gold items</w:t>
      </w:r>
      <w:r w:rsidR="006F5040">
        <w:rPr>
          <w:rStyle w:val="FootnoteReference"/>
        </w:rPr>
        <w:footnoteReference w:id="2"/>
      </w:r>
      <w:r w:rsidR="006F5040">
        <w:t>, suggesting the</w:t>
      </w:r>
      <w:r w:rsidR="00EE3A41">
        <w:t xml:space="preserve"> quality and quantity of grave goods may indeed have been based on the archaeological evidence of burials, demonstrating </w:t>
      </w:r>
      <w:proofErr w:type="gramStart"/>
      <w:r w:rsidR="00EE3A41">
        <w:t>a</w:t>
      </w:r>
      <w:proofErr w:type="gramEnd"/>
      <w:r w:rsidR="00EE3A41">
        <w:t xml:space="preserve"> knowledge by the Aegean </w:t>
      </w:r>
      <w:r w:rsidR="00F242F7">
        <w:t>Homer of the funerary customs of the Mycenaeans</w:t>
      </w:r>
      <w:r w:rsidR="00057396">
        <w:t xml:space="preserve">. </w:t>
      </w:r>
      <w:r w:rsidR="00391E92">
        <w:t>Placement of the body into a stone tomb is also a recognisable truth, Homer notes the mourners “</w:t>
      </w:r>
      <w:r w:rsidR="00391E92" w:rsidRPr="00391E92">
        <w:t>covered it over with great close-set stones</w:t>
      </w:r>
      <w:r w:rsidR="00391E92">
        <w:t xml:space="preserve">”, evidence from burials such as that of the Griffin Warrior </w:t>
      </w:r>
      <w:r w:rsidR="001E0741">
        <w:t xml:space="preserve">allow us to </w:t>
      </w:r>
      <w:r w:rsidR="00B36017">
        <w:t>s</w:t>
      </w:r>
      <w:r w:rsidR="001E0741">
        <w:t xml:space="preserve">ee the use of large stone pieces in order to </w:t>
      </w:r>
      <w:r w:rsidR="00B36017">
        <w:t>close or shape a</w:t>
      </w:r>
      <w:r w:rsidR="001E0741">
        <w:t xml:space="preserve"> tomb, alongside countless Mycenaean tombs being described as having a stone door </w:t>
      </w:r>
      <w:r w:rsidR="00B36017">
        <w:t xml:space="preserve">sealing them shut. </w:t>
      </w:r>
      <w:r w:rsidR="00391E92">
        <w:t xml:space="preserve"> </w:t>
      </w:r>
      <w:r w:rsidR="007B3C99">
        <w:t xml:space="preserve">Countless questions arise </w:t>
      </w:r>
      <w:proofErr w:type="gramStart"/>
      <w:r w:rsidR="00584B3A">
        <w:t>in regard to</w:t>
      </w:r>
      <w:proofErr w:type="gramEnd"/>
      <w:r w:rsidR="007B3C99">
        <w:t xml:space="preserve"> the believability of Homer, as an alleged blind man</w:t>
      </w:r>
      <w:r w:rsidR="009B1956">
        <w:t xml:space="preserve">, it would be difficult to rely on his </w:t>
      </w:r>
      <w:r w:rsidR="00961AC6">
        <w:t xml:space="preserve">account as a definitive </w:t>
      </w:r>
      <w:r w:rsidR="00F440CA">
        <w:t xml:space="preserve">source for the material culture, however our ability as modern archaeologists to observe grave finds gives more reliability to his account. </w:t>
      </w:r>
      <w:r w:rsidR="00584B3A">
        <w:t xml:space="preserve">Cremation of a body appears to be focus point of </w:t>
      </w:r>
      <w:r w:rsidR="0069077F">
        <w:t xml:space="preserve">Homer’s burial here, with </w:t>
      </w:r>
      <w:r w:rsidR="00057396">
        <w:t>particular care</w:t>
      </w:r>
      <w:r w:rsidR="0069077F">
        <w:t xml:space="preserve"> taken to the treatment of the “white bones”, placed into an urn and </w:t>
      </w:r>
      <w:r w:rsidR="009C1A17">
        <w:t xml:space="preserve">covered with </w:t>
      </w:r>
      <w:r w:rsidR="00A56D86">
        <w:t>“soft purple robes”, this detailed care of the body emphasi</w:t>
      </w:r>
      <w:r w:rsidR="00680FFE">
        <w:t xml:space="preserve">ses the significance of a correct or appropriate burial for the dead, however it greatly contrasts what we may call the ‘typical’ deposition within a tholos or shaft tomb, in which the body is placed whole and </w:t>
      </w:r>
      <w:r w:rsidR="00103145">
        <w:t>surrounded by</w:t>
      </w:r>
      <w:r w:rsidR="00680FFE">
        <w:t xml:space="preserve"> goods</w:t>
      </w:r>
      <w:r w:rsidR="00680FFE">
        <w:rPr>
          <w:rStyle w:val="FootnoteReference"/>
        </w:rPr>
        <w:footnoteReference w:id="3"/>
      </w:r>
      <w:r w:rsidR="00103145">
        <w:t>. It must be remembered that the burial of Hector is an exceptional man, based in myth, but it may infer to exceptions made for those of especially high social status</w:t>
      </w:r>
      <w:r w:rsidR="00074746">
        <w:t xml:space="preserve"> – the gold urn and purple dyed fabrics imply this further as they are exceptionally pried items. Homer further gives us an image the archaeology does not present, depicting the </w:t>
      </w:r>
      <w:r w:rsidR="000878BF">
        <w:t xml:space="preserve">mourning performed by those present, “countless throng made moan”. </w:t>
      </w:r>
      <w:r w:rsidR="008A4BAD">
        <w:t xml:space="preserve">The sheer number of people here and the public grief of the deceased may give an idea as to how grieving was made into a community event, </w:t>
      </w:r>
      <w:proofErr w:type="gramStart"/>
      <w:r w:rsidR="008A4BAD">
        <w:t>similar to</w:t>
      </w:r>
      <w:proofErr w:type="gramEnd"/>
      <w:r w:rsidR="008A4BAD">
        <w:t xml:space="preserve"> the mourners of Egypt, seen in tomb inscriptions</w:t>
      </w:r>
      <w:r w:rsidR="006D3D2B">
        <w:rPr>
          <w:rStyle w:val="FootnoteReference"/>
        </w:rPr>
        <w:footnoteReference w:id="4"/>
      </w:r>
      <w:r w:rsidR="008A4BAD">
        <w:t xml:space="preserve">. </w:t>
      </w:r>
      <w:r w:rsidR="005F3EE0">
        <w:t xml:space="preserve">Parallels such as this </w:t>
      </w:r>
      <w:r w:rsidR="001E1C5E">
        <w:t xml:space="preserve">across the globe offer an idea to us that place the practise into a wider context – it may not have been an unusual snippet to the contemporary audience, and the emotive language of a familiar </w:t>
      </w:r>
      <w:r w:rsidR="00005252">
        <w:t>morning</w:t>
      </w:r>
      <w:r w:rsidR="001E1C5E">
        <w:t xml:space="preserve"> </w:t>
      </w:r>
      <w:r w:rsidR="00005252">
        <w:t>practise</w:t>
      </w:r>
      <w:r w:rsidR="001E1C5E">
        <w:t xml:space="preserve"> would have worked extremely well to captivate the audience. Homer’s epic was originally </w:t>
      </w:r>
      <w:r w:rsidR="001E1C5E">
        <w:lastRenderedPageBreak/>
        <w:t xml:space="preserve">delivered as a </w:t>
      </w:r>
      <w:r w:rsidR="005677E9">
        <w:t>spoken piece</w:t>
      </w:r>
      <w:r w:rsidR="006A346E">
        <w:t xml:space="preserve"> for a Hellenistic audience</w:t>
      </w:r>
      <w:r w:rsidR="005677E9">
        <w:t xml:space="preserve">, </w:t>
      </w:r>
      <w:r w:rsidR="006A346E">
        <w:t xml:space="preserve">and as such it may have worked to his benefit to tie in familiar practises </w:t>
      </w:r>
      <w:r w:rsidR="00005252">
        <w:t>throughout in</w:t>
      </w:r>
      <w:r w:rsidR="006A346E">
        <w:t xml:space="preserve"> order to allow his audience to relate</w:t>
      </w:r>
      <w:r w:rsidR="00005252">
        <w:t xml:space="preserve">; his piece did not exist as a historical record or documentation, but as a form of entertainment and therefore cannot be guaranteed for it to be </w:t>
      </w:r>
      <w:r w:rsidR="00D402F2">
        <w:t xml:space="preserve">fully accurate. </w:t>
      </w:r>
      <w:r w:rsidR="009F41C3">
        <w:t xml:space="preserve">Feasting is featured as a core part of the burial process </w:t>
      </w:r>
      <w:proofErr w:type="gramStart"/>
      <w:r w:rsidR="009F41C3">
        <w:t>here, and</w:t>
      </w:r>
      <w:proofErr w:type="gramEnd"/>
      <w:r w:rsidR="009F41C3">
        <w:t xml:space="preserve"> is again a practise reflected by the archaeological evidence of pottery vessels and charred bones found surrounding grave </w:t>
      </w:r>
      <w:r w:rsidR="006E54CF">
        <w:t>landscapes</w:t>
      </w:r>
      <w:r w:rsidR="006E54CF">
        <w:rPr>
          <w:rStyle w:val="FootnoteReference"/>
        </w:rPr>
        <w:footnoteReference w:id="5"/>
      </w:r>
      <w:r w:rsidR="00302159">
        <w:t>. Community is here emphasised in the burial process</w:t>
      </w:r>
      <w:r w:rsidR="0059542F">
        <w:t xml:space="preserve"> through the numbers of attendees</w:t>
      </w:r>
      <w:r w:rsidR="00302159">
        <w:t xml:space="preserve">, </w:t>
      </w:r>
      <w:r w:rsidR="00961524">
        <w:t xml:space="preserve">which, if we are to believe pieces such as the </w:t>
      </w:r>
      <w:proofErr w:type="spellStart"/>
      <w:r w:rsidR="00961524">
        <w:t>Vounous</w:t>
      </w:r>
      <w:proofErr w:type="spellEnd"/>
      <w:r w:rsidR="00961524">
        <w:t xml:space="preserve"> bowl are depictions of a funeral</w:t>
      </w:r>
      <w:r w:rsidR="0059542F">
        <w:t xml:space="preserve"> to use as a contemporary reference</w:t>
      </w:r>
      <w:r w:rsidR="00961524">
        <w:t xml:space="preserve">, seems to be an accurate </w:t>
      </w:r>
      <w:r w:rsidR="00E11CF3">
        <w:t>depiction of the mourning rituals</w:t>
      </w:r>
      <w:r w:rsidR="0059542F">
        <w:t>. Given</w:t>
      </w:r>
      <w:r w:rsidR="00E11CF3">
        <w:t xml:space="preserve"> Homer himself is unlikely to have attended such a burial, </w:t>
      </w:r>
      <w:r w:rsidR="0059542F">
        <w:t>the extract cannot be seen as a</w:t>
      </w:r>
      <w:r w:rsidR="0064590B">
        <w:t xml:space="preserve"> wholly accurate depiction, nor as a standard for people to have emulated within later burials. </w:t>
      </w:r>
      <w:r w:rsidR="002B61F7">
        <w:t xml:space="preserve">In addition to the people and process, Homer uniquely gives us a timeline for the </w:t>
      </w:r>
      <w:r w:rsidR="00AC7123">
        <w:t>burial</w:t>
      </w:r>
      <w:r w:rsidR="002B61F7">
        <w:t>, and a potential nod to the importance of ensuring this burial is completed in the correct time, “</w:t>
      </w:r>
      <w:r w:rsidR="002B61F7" w:rsidRPr="002B61F7">
        <w:t>he would do us no hurt until the twelfth dawn comes</w:t>
      </w:r>
      <w:r w:rsidR="00AC7123">
        <w:t xml:space="preserve">.” For an enemy during the very height of the war to pause 12 days to allow the burial, it creates the impression that a burial was an incredibly important aspect of </w:t>
      </w:r>
      <w:r w:rsidR="00EB0B1D">
        <w:t xml:space="preserve">life not only for the Trojans but for the Achaean Greeks as well, offering some </w:t>
      </w:r>
      <w:r w:rsidR="00057396">
        <w:t xml:space="preserve">suggestion that these practises may have been widespread – how else would Achilles have known an estimate of days needed? </w:t>
      </w:r>
      <w:r w:rsidR="00B36017">
        <w:t xml:space="preserve">For a modern audience, at its simplest the extract highlights some burial customs recognisable as ancient practises, </w:t>
      </w:r>
      <w:r w:rsidR="006B231C">
        <w:t xml:space="preserve">but it also demonstrates a relationship between the deceased, the mourners, and the rites practised surrounding the inhumation of the body itself. </w:t>
      </w:r>
      <w:r w:rsidR="00E157D2">
        <w:t xml:space="preserve">It also cannot be </w:t>
      </w:r>
      <w:r w:rsidR="00AD5370">
        <w:t xml:space="preserve">said with certainty that each practise was contemporary to the setting of the Iliad, but it may have been a combination of Iliadic fiction, and archaeological truth </w:t>
      </w:r>
      <w:proofErr w:type="gramStart"/>
      <w:r w:rsidR="00AD5370">
        <w:t>in order to</w:t>
      </w:r>
      <w:proofErr w:type="gramEnd"/>
      <w:r w:rsidR="00AD5370">
        <w:t xml:space="preserve"> create something recognisable and relatable for the audience listening to Homer. </w:t>
      </w:r>
    </w:p>
    <w:p w14:paraId="6C00A2C5" w14:textId="291F324A" w:rsidR="004F124A" w:rsidRDefault="004F124A">
      <w:pPr>
        <w:rPr>
          <w:b/>
          <w:bCs/>
          <w:u w:val="single"/>
        </w:rPr>
      </w:pPr>
      <w:r w:rsidRPr="004F124A">
        <w:rPr>
          <w:b/>
          <w:bCs/>
          <w:u w:val="single"/>
        </w:rPr>
        <w:t xml:space="preserve">Bibliography </w:t>
      </w:r>
    </w:p>
    <w:p w14:paraId="13DC1AB0" w14:textId="7E410A02" w:rsidR="002E1117" w:rsidRDefault="002E1117">
      <w:r w:rsidRPr="002E1117">
        <w:rPr>
          <w:i/>
          <w:iCs/>
        </w:rPr>
        <w:t>A rare discovery will shed new light on Mycenaean funerary practices</w:t>
      </w:r>
      <w:r w:rsidRPr="002E1117">
        <w:t xml:space="preserve"> (2017). </w:t>
      </w:r>
      <w:hyperlink r:id="rId7" w:history="1">
        <w:r w:rsidRPr="002E1117">
          <w:rPr>
            <w:rStyle w:val="Hyperlink"/>
            <w:u w:val="none"/>
          </w:rPr>
          <w:t>https://www.cam.ac.uk/research/news/a-rare-discovery-will-shed-new-light-on-mycenaean-funerary-practices</w:t>
        </w:r>
      </w:hyperlink>
      <w:r w:rsidRPr="002E1117">
        <w:t>.</w:t>
      </w:r>
    </w:p>
    <w:p w14:paraId="2A113184" w14:textId="725D39CB" w:rsidR="001D5330" w:rsidRDefault="001D5330">
      <w:r>
        <w:t xml:space="preserve">Dario Radley (2026) ‘A Body surrounded by gold and swords’ ArchaeologyMag.com </w:t>
      </w:r>
      <w:hyperlink r:id="rId8" w:history="1">
        <w:r w:rsidRPr="004F0B95">
          <w:rPr>
            <w:rStyle w:val="Hyperlink"/>
          </w:rPr>
          <w:t>https://archaeologymag.com/2026/10/how-mycenaeans-staged-their-burials/</w:t>
        </w:r>
      </w:hyperlink>
    </w:p>
    <w:p w14:paraId="744D1DE6" w14:textId="3603E896" w:rsidR="00852D23" w:rsidRPr="002E1117" w:rsidRDefault="00852D23">
      <w:r w:rsidRPr="00852D23">
        <w:t xml:space="preserve">Georgiadis, M. (2020) 'Landscape, Feasting, and Ancestors in the Burial Tradition of Mycenaean Rhodes,' in </w:t>
      </w:r>
      <w:r w:rsidRPr="00852D23">
        <w:rPr>
          <w:i/>
          <w:iCs/>
        </w:rPr>
        <w:t>Death in Late Bronze Age Greece</w:t>
      </w:r>
      <w:r w:rsidRPr="00852D23">
        <w:t xml:space="preserve">, pp. 198–213. </w:t>
      </w:r>
      <w:hyperlink r:id="rId9" w:history="1">
        <w:r w:rsidRPr="004F0B95">
          <w:rPr>
            <w:rStyle w:val="Hyperlink"/>
          </w:rPr>
          <w:t>https://doi.org/10.1093/oso/9780190926069.003.0010</w:t>
        </w:r>
      </w:hyperlink>
      <w:r w:rsidRPr="00852D23">
        <w:t>.</w:t>
      </w:r>
    </w:p>
    <w:p w14:paraId="7D7839BE" w14:textId="77777777" w:rsidR="004F124A" w:rsidRDefault="004F124A" w:rsidP="004F124A">
      <w:r w:rsidRPr="00893B64">
        <w:t xml:space="preserve">Homer’s Iliad 24.776-803 (translation by Murray, </w:t>
      </w:r>
      <w:proofErr w:type="spellStart"/>
      <w:r w:rsidRPr="00893B64">
        <w:t>loeb</w:t>
      </w:r>
      <w:proofErr w:type="spellEnd"/>
      <w:r w:rsidRPr="00893B64">
        <w:t xml:space="preserve"> series, Harvard University Press)</w:t>
      </w:r>
    </w:p>
    <w:p w14:paraId="623EC768" w14:textId="601826AB" w:rsidR="006D3D2B" w:rsidRPr="00893B64" w:rsidRDefault="006D3D2B" w:rsidP="004F124A">
      <w:r w:rsidRPr="006D3D2B">
        <w:lastRenderedPageBreak/>
        <w:t xml:space="preserve">Moses, H. (2026) </w:t>
      </w:r>
      <w:r w:rsidRPr="006D3D2B">
        <w:rPr>
          <w:i/>
          <w:iCs/>
        </w:rPr>
        <w:t>Mourning practices in Ancient Egypt: How grief became ritual</w:t>
      </w:r>
      <w:r w:rsidRPr="006D3D2B">
        <w:t xml:space="preserve">. </w:t>
      </w:r>
      <w:hyperlink r:id="rId10" w:history="1">
        <w:r w:rsidRPr="004F0B95">
          <w:rPr>
            <w:rStyle w:val="Hyperlink"/>
          </w:rPr>
          <w:t>https://www.historyandmyths.com/2026/01/mourning-practices-ancient-egypt.html</w:t>
        </w:r>
      </w:hyperlink>
      <w:r w:rsidRPr="006D3D2B">
        <w:t>.</w:t>
      </w:r>
    </w:p>
    <w:p w14:paraId="1C5F455C" w14:textId="3FF3817A" w:rsidR="004F124A" w:rsidRDefault="001E10A8">
      <w:r w:rsidRPr="001E10A8">
        <w:t xml:space="preserve">West, M.L. (1995) 'The date of the ‘Iliad,’' </w:t>
      </w:r>
      <w:r w:rsidRPr="001E10A8">
        <w:rPr>
          <w:i/>
          <w:iCs/>
        </w:rPr>
        <w:t xml:space="preserve">Museum </w:t>
      </w:r>
      <w:proofErr w:type="spellStart"/>
      <w:r w:rsidRPr="001E10A8">
        <w:rPr>
          <w:i/>
          <w:iCs/>
        </w:rPr>
        <w:t>Helveticum</w:t>
      </w:r>
      <w:proofErr w:type="spellEnd"/>
      <w:r w:rsidRPr="001E10A8">
        <w:t>, 52(4), pp. 203–219.</w:t>
      </w:r>
      <w:r w:rsidR="006B231C">
        <w:t xml:space="preserve"> </w:t>
      </w:r>
      <w:hyperlink r:id="rId11" w:history="1">
        <w:r w:rsidR="006B231C" w:rsidRPr="004F0B95">
          <w:rPr>
            <w:rStyle w:val="Hyperlink"/>
          </w:rPr>
          <w:t>https://www.jstor.org/stable/24819564</w:t>
        </w:r>
      </w:hyperlink>
      <w:r w:rsidRPr="001E10A8">
        <w:t>.</w:t>
      </w:r>
    </w:p>
    <w:p w14:paraId="51C648E6" w14:textId="4C40E536" w:rsidR="006B231C" w:rsidRDefault="006B231C">
      <w:r>
        <w:t>NO AI HAS BEEN USED IN ANY P</w:t>
      </w:r>
      <w:r w:rsidR="00A43E5D">
        <w:t xml:space="preserve">ART OF THIS ASSIGNMENT. </w:t>
      </w:r>
    </w:p>
    <w:p w14:paraId="653AE426" w14:textId="77777777" w:rsidR="00B574A1" w:rsidRDefault="00B574A1"/>
    <w:sectPr w:rsidR="00B57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640DB" w14:textId="77777777" w:rsidR="004A2996" w:rsidRDefault="004A2996" w:rsidP="00A14B51">
      <w:pPr>
        <w:spacing w:after="0" w:line="240" w:lineRule="auto"/>
      </w:pPr>
      <w:r>
        <w:separator/>
      </w:r>
    </w:p>
  </w:endnote>
  <w:endnote w:type="continuationSeparator" w:id="0">
    <w:p w14:paraId="086EAE8D" w14:textId="77777777" w:rsidR="004A2996" w:rsidRDefault="004A2996" w:rsidP="00A14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40894" w14:textId="77777777" w:rsidR="004A2996" w:rsidRDefault="004A2996" w:rsidP="00A14B51">
      <w:pPr>
        <w:spacing w:after="0" w:line="240" w:lineRule="auto"/>
      </w:pPr>
      <w:r>
        <w:separator/>
      </w:r>
    </w:p>
  </w:footnote>
  <w:footnote w:type="continuationSeparator" w:id="0">
    <w:p w14:paraId="786833EE" w14:textId="77777777" w:rsidR="004A2996" w:rsidRDefault="004A2996" w:rsidP="00A14B51">
      <w:pPr>
        <w:spacing w:after="0" w:line="240" w:lineRule="auto"/>
      </w:pPr>
      <w:r>
        <w:continuationSeparator/>
      </w:r>
    </w:p>
  </w:footnote>
  <w:footnote w:id="1">
    <w:p w14:paraId="2C352DA2" w14:textId="7DBB97D6" w:rsidR="00A14B51" w:rsidRDefault="00A14B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35DE">
        <w:t>The Date of the Iliad, M. West, 1995.</w:t>
      </w:r>
    </w:p>
    <w:p w14:paraId="6E855D13" w14:textId="77777777" w:rsidR="006F5040" w:rsidRDefault="006F5040">
      <w:pPr>
        <w:pStyle w:val="FootnoteText"/>
      </w:pPr>
    </w:p>
  </w:footnote>
  <w:footnote w:id="2">
    <w:p w14:paraId="6309A657" w14:textId="37E15413" w:rsidR="006F5040" w:rsidRDefault="006F5040">
      <w:pPr>
        <w:pStyle w:val="FootnoteText"/>
      </w:pPr>
      <w:r>
        <w:rPr>
          <w:rStyle w:val="FootnoteReference"/>
        </w:rPr>
        <w:footnoteRef/>
      </w:r>
      <w:r>
        <w:t xml:space="preserve"> Radley, 2026</w:t>
      </w:r>
    </w:p>
  </w:footnote>
  <w:footnote w:id="3">
    <w:p w14:paraId="3BB786F1" w14:textId="45C7569C" w:rsidR="00680FFE" w:rsidRDefault="00680F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E1117">
        <w:t xml:space="preserve">Mycenaean funerary practises, 2017 </w:t>
      </w:r>
    </w:p>
  </w:footnote>
  <w:footnote w:id="4">
    <w:p w14:paraId="4F115AF2" w14:textId="4D8F4A08" w:rsidR="006D3D2B" w:rsidRDefault="006D3D2B">
      <w:pPr>
        <w:pStyle w:val="FootnoteText"/>
      </w:pPr>
      <w:r>
        <w:rPr>
          <w:rStyle w:val="FootnoteReference"/>
        </w:rPr>
        <w:footnoteRef/>
      </w:r>
      <w:r>
        <w:t xml:space="preserve"> Moses</w:t>
      </w:r>
      <w:r w:rsidR="001D5330">
        <w:t>, 2026.</w:t>
      </w:r>
    </w:p>
  </w:footnote>
  <w:footnote w:id="5">
    <w:p w14:paraId="1AE9DED3" w14:textId="25A62A38" w:rsidR="006E54CF" w:rsidRDefault="006E54CF">
      <w:pPr>
        <w:pStyle w:val="FootnoteText"/>
      </w:pPr>
      <w:r>
        <w:rPr>
          <w:rStyle w:val="FootnoteReference"/>
        </w:rPr>
        <w:footnoteRef/>
      </w:r>
      <w:r>
        <w:t xml:space="preserve"> Georgiadis, 2020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B64"/>
    <w:rsid w:val="00005252"/>
    <w:rsid w:val="000076D2"/>
    <w:rsid w:val="00057396"/>
    <w:rsid w:val="00074746"/>
    <w:rsid w:val="0008235A"/>
    <w:rsid w:val="000875A3"/>
    <w:rsid w:val="000878BF"/>
    <w:rsid w:val="000A2305"/>
    <w:rsid w:val="000F0531"/>
    <w:rsid w:val="00103145"/>
    <w:rsid w:val="001D5330"/>
    <w:rsid w:val="001E0741"/>
    <w:rsid w:val="001E10A8"/>
    <w:rsid w:val="001E1C5E"/>
    <w:rsid w:val="001F699C"/>
    <w:rsid w:val="0024197E"/>
    <w:rsid w:val="002A35DE"/>
    <w:rsid w:val="002B61F7"/>
    <w:rsid w:val="002C685C"/>
    <w:rsid w:val="002E1117"/>
    <w:rsid w:val="00302159"/>
    <w:rsid w:val="00376F42"/>
    <w:rsid w:val="00391E92"/>
    <w:rsid w:val="004A2996"/>
    <w:rsid w:val="004F124A"/>
    <w:rsid w:val="004F50B7"/>
    <w:rsid w:val="005677E9"/>
    <w:rsid w:val="00584B3A"/>
    <w:rsid w:val="0059542F"/>
    <w:rsid w:val="005C0247"/>
    <w:rsid w:val="005F3EE0"/>
    <w:rsid w:val="0064590B"/>
    <w:rsid w:val="00680FFE"/>
    <w:rsid w:val="0069077F"/>
    <w:rsid w:val="006A346E"/>
    <w:rsid w:val="006B231C"/>
    <w:rsid w:val="006D3D2B"/>
    <w:rsid w:val="006E54CF"/>
    <w:rsid w:val="006F5040"/>
    <w:rsid w:val="007721F4"/>
    <w:rsid w:val="007B3C99"/>
    <w:rsid w:val="00852D23"/>
    <w:rsid w:val="00893B64"/>
    <w:rsid w:val="008A4BAD"/>
    <w:rsid w:val="008B2184"/>
    <w:rsid w:val="00961524"/>
    <w:rsid w:val="00961AC6"/>
    <w:rsid w:val="009813E9"/>
    <w:rsid w:val="009B1956"/>
    <w:rsid w:val="009C1A17"/>
    <w:rsid w:val="009F41C3"/>
    <w:rsid w:val="00A04F1B"/>
    <w:rsid w:val="00A14B51"/>
    <w:rsid w:val="00A37460"/>
    <w:rsid w:val="00A43E5D"/>
    <w:rsid w:val="00A56D86"/>
    <w:rsid w:val="00A84D98"/>
    <w:rsid w:val="00A936AC"/>
    <w:rsid w:val="00AA2C92"/>
    <w:rsid w:val="00AC7123"/>
    <w:rsid w:val="00AD5370"/>
    <w:rsid w:val="00B36017"/>
    <w:rsid w:val="00B574A1"/>
    <w:rsid w:val="00BC01B6"/>
    <w:rsid w:val="00D01140"/>
    <w:rsid w:val="00D301A6"/>
    <w:rsid w:val="00D402F2"/>
    <w:rsid w:val="00DF04FA"/>
    <w:rsid w:val="00E11CF3"/>
    <w:rsid w:val="00E157D2"/>
    <w:rsid w:val="00E215F9"/>
    <w:rsid w:val="00EB0B1D"/>
    <w:rsid w:val="00EC32E2"/>
    <w:rsid w:val="00EE3A41"/>
    <w:rsid w:val="00EF408C"/>
    <w:rsid w:val="00F242F7"/>
    <w:rsid w:val="00F440CA"/>
    <w:rsid w:val="00F86857"/>
    <w:rsid w:val="00FD3F18"/>
    <w:rsid w:val="00FF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A2F52"/>
  <w15:chartTrackingRefBased/>
  <w15:docId w15:val="{6EA56085-C362-49B2-BC41-303035B7B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B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B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B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B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B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B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B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B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B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B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B64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4B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4B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4B5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E10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aeologymag.com/2026/10/how-mycenaeans-staged-their-burial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am.ac.uk/research/news/a-rare-discovery-will-shed-new-light-on-mycenaean-funerary-practic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jstor.org/stable/2481956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historyandmyths.com/2026/01/mourning-practices-ancient-egyp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3/oso/9780190926069.003.00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A22EB7E-3A1C-45A5-BD9A-F0FF503C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1083</Words>
  <Characters>5492</Characters>
  <Application>Microsoft Office Word</Application>
  <DocSecurity>0</DocSecurity>
  <Lines>85</Lines>
  <Paragraphs>19</Paragraphs>
  <ScaleCrop>false</ScaleCrop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Lexin Atlas Jessopp (2400788)</dc:creator>
  <cp:keywords/>
  <dc:description/>
  <cp:lastModifiedBy>Lexin Atlas Jessopp (2400788)</cp:lastModifiedBy>
  <cp:revision>64</cp:revision>
  <dcterms:created xsi:type="dcterms:W3CDTF">2026-10-23T12:04:00Z</dcterms:created>
  <dcterms:modified xsi:type="dcterms:W3CDTF">2026-10-23T13:16:00Z</dcterms:modified>
</cp:coreProperties>
</file>