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7ECD5" w14:textId="6D7F8AC4" w:rsidR="009D0DE6" w:rsidRPr="00661F82" w:rsidRDefault="009F681A" w:rsidP="009F681A">
      <w:pPr>
        <w:jc w:val="both"/>
        <w:rPr>
          <w:rFonts w:ascii="Arial" w:hAnsi="Arial" w:cs="Arial"/>
          <w:b/>
          <w:bCs/>
        </w:rPr>
      </w:pPr>
      <w:r w:rsidRPr="00661F82">
        <w:rPr>
          <w:rFonts w:ascii="Arial" w:hAnsi="Arial" w:cs="Arial"/>
          <w:b/>
          <w:bCs/>
        </w:rPr>
        <w:t>Investigate the curriculum in which the Professional Teaching Experience is set and critique its design.</w:t>
      </w:r>
    </w:p>
    <w:p w14:paraId="2E373B73" w14:textId="77777777" w:rsidR="00490832" w:rsidRPr="00661F82" w:rsidRDefault="00490832" w:rsidP="009F681A">
      <w:pPr>
        <w:jc w:val="both"/>
        <w:rPr>
          <w:rFonts w:ascii="Arial" w:hAnsi="Arial" w:cs="Arial"/>
        </w:rPr>
      </w:pPr>
    </w:p>
    <w:p w14:paraId="51D4E631" w14:textId="77777777" w:rsidR="00CA76A3" w:rsidRDefault="00490832" w:rsidP="009F681A">
      <w:pPr>
        <w:jc w:val="both"/>
        <w:rPr>
          <w:rFonts w:ascii="Arial" w:hAnsi="Arial" w:cs="Arial"/>
        </w:rPr>
      </w:pPr>
      <w:r w:rsidRPr="00661F82">
        <w:rPr>
          <w:rFonts w:ascii="Arial" w:hAnsi="Arial" w:cs="Arial"/>
        </w:rPr>
        <w:t xml:space="preserve">The purpose of this assignment is to investigate and present a critique of a curriculum within the professional teaching experience. For the purpose of this the Fieldwork module of the Youth and Community Work Degree has been chosen. </w:t>
      </w:r>
      <w:r w:rsidR="002446A1" w:rsidRPr="00661F82">
        <w:rPr>
          <w:rFonts w:ascii="Arial" w:hAnsi="Arial" w:cs="Arial"/>
        </w:rPr>
        <w:t>The fieldwork module</w:t>
      </w:r>
      <w:r w:rsidRPr="00661F82">
        <w:rPr>
          <w:rFonts w:ascii="Arial" w:hAnsi="Arial" w:cs="Arial"/>
        </w:rPr>
        <w:t xml:space="preserve"> is one that runs throughout the three years of the professional degree and</w:t>
      </w:r>
      <w:r w:rsidR="002446A1" w:rsidRPr="00661F82">
        <w:rPr>
          <w:rFonts w:ascii="Arial" w:hAnsi="Arial" w:cs="Arial"/>
        </w:rPr>
        <w:t>,</w:t>
      </w:r>
      <w:r w:rsidRPr="00661F82">
        <w:rPr>
          <w:rFonts w:ascii="Arial" w:hAnsi="Arial" w:cs="Arial"/>
        </w:rPr>
        <w:t xml:space="preserve"> as such</w:t>
      </w:r>
      <w:r w:rsidR="002446A1" w:rsidRPr="00661F82">
        <w:rPr>
          <w:rFonts w:ascii="Arial" w:hAnsi="Arial" w:cs="Arial"/>
        </w:rPr>
        <w:t>,</w:t>
      </w:r>
      <w:r w:rsidRPr="00661F82">
        <w:rPr>
          <w:rFonts w:ascii="Arial" w:hAnsi="Arial" w:cs="Arial"/>
        </w:rPr>
        <w:t xml:space="preserve"> the curriculum is expanded upon throughout the degree programme.</w:t>
      </w:r>
      <w:r w:rsidR="00CA76A3">
        <w:rPr>
          <w:rFonts w:ascii="Arial" w:hAnsi="Arial" w:cs="Arial"/>
        </w:rPr>
        <w:t xml:space="preserve"> </w:t>
      </w:r>
    </w:p>
    <w:p w14:paraId="7480EC7A" w14:textId="294767A2" w:rsidR="00CA76A3" w:rsidRPr="00661F82" w:rsidRDefault="00CA76A3" w:rsidP="009F681A">
      <w:pPr>
        <w:jc w:val="both"/>
        <w:rPr>
          <w:rFonts w:ascii="Arial" w:hAnsi="Arial" w:cs="Arial"/>
        </w:rPr>
      </w:pPr>
      <w:r>
        <w:rPr>
          <w:rFonts w:ascii="Arial" w:hAnsi="Arial" w:cs="Arial"/>
        </w:rPr>
        <w:t>The fieldwork module is both theoretical and practical in its delivery and approach as it has a placement element as well as a produced portfolio of experiences, reflections, evidence and assessments of practice. Learners have to complete 200 hours in placement their first year of study and 400 hours in their second and third year, half of these hours can be non-face to face youth work as it provides an understanding of what is required within the youth work context. The purpose of the three modules is to provide the students with an expanding understanding and developing experience of professional youth work whilst giving students the opportunity to engage their theoretical learning in practice.</w:t>
      </w:r>
    </w:p>
    <w:p w14:paraId="2B4903C3" w14:textId="4944EE89" w:rsidR="009E1305" w:rsidRDefault="00490832" w:rsidP="00490832">
      <w:pPr>
        <w:jc w:val="both"/>
        <w:rPr>
          <w:rFonts w:ascii="Arial" w:hAnsi="Arial" w:cs="Arial"/>
        </w:rPr>
      </w:pPr>
      <w:r w:rsidRPr="00661F82">
        <w:rPr>
          <w:rFonts w:ascii="Arial" w:hAnsi="Arial" w:cs="Arial"/>
        </w:rPr>
        <w:t xml:space="preserve">Marsh (2009) argues that there are a large number of definitions for curriculum and that academics generally chose a particular definition in order to reinforce and fit their own definition to suit their needs. </w:t>
      </w:r>
      <w:r w:rsidR="009E1305" w:rsidRPr="00661F82">
        <w:rPr>
          <w:rFonts w:ascii="Arial" w:hAnsi="Arial" w:cs="Arial"/>
        </w:rPr>
        <w:t xml:space="preserve">Kelly (2009) agrees with this idea stating that there are a number of definitions and meanings to the word curriculum which makes </w:t>
      </w:r>
      <w:r w:rsidR="004032A9">
        <w:rPr>
          <w:rFonts w:ascii="Arial" w:hAnsi="Arial" w:cs="Arial"/>
        </w:rPr>
        <w:t>them</w:t>
      </w:r>
      <w:r w:rsidR="009E1305" w:rsidRPr="00661F82">
        <w:rPr>
          <w:rFonts w:ascii="Arial" w:hAnsi="Arial" w:cs="Arial"/>
        </w:rPr>
        <w:t xml:space="preserve"> difficult to design. Kelly (2009) suggests that rather than being one specific thing a curriculum is made up of a number of concepts and ideas which include ‘the educational curriculum… total </w:t>
      </w:r>
      <w:r w:rsidR="00897710" w:rsidRPr="00661F82">
        <w:rPr>
          <w:rFonts w:ascii="Arial" w:hAnsi="Arial" w:cs="Arial"/>
        </w:rPr>
        <w:t>curriculum</w:t>
      </w:r>
      <w:r w:rsidR="009E1305" w:rsidRPr="00661F82">
        <w:rPr>
          <w:rFonts w:ascii="Arial" w:hAnsi="Arial" w:cs="Arial"/>
        </w:rPr>
        <w:t>… hidden curriculum… planned curriculum</w:t>
      </w:r>
      <w:r w:rsidR="004032A9">
        <w:rPr>
          <w:rFonts w:ascii="Arial" w:hAnsi="Arial" w:cs="Arial"/>
        </w:rPr>
        <w:t xml:space="preserve">… </w:t>
      </w:r>
      <w:r w:rsidR="009E1305" w:rsidRPr="00661F82">
        <w:rPr>
          <w:rFonts w:ascii="Arial" w:hAnsi="Arial" w:cs="Arial"/>
        </w:rPr>
        <w:t xml:space="preserve">received </w:t>
      </w:r>
      <w:r w:rsidR="00897710" w:rsidRPr="00661F82">
        <w:rPr>
          <w:rFonts w:ascii="Arial" w:hAnsi="Arial" w:cs="Arial"/>
        </w:rPr>
        <w:t>curriculum</w:t>
      </w:r>
      <w:r w:rsidR="004032A9">
        <w:rPr>
          <w:rFonts w:ascii="Arial" w:hAnsi="Arial" w:cs="Arial"/>
        </w:rPr>
        <w:t>…</w:t>
      </w:r>
      <w:r w:rsidR="009E1305" w:rsidRPr="00661F82">
        <w:rPr>
          <w:rFonts w:ascii="Arial" w:hAnsi="Arial" w:cs="Arial"/>
        </w:rPr>
        <w:t xml:space="preserve"> and the formal </w:t>
      </w:r>
      <w:r w:rsidR="00897710" w:rsidRPr="00661F82">
        <w:rPr>
          <w:rFonts w:ascii="Arial" w:hAnsi="Arial" w:cs="Arial"/>
        </w:rPr>
        <w:t>curriculum’ Kelly (2009 p. 7-12).</w:t>
      </w:r>
    </w:p>
    <w:p w14:paraId="354C9856" w14:textId="1697F464" w:rsidR="00295048" w:rsidRDefault="00295048" w:rsidP="00490832">
      <w:pPr>
        <w:jc w:val="both"/>
        <w:rPr>
          <w:rFonts w:ascii="Arial" w:hAnsi="Arial" w:cs="Arial"/>
        </w:rPr>
      </w:pPr>
      <w:r>
        <w:rPr>
          <w:rFonts w:ascii="Arial" w:hAnsi="Arial" w:cs="Arial"/>
        </w:rPr>
        <w:t>Stenhouse (1975)</w:t>
      </w:r>
      <w:r w:rsidR="004032A9">
        <w:rPr>
          <w:rFonts w:ascii="Arial" w:hAnsi="Arial" w:cs="Arial"/>
        </w:rPr>
        <w:t>,</w:t>
      </w:r>
      <w:r w:rsidR="00912188">
        <w:rPr>
          <w:rFonts w:ascii="Arial" w:hAnsi="Arial" w:cs="Arial"/>
        </w:rPr>
        <w:t xml:space="preserve"> cited in Neary</w:t>
      </w:r>
      <w:r w:rsidR="004032A9">
        <w:rPr>
          <w:rFonts w:ascii="Arial" w:hAnsi="Arial" w:cs="Arial"/>
        </w:rPr>
        <w:t xml:space="preserve"> (2002),</w:t>
      </w:r>
      <w:r w:rsidR="00912188">
        <w:rPr>
          <w:rFonts w:ascii="Arial" w:hAnsi="Arial" w:cs="Arial"/>
        </w:rPr>
        <w:t xml:space="preserve"> </w:t>
      </w:r>
      <w:r>
        <w:rPr>
          <w:rFonts w:ascii="Arial" w:hAnsi="Arial" w:cs="Arial"/>
        </w:rPr>
        <w:t xml:space="preserve">claimed that </w:t>
      </w:r>
    </w:p>
    <w:p w14:paraId="6799F13B" w14:textId="71A3547A" w:rsidR="00295048" w:rsidRPr="00C72C32" w:rsidRDefault="00166A02" w:rsidP="00166A02">
      <w:pPr>
        <w:spacing w:line="360" w:lineRule="auto"/>
        <w:ind w:left="1134" w:right="1134"/>
        <w:jc w:val="both"/>
        <w:rPr>
          <w:rFonts w:ascii="Arial" w:hAnsi="Arial" w:cs="Arial"/>
        </w:rPr>
      </w:pPr>
      <w:r>
        <w:rPr>
          <w:rFonts w:ascii="Arial" w:hAnsi="Arial" w:cs="Arial"/>
        </w:rPr>
        <w:t>W</w:t>
      </w:r>
      <w:r w:rsidR="00295048" w:rsidRPr="00C72C32">
        <w:rPr>
          <w:rFonts w:ascii="Arial" w:hAnsi="Arial" w:cs="Arial"/>
        </w:rPr>
        <w:t xml:space="preserve">e appear to be confronted by two different views on the curriculum.  </w:t>
      </w:r>
      <w:r w:rsidR="004032A9">
        <w:rPr>
          <w:rFonts w:ascii="Arial" w:hAnsi="Arial" w:cs="Arial"/>
        </w:rPr>
        <w:t xml:space="preserve">On </w:t>
      </w:r>
      <w:r w:rsidR="00295048" w:rsidRPr="00C72C32">
        <w:rPr>
          <w:rFonts w:ascii="Arial" w:hAnsi="Arial" w:cs="Arial"/>
        </w:rPr>
        <w:t>the one hand the curriculum is seen as intention, plan or prescription… On the other, it is seen as the existing state of affairs in schools</w:t>
      </w:r>
      <w:r w:rsidR="00C72C32" w:rsidRPr="00C72C32">
        <w:rPr>
          <w:rFonts w:ascii="Arial" w:hAnsi="Arial" w:cs="Arial"/>
        </w:rPr>
        <w:t xml:space="preserve"> (Neary 2002, p. 34)</w:t>
      </w:r>
    </w:p>
    <w:p w14:paraId="6DF49B6A" w14:textId="47B23689" w:rsidR="00295048" w:rsidRPr="00661F82" w:rsidRDefault="00295048" w:rsidP="00295048">
      <w:pPr>
        <w:spacing w:line="276" w:lineRule="auto"/>
        <w:jc w:val="both"/>
        <w:rPr>
          <w:rFonts w:ascii="Arial" w:hAnsi="Arial" w:cs="Arial"/>
        </w:rPr>
      </w:pPr>
      <w:r>
        <w:rPr>
          <w:rFonts w:ascii="Arial" w:hAnsi="Arial" w:cs="Arial"/>
        </w:rPr>
        <w:t xml:space="preserve">Although </w:t>
      </w:r>
      <w:r w:rsidR="00106A50">
        <w:rPr>
          <w:rFonts w:ascii="Arial" w:hAnsi="Arial" w:cs="Arial"/>
        </w:rPr>
        <w:t>Stenhouse’s</w:t>
      </w:r>
      <w:r>
        <w:rPr>
          <w:rFonts w:ascii="Arial" w:hAnsi="Arial" w:cs="Arial"/>
        </w:rPr>
        <w:t xml:space="preserve"> view considers compulsory education Neary (2002) argues that it is as important in post compulsory education to understand the meaning of curriculum </w:t>
      </w:r>
      <w:r w:rsidR="00106A50">
        <w:rPr>
          <w:rFonts w:ascii="Arial" w:hAnsi="Arial" w:cs="Arial"/>
        </w:rPr>
        <w:t>as ‘we teach… through many different</w:t>
      </w:r>
      <w:r>
        <w:rPr>
          <w:rFonts w:ascii="Arial" w:hAnsi="Arial" w:cs="Arial"/>
        </w:rPr>
        <w:t xml:space="preserve"> </w:t>
      </w:r>
      <w:r w:rsidR="00106A50">
        <w:rPr>
          <w:rFonts w:ascii="Arial" w:hAnsi="Arial" w:cs="Arial"/>
        </w:rPr>
        <w:t>courses… one thing in common is that we all have some kind of curriculum’ (Neary 2002 p 33)</w:t>
      </w:r>
    </w:p>
    <w:p w14:paraId="38A758D7" w14:textId="3FC90F97" w:rsidR="00490832" w:rsidRPr="00661F82" w:rsidRDefault="00661F82" w:rsidP="00490832">
      <w:pPr>
        <w:jc w:val="both"/>
        <w:rPr>
          <w:rFonts w:ascii="Arial" w:hAnsi="Arial" w:cs="Arial"/>
        </w:rPr>
      </w:pPr>
      <w:r w:rsidRPr="00661F82">
        <w:rPr>
          <w:rFonts w:ascii="Arial" w:hAnsi="Arial" w:cs="Arial"/>
          <w:color w:val="000000"/>
          <w:shd w:val="clear" w:color="auto" w:fill="FFFFFF"/>
        </w:rPr>
        <w:t xml:space="preserve">Su (2012) tries to </w:t>
      </w:r>
      <w:r w:rsidR="00CA76A3" w:rsidRPr="00661F82">
        <w:rPr>
          <w:rFonts w:ascii="Arial" w:hAnsi="Arial" w:cs="Arial"/>
          <w:color w:val="000000"/>
          <w:shd w:val="clear" w:color="auto" w:fill="FFFFFF"/>
        </w:rPr>
        <w:t>explain</w:t>
      </w:r>
      <w:r w:rsidRPr="00661F82">
        <w:rPr>
          <w:rFonts w:ascii="Arial" w:hAnsi="Arial" w:cs="Arial"/>
          <w:color w:val="000000"/>
          <w:shd w:val="clear" w:color="auto" w:fill="FFFFFF"/>
        </w:rPr>
        <w:t xml:space="preserve"> the complex nature of curriculum as being dependant on the ‘divided perceptions of stakeholders, e.g. students, educators, researchers, administrators, evaluators with their own agenda of emphasis’ Su (2012) goes on to explain that t</w:t>
      </w:r>
      <w:r w:rsidR="009E1305" w:rsidRPr="00661F82">
        <w:rPr>
          <w:rFonts w:ascii="Arial" w:hAnsi="Arial" w:cs="Arial"/>
        </w:rPr>
        <w:t>here are</w:t>
      </w:r>
      <w:r w:rsidRPr="00661F82">
        <w:rPr>
          <w:rFonts w:ascii="Arial" w:hAnsi="Arial" w:cs="Arial"/>
        </w:rPr>
        <w:t xml:space="preserve"> two main different concepts and models of curriculum, product and process. This investigation will consider which, if either</w:t>
      </w:r>
      <w:r w:rsidR="00295048">
        <w:rPr>
          <w:rFonts w:ascii="Arial" w:hAnsi="Arial" w:cs="Arial"/>
        </w:rPr>
        <w:t>,</w:t>
      </w:r>
      <w:r w:rsidRPr="00661F82">
        <w:rPr>
          <w:rFonts w:ascii="Arial" w:hAnsi="Arial" w:cs="Arial"/>
        </w:rPr>
        <w:t xml:space="preserve"> the fieldwork module fits into.</w:t>
      </w:r>
    </w:p>
    <w:p w14:paraId="554AD3A1" w14:textId="3C026DF3" w:rsidR="009F681A" w:rsidRDefault="0005658A" w:rsidP="009F681A">
      <w:pPr>
        <w:jc w:val="both"/>
        <w:rPr>
          <w:rFonts w:ascii="Arial" w:hAnsi="Arial" w:cs="Arial"/>
        </w:rPr>
      </w:pPr>
      <w:r w:rsidRPr="00661F82">
        <w:rPr>
          <w:rFonts w:ascii="Arial" w:hAnsi="Arial" w:cs="Arial"/>
        </w:rPr>
        <w:t xml:space="preserve">The product model of curriculum, according to Tyler (1949), is concerned with the end product. It designs a programme of work </w:t>
      </w:r>
      <w:r w:rsidR="00E7093D" w:rsidRPr="00661F82">
        <w:rPr>
          <w:rFonts w:ascii="Arial" w:hAnsi="Arial" w:cs="Arial"/>
        </w:rPr>
        <w:t xml:space="preserve">which is teacher </w:t>
      </w:r>
      <w:r w:rsidR="003B6077" w:rsidRPr="00661F82">
        <w:rPr>
          <w:rFonts w:ascii="Arial" w:hAnsi="Arial" w:cs="Arial"/>
        </w:rPr>
        <w:t>led,</w:t>
      </w:r>
      <w:r w:rsidR="006F4A1F" w:rsidRPr="00661F82">
        <w:rPr>
          <w:rFonts w:ascii="Arial" w:hAnsi="Arial" w:cs="Arial"/>
        </w:rPr>
        <w:t xml:space="preserve"> objectives </w:t>
      </w:r>
      <w:r w:rsidR="00661F82">
        <w:rPr>
          <w:rFonts w:ascii="Arial" w:hAnsi="Arial" w:cs="Arial"/>
        </w:rPr>
        <w:t xml:space="preserve">are </w:t>
      </w:r>
      <w:r w:rsidR="006F4A1F" w:rsidRPr="00661F82">
        <w:rPr>
          <w:rFonts w:ascii="Arial" w:hAnsi="Arial" w:cs="Arial"/>
        </w:rPr>
        <w:t>set for the learner</w:t>
      </w:r>
      <w:r w:rsidR="00661F82">
        <w:rPr>
          <w:rFonts w:ascii="Arial" w:hAnsi="Arial" w:cs="Arial"/>
        </w:rPr>
        <w:t xml:space="preserve"> without any </w:t>
      </w:r>
      <w:r w:rsidR="00A52DE3">
        <w:rPr>
          <w:rFonts w:ascii="Arial" w:hAnsi="Arial" w:cs="Arial"/>
        </w:rPr>
        <w:t>input</w:t>
      </w:r>
      <w:r w:rsidR="00661F82">
        <w:rPr>
          <w:rFonts w:ascii="Arial" w:hAnsi="Arial" w:cs="Arial"/>
        </w:rPr>
        <w:t xml:space="preserve"> and at the end a</w:t>
      </w:r>
      <w:r w:rsidR="006F4A1F" w:rsidRPr="00661F82">
        <w:rPr>
          <w:rFonts w:ascii="Arial" w:hAnsi="Arial" w:cs="Arial"/>
        </w:rPr>
        <w:t xml:space="preserve"> product</w:t>
      </w:r>
      <w:r w:rsidR="00661F82">
        <w:rPr>
          <w:rFonts w:ascii="Arial" w:hAnsi="Arial" w:cs="Arial"/>
        </w:rPr>
        <w:t xml:space="preserve"> or </w:t>
      </w:r>
      <w:r w:rsidR="006F4A1F" w:rsidRPr="00661F82">
        <w:rPr>
          <w:rFonts w:ascii="Arial" w:hAnsi="Arial" w:cs="Arial"/>
        </w:rPr>
        <w:t>assignment</w:t>
      </w:r>
      <w:r w:rsidR="00661F82">
        <w:rPr>
          <w:rFonts w:ascii="Arial" w:hAnsi="Arial" w:cs="Arial"/>
        </w:rPr>
        <w:t xml:space="preserve"> is</w:t>
      </w:r>
      <w:r w:rsidR="006F4A1F" w:rsidRPr="00661F82">
        <w:rPr>
          <w:rFonts w:ascii="Arial" w:hAnsi="Arial" w:cs="Arial"/>
        </w:rPr>
        <w:t xml:space="preserve"> produced</w:t>
      </w:r>
      <w:r w:rsidR="00841273">
        <w:rPr>
          <w:rFonts w:ascii="Arial" w:hAnsi="Arial" w:cs="Arial"/>
        </w:rPr>
        <w:t xml:space="preserve"> in order to evidence any learning</w:t>
      </w:r>
      <w:r w:rsidR="006F4A1F" w:rsidRPr="00661F82">
        <w:rPr>
          <w:rFonts w:ascii="Arial" w:hAnsi="Arial" w:cs="Arial"/>
        </w:rPr>
        <w:t>. There is no flexibility in this model, learning must be demonstrated explicitly</w:t>
      </w:r>
      <w:r w:rsidR="00661F82">
        <w:rPr>
          <w:rFonts w:ascii="Arial" w:hAnsi="Arial" w:cs="Arial"/>
        </w:rPr>
        <w:t xml:space="preserve"> through an end test. This end test is also designed and implemented by the teacher and will generally meet the need of the curriculum.</w:t>
      </w:r>
    </w:p>
    <w:p w14:paraId="2AD8567E" w14:textId="77777777" w:rsidR="001D1A98" w:rsidRDefault="00FF6D91" w:rsidP="009F681A">
      <w:pPr>
        <w:jc w:val="both"/>
        <w:rPr>
          <w:rFonts w:ascii="Arial" w:hAnsi="Arial" w:cs="Arial"/>
        </w:rPr>
      </w:pPr>
      <w:r>
        <w:rPr>
          <w:rFonts w:ascii="Arial" w:hAnsi="Arial" w:cs="Arial"/>
        </w:rPr>
        <w:lastRenderedPageBreak/>
        <w:t>At the end of the fieldwork curriculum, at each level, there are four separate assessment components. The first of these are a professional journal which includes prescribed pieces of work such as reflective commentaries, risk assessments, community profiles, case studies and a summary of learning and development whilst on placement. To complement this the second produced piece of work is a portfolio of evidence which evidences the professional journal but also correlates the work undertaken to the National Occupational Standards for Youth Work</w:t>
      </w:r>
      <w:r w:rsidR="00C425FA">
        <w:rPr>
          <w:rFonts w:ascii="Arial" w:hAnsi="Arial" w:cs="Arial"/>
        </w:rPr>
        <w:t>.</w:t>
      </w:r>
      <w:r>
        <w:rPr>
          <w:rFonts w:ascii="Arial" w:hAnsi="Arial" w:cs="Arial"/>
        </w:rPr>
        <w:t xml:space="preserve"> The final two assessment components are a line manager and fieldwork supervisor report. </w:t>
      </w:r>
      <w:r w:rsidR="00C425FA">
        <w:rPr>
          <w:rFonts w:ascii="Arial" w:hAnsi="Arial" w:cs="Arial"/>
        </w:rPr>
        <w:t>The fieldwork modules are taught through lectures and in the field by professionally qualified youth workers</w:t>
      </w:r>
      <w:r w:rsidR="004549F9">
        <w:rPr>
          <w:rFonts w:ascii="Arial" w:hAnsi="Arial" w:cs="Arial"/>
        </w:rPr>
        <w:t>.</w:t>
      </w:r>
      <w:r w:rsidR="001D1A98">
        <w:rPr>
          <w:rFonts w:ascii="Arial" w:hAnsi="Arial" w:cs="Arial"/>
        </w:rPr>
        <w:t xml:space="preserve"> </w:t>
      </w:r>
    </w:p>
    <w:p w14:paraId="4DF83C80" w14:textId="42CBCDA3" w:rsidR="008F3712" w:rsidRPr="008F3712" w:rsidRDefault="001D1A98" w:rsidP="009F681A">
      <w:pPr>
        <w:jc w:val="both"/>
        <w:rPr>
          <w:rFonts w:ascii="Arial" w:hAnsi="Arial" w:cs="Arial"/>
          <w:color w:val="FF0000"/>
        </w:rPr>
      </w:pPr>
      <w:r>
        <w:rPr>
          <w:rFonts w:ascii="Arial" w:hAnsi="Arial" w:cs="Arial"/>
        </w:rPr>
        <w:t xml:space="preserve">There are prescribed learning outcomes and indicative content outlined in each year of the curriculum. The fieldwork curriculum benefits from the product-based manner of its assessment in that students are able to show progression and further understanding of youth work throughout the degree process. </w:t>
      </w:r>
      <w:r w:rsidR="00841273">
        <w:rPr>
          <w:rFonts w:ascii="Arial" w:hAnsi="Arial" w:cs="Arial"/>
        </w:rPr>
        <w:t>They are taught what is needed as per youth work guidelines and how to manage these within different youth work contexts.</w:t>
      </w:r>
    </w:p>
    <w:p w14:paraId="575B6597" w14:textId="12EC2FBA" w:rsidR="001D1A98" w:rsidRDefault="00661F82" w:rsidP="00B62B0E">
      <w:pPr>
        <w:jc w:val="both"/>
        <w:rPr>
          <w:rFonts w:ascii="Arial" w:hAnsi="Arial" w:cs="Arial"/>
        </w:rPr>
      </w:pPr>
      <w:r>
        <w:rPr>
          <w:rFonts w:ascii="Arial" w:hAnsi="Arial" w:cs="Arial"/>
        </w:rPr>
        <w:t xml:space="preserve">The process model on the other hand considers the way in which learning is achieved. </w:t>
      </w:r>
      <w:r w:rsidR="00B62B0E" w:rsidRPr="00661F82">
        <w:rPr>
          <w:rFonts w:ascii="Arial" w:hAnsi="Arial" w:cs="Arial"/>
        </w:rPr>
        <w:t>Stenhouse</w:t>
      </w:r>
      <w:r>
        <w:rPr>
          <w:rFonts w:ascii="Arial" w:hAnsi="Arial" w:cs="Arial"/>
        </w:rPr>
        <w:t xml:space="preserve"> (1975), in</w:t>
      </w:r>
      <w:r w:rsidRPr="00661F82">
        <w:rPr>
          <w:rFonts w:ascii="Arial" w:hAnsi="Arial" w:cs="Arial"/>
        </w:rPr>
        <w:t xml:space="preserve"> response to the product model of curriculum</w:t>
      </w:r>
      <w:r>
        <w:rPr>
          <w:rFonts w:ascii="Arial" w:hAnsi="Arial" w:cs="Arial"/>
        </w:rPr>
        <w:t xml:space="preserve">, </w:t>
      </w:r>
      <w:r w:rsidR="00B62B0E" w:rsidRPr="00661F82">
        <w:rPr>
          <w:rFonts w:ascii="Arial" w:hAnsi="Arial" w:cs="Arial"/>
        </w:rPr>
        <w:t>devised the process model of curriculum.</w:t>
      </w:r>
      <w:r>
        <w:rPr>
          <w:rFonts w:ascii="Arial" w:hAnsi="Arial" w:cs="Arial"/>
        </w:rPr>
        <w:t xml:space="preserve"> Stenhouse (1975) believed that </w:t>
      </w:r>
      <w:r w:rsidR="00CF6C5F">
        <w:rPr>
          <w:rFonts w:ascii="Arial" w:hAnsi="Arial" w:cs="Arial"/>
        </w:rPr>
        <w:t xml:space="preserve">the learner is central to the curriculum and </w:t>
      </w:r>
      <w:r w:rsidR="00841273">
        <w:rPr>
          <w:rFonts w:ascii="Arial" w:hAnsi="Arial" w:cs="Arial"/>
        </w:rPr>
        <w:t xml:space="preserve">as such </w:t>
      </w:r>
      <w:r w:rsidR="00CF6C5F">
        <w:rPr>
          <w:rFonts w:ascii="Arial" w:hAnsi="Arial" w:cs="Arial"/>
        </w:rPr>
        <w:t xml:space="preserve">there should </w:t>
      </w:r>
      <w:r w:rsidR="001D1A98">
        <w:rPr>
          <w:rFonts w:ascii="Arial" w:hAnsi="Arial" w:cs="Arial"/>
        </w:rPr>
        <w:t>b</w:t>
      </w:r>
      <w:r w:rsidR="00CF6C5F">
        <w:rPr>
          <w:rFonts w:ascii="Arial" w:hAnsi="Arial" w:cs="Arial"/>
        </w:rPr>
        <w:t>e am emphasis on the way in which someone learns rather than the end product simply being assessed</w:t>
      </w:r>
      <w:r w:rsidR="00295048">
        <w:rPr>
          <w:rFonts w:ascii="Arial" w:hAnsi="Arial" w:cs="Arial"/>
        </w:rPr>
        <w:t>.</w:t>
      </w:r>
      <w:r w:rsidR="001D1A98" w:rsidRPr="001D1A98">
        <w:rPr>
          <w:rFonts w:ascii="Arial" w:hAnsi="Arial" w:cs="Arial"/>
        </w:rPr>
        <w:t xml:space="preserve"> </w:t>
      </w:r>
    </w:p>
    <w:p w14:paraId="6E5674A1" w14:textId="35EB3C23" w:rsidR="00B62B0E" w:rsidRDefault="001D1A98" w:rsidP="00B62B0E">
      <w:pPr>
        <w:jc w:val="both"/>
        <w:rPr>
          <w:rFonts w:ascii="Arial" w:hAnsi="Arial" w:cs="Arial"/>
        </w:rPr>
      </w:pPr>
      <w:r>
        <w:rPr>
          <w:rFonts w:ascii="Arial" w:hAnsi="Arial" w:cs="Arial"/>
        </w:rPr>
        <w:t xml:space="preserve">As the end goal of this degree is a professional qualification there are elements that need to be product driven, however there are opportunities for a process model to be followed which is evidenced somewhat in the fieldwork curriculum. </w:t>
      </w:r>
      <w:r w:rsidR="005F19EE">
        <w:rPr>
          <w:rFonts w:ascii="Arial" w:hAnsi="Arial" w:cs="Arial"/>
        </w:rPr>
        <w:t xml:space="preserve">Students find and secure their own fieldwork placements which gives them ownership of their initial learning and experience. </w:t>
      </w:r>
      <w:r>
        <w:rPr>
          <w:rFonts w:ascii="Arial" w:hAnsi="Arial" w:cs="Arial"/>
        </w:rPr>
        <w:t>Students, lecturers and workplace facilitators are able to identify strengths and areas for development for individual learners based on their personal experiences</w:t>
      </w:r>
      <w:r w:rsidR="00841273">
        <w:rPr>
          <w:rFonts w:ascii="Arial" w:hAnsi="Arial" w:cs="Arial"/>
        </w:rPr>
        <w:t xml:space="preserve"> throughout the placement</w:t>
      </w:r>
      <w:r>
        <w:rPr>
          <w:rFonts w:ascii="Arial" w:hAnsi="Arial" w:cs="Arial"/>
        </w:rPr>
        <w:t>.</w:t>
      </w:r>
    </w:p>
    <w:p w14:paraId="015E6110" w14:textId="6173100B" w:rsidR="00354876" w:rsidRDefault="008F5589" w:rsidP="009F681A">
      <w:pPr>
        <w:jc w:val="both"/>
        <w:rPr>
          <w:rFonts w:ascii="Arial" w:hAnsi="Arial" w:cs="Arial"/>
        </w:rPr>
      </w:pPr>
      <w:r>
        <w:rPr>
          <w:rFonts w:ascii="Arial" w:hAnsi="Arial" w:cs="Arial"/>
        </w:rPr>
        <w:t xml:space="preserve">Further development and understanding of curriculum can </w:t>
      </w:r>
      <w:r w:rsidR="000170F1">
        <w:rPr>
          <w:rFonts w:ascii="Arial" w:hAnsi="Arial" w:cs="Arial"/>
        </w:rPr>
        <w:t xml:space="preserve">be appreciated through consideration of </w:t>
      </w:r>
      <w:r w:rsidR="00841273">
        <w:rPr>
          <w:rFonts w:ascii="Arial" w:hAnsi="Arial" w:cs="Arial"/>
        </w:rPr>
        <w:t xml:space="preserve">advanced more contemporary </w:t>
      </w:r>
      <w:r w:rsidR="000170F1">
        <w:rPr>
          <w:rFonts w:ascii="Arial" w:hAnsi="Arial" w:cs="Arial"/>
        </w:rPr>
        <w:t>concepts relating to curriculum. These are academic, utilitarian and progressive</w:t>
      </w:r>
      <w:r w:rsidR="00841273">
        <w:rPr>
          <w:rFonts w:ascii="Arial" w:hAnsi="Arial" w:cs="Arial"/>
        </w:rPr>
        <w:t xml:space="preserve"> concepts</w:t>
      </w:r>
      <w:r w:rsidR="000170F1">
        <w:rPr>
          <w:rFonts w:ascii="Arial" w:hAnsi="Arial" w:cs="Arial"/>
        </w:rPr>
        <w:t xml:space="preserve">. </w:t>
      </w:r>
    </w:p>
    <w:p w14:paraId="3EABD887" w14:textId="1BB102F7" w:rsidR="000170F1" w:rsidRDefault="000170F1" w:rsidP="009F681A">
      <w:pPr>
        <w:jc w:val="both"/>
        <w:rPr>
          <w:rFonts w:ascii="Arial" w:hAnsi="Arial" w:cs="Arial"/>
        </w:rPr>
      </w:pPr>
      <w:r>
        <w:rPr>
          <w:rFonts w:ascii="Arial" w:hAnsi="Arial" w:cs="Arial"/>
        </w:rPr>
        <w:t>Those who consider progressive curriculum as important seek to include learners and students negotiating their learning through dialogue and shared discussions</w:t>
      </w:r>
      <w:r w:rsidR="002B4F00">
        <w:rPr>
          <w:rFonts w:ascii="Arial" w:hAnsi="Arial" w:cs="Arial"/>
        </w:rPr>
        <w:t xml:space="preserve">, they believe the curriculum should be designed and developed around the individual needs of the learner. Kloss (2018) says that this form of curriculum is seen as alternative education rather than the mainstream understanding of the education system and their curriculum. Kloss (2018) goes on to claim that progressive curriculums have </w:t>
      </w:r>
    </w:p>
    <w:p w14:paraId="4F290DBA" w14:textId="07CF8FC3" w:rsidR="00354876" w:rsidRDefault="002B4F00" w:rsidP="002B4F00">
      <w:pPr>
        <w:spacing w:line="360" w:lineRule="auto"/>
        <w:ind w:left="1134" w:right="1134"/>
        <w:jc w:val="both"/>
        <w:rPr>
          <w:rFonts w:ascii="Arial" w:hAnsi="Arial" w:cs="Arial"/>
        </w:rPr>
      </w:pPr>
      <w:r w:rsidRPr="002B4F00">
        <w:rPr>
          <w:rFonts w:ascii="Arial" w:hAnsi="Arial" w:cs="Arial"/>
        </w:rPr>
        <w:t>characteristics with the progressive tradition: a belief in the paramount importance of Children and their Learning (as opposed to institutions focused on promulgating existing institutional parameters), Curricular and Assessment Flexibility, and the importance of Play</w:t>
      </w:r>
      <w:r>
        <w:rPr>
          <w:rFonts w:ascii="Arial" w:hAnsi="Arial" w:cs="Arial"/>
        </w:rPr>
        <w:t>.</w:t>
      </w:r>
    </w:p>
    <w:p w14:paraId="2B421E2A" w14:textId="48E368AF" w:rsidR="00354876" w:rsidRDefault="00C82C17" w:rsidP="009F681A">
      <w:pPr>
        <w:jc w:val="both"/>
        <w:rPr>
          <w:rFonts w:ascii="Arial" w:hAnsi="Arial" w:cs="Arial"/>
        </w:rPr>
      </w:pPr>
      <w:r>
        <w:rPr>
          <w:rFonts w:ascii="Arial" w:hAnsi="Arial" w:cs="Arial"/>
        </w:rPr>
        <w:t>Utilitarian</w:t>
      </w:r>
      <w:r w:rsidR="00886D70">
        <w:rPr>
          <w:rFonts w:ascii="Arial" w:hAnsi="Arial" w:cs="Arial"/>
        </w:rPr>
        <w:t xml:space="preserve"> curriculums however </w:t>
      </w:r>
      <w:r>
        <w:rPr>
          <w:rFonts w:ascii="Arial" w:hAnsi="Arial" w:cs="Arial"/>
        </w:rPr>
        <w:t xml:space="preserve">concentrate on vocational and trade skills. </w:t>
      </w:r>
      <w:r w:rsidR="002C1E04">
        <w:rPr>
          <w:rFonts w:ascii="Arial" w:hAnsi="Arial" w:cs="Arial"/>
        </w:rPr>
        <w:t>Schiro (2013) claims that around the turn of the</w:t>
      </w:r>
      <w:r w:rsidR="00841273">
        <w:rPr>
          <w:rFonts w:ascii="Arial" w:hAnsi="Arial" w:cs="Arial"/>
        </w:rPr>
        <w:t xml:space="preserve"> 20</w:t>
      </w:r>
      <w:r w:rsidR="00841273" w:rsidRPr="00841273">
        <w:rPr>
          <w:rFonts w:ascii="Arial" w:hAnsi="Arial" w:cs="Arial"/>
          <w:vertAlign w:val="superscript"/>
        </w:rPr>
        <w:t>th</w:t>
      </w:r>
      <w:r w:rsidR="002C1E04">
        <w:rPr>
          <w:rFonts w:ascii="Arial" w:hAnsi="Arial" w:cs="Arial"/>
        </w:rPr>
        <w:t xml:space="preserve"> century curriculum designers recognised the importance of schools as a purpose to fit the needs of the country. Schiro (2013) states that ‘Utilitarian education was an outgrowth of the agricultural education, manual training, trade school… increasingly popular business ideology’ (p.79). Utilitarian curriculum can therefore be seen as a response to the academic lead tradition of the curriculum before </w:t>
      </w:r>
      <w:r w:rsidR="00841273">
        <w:rPr>
          <w:rFonts w:ascii="Arial" w:hAnsi="Arial" w:cs="Arial"/>
        </w:rPr>
        <w:t>this time</w:t>
      </w:r>
      <w:r w:rsidR="002C1E04">
        <w:rPr>
          <w:rFonts w:ascii="Arial" w:hAnsi="Arial" w:cs="Arial"/>
        </w:rPr>
        <w:t>.</w:t>
      </w:r>
    </w:p>
    <w:p w14:paraId="56E7CAD2" w14:textId="54E467BD" w:rsidR="009B6F8C" w:rsidRDefault="00CE7724" w:rsidP="009F681A">
      <w:pPr>
        <w:jc w:val="both"/>
        <w:rPr>
          <w:rFonts w:ascii="Arial" w:hAnsi="Arial" w:cs="Arial"/>
        </w:rPr>
      </w:pPr>
      <w:r>
        <w:rPr>
          <w:rFonts w:ascii="Arial" w:hAnsi="Arial" w:cs="Arial"/>
        </w:rPr>
        <w:lastRenderedPageBreak/>
        <w:t>Through this investigation of curriculum, it is clear that the fieldwork curriculum does not fit into any specific model. It has functions of both product and process frameworks and sits between both a progressive and utilitarian model of teaching and assessment. This curriculum evidences that there</w:t>
      </w:r>
      <w:r w:rsidR="00841273">
        <w:rPr>
          <w:rFonts w:ascii="Arial" w:hAnsi="Arial" w:cs="Arial"/>
        </w:rPr>
        <w:t xml:space="preserve"> is</w:t>
      </w:r>
      <w:r>
        <w:rPr>
          <w:rFonts w:ascii="Arial" w:hAnsi="Arial" w:cs="Arial"/>
        </w:rPr>
        <w:t xml:space="preserve"> </w:t>
      </w:r>
      <w:r w:rsidR="009B6F8C">
        <w:rPr>
          <w:rFonts w:ascii="Arial" w:hAnsi="Arial" w:cs="Arial"/>
        </w:rPr>
        <w:t xml:space="preserve">no fixed understanding or explanation of curriculum as it is flexible and constantly shifting to meet the needs of the writer, student and teacher. </w:t>
      </w:r>
    </w:p>
    <w:p w14:paraId="25F26453" w14:textId="77777777" w:rsidR="009B6F8C" w:rsidRDefault="009B6F8C" w:rsidP="009B6F8C">
      <w:pPr>
        <w:jc w:val="both"/>
        <w:rPr>
          <w:rFonts w:ascii="Arial" w:hAnsi="Arial" w:cs="Arial"/>
        </w:rPr>
      </w:pPr>
      <w:r w:rsidRPr="00D61AF5">
        <w:rPr>
          <w:rFonts w:ascii="Helvetica" w:hAnsi="Helvetica"/>
          <w:color w:val="333333"/>
        </w:rPr>
        <w:t>Niculescu (</w:t>
      </w:r>
      <w:r>
        <w:rPr>
          <w:rFonts w:ascii="Helvetica" w:hAnsi="Helvetica"/>
          <w:color w:val="333333"/>
        </w:rPr>
        <w:t>2016) does not believe that the model in which curriculum is written is important but that the way in which it is taught is, she claims ‘</w:t>
      </w:r>
      <w:r w:rsidRPr="00D61AF5">
        <w:rPr>
          <w:rFonts w:ascii="Arial" w:hAnsi="Arial" w:cs="Arial"/>
        </w:rPr>
        <w:t>the</w:t>
      </w:r>
      <w:r w:rsidRPr="00DC250C">
        <w:rPr>
          <w:rFonts w:ascii="Arial" w:hAnsi="Arial" w:cs="Arial"/>
        </w:rPr>
        <w:t xml:space="preserve"> learning situation is the key concept of curriculum, no matter if curriculum is seen as structure or from the perspective of its development and assessment.</w:t>
      </w:r>
      <w:r>
        <w:rPr>
          <w:rFonts w:ascii="Arial" w:hAnsi="Arial" w:cs="Arial"/>
        </w:rPr>
        <w:t>’</w:t>
      </w:r>
    </w:p>
    <w:p w14:paraId="6377500E" w14:textId="5D1C5AFD" w:rsidR="002C1E04" w:rsidRDefault="009B6F8C" w:rsidP="009F681A">
      <w:pPr>
        <w:jc w:val="both"/>
        <w:rPr>
          <w:rFonts w:ascii="Arial" w:hAnsi="Arial" w:cs="Arial"/>
        </w:rPr>
      </w:pPr>
      <w:r>
        <w:rPr>
          <w:rFonts w:ascii="Arial" w:hAnsi="Arial" w:cs="Arial"/>
        </w:rPr>
        <w:t>This is more evident in higher and adult education where the learner has more input into their learning opportunities</w:t>
      </w:r>
      <w:r w:rsidR="00841273">
        <w:rPr>
          <w:rFonts w:ascii="Arial" w:hAnsi="Arial" w:cs="Arial"/>
        </w:rPr>
        <w:t xml:space="preserve">, rather than in compulsory education. It </w:t>
      </w:r>
      <w:r>
        <w:rPr>
          <w:rFonts w:ascii="Arial" w:hAnsi="Arial" w:cs="Arial"/>
        </w:rPr>
        <w:t>can</w:t>
      </w:r>
      <w:r w:rsidR="00841273">
        <w:rPr>
          <w:rFonts w:ascii="Arial" w:hAnsi="Arial" w:cs="Arial"/>
        </w:rPr>
        <w:t xml:space="preserve"> also</w:t>
      </w:r>
      <w:r>
        <w:rPr>
          <w:rFonts w:ascii="Arial" w:hAnsi="Arial" w:cs="Arial"/>
        </w:rPr>
        <w:t xml:space="preserve"> be seen within the fieldwork curriculum</w:t>
      </w:r>
      <w:r w:rsidR="00841273">
        <w:rPr>
          <w:rFonts w:ascii="Arial" w:hAnsi="Arial" w:cs="Arial"/>
        </w:rPr>
        <w:t xml:space="preserve"> that has been investigated.</w:t>
      </w:r>
    </w:p>
    <w:p w14:paraId="6F53A99E" w14:textId="779EFE5E" w:rsidR="00354876" w:rsidRDefault="00354876" w:rsidP="009F681A">
      <w:pPr>
        <w:jc w:val="both"/>
        <w:rPr>
          <w:rFonts w:ascii="Arial" w:hAnsi="Arial" w:cs="Arial"/>
        </w:rPr>
      </w:pPr>
    </w:p>
    <w:p w14:paraId="2991529D" w14:textId="5EFF78FA" w:rsidR="00354876" w:rsidRDefault="00354876" w:rsidP="009F681A">
      <w:pPr>
        <w:jc w:val="both"/>
        <w:rPr>
          <w:rFonts w:ascii="Arial" w:hAnsi="Arial" w:cs="Arial"/>
        </w:rPr>
      </w:pPr>
    </w:p>
    <w:p w14:paraId="09D0EAD6" w14:textId="2ECDC951" w:rsidR="009B6F8C" w:rsidRDefault="009B6F8C" w:rsidP="009F681A">
      <w:pPr>
        <w:jc w:val="both"/>
        <w:rPr>
          <w:rFonts w:ascii="Arial" w:hAnsi="Arial" w:cs="Arial"/>
        </w:rPr>
      </w:pPr>
    </w:p>
    <w:p w14:paraId="27B0FD65" w14:textId="4BF5E4C8" w:rsidR="009B6F8C" w:rsidRDefault="009B6F8C" w:rsidP="009F681A">
      <w:pPr>
        <w:jc w:val="both"/>
        <w:rPr>
          <w:rFonts w:ascii="Arial" w:hAnsi="Arial" w:cs="Arial"/>
        </w:rPr>
      </w:pPr>
    </w:p>
    <w:p w14:paraId="3356A55F" w14:textId="1E1309C0" w:rsidR="009B6F8C" w:rsidRDefault="009B6F8C" w:rsidP="009F681A">
      <w:pPr>
        <w:jc w:val="both"/>
        <w:rPr>
          <w:rFonts w:ascii="Arial" w:hAnsi="Arial" w:cs="Arial"/>
        </w:rPr>
      </w:pPr>
    </w:p>
    <w:p w14:paraId="5B69D53A" w14:textId="0626010B" w:rsidR="009B6F8C" w:rsidRDefault="009B6F8C" w:rsidP="009F681A">
      <w:pPr>
        <w:jc w:val="both"/>
        <w:rPr>
          <w:rFonts w:ascii="Arial" w:hAnsi="Arial" w:cs="Arial"/>
        </w:rPr>
      </w:pPr>
    </w:p>
    <w:p w14:paraId="7B02B6D8" w14:textId="322D70FC" w:rsidR="009B6F8C" w:rsidRDefault="009B6F8C" w:rsidP="009F681A">
      <w:pPr>
        <w:jc w:val="both"/>
        <w:rPr>
          <w:rFonts w:ascii="Arial" w:hAnsi="Arial" w:cs="Arial"/>
        </w:rPr>
      </w:pPr>
    </w:p>
    <w:p w14:paraId="14543869" w14:textId="7E04C4D8" w:rsidR="009B6F8C" w:rsidRDefault="009B6F8C" w:rsidP="009F681A">
      <w:pPr>
        <w:jc w:val="both"/>
        <w:rPr>
          <w:rFonts w:ascii="Arial" w:hAnsi="Arial" w:cs="Arial"/>
        </w:rPr>
      </w:pPr>
    </w:p>
    <w:p w14:paraId="18009539" w14:textId="69695DD5" w:rsidR="009B6F8C" w:rsidRDefault="009B6F8C" w:rsidP="009F681A">
      <w:pPr>
        <w:jc w:val="both"/>
        <w:rPr>
          <w:rFonts w:ascii="Arial" w:hAnsi="Arial" w:cs="Arial"/>
        </w:rPr>
      </w:pPr>
    </w:p>
    <w:p w14:paraId="0A41A214" w14:textId="12F389BF" w:rsidR="009B6F8C" w:rsidRDefault="009B6F8C" w:rsidP="009F681A">
      <w:pPr>
        <w:jc w:val="both"/>
        <w:rPr>
          <w:rFonts w:ascii="Arial" w:hAnsi="Arial" w:cs="Arial"/>
        </w:rPr>
      </w:pPr>
    </w:p>
    <w:p w14:paraId="23F82BDF" w14:textId="02B7C86E" w:rsidR="009B6F8C" w:rsidRDefault="009B6F8C" w:rsidP="009F681A">
      <w:pPr>
        <w:jc w:val="both"/>
        <w:rPr>
          <w:rFonts w:ascii="Arial" w:hAnsi="Arial" w:cs="Arial"/>
        </w:rPr>
      </w:pPr>
    </w:p>
    <w:p w14:paraId="5F90E333" w14:textId="5469010E" w:rsidR="009B6F8C" w:rsidRDefault="009B6F8C" w:rsidP="009F681A">
      <w:pPr>
        <w:jc w:val="both"/>
        <w:rPr>
          <w:rFonts w:ascii="Arial" w:hAnsi="Arial" w:cs="Arial"/>
        </w:rPr>
      </w:pPr>
    </w:p>
    <w:p w14:paraId="5B5A6BA6" w14:textId="36E098EB" w:rsidR="009B6F8C" w:rsidRDefault="009B6F8C" w:rsidP="009F681A">
      <w:pPr>
        <w:jc w:val="both"/>
        <w:rPr>
          <w:rFonts w:ascii="Arial" w:hAnsi="Arial" w:cs="Arial"/>
        </w:rPr>
      </w:pPr>
    </w:p>
    <w:p w14:paraId="61575280" w14:textId="6E04DE40" w:rsidR="009B6F8C" w:rsidRDefault="009B6F8C" w:rsidP="009F681A">
      <w:pPr>
        <w:jc w:val="both"/>
        <w:rPr>
          <w:rFonts w:ascii="Arial" w:hAnsi="Arial" w:cs="Arial"/>
        </w:rPr>
      </w:pPr>
    </w:p>
    <w:p w14:paraId="4BCF30B7" w14:textId="668CB2DF" w:rsidR="009B6F8C" w:rsidRDefault="009B6F8C" w:rsidP="009F681A">
      <w:pPr>
        <w:jc w:val="both"/>
        <w:rPr>
          <w:rFonts w:ascii="Arial" w:hAnsi="Arial" w:cs="Arial"/>
        </w:rPr>
      </w:pPr>
    </w:p>
    <w:p w14:paraId="3EB6FF69" w14:textId="0D71364A" w:rsidR="009B6F8C" w:rsidRDefault="009B6F8C" w:rsidP="009F681A">
      <w:pPr>
        <w:jc w:val="both"/>
        <w:rPr>
          <w:rFonts w:ascii="Arial" w:hAnsi="Arial" w:cs="Arial"/>
        </w:rPr>
      </w:pPr>
    </w:p>
    <w:p w14:paraId="4B3C71E0" w14:textId="68E972AB" w:rsidR="009B6F8C" w:rsidRDefault="009B6F8C" w:rsidP="009F681A">
      <w:pPr>
        <w:jc w:val="both"/>
        <w:rPr>
          <w:rFonts w:ascii="Arial" w:hAnsi="Arial" w:cs="Arial"/>
        </w:rPr>
      </w:pPr>
    </w:p>
    <w:p w14:paraId="5EE0F139" w14:textId="7692EF25" w:rsidR="009B6F8C" w:rsidRDefault="009B6F8C" w:rsidP="009F681A">
      <w:pPr>
        <w:jc w:val="both"/>
        <w:rPr>
          <w:rFonts w:ascii="Arial" w:hAnsi="Arial" w:cs="Arial"/>
        </w:rPr>
      </w:pPr>
    </w:p>
    <w:p w14:paraId="7DED5DAB" w14:textId="162F5372" w:rsidR="009B6F8C" w:rsidRDefault="009B6F8C" w:rsidP="009F681A">
      <w:pPr>
        <w:jc w:val="both"/>
        <w:rPr>
          <w:rFonts w:ascii="Arial" w:hAnsi="Arial" w:cs="Arial"/>
        </w:rPr>
      </w:pPr>
    </w:p>
    <w:p w14:paraId="30A10CAA" w14:textId="2D6F9DD7" w:rsidR="009B6F8C" w:rsidRDefault="009B6F8C" w:rsidP="009F681A">
      <w:pPr>
        <w:jc w:val="both"/>
        <w:rPr>
          <w:rFonts w:ascii="Arial" w:hAnsi="Arial" w:cs="Arial"/>
        </w:rPr>
      </w:pPr>
    </w:p>
    <w:p w14:paraId="2E0710E8" w14:textId="602058EA" w:rsidR="009B6F8C" w:rsidRDefault="009B6F8C" w:rsidP="009F681A">
      <w:pPr>
        <w:jc w:val="both"/>
        <w:rPr>
          <w:rFonts w:ascii="Arial" w:hAnsi="Arial" w:cs="Arial"/>
        </w:rPr>
      </w:pPr>
    </w:p>
    <w:p w14:paraId="53FFF188" w14:textId="1CE1D729" w:rsidR="009B6F8C" w:rsidRDefault="009B6F8C" w:rsidP="009F681A">
      <w:pPr>
        <w:jc w:val="both"/>
        <w:rPr>
          <w:rFonts w:ascii="Arial" w:hAnsi="Arial" w:cs="Arial"/>
        </w:rPr>
      </w:pPr>
    </w:p>
    <w:p w14:paraId="1F07F0D3" w14:textId="0EAE9995" w:rsidR="009B6F8C" w:rsidRDefault="009B6F8C" w:rsidP="009F681A">
      <w:pPr>
        <w:jc w:val="both"/>
        <w:rPr>
          <w:rFonts w:ascii="Arial" w:hAnsi="Arial" w:cs="Arial"/>
        </w:rPr>
      </w:pPr>
    </w:p>
    <w:p w14:paraId="0D48CF6D" w14:textId="5A0BEA71" w:rsidR="00A6316C" w:rsidRDefault="00A6316C" w:rsidP="009F681A">
      <w:pPr>
        <w:jc w:val="both"/>
        <w:rPr>
          <w:rFonts w:ascii="Arial" w:hAnsi="Arial" w:cs="Arial"/>
        </w:rPr>
      </w:pPr>
      <w:r w:rsidRPr="00661F82">
        <w:rPr>
          <w:rFonts w:ascii="Arial" w:hAnsi="Arial" w:cs="Arial"/>
        </w:rPr>
        <w:lastRenderedPageBreak/>
        <w:t xml:space="preserve">References </w:t>
      </w:r>
    </w:p>
    <w:p w14:paraId="162DC772" w14:textId="40CAE9F5" w:rsidR="00000FB6" w:rsidRDefault="00000FB6" w:rsidP="009F681A">
      <w:pPr>
        <w:jc w:val="both"/>
        <w:rPr>
          <w:rFonts w:ascii="Arial" w:hAnsi="Arial" w:cs="Arial"/>
        </w:rPr>
      </w:pPr>
      <w:r>
        <w:rPr>
          <w:rFonts w:ascii="Arial" w:hAnsi="Arial" w:cs="Arial"/>
        </w:rPr>
        <w:t>Kelly, A.V.</w:t>
      </w:r>
      <w:r w:rsidR="00912188">
        <w:rPr>
          <w:rFonts w:ascii="Arial" w:hAnsi="Arial" w:cs="Arial"/>
        </w:rPr>
        <w:t xml:space="preserve"> (2009)</w:t>
      </w:r>
      <w:r>
        <w:rPr>
          <w:rFonts w:ascii="Arial" w:hAnsi="Arial" w:cs="Arial"/>
        </w:rPr>
        <w:t xml:space="preserve"> </w:t>
      </w:r>
      <w:r w:rsidRPr="00C72C32">
        <w:rPr>
          <w:rFonts w:ascii="Arial" w:hAnsi="Arial" w:cs="Arial"/>
          <w:i/>
          <w:iCs/>
        </w:rPr>
        <w:t>The Curriculum Theory and Practice</w:t>
      </w:r>
      <w:r w:rsidR="00A711E3">
        <w:rPr>
          <w:rFonts w:ascii="Arial" w:hAnsi="Arial" w:cs="Arial"/>
        </w:rPr>
        <w:t>.</w:t>
      </w:r>
      <w:r>
        <w:rPr>
          <w:rFonts w:ascii="Arial" w:hAnsi="Arial" w:cs="Arial"/>
        </w:rPr>
        <w:t xml:space="preserve"> </w:t>
      </w:r>
      <w:r w:rsidR="00A711E3">
        <w:rPr>
          <w:rFonts w:ascii="Arial" w:hAnsi="Arial" w:cs="Arial"/>
        </w:rPr>
        <w:t>6</w:t>
      </w:r>
      <w:r w:rsidR="00A711E3" w:rsidRPr="00A711E3">
        <w:rPr>
          <w:rFonts w:ascii="Arial" w:hAnsi="Arial" w:cs="Arial"/>
          <w:vertAlign w:val="superscript"/>
        </w:rPr>
        <w:t>th</w:t>
      </w:r>
      <w:r w:rsidR="00A711E3">
        <w:rPr>
          <w:rFonts w:ascii="Arial" w:hAnsi="Arial" w:cs="Arial"/>
        </w:rPr>
        <w:t xml:space="preserve"> edn.</w:t>
      </w:r>
      <w:r>
        <w:rPr>
          <w:rFonts w:ascii="Arial" w:hAnsi="Arial" w:cs="Arial"/>
        </w:rPr>
        <w:t xml:space="preserve"> </w:t>
      </w:r>
      <w:r w:rsidR="00C72C32">
        <w:rPr>
          <w:rFonts w:ascii="Arial" w:hAnsi="Arial" w:cs="Arial"/>
        </w:rPr>
        <w:t xml:space="preserve">London: </w:t>
      </w:r>
      <w:r>
        <w:rPr>
          <w:rFonts w:ascii="Arial" w:hAnsi="Arial" w:cs="Arial"/>
        </w:rPr>
        <w:t>SAGE publications</w:t>
      </w:r>
      <w:r w:rsidR="00C72C32">
        <w:rPr>
          <w:rFonts w:ascii="Arial" w:hAnsi="Arial" w:cs="Arial"/>
        </w:rPr>
        <w:t>.</w:t>
      </w:r>
    </w:p>
    <w:p w14:paraId="437E25BC" w14:textId="28B70E82" w:rsidR="002B4F00" w:rsidRDefault="002B4F00" w:rsidP="009F681A">
      <w:pPr>
        <w:jc w:val="both"/>
        <w:rPr>
          <w:rFonts w:ascii="Arial" w:hAnsi="Arial" w:cs="Arial"/>
        </w:rPr>
      </w:pPr>
      <w:r w:rsidRPr="002B4F00">
        <w:rPr>
          <w:rFonts w:ascii="Helvetica" w:hAnsi="Helvetica" w:cs="Helvetica"/>
          <w:color w:val="333333"/>
        </w:rPr>
        <w:t xml:space="preserve">Kloss, D. (2018) ‘The Culture of the Independent Progressive School’, </w:t>
      </w:r>
      <w:r>
        <w:rPr>
          <w:rFonts w:ascii="Helvetica" w:hAnsi="Helvetica" w:cs="Helvetica"/>
          <w:i/>
          <w:iCs/>
          <w:color w:val="333333"/>
          <w:bdr w:val="none" w:sz="0" w:space="0" w:color="auto" w:frame="1"/>
        </w:rPr>
        <w:t>International Journal of Progressive Education</w:t>
      </w:r>
      <w:r w:rsidRPr="002B4F00">
        <w:rPr>
          <w:rFonts w:ascii="Helvetica" w:hAnsi="Helvetica" w:cs="Helvetica"/>
          <w:color w:val="333333"/>
        </w:rPr>
        <w:t>, vol. 14, no. 1, pp. 201–219</w:t>
      </w:r>
    </w:p>
    <w:p w14:paraId="1EBB3A70" w14:textId="30F34295" w:rsidR="00000FB6" w:rsidRDefault="00000FB6" w:rsidP="009F681A">
      <w:pPr>
        <w:jc w:val="both"/>
        <w:rPr>
          <w:rFonts w:ascii="Arial" w:hAnsi="Arial" w:cs="Arial"/>
        </w:rPr>
      </w:pPr>
      <w:r>
        <w:rPr>
          <w:rFonts w:ascii="Arial" w:hAnsi="Arial" w:cs="Arial"/>
        </w:rPr>
        <w:t xml:space="preserve">Marsh, C. </w:t>
      </w:r>
      <w:r w:rsidR="00912188">
        <w:rPr>
          <w:rFonts w:ascii="Arial" w:hAnsi="Arial" w:cs="Arial"/>
        </w:rPr>
        <w:t xml:space="preserve">(2009) </w:t>
      </w:r>
      <w:r w:rsidRPr="00A711E3">
        <w:rPr>
          <w:rFonts w:ascii="Arial" w:hAnsi="Arial" w:cs="Arial"/>
          <w:i/>
          <w:iCs/>
        </w:rPr>
        <w:t>Key Concepts for Understanding Curriculum</w:t>
      </w:r>
      <w:r w:rsidR="00A711E3">
        <w:rPr>
          <w:rFonts w:ascii="Arial" w:hAnsi="Arial" w:cs="Arial"/>
          <w:i/>
          <w:iCs/>
        </w:rPr>
        <w:t>.</w:t>
      </w:r>
      <w:r>
        <w:rPr>
          <w:rFonts w:ascii="Arial" w:hAnsi="Arial" w:cs="Arial"/>
        </w:rPr>
        <w:t xml:space="preserve"> </w:t>
      </w:r>
      <w:r w:rsidR="00A711E3">
        <w:rPr>
          <w:rFonts w:ascii="Arial" w:hAnsi="Arial" w:cs="Arial"/>
        </w:rPr>
        <w:t>4th</w:t>
      </w:r>
      <w:r>
        <w:rPr>
          <w:rFonts w:ascii="Arial" w:hAnsi="Arial" w:cs="Arial"/>
        </w:rPr>
        <w:t xml:space="preserve"> edn</w:t>
      </w:r>
      <w:r w:rsidR="00A711E3">
        <w:rPr>
          <w:rFonts w:ascii="Arial" w:hAnsi="Arial" w:cs="Arial"/>
        </w:rPr>
        <w:t xml:space="preserve">. London and New York: </w:t>
      </w:r>
      <w:r>
        <w:rPr>
          <w:rFonts w:ascii="Arial" w:hAnsi="Arial" w:cs="Arial"/>
        </w:rPr>
        <w:t>Routledge</w:t>
      </w:r>
      <w:r w:rsidR="00A711E3">
        <w:rPr>
          <w:rFonts w:ascii="Arial" w:hAnsi="Arial" w:cs="Arial"/>
        </w:rPr>
        <w:t>.</w:t>
      </w:r>
      <w:r>
        <w:rPr>
          <w:rFonts w:ascii="Arial" w:hAnsi="Arial" w:cs="Arial"/>
        </w:rPr>
        <w:t xml:space="preserve"> </w:t>
      </w:r>
    </w:p>
    <w:p w14:paraId="530E642C" w14:textId="4B26D07A" w:rsidR="00912188" w:rsidRDefault="00912188" w:rsidP="00912188">
      <w:pPr>
        <w:jc w:val="both"/>
        <w:rPr>
          <w:rFonts w:ascii="Arial" w:hAnsi="Arial" w:cs="Arial"/>
        </w:rPr>
      </w:pPr>
      <w:r>
        <w:rPr>
          <w:rFonts w:ascii="Arial" w:hAnsi="Arial" w:cs="Arial"/>
        </w:rPr>
        <w:t>Neary, M.</w:t>
      </w:r>
      <w:r w:rsidR="00A711E3">
        <w:rPr>
          <w:rFonts w:ascii="Arial" w:hAnsi="Arial" w:cs="Arial"/>
        </w:rPr>
        <w:t xml:space="preserve"> (2002)</w:t>
      </w:r>
      <w:r>
        <w:rPr>
          <w:rFonts w:ascii="Arial" w:hAnsi="Arial" w:cs="Arial"/>
        </w:rPr>
        <w:t xml:space="preserve"> </w:t>
      </w:r>
      <w:r w:rsidRPr="00A711E3">
        <w:rPr>
          <w:rFonts w:ascii="Arial" w:hAnsi="Arial" w:cs="Arial"/>
          <w:i/>
          <w:iCs/>
        </w:rPr>
        <w:t>Curriculum Studies in Post-Compulsory and Adult Education: a teachers and student teachers study guide</w:t>
      </w:r>
      <w:r w:rsidR="00A711E3">
        <w:rPr>
          <w:rFonts w:ascii="Arial" w:hAnsi="Arial" w:cs="Arial"/>
        </w:rPr>
        <w:t>. Cheltenham:</w:t>
      </w:r>
      <w:r>
        <w:rPr>
          <w:rFonts w:ascii="Arial" w:hAnsi="Arial" w:cs="Arial"/>
        </w:rPr>
        <w:t xml:space="preserve"> Nelson Thornes</w:t>
      </w:r>
      <w:r w:rsidR="00A711E3">
        <w:rPr>
          <w:rFonts w:ascii="Arial" w:hAnsi="Arial" w:cs="Arial"/>
        </w:rPr>
        <w:t>.</w:t>
      </w:r>
    </w:p>
    <w:p w14:paraId="56FE6529" w14:textId="73471401" w:rsidR="00912188" w:rsidRDefault="00912188" w:rsidP="00912188">
      <w:pPr>
        <w:jc w:val="both"/>
        <w:rPr>
          <w:rFonts w:ascii="Arial" w:hAnsi="Arial" w:cs="Arial"/>
        </w:rPr>
      </w:pPr>
      <w:r>
        <w:rPr>
          <w:rFonts w:ascii="Arial" w:hAnsi="Arial" w:cs="Arial"/>
        </w:rPr>
        <w:t>Niculesu, R.M</w:t>
      </w:r>
      <w:r w:rsidR="0057107A">
        <w:rPr>
          <w:rFonts w:ascii="Arial" w:hAnsi="Arial" w:cs="Arial"/>
        </w:rPr>
        <w:t xml:space="preserve">. </w:t>
      </w:r>
      <w:r>
        <w:rPr>
          <w:rFonts w:ascii="Arial" w:hAnsi="Arial" w:cs="Arial"/>
        </w:rPr>
        <w:t xml:space="preserve">(2016) </w:t>
      </w:r>
      <w:r w:rsidR="00A711E3">
        <w:rPr>
          <w:rFonts w:ascii="Arial" w:hAnsi="Arial" w:cs="Arial"/>
        </w:rPr>
        <w:t>‘</w:t>
      </w:r>
      <w:r>
        <w:rPr>
          <w:rFonts w:ascii="Arial" w:hAnsi="Arial" w:cs="Arial"/>
        </w:rPr>
        <w:t xml:space="preserve">The Challenge of Human Beings Education in the New </w:t>
      </w:r>
      <w:r w:rsidR="00AE566E">
        <w:rPr>
          <w:rFonts w:ascii="Arial" w:hAnsi="Arial" w:cs="Arial"/>
        </w:rPr>
        <w:t>Millennium</w:t>
      </w:r>
      <w:r>
        <w:rPr>
          <w:rFonts w:ascii="Arial" w:hAnsi="Arial" w:cs="Arial"/>
        </w:rPr>
        <w:t>, Journal Plus Education</w:t>
      </w:r>
      <w:r w:rsidR="00A711E3">
        <w:rPr>
          <w:rFonts w:ascii="Arial" w:hAnsi="Arial" w:cs="Arial"/>
        </w:rPr>
        <w:t xml:space="preserve">’ </w:t>
      </w:r>
      <w:r w:rsidR="00A711E3">
        <w:rPr>
          <w:rFonts w:ascii="Arial" w:hAnsi="Arial" w:cs="Arial"/>
          <w:i/>
          <w:iCs/>
        </w:rPr>
        <w:t>Journal Plus Education</w:t>
      </w:r>
      <w:r>
        <w:rPr>
          <w:rFonts w:ascii="Arial" w:hAnsi="Arial" w:cs="Arial"/>
        </w:rPr>
        <w:t>, 14, pp141-152</w:t>
      </w:r>
      <w:r w:rsidR="00A711E3">
        <w:rPr>
          <w:rFonts w:ascii="Arial" w:hAnsi="Arial" w:cs="Arial"/>
        </w:rPr>
        <w:t>.</w:t>
      </w:r>
    </w:p>
    <w:p w14:paraId="08D77249" w14:textId="30A7323F" w:rsidR="002C1E04" w:rsidRPr="002C1E04" w:rsidRDefault="002C1E04" w:rsidP="00912188">
      <w:pPr>
        <w:jc w:val="both"/>
        <w:rPr>
          <w:rFonts w:ascii="Arial" w:hAnsi="Arial" w:cs="Arial"/>
        </w:rPr>
      </w:pPr>
      <w:r>
        <w:rPr>
          <w:rFonts w:ascii="Arial" w:hAnsi="Arial" w:cs="Arial"/>
        </w:rPr>
        <w:t xml:space="preserve">Schiro, M.S. (2013) </w:t>
      </w:r>
      <w:r>
        <w:rPr>
          <w:rFonts w:ascii="Arial" w:hAnsi="Arial" w:cs="Arial"/>
          <w:i/>
          <w:iCs/>
        </w:rPr>
        <w:t>Curriculum Theory: Conflicting Visions and Enduring Concerns.</w:t>
      </w:r>
      <w:r>
        <w:rPr>
          <w:rFonts w:ascii="Arial" w:hAnsi="Arial" w:cs="Arial"/>
        </w:rPr>
        <w:t xml:space="preserve"> 2</w:t>
      </w:r>
      <w:r w:rsidRPr="002C1E04">
        <w:rPr>
          <w:rFonts w:ascii="Arial" w:hAnsi="Arial" w:cs="Arial"/>
          <w:vertAlign w:val="superscript"/>
        </w:rPr>
        <w:t>nd</w:t>
      </w:r>
      <w:r>
        <w:rPr>
          <w:rFonts w:ascii="Arial" w:hAnsi="Arial" w:cs="Arial"/>
        </w:rPr>
        <w:t xml:space="preserve"> edn. California: Sage.</w:t>
      </w:r>
    </w:p>
    <w:p w14:paraId="04435872" w14:textId="6D7C399B" w:rsidR="00912188" w:rsidRPr="00661F82" w:rsidRDefault="00912188" w:rsidP="00912188">
      <w:pPr>
        <w:jc w:val="both"/>
        <w:rPr>
          <w:rFonts w:ascii="Arial" w:hAnsi="Arial" w:cs="Arial"/>
          <w:shd w:val="clear" w:color="auto" w:fill="FFFFFF"/>
        </w:rPr>
      </w:pPr>
      <w:r w:rsidRPr="00661F82">
        <w:rPr>
          <w:rStyle w:val="Emphasis"/>
          <w:rFonts w:ascii="Arial" w:hAnsi="Arial" w:cs="Arial"/>
          <w:i w:val="0"/>
          <w:iCs w:val="0"/>
        </w:rPr>
        <w:t>Stenhouse</w:t>
      </w:r>
      <w:r w:rsidRPr="00661F82">
        <w:rPr>
          <w:rFonts w:ascii="Arial" w:hAnsi="Arial" w:cs="Arial"/>
          <w:shd w:val="clear" w:color="auto" w:fill="FFFFFF"/>
        </w:rPr>
        <w:t xml:space="preserve">, L. (1975) </w:t>
      </w:r>
      <w:r w:rsidRPr="00A711E3">
        <w:rPr>
          <w:rFonts w:ascii="Arial" w:hAnsi="Arial" w:cs="Arial"/>
          <w:i/>
          <w:iCs/>
          <w:shd w:val="clear" w:color="auto" w:fill="FFFFFF"/>
        </w:rPr>
        <w:t xml:space="preserve">An </w:t>
      </w:r>
      <w:r w:rsidRPr="00A711E3">
        <w:rPr>
          <w:rStyle w:val="Emphasis"/>
          <w:rFonts w:ascii="Arial" w:hAnsi="Arial" w:cs="Arial"/>
        </w:rPr>
        <w:t>introduction to curriculum research and development</w:t>
      </w:r>
      <w:r w:rsidR="00A711E3">
        <w:rPr>
          <w:rFonts w:ascii="Arial" w:hAnsi="Arial" w:cs="Arial"/>
          <w:shd w:val="clear" w:color="auto" w:fill="FFFFFF"/>
        </w:rPr>
        <w:t>.</w:t>
      </w:r>
      <w:r w:rsidRPr="00661F82">
        <w:rPr>
          <w:rFonts w:ascii="Arial" w:hAnsi="Arial" w:cs="Arial"/>
          <w:shd w:val="clear" w:color="auto" w:fill="FFFFFF"/>
        </w:rPr>
        <w:t xml:space="preserve"> London: Heinemann.</w:t>
      </w:r>
    </w:p>
    <w:p w14:paraId="26A4C370" w14:textId="78BE0979" w:rsidR="00912188" w:rsidRDefault="00912188" w:rsidP="00912188">
      <w:pPr>
        <w:jc w:val="both"/>
        <w:rPr>
          <w:rFonts w:ascii="Arial" w:hAnsi="Arial" w:cs="Arial"/>
        </w:rPr>
      </w:pPr>
      <w:r w:rsidRPr="00661F82">
        <w:rPr>
          <w:rFonts w:ascii="Arial" w:hAnsi="Arial" w:cs="Arial"/>
        </w:rPr>
        <w:t>Su, Shao-Wen. (2012)</w:t>
      </w:r>
      <w:r w:rsidR="00A711E3">
        <w:rPr>
          <w:rFonts w:ascii="Arial" w:hAnsi="Arial" w:cs="Arial"/>
        </w:rPr>
        <w:t xml:space="preserve"> ‘</w:t>
      </w:r>
      <w:r w:rsidRPr="00661F82">
        <w:rPr>
          <w:rFonts w:ascii="Arial" w:hAnsi="Arial" w:cs="Arial"/>
        </w:rPr>
        <w:t>The Various Concepts of Curriculum and the Factors Involved in Curricula-making</w:t>
      </w:r>
      <w:r w:rsidR="00A711E3">
        <w:rPr>
          <w:rFonts w:ascii="Arial" w:hAnsi="Arial" w:cs="Arial"/>
        </w:rPr>
        <w:t xml:space="preserve">’ </w:t>
      </w:r>
      <w:r w:rsidR="00A711E3" w:rsidRPr="00A711E3">
        <w:rPr>
          <w:rFonts w:ascii="Arial" w:hAnsi="Arial" w:cs="Arial"/>
          <w:i/>
          <w:iCs/>
        </w:rPr>
        <w:t>J</w:t>
      </w:r>
      <w:r w:rsidRPr="00A711E3">
        <w:rPr>
          <w:rFonts w:ascii="Arial" w:hAnsi="Arial" w:cs="Arial"/>
          <w:i/>
          <w:iCs/>
        </w:rPr>
        <w:t>ournal of Language Teaching and Research</w:t>
      </w:r>
      <w:r w:rsidR="00A711E3">
        <w:rPr>
          <w:rFonts w:ascii="Arial" w:hAnsi="Arial" w:cs="Arial"/>
        </w:rPr>
        <w:t>,</w:t>
      </w:r>
      <w:r w:rsidRPr="00661F82">
        <w:rPr>
          <w:rFonts w:ascii="Arial" w:hAnsi="Arial" w:cs="Arial"/>
        </w:rPr>
        <w:t xml:space="preserve"> 3</w:t>
      </w:r>
      <w:r w:rsidR="00A711E3">
        <w:rPr>
          <w:rFonts w:ascii="Arial" w:hAnsi="Arial" w:cs="Arial"/>
        </w:rPr>
        <w:t>, pp 153-158.</w:t>
      </w:r>
    </w:p>
    <w:p w14:paraId="04A4696A" w14:textId="5CF3B84B" w:rsidR="00A6316C" w:rsidRPr="00661F82" w:rsidRDefault="00A6316C" w:rsidP="009F681A">
      <w:pPr>
        <w:jc w:val="both"/>
        <w:rPr>
          <w:rFonts w:ascii="Arial" w:hAnsi="Arial" w:cs="Arial"/>
          <w:shd w:val="clear" w:color="auto" w:fill="FFFFFF"/>
        </w:rPr>
      </w:pPr>
      <w:r w:rsidRPr="00661F82">
        <w:rPr>
          <w:rFonts w:ascii="Arial" w:hAnsi="Arial" w:cs="Arial"/>
          <w:shd w:val="clear" w:color="auto" w:fill="FFFFFF"/>
        </w:rPr>
        <w:t>Tyler, Ralph W</w:t>
      </w:r>
      <w:r w:rsidR="0057107A">
        <w:rPr>
          <w:rFonts w:ascii="Arial" w:hAnsi="Arial" w:cs="Arial"/>
          <w:shd w:val="clear" w:color="auto" w:fill="FFFFFF"/>
        </w:rPr>
        <w:t>.</w:t>
      </w:r>
      <w:r w:rsidR="00A711E3">
        <w:rPr>
          <w:rFonts w:ascii="Arial" w:hAnsi="Arial" w:cs="Arial"/>
          <w:shd w:val="clear" w:color="auto" w:fill="FFFFFF"/>
        </w:rPr>
        <w:t xml:space="preserve"> (1949)</w:t>
      </w:r>
      <w:r w:rsidRPr="00661F82">
        <w:rPr>
          <w:rFonts w:ascii="Arial" w:hAnsi="Arial" w:cs="Arial"/>
          <w:shd w:val="clear" w:color="auto" w:fill="FFFFFF"/>
        </w:rPr>
        <w:t xml:space="preserve"> </w:t>
      </w:r>
      <w:r w:rsidRPr="00A711E3">
        <w:rPr>
          <w:rStyle w:val="Emphasis"/>
          <w:rFonts w:ascii="Arial" w:hAnsi="Arial" w:cs="Arial"/>
        </w:rPr>
        <w:t>Basic Principles of Curriculum and Instruction</w:t>
      </w:r>
      <w:r w:rsidRPr="00A711E3">
        <w:rPr>
          <w:rFonts w:ascii="Arial" w:hAnsi="Arial" w:cs="Arial"/>
          <w:shd w:val="clear" w:color="auto" w:fill="FFFFFF"/>
        </w:rPr>
        <w:t>.</w:t>
      </w:r>
      <w:r w:rsidRPr="00661F82">
        <w:rPr>
          <w:rFonts w:ascii="Arial" w:hAnsi="Arial" w:cs="Arial"/>
          <w:shd w:val="clear" w:color="auto" w:fill="FFFFFF"/>
        </w:rPr>
        <w:t xml:space="preserve"> Chicago: University of Chicago Press</w:t>
      </w:r>
      <w:r w:rsidR="00A711E3">
        <w:rPr>
          <w:rFonts w:ascii="Arial" w:hAnsi="Arial" w:cs="Arial"/>
          <w:shd w:val="clear" w:color="auto" w:fill="FFFFFF"/>
        </w:rPr>
        <w:t>.</w:t>
      </w:r>
    </w:p>
    <w:p w14:paraId="2F19C685" w14:textId="23F7BD3E" w:rsidR="00D61AF5" w:rsidRDefault="00D61AF5" w:rsidP="009F681A">
      <w:pPr>
        <w:jc w:val="both"/>
        <w:rPr>
          <w:rFonts w:ascii="Arial" w:hAnsi="Arial" w:cs="Arial"/>
        </w:rPr>
      </w:pPr>
    </w:p>
    <w:p w14:paraId="43CA22E1" w14:textId="77777777" w:rsidR="00D92681" w:rsidRDefault="00D248AF" w:rsidP="00D92681">
      <w:pPr>
        <w:jc w:val="both"/>
        <w:rPr>
          <w:rFonts w:ascii="Helvetica" w:hAnsi="Helvetica" w:cs="Helvetica"/>
          <w:color w:val="333333"/>
        </w:rPr>
      </w:pPr>
      <w:r>
        <w:rPr>
          <w:rFonts w:ascii="Arial" w:hAnsi="Arial" w:cs="Arial"/>
        </w:rPr>
        <w:t>Bibliography</w:t>
      </w:r>
      <w:r w:rsidR="00D92681" w:rsidRPr="00D92681">
        <w:rPr>
          <w:rFonts w:ascii="Helvetica" w:hAnsi="Helvetica" w:cs="Helvetica"/>
          <w:color w:val="333333"/>
        </w:rPr>
        <w:t xml:space="preserve"> </w:t>
      </w:r>
    </w:p>
    <w:p w14:paraId="619DCE3A" w14:textId="664C030C" w:rsidR="00D92681" w:rsidRPr="0057107A" w:rsidRDefault="00D92681" w:rsidP="00D92681">
      <w:pPr>
        <w:jc w:val="both"/>
        <w:rPr>
          <w:rFonts w:ascii="Helvetica" w:hAnsi="Helvetica" w:cs="Helvetica"/>
          <w:color w:val="333333"/>
        </w:rPr>
      </w:pPr>
      <w:r w:rsidRPr="00D92681">
        <w:rPr>
          <w:rFonts w:ascii="Helvetica" w:hAnsi="Helvetica" w:cs="Helvetica"/>
          <w:color w:val="333333"/>
        </w:rPr>
        <w:t>Alexander, I</w:t>
      </w:r>
      <w:r w:rsidR="0057107A">
        <w:rPr>
          <w:rFonts w:ascii="Helvetica" w:hAnsi="Helvetica" w:cs="Helvetica"/>
          <w:color w:val="333333"/>
        </w:rPr>
        <w:t xml:space="preserve">. </w:t>
      </w:r>
      <w:r w:rsidR="0057107A" w:rsidRPr="0057107A">
        <w:rPr>
          <w:rFonts w:ascii="Helvetica" w:hAnsi="Helvetica" w:cs="Helvetica"/>
          <w:i/>
          <w:iCs/>
          <w:color w:val="333333"/>
        </w:rPr>
        <w:t>et al</w:t>
      </w:r>
      <w:r w:rsidRPr="00D92681">
        <w:rPr>
          <w:rFonts w:ascii="Helvetica" w:hAnsi="Helvetica" w:cs="Helvetica"/>
          <w:color w:val="333333"/>
        </w:rPr>
        <w:t>.</w:t>
      </w:r>
      <w:r w:rsidR="0057107A">
        <w:rPr>
          <w:rFonts w:ascii="Helvetica" w:hAnsi="Helvetica" w:cs="Helvetica"/>
          <w:color w:val="333333"/>
        </w:rPr>
        <w:t xml:space="preserve"> </w:t>
      </w:r>
      <w:r w:rsidRPr="00D92681">
        <w:rPr>
          <w:rFonts w:ascii="Helvetica" w:hAnsi="Helvetica" w:cs="Helvetica"/>
          <w:color w:val="333333"/>
        </w:rPr>
        <w:t xml:space="preserve">(2019) ‘Sources of complexity in participatory curriculum development: an activity system and stakeholder analysis approach to the analyses of tensions and contradictions’, </w:t>
      </w:r>
      <w:r w:rsidRPr="00D92681">
        <w:rPr>
          <w:rFonts w:ascii="Helvetica" w:hAnsi="Helvetica" w:cs="Helvetica"/>
          <w:i/>
          <w:iCs/>
          <w:color w:val="333333"/>
          <w:bdr w:val="none" w:sz="0" w:space="0" w:color="auto" w:frame="1"/>
        </w:rPr>
        <w:t>Higher Education (00181560)</w:t>
      </w:r>
      <w:r w:rsidRPr="00D92681">
        <w:rPr>
          <w:rFonts w:ascii="Helvetica" w:hAnsi="Helvetica" w:cs="Helvetica"/>
          <w:color w:val="333333"/>
        </w:rPr>
        <w:t>, 77(2), pp. 301–322. doi: 10.1007/s10734-018-0274-x.</w:t>
      </w:r>
    </w:p>
    <w:p w14:paraId="4BBA456F" w14:textId="77777777" w:rsidR="00D92681" w:rsidRDefault="00D92681" w:rsidP="009F681A">
      <w:pPr>
        <w:jc w:val="both"/>
        <w:rPr>
          <w:rFonts w:ascii="Helvetica" w:hAnsi="Helvetica" w:cs="Helvetica"/>
          <w:color w:val="333333"/>
        </w:rPr>
      </w:pPr>
    </w:p>
    <w:p w14:paraId="072865BC" w14:textId="057CAAC4" w:rsidR="00D92681" w:rsidRDefault="00D92681" w:rsidP="009F681A">
      <w:pPr>
        <w:jc w:val="both"/>
        <w:rPr>
          <w:rFonts w:ascii="Helvetica" w:hAnsi="Helvetica" w:cs="Helvetica"/>
          <w:color w:val="333333"/>
        </w:rPr>
      </w:pPr>
      <w:r w:rsidRPr="00D92681">
        <w:rPr>
          <w:rFonts w:ascii="Helvetica" w:hAnsi="Helvetica" w:cs="Helvetica"/>
          <w:color w:val="333333"/>
        </w:rPr>
        <w:t>Aslan, M</w:t>
      </w:r>
      <w:r w:rsidR="0057107A">
        <w:rPr>
          <w:rFonts w:ascii="Helvetica" w:hAnsi="Helvetica" w:cs="Helvetica"/>
          <w:color w:val="333333"/>
        </w:rPr>
        <w:t xml:space="preserve">. </w:t>
      </w:r>
      <w:r w:rsidR="0057107A">
        <w:rPr>
          <w:rFonts w:ascii="Helvetica" w:hAnsi="Helvetica" w:cs="Helvetica"/>
          <w:i/>
          <w:iCs/>
          <w:color w:val="333333"/>
        </w:rPr>
        <w:t>et al</w:t>
      </w:r>
      <w:r w:rsidRPr="00D92681">
        <w:rPr>
          <w:rFonts w:ascii="Helvetica" w:hAnsi="Helvetica" w:cs="Helvetica"/>
          <w:color w:val="333333"/>
        </w:rPr>
        <w:t xml:space="preserve">. (2019) ‘Evaluation of Preschool Curriculum by Stufflebeam’s Context, Input, Process and Product (CIPP) Evaluation Model’, </w:t>
      </w:r>
      <w:r w:rsidRPr="00D92681">
        <w:rPr>
          <w:rFonts w:ascii="Helvetica" w:hAnsi="Helvetica" w:cs="Helvetica"/>
          <w:i/>
          <w:iCs/>
          <w:color w:val="333333"/>
          <w:bdr w:val="none" w:sz="0" w:space="0" w:color="auto" w:frame="1"/>
        </w:rPr>
        <w:t>Education &amp; Science / Egitim ve Bilim</w:t>
      </w:r>
      <w:r w:rsidRPr="00D92681">
        <w:rPr>
          <w:rFonts w:ascii="Helvetica" w:hAnsi="Helvetica" w:cs="Helvetica"/>
          <w:color w:val="333333"/>
          <w:shd w:val="clear" w:color="auto" w:fill="F5F5F5"/>
        </w:rPr>
        <w:t>,</w:t>
      </w:r>
      <w:r w:rsidRPr="00D92681">
        <w:rPr>
          <w:rFonts w:ascii="Helvetica" w:hAnsi="Helvetica" w:cs="Helvetica"/>
          <w:color w:val="333333"/>
        </w:rPr>
        <w:t xml:space="preserve"> 44(200), pp. 229–251</w:t>
      </w:r>
    </w:p>
    <w:p w14:paraId="66E8DA30" w14:textId="77777777" w:rsidR="00D92681" w:rsidRDefault="00D92681" w:rsidP="00D92681">
      <w:pPr>
        <w:jc w:val="both"/>
        <w:rPr>
          <w:rFonts w:ascii="Helvetica" w:hAnsi="Helvetica" w:cs="Helvetica"/>
          <w:color w:val="333333"/>
        </w:rPr>
      </w:pPr>
    </w:p>
    <w:p w14:paraId="35D6F7C2" w14:textId="38B15DE3" w:rsidR="00D92681" w:rsidRDefault="00D92681" w:rsidP="00D92681">
      <w:pPr>
        <w:jc w:val="both"/>
        <w:rPr>
          <w:rFonts w:ascii="Helvetica" w:hAnsi="Helvetica" w:cs="Helvetica"/>
          <w:color w:val="333333"/>
          <w:shd w:val="clear" w:color="auto" w:fill="F5F5F5"/>
        </w:rPr>
      </w:pPr>
      <w:r w:rsidRPr="00D92681">
        <w:rPr>
          <w:rFonts w:ascii="Helvetica" w:hAnsi="Helvetica" w:cs="Helvetica"/>
          <w:color w:val="333333"/>
        </w:rPr>
        <w:t xml:space="preserve">Harris, A. </w:t>
      </w:r>
      <w:r w:rsidR="0057107A">
        <w:rPr>
          <w:rFonts w:ascii="Helvetica" w:hAnsi="Helvetica" w:cs="Helvetica"/>
          <w:i/>
          <w:iCs/>
          <w:color w:val="333333"/>
        </w:rPr>
        <w:t xml:space="preserve">et al. </w:t>
      </w:r>
      <w:r w:rsidRPr="00D92681">
        <w:rPr>
          <w:rFonts w:ascii="Helvetica" w:hAnsi="Helvetica" w:cs="Helvetica"/>
          <w:color w:val="333333"/>
        </w:rPr>
        <w:t xml:space="preserve">(2020) ‘Curriculum leadership: a critical contributor to school and system improvement’, </w:t>
      </w:r>
      <w:r w:rsidRPr="00D92681">
        <w:rPr>
          <w:rFonts w:ascii="Helvetica" w:hAnsi="Helvetica" w:cs="Helvetica"/>
          <w:i/>
          <w:iCs/>
          <w:color w:val="333333"/>
          <w:bdr w:val="none" w:sz="0" w:space="0" w:color="auto" w:frame="1"/>
        </w:rPr>
        <w:t>School Leadership &amp; Management</w:t>
      </w:r>
      <w:r w:rsidRPr="00D92681">
        <w:rPr>
          <w:rFonts w:ascii="Helvetica" w:hAnsi="Helvetica" w:cs="Helvetica"/>
          <w:color w:val="333333"/>
        </w:rPr>
        <w:t>, 40(1), pp. 1–4. doi:</w:t>
      </w:r>
      <w:r w:rsidRPr="00D92681">
        <w:rPr>
          <w:rFonts w:ascii="Helvetica" w:hAnsi="Helvetica" w:cs="Helvetica"/>
          <w:color w:val="333333"/>
          <w:shd w:val="clear" w:color="auto" w:fill="F5F5F5"/>
        </w:rPr>
        <w:t xml:space="preserve"> </w:t>
      </w:r>
      <w:r w:rsidRPr="00D92681">
        <w:rPr>
          <w:rFonts w:ascii="Helvetica" w:hAnsi="Helvetica" w:cs="Helvetica"/>
          <w:color w:val="333333"/>
        </w:rPr>
        <w:t>10.1080/13632434.2020.1704470.</w:t>
      </w:r>
    </w:p>
    <w:p w14:paraId="58F2503E" w14:textId="77777777" w:rsidR="00D92681" w:rsidRDefault="00D92681" w:rsidP="009F681A">
      <w:pPr>
        <w:jc w:val="both"/>
        <w:rPr>
          <w:rFonts w:ascii="Helvetica" w:hAnsi="Helvetica" w:cs="Helvetica"/>
          <w:color w:val="333333"/>
        </w:rPr>
      </w:pPr>
    </w:p>
    <w:p w14:paraId="3F1C8C9A" w14:textId="77777777" w:rsidR="00D92681" w:rsidRPr="00D92681" w:rsidRDefault="00D92681" w:rsidP="00D92681">
      <w:pPr>
        <w:jc w:val="both"/>
        <w:rPr>
          <w:rFonts w:ascii="Helvetica" w:hAnsi="Helvetica" w:cs="Helvetica"/>
          <w:color w:val="333333"/>
          <w:shd w:val="clear" w:color="auto" w:fill="F5F5F5"/>
        </w:rPr>
      </w:pPr>
      <w:r w:rsidRPr="00D92681">
        <w:rPr>
          <w:rFonts w:ascii="Helvetica" w:hAnsi="Helvetica" w:cs="Helvetica"/>
          <w:color w:val="333333"/>
        </w:rPr>
        <w:t xml:space="preserve">Livingstone, K. A. (2019) ‘The Place of Information and Communication Technologies in Curriculum Design and Development’, </w:t>
      </w:r>
      <w:r w:rsidRPr="00D92681">
        <w:rPr>
          <w:rFonts w:ascii="Helvetica" w:hAnsi="Helvetica" w:cs="Helvetica"/>
          <w:i/>
          <w:iCs/>
          <w:color w:val="333333"/>
          <w:bdr w:val="none" w:sz="0" w:space="0" w:color="auto" w:frame="1"/>
        </w:rPr>
        <w:t>International Journal of Education &amp; Development using Information &amp; Communication Technology</w:t>
      </w:r>
      <w:r w:rsidRPr="00D92681">
        <w:rPr>
          <w:rFonts w:ascii="Helvetica" w:hAnsi="Helvetica" w:cs="Helvetica"/>
          <w:color w:val="333333"/>
        </w:rPr>
        <w:t>, 15(4), pp. 180–197.</w:t>
      </w:r>
      <w:r w:rsidRPr="00D92681">
        <w:rPr>
          <w:rFonts w:ascii="Helvetica" w:hAnsi="Helvetica" w:cs="Helvetica"/>
          <w:color w:val="333333"/>
          <w:shd w:val="clear" w:color="auto" w:fill="F5F5F5"/>
        </w:rPr>
        <w:t xml:space="preserve"> </w:t>
      </w:r>
    </w:p>
    <w:p w14:paraId="2A46DD7F" w14:textId="77777777" w:rsidR="00D92681" w:rsidRDefault="00D92681" w:rsidP="009F681A">
      <w:pPr>
        <w:jc w:val="both"/>
        <w:rPr>
          <w:rFonts w:ascii="Helvetica" w:hAnsi="Helvetica" w:cs="Helvetica"/>
          <w:color w:val="333333"/>
        </w:rPr>
      </w:pPr>
    </w:p>
    <w:p w14:paraId="79A847B2" w14:textId="74454E31" w:rsidR="004A31E5" w:rsidRDefault="00FA7F84" w:rsidP="009F681A">
      <w:pPr>
        <w:jc w:val="both"/>
        <w:rPr>
          <w:rFonts w:ascii="Arial" w:hAnsi="Arial" w:cs="Arial"/>
        </w:rPr>
      </w:pPr>
      <w:r w:rsidRPr="00D92681">
        <w:rPr>
          <w:rFonts w:ascii="Arial" w:hAnsi="Arial" w:cs="Arial"/>
        </w:rPr>
        <w:lastRenderedPageBreak/>
        <w:t xml:space="preserve">National Youth Agency (2007) </w:t>
      </w:r>
      <w:r w:rsidR="00D248AF" w:rsidRPr="00D92681">
        <w:rPr>
          <w:rFonts w:ascii="Arial" w:hAnsi="Arial" w:cs="Arial"/>
          <w:i/>
          <w:iCs/>
        </w:rPr>
        <w:t xml:space="preserve">National </w:t>
      </w:r>
      <w:r w:rsidRPr="00D92681">
        <w:rPr>
          <w:rFonts w:ascii="Arial" w:hAnsi="Arial" w:cs="Arial"/>
          <w:i/>
          <w:iCs/>
        </w:rPr>
        <w:t>Occupational</w:t>
      </w:r>
      <w:r w:rsidR="00D248AF" w:rsidRPr="00D92681">
        <w:rPr>
          <w:rFonts w:ascii="Arial" w:hAnsi="Arial" w:cs="Arial"/>
          <w:i/>
          <w:iCs/>
        </w:rPr>
        <w:t xml:space="preserve"> Standards for Youth Work</w:t>
      </w:r>
      <w:r w:rsidR="00D248AF" w:rsidRPr="00D92681">
        <w:rPr>
          <w:rFonts w:ascii="Arial" w:hAnsi="Arial" w:cs="Arial"/>
        </w:rPr>
        <w:t xml:space="preserve"> Available at: </w:t>
      </w:r>
      <w:hyperlink r:id="rId5" w:history="1">
        <w:r w:rsidR="00D248AF" w:rsidRPr="00D92681">
          <w:rPr>
            <w:rStyle w:val="Hyperlink"/>
            <w:rFonts w:ascii="Arial" w:hAnsi="Arial" w:cs="Arial"/>
          </w:rPr>
          <w:t>http://www.nya.org.uk/wp-content/uploads/2014/06/National-Occupation-Standards-for-Youth-Work.pdf</w:t>
        </w:r>
      </w:hyperlink>
      <w:r w:rsidR="00D248AF" w:rsidRPr="00D92681">
        <w:rPr>
          <w:rFonts w:ascii="Arial" w:hAnsi="Arial" w:cs="Arial"/>
        </w:rPr>
        <w:t xml:space="preserve"> (accessed</w:t>
      </w:r>
      <w:r w:rsidRPr="00D92681">
        <w:rPr>
          <w:rFonts w:ascii="Arial" w:hAnsi="Arial" w:cs="Arial"/>
        </w:rPr>
        <w:t>: 20 February 2020)</w:t>
      </w:r>
    </w:p>
    <w:p w14:paraId="21D5A264" w14:textId="77777777" w:rsidR="00D92681" w:rsidRPr="00D92681" w:rsidRDefault="00D92681" w:rsidP="009F681A">
      <w:pPr>
        <w:jc w:val="both"/>
        <w:rPr>
          <w:rFonts w:ascii="Arial" w:hAnsi="Arial" w:cs="Arial"/>
        </w:rPr>
      </w:pPr>
    </w:p>
    <w:p w14:paraId="7ACD1811" w14:textId="1BC3A215" w:rsidR="004A31E5" w:rsidRPr="00D92681" w:rsidRDefault="004A31E5" w:rsidP="009F681A">
      <w:pPr>
        <w:jc w:val="both"/>
        <w:rPr>
          <w:rFonts w:ascii="Helvetica" w:hAnsi="Helvetica" w:cs="Helvetica"/>
          <w:color w:val="333333"/>
          <w:shd w:val="clear" w:color="auto" w:fill="F5F5F5"/>
        </w:rPr>
      </w:pPr>
      <w:r w:rsidRPr="00D92681">
        <w:rPr>
          <w:rFonts w:ascii="Helvetica" w:hAnsi="Helvetica" w:cs="Helvetica"/>
          <w:color w:val="333333"/>
        </w:rPr>
        <w:t xml:space="preserve">Walsh, K. (2015) ‘Curriculum design: Can we learn from product lifecycle management?’, </w:t>
      </w:r>
      <w:r w:rsidRPr="00D92681">
        <w:rPr>
          <w:rFonts w:ascii="Helvetica" w:hAnsi="Helvetica" w:cs="Helvetica"/>
          <w:i/>
          <w:iCs/>
          <w:color w:val="333333"/>
          <w:bdr w:val="none" w:sz="0" w:space="0" w:color="auto" w:frame="1"/>
        </w:rPr>
        <w:t>Nurse Education Today</w:t>
      </w:r>
      <w:r w:rsidRPr="00D92681">
        <w:rPr>
          <w:rFonts w:ascii="Helvetica" w:hAnsi="Helvetica" w:cs="Helvetica"/>
          <w:color w:val="333333"/>
        </w:rPr>
        <w:t>, 35(8), pp. 919–920.</w:t>
      </w:r>
      <w:r w:rsidRPr="00D92681">
        <w:rPr>
          <w:rFonts w:ascii="Helvetica" w:hAnsi="Helvetica" w:cs="Helvetica"/>
          <w:color w:val="333333"/>
          <w:shd w:val="clear" w:color="auto" w:fill="F5F5F5"/>
        </w:rPr>
        <w:t xml:space="preserve"> </w:t>
      </w:r>
    </w:p>
    <w:p w14:paraId="308101F6" w14:textId="77777777" w:rsidR="00D92681" w:rsidRPr="00D92681" w:rsidRDefault="00D92681" w:rsidP="009F681A">
      <w:pPr>
        <w:jc w:val="both"/>
        <w:rPr>
          <w:rFonts w:ascii="Helvetica" w:hAnsi="Helvetica" w:cs="Helvetica"/>
          <w:color w:val="333333"/>
          <w:shd w:val="clear" w:color="auto" w:fill="F5F5F5"/>
        </w:rPr>
      </w:pPr>
    </w:p>
    <w:p w14:paraId="528DB32D" w14:textId="211F94C6" w:rsidR="004A31E5" w:rsidRPr="00D92681" w:rsidRDefault="004A31E5" w:rsidP="009F681A">
      <w:pPr>
        <w:jc w:val="both"/>
        <w:rPr>
          <w:rFonts w:ascii="Helvetica" w:hAnsi="Helvetica" w:cs="Helvetica"/>
          <w:color w:val="333333"/>
          <w:shd w:val="clear" w:color="auto" w:fill="F5F5F5"/>
        </w:rPr>
      </w:pPr>
    </w:p>
    <w:p w14:paraId="3675A6AF" w14:textId="5A8865E8" w:rsidR="004A31E5" w:rsidRDefault="004A31E5" w:rsidP="009F681A">
      <w:pPr>
        <w:jc w:val="both"/>
        <w:rPr>
          <w:rFonts w:ascii="Helvetica" w:hAnsi="Helvetica" w:cs="Helvetica"/>
          <w:color w:val="333333"/>
          <w:shd w:val="clear" w:color="auto" w:fill="F5F5F5"/>
        </w:rPr>
      </w:pPr>
    </w:p>
    <w:p w14:paraId="3DBA696C" w14:textId="77777777" w:rsidR="004A31E5" w:rsidRDefault="004A31E5" w:rsidP="009F681A">
      <w:pPr>
        <w:jc w:val="both"/>
        <w:rPr>
          <w:rFonts w:ascii="Helvetica" w:hAnsi="Helvetica" w:cs="Helvetica"/>
          <w:color w:val="333333"/>
          <w:shd w:val="clear" w:color="auto" w:fill="F5F5F5"/>
        </w:rPr>
      </w:pPr>
    </w:p>
    <w:p w14:paraId="1880DE0B" w14:textId="2918F1E0" w:rsidR="004A31E5" w:rsidRDefault="004A31E5" w:rsidP="009F681A">
      <w:pPr>
        <w:jc w:val="both"/>
        <w:rPr>
          <w:rFonts w:ascii="Arial" w:hAnsi="Arial" w:cs="Arial"/>
        </w:rPr>
      </w:pPr>
    </w:p>
    <w:p w14:paraId="3D03E987" w14:textId="5A22C100" w:rsidR="00455EA2" w:rsidRDefault="00455EA2" w:rsidP="009F681A">
      <w:pPr>
        <w:jc w:val="both"/>
        <w:rPr>
          <w:rFonts w:ascii="Arial" w:hAnsi="Arial" w:cs="Arial"/>
        </w:rPr>
      </w:pPr>
    </w:p>
    <w:p w14:paraId="0252F87E" w14:textId="4413A4EF" w:rsidR="00455EA2" w:rsidRDefault="00455EA2" w:rsidP="009F681A">
      <w:pPr>
        <w:jc w:val="both"/>
        <w:rPr>
          <w:rFonts w:ascii="Arial" w:hAnsi="Arial" w:cs="Arial"/>
        </w:rPr>
      </w:pPr>
    </w:p>
    <w:p w14:paraId="40AB3048" w14:textId="02680144" w:rsidR="00455EA2" w:rsidRDefault="00455EA2" w:rsidP="009F681A">
      <w:pPr>
        <w:jc w:val="both"/>
        <w:rPr>
          <w:rFonts w:ascii="Arial" w:hAnsi="Arial" w:cs="Arial"/>
        </w:rPr>
      </w:pPr>
    </w:p>
    <w:p w14:paraId="6B054FA3" w14:textId="45CD1A6D" w:rsidR="00455EA2" w:rsidRDefault="00455EA2" w:rsidP="009F681A">
      <w:pPr>
        <w:jc w:val="both"/>
        <w:rPr>
          <w:rFonts w:ascii="Arial" w:hAnsi="Arial" w:cs="Arial"/>
        </w:rPr>
      </w:pPr>
    </w:p>
    <w:p w14:paraId="687B9BE4" w14:textId="691860ED" w:rsidR="00455EA2" w:rsidRDefault="00455EA2" w:rsidP="009F681A">
      <w:pPr>
        <w:jc w:val="both"/>
        <w:rPr>
          <w:rFonts w:ascii="Arial" w:hAnsi="Arial" w:cs="Arial"/>
        </w:rPr>
      </w:pPr>
    </w:p>
    <w:p w14:paraId="674B61E6" w14:textId="51F7B3C8" w:rsidR="00455EA2" w:rsidRDefault="00455EA2" w:rsidP="009F681A">
      <w:pPr>
        <w:jc w:val="both"/>
        <w:rPr>
          <w:rFonts w:ascii="Arial" w:hAnsi="Arial" w:cs="Arial"/>
        </w:rPr>
      </w:pPr>
    </w:p>
    <w:p w14:paraId="26B8E9D5" w14:textId="1EEF529E" w:rsidR="00455EA2" w:rsidRDefault="00455EA2" w:rsidP="009F681A">
      <w:pPr>
        <w:jc w:val="both"/>
        <w:rPr>
          <w:rFonts w:ascii="Arial" w:hAnsi="Arial" w:cs="Arial"/>
        </w:rPr>
      </w:pPr>
    </w:p>
    <w:p w14:paraId="5E4140C0" w14:textId="085DFF4A" w:rsidR="00455EA2" w:rsidRDefault="00455EA2" w:rsidP="009F681A">
      <w:pPr>
        <w:jc w:val="both"/>
        <w:rPr>
          <w:rFonts w:ascii="Arial" w:hAnsi="Arial" w:cs="Arial"/>
        </w:rPr>
      </w:pPr>
    </w:p>
    <w:p w14:paraId="19175ED3" w14:textId="309D8D2F" w:rsidR="00455EA2" w:rsidRDefault="00455EA2" w:rsidP="009F681A">
      <w:pPr>
        <w:jc w:val="both"/>
        <w:rPr>
          <w:rFonts w:ascii="Arial" w:hAnsi="Arial" w:cs="Arial"/>
        </w:rPr>
      </w:pPr>
    </w:p>
    <w:p w14:paraId="273E1752" w14:textId="14117710" w:rsidR="00455EA2" w:rsidRDefault="00455EA2" w:rsidP="009F681A">
      <w:pPr>
        <w:jc w:val="both"/>
        <w:rPr>
          <w:rFonts w:ascii="Arial" w:hAnsi="Arial" w:cs="Arial"/>
        </w:rPr>
      </w:pPr>
    </w:p>
    <w:p w14:paraId="7D116538" w14:textId="1F650F54" w:rsidR="00455EA2" w:rsidRDefault="00455EA2" w:rsidP="009F681A">
      <w:pPr>
        <w:jc w:val="both"/>
        <w:rPr>
          <w:rFonts w:ascii="Arial" w:hAnsi="Arial" w:cs="Arial"/>
        </w:rPr>
      </w:pPr>
    </w:p>
    <w:p w14:paraId="0309D845" w14:textId="2BBA7EDF" w:rsidR="00455EA2" w:rsidRDefault="00455EA2" w:rsidP="009F681A">
      <w:pPr>
        <w:jc w:val="both"/>
        <w:rPr>
          <w:rFonts w:ascii="Arial" w:hAnsi="Arial" w:cs="Arial"/>
        </w:rPr>
      </w:pPr>
    </w:p>
    <w:p w14:paraId="2CA20682" w14:textId="5EE07D5F" w:rsidR="00455EA2" w:rsidRDefault="00455EA2" w:rsidP="009F681A">
      <w:pPr>
        <w:jc w:val="both"/>
        <w:rPr>
          <w:rFonts w:ascii="Arial" w:hAnsi="Arial" w:cs="Arial"/>
        </w:rPr>
      </w:pPr>
    </w:p>
    <w:p w14:paraId="65367EAD" w14:textId="76A69287" w:rsidR="00455EA2" w:rsidRDefault="00455EA2" w:rsidP="009F681A">
      <w:pPr>
        <w:jc w:val="both"/>
        <w:rPr>
          <w:rFonts w:ascii="Arial" w:hAnsi="Arial" w:cs="Arial"/>
        </w:rPr>
      </w:pPr>
    </w:p>
    <w:p w14:paraId="6F504385" w14:textId="753B3688" w:rsidR="00455EA2" w:rsidRDefault="00455EA2" w:rsidP="009F681A">
      <w:pPr>
        <w:jc w:val="both"/>
        <w:rPr>
          <w:rFonts w:ascii="Arial" w:hAnsi="Arial" w:cs="Arial"/>
        </w:rPr>
      </w:pPr>
    </w:p>
    <w:p w14:paraId="7BA7EAED" w14:textId="73EC791C" w:rsidR="00455EA2" w:rsidRDefault="00455EA2" w:rsidP="009F681A">
      <w:pPr>
        <w:jc w:val="both"/>
        <w:rPr>
          <w:rFonts w:ascii="Arial" w:hAnsi="Arial" w:cs="Arial"/>
        </w:rPr>
      </w:pPr>
    </w:p>
    <w:p w14:paraId="51EF207B" w14:textId="5DBDEB85" w:rsidR="00455EA2" w:rsidRDefault="00455EA2" w:rsidP="009F681A">
      <w:pPr>
        <w:jc w:val="both"/>
        <w:rPr>
          <w:rFonts w:ascii="Arial" w:hAnsi="Arial" w:cs="Arial"/>
        </w:rPr>
      </w:pPr>
    </w:p>
    <w:p w14:paraId="5A01292D" w14:textId="799597B5" w:rsidR="00455EA2" w:rsidRDefault="00455EA2" w:rsidP="009F681A">
      <w:pPr>
        <w:jc w:val="both"/>
        <w:rPr>
          <w:rFonts w:ascii="Arial" w:hAnsi="Arial" w:cs="Arial"/>
        </w:rPr>
      </w:pPr>
    </w:p>
    <w:p w14:paraId="7AE9FE53" w14:textId="7DCEB4DA" w:rsidR="00455EA2" w:rsidRDefault="00455EA2" w:rsidP="009F681A">
      <w:pPr>
        <w:jc w:val="both"/>
        <w:rPr>
          <w:rFonts w:ascii="Arial" w:hAnsi="Arial" w:cs="Arial"/>
        </w:rPr>
      </w:pPr>
    </w:p>
    <w:p w14:paraId="7DFD1563" w14:textId="712A8374" w:rsidR="00455EA2" w:rsidRDefault="00455EA2" w:rsidP="009F681A">
      <w:pPr>
        <w:jc w:val="both"/>
        <w:rPr>
          <w:rFonts w:ascii="Arial" w:hAnsi="Arial" w:cs="Arial"/>
        </w:rPr>
      </w:pPr>
    </w:p>
    <w:p w14:paraId="0701E92A" w14:textId="6F5A92A6" w:rsidR="00455EA2" w:rsidRDefault="00455EA2" w:rsidP="009F681A">
      <w:pPr>
        <w:jc w:val="both"/>
        <w:rPr>
          <w:rFonts w:ascii="Arial" w:hAnsi="Arial" w:cs="Arial"/>
        </w:rPr>
      </w:pPr>
    </w:p>
    <w:p w14:paraId="00B8D276" w14:textId="4D6E9890" w:rsidR="00455EA2" w:rsidRDefault="00455EA2" w:rsidP="009F681A">
      <w:pPr>
        <w:jc w:val="both"/>
        <w:rPr>
          <w:rFonts w:ascii="Arial" w:hAnsi="Arial" w:cs="Arial"/>
        </w:rPr>
      </w:pPr>
    </w:p>
    <w:p w14:paraId="683D9A79" w14:textId="77777777" w:rsidR="00455EA2" w:rsidRPr="00455EA2" w:rsidRDefault="00455EA2" w:rsidP="00455EA2">
      <w:pPr>
        <w:rPr>
          <w:rFonts w:ascii="Arial" w:hAnsi="Arial" w:cs="Arial"/>
        </w:rPr>
      </w:pPr>
      <w:r w:rsidRPr="00455EA2">
        <w:rPr>
          <w:rFonts w:ascii="Arial" w:hAnsi="Arial" w:cs="Arial"/>
          <w:b/>
          <w:bCs/>
        </w:rPr>
        <w:lastRenderedPageBreak/>
        <w:t>Complete an academic critique that clearly demonstrates the link between teaching, learning and assessment strategies that you have chosen to use within your course and relevant and appropriate learning theories</w:t>
      </w:r>
      <w:r w:rsidRPr="00455EA2">
        <w:rPr>
          <w:rFonts w:ascii="Arial" w:hAnsi="Arial" w:cs="Arial"/>
        </w:rPr>
        <w:t>.</w:t>
      </w:r>
    </w:p>
    <w:p w14:paraId="1E5BF212" w14:textId="77777777" w:rsidR="00455EA2" w:rsidRPr="00455EA2" w:rsidRDefault="00455EA2" w:rsidP="00455EA2">
      <w:pPr>
        <w:rPr>
          <w:rFonts w:ascii="Arial" w:hAnsi="Arial" w:cs="Arial"/>
        </w:rPr>
      </w:pPr>
    </w:p>
    <w:p w14:paraId="48625569" w14:textId="7E290578" w:rsidR="00455EA2" w:rsidRPr="00455EA2" w:rsidRDefault="00455EA2" w:rsidP="00455EA2">
      <w:pPr>
        <w:jc w:val="both"/>
        <w:rPr>
          <w:rFonts w:ascii="Arial" w:hAnsi="Arial" w:cs="Arial"/>
        </w:rPr>
      </w:pPr>
      <w:r w:rsidRPr="00455EA2">
        <w:rPr>
          <w:rFonts w:ascii="Arial" w:hAnsi="Arial" w:cs="Arial"/>
        </w:rPr>
        <w:t>The p</w:t>
      </w:r>
      <w:r w:rsidR="00DC3492">
        <w:rPr>
          <w:rFonts w:ascii="Arial" w:hAnsi="Arial" w:cs="Arial"/>
        </w:rPr>
        <w:t>u</w:t>
      </w:r>
      <w:r w:rsidRPr="00455EA2">
        <w:rPr>
          <w:rFonts w:ascii="Arial" w:hAnsi="Arial" w:cs="Arial"/>
        </w:rPr>
        <w:t>rpose of this assignment it to provide an academic critique of learning theories which are relevant within the course that is being taught on, with connections to the teaching, learning and assessment strategies that are used.</w:t>
      </w:r>
    </w:p>
    <w:p w14:paraId="7F7371CF" w14:textId="5F51298C" w:rsidR="00455EA2" w:rsidRPr="00455EA2" w:rsidRDefault="00455EA2" w:rsidP="00455EA2">
      <w:pPr>
        <w:jc w:val="both"/>
        <w:rPr>
          <w:rFonts w:ascii="Arial" w:hAnsi="Arial" w:cs="Arial"/>
        </w:rPr>
      </w:pPr>
      <w:r w:rsidRPr="00455EA2">
        <w:rPr>
          <w:rFonts w:ascii="Arial" w:hAnsi="Arial" w:cs="Arial"/>
        </w:rPr>
        <w:t xml:space="preserve">Generally, there are </w:t>
      </w:r>
      <w:r w:rsidR="00DC3492">
        <w:rPr>
          <w:rFonts w:ascii="Arial" w:hAnsi="Arial" w:cs="Arial"/>
        </w:rPr>
        <w:t xml:space="preserve">considered to be </w:t>
      </w:r>
      <w:r w:rsidRPr="00455EA2">
        <w:rPr>
          <w:rFonts w:ascii="Arial" w:hAnsi="Arial" w:cs="Arial"/>
        </w:rPr>
        <w:t xml:space="preserve">four learning theories that are </w:t>
      </w:r>
      <w:r w:rsidR="00DC3492">
        <w:rPr>
          <w:rFonts w:ascii="Arial" w:hAnsi="Arial" w:cs="Arial"/>
        </w:rPr>
        <w:t>considered important. T</w:t>
      </w:r>
      <w:r w:rsidRPr="00455EA2">
        <w:rPr>
          <w:rFonts w:ascii="Arial" w:hAnsi="Arial" w:cs="Arial"/>
        </w:rPr>
        <w:t xml:space="preserve">hese </w:t>
      </w:r>
      <w:r w:rsidR="00DC3492">
        <w:rPr>
          <w:rFonts w:ascii="Arial" w:hAnsi="Arial" w:cs="Arial"/>
        </w:rPr>
        <w:t xml:space="preserve">theories </w:t>
      </w:r>
      <w:r w:rsidRPr="00455EA2">
        <w:rPr>
          <w:rFonts w:ascii="Arial" w:hAnsi="Arial" w:cs="Arial"/>
        </w:rPr>
        <w:t>are behaviourist, humanist, constructivism and cognitivism. According to Aubrey and Riley (2019 p. 2) educational theories have ‘undergone an evolution; different ideas have been disputed, modified, and in some cases disregarded’. It is important to consider these when assessing which learning and assessment strategies are used on the course being taught.</w:t>
      </w:r>
    </w:p>
    <w:p w14:paraId="0AE21C25" w14:textId="1807A0BC" w:rsidR="00455EA2" w:rsidRPr="00455EA2" w:rsidRDefault="00455EA2" w:rsidP="00455EA2">
      <w:pPr>
        <w:jc w:val="both"/>
        <w:rPr>
          <w:rFonts w:ascii="Arial" w:hAnsi="Arial" w:cs="Arial"/>
        </w:rPr>
      </w:pPr>
      <w:r w:rsidRPr="00455EA2">
        <w:rPr>
          <w:rFonts w:ascii="Arial" w:hAnsi="Arial" w:cs="Arial"/>
        </w:rPr>
        <w:t>Behaviourism was developed initially by theorists such as Pavlov and Watson. They believed learning was purely based on what one could absorb and re</w:t>
      </w:r>
      <w:r w:rsidR="00D4023F">
        <w:rPr>
          <w:rFonts w:ascii="Arial" w:hAnsi="Arial" w:cs="Arial"/>
        </w:rPr>
        <w:t>i</w:t>
      </w:r>
      <w:r w:rsidR="00D4023F" w:rsidRPr="00455EA2">
        <w:rPr>
          <w:rFonts w:ascii="Arial" w:hAnsi="Arial" w:cs="Arial"/>
        </w:rPr>
        <w:t>te</w:t>
      </w:r>
      <w:r w:rsidR="00D4023F">
        <w:rPr>
          <w:rFonts w:ascii="Arial" w:hAnsi="Arial" w:cs="Arial"/>
        </w:rPr>
        <w:t>r</w:t>
      </w:r>
      <w:r w:rsidR="00D4023F" w:rsidRPr="00455EA2">
        <w:rPr>
          <w:rFonts w:ascii="Arial" w:hAnsi="Arial" w:cs="Arial"/>
        </w:rPr>
        <w:t>ate</w:t>
      </w:r>
      <w:r w:rsidRPr="00455EA2">
        <w:rPr>
          <w:rFonts w:ascii="Arial" w:hAnsi="Arial" w:cs="Arial"/>
        </w:rPr>
        <w:t xml:space="preserve">, there is no room for the individual within the behaviourist view of learning. Pershing (2016) claims that ‘Behaviourism deals with the science of behaviour by focusing on predicting the responses of organisms to a variety of stimuli’. </w:t>
      </w:r>
    </w:p>
    <w:p w14:paraId="1F5E7A5B" w14:textId="77777777" w:rsidR="00455EA2" w:rsidRPr="00455EA2" w:rsidRDefault="00455EA2" w:rsidP="00455EA2">
      <w:pPr>
        <w:jc w:val="both"/>
        <w:rPr>
          <w:rFonts w:ascii="Arial" w:hAnsi="Arial" w:cs="Arial"/>
        </w:rPr>
      </w:pPr>
      <w:r w:rsidRPr="00455EA2">
        <w:rPr>
          <w:rFonts w:ascii="Arial" w:hAnsi="Arial" w:cs="Arial"/>
        </w:rPr>
        <w:t>The teaching strategies and assessments within behaviourism teaching are the acquiring of knowledge, general, observations, prompts, instant feedback and would involve punishment in one way or another if the learner got something wrong. Pershing (2016) explains that ‘In all renditions of programmed instruction, there is a built-in emphasis on testing and validating the programs during and following their development’.</w:t>
      </w:r>
    </w:p>
    <w:p w14:paraId="0688B068" w14:textId="0F0A3AEA" w:rsidR="00455EA2" w:rsidRPr="00455EA2" w:rsidRDefault="00455EA2" w:rsidP="00455EA2">
      <w:pPr>
        <w:jc w:val="both"/>
        <w:rPr>
          <w:rFonts w:ascii="Arial" w:hAnsi="Arial" w:cs="Arial"/>
        </w:rPr>
      </w:pPr>
      <w:r w:rsidRPr="00455EA2">
        <w:rPr>
          <w:rFonts w:ascii="Arial" w:hAnsi="Arial" w:cs="Arial"/>
        </w:rPr>
        <w:t>Although, as a result of this behaviourism has a defined and clear</w:t>
      </w:r>
      <w:r w:rsidR="00D4023F">
        <w:rPr>
          <w:rFonts w:ascii="Arial" w:hAnsi="Arial" w:cs="Arial"/>
        </w:rPr>
        <w:t xml:space="preserve"> process</w:t>
      </w:r>
      <w:r w:rsidRPr="00455EA2">
        <w:rPr>
          <w:rFonts w:ascii="Arial" w:hAnsi="Arial" w:cs="Arial"/>
        </w:rPr>
        <w:t xml:space="preserve"> there are criticisms of the theory. They can be seen as discriminative and not considering the individual and their own personal progression. Behaviourism, according to Baum (2016) reject or ignore problematic or underachieving learners, they are not concerned with an individual, purely the outcome.</w:t>
      </w:r>
    </w:p>
    <w:p w14:paraId="44E433DD" w14:textId="4D9E391B" w:rsidR="00455EA2" w:rsidRPr="00455EA2" w:rsidRDefault="00455EA2" w:rsidP="00455EA2">
      <w:pPr>
        <w:jc w:val="both"/>
        <w:rPr>
          <w:rFonts w:ascii="Arial" w:hAnsi="Arial" w:cs="Arial"/>
        </w:rPr>
      </w:pPr>
      <w:r w:rsidRPr="00455EA2">
        <w:rPr>
          <w:rFonts w:ascii="Arial" w:hAnsi="Arial" w:cs="Arial"/>
        </w:rPr>
        <w:t xml:space="preserve">Humanism came as a direct response to the indifference of the learner </w:t>
      </w:r>
      <w:r w:rsidR="00D4023F">
        <w:rPr>
          <w:rFonts w:ascii="Arial" w:hAnsi="Arial" w:cs="Arial"/>
        </w:rPr>
        <w:t>within</w:t>
      </w:r>
      <w:r w:rsidRPr="00455EA2">
        <w:rPr>
          <w:rFonts w:ascii="Arial" w:hAnsi="Arial" w:cs="Arial"/>
        </w:rPr>
        <w:t xml:space="preserve"> behaviourism. On the opposite side of the spectrum the humanist view is concerned with the needs of the individual and their motivation for </w:t>
      </w:r>
      <w:r w:rsidR="00D4023F">
        <w:rPr>
          <w:rFonts w:ascii="Arial" w:hAnsi="Arial" w:cs="Arial"/>
        </w:rPr>
        <w:t>l</w:t>
      </w:r>
      <w:r w:rsidRPr="00455EA2">
        <w:rPr>
          <w:rFonts w:ascii="Arial" w:hAnsi="Arial" w:cs="Arial"/>
        </w:rPr>
        <w:t>earning. It considers their previous formal and non-formal learning and their aspirations moving forward. Maslow (1969) claimed that humanistic learning was ‘a quiet revolution is underway… a promise of moving us forward to a more human more person-centred world’. As one of the leading theorists for humanism Maslow criticised the indifference of behaviourist education and sought a more inclusive person centred one.</w:t>
      </w:r>
    </w:p>
    <w:p w14:paraId="01A673F7" w14:textId="2C8C0EA1" w:rsidR="00455EA2" w:rsidRPr="00455EA2" w:rsidRDefault="00455EA2" w:rsidP="00455EA2">
      <w:pPr>
        <w:jc w:val="both"/>
        <w:rPr>
          <w:rFonts w:ascii="Arial" w:hAnsi="Arial" w:cs="Arial"/>
          <w:color w:val="000000"/>
        </w:rPr>
      </w:pPr>
      <w:r w:rsidRPr="00455EA2">
        <w:rPr>
          <w:rFonts w:ascii="Arial" w:hAnsi="Arial" w:cs="Arial"/>
          <w:color w:val="000000"/>
        </w:rPr>
        <w:t xml:space="preserve">Zulkarnain and Moh (2020) argue that the humanistic approach and therefore the teaching strategies for those teaching in the humanistic way will encourage creativity and expression </w:t>
      </w:r>
      <w:r w:rsidR="00AC65FB" w:rsidRPr="00455EA2">
        <w:rPr>
          <w:rFonts w:ascii="Arial" w:hAnsi="Arial" w:cs="Arial"/>
          <w:color w:val="000000"/>
        </w:rPr>
        <w:t>emp</w:t>
      </w:r>
      <w:r w:rsidR="00AC65FB">
        <w:rPr>
          <w:rFonts w:ascii="Arial" w:hAnsi="Arial" w:cs="Arial"/>
          <w:color w:val="000000"/>
        </w:rPr>
        <w:t>has</w:t>
      </w:r>
      <w:r w:rsidR="00AC65FB" w:rsidRPr="00455EA2">
        <w:rPr>
          <w:rFonts w:ascii="Arial" w:hAnsi="Arial" w:cs="Arial"/>
          <w:color w:val="000000"/>
        </w:rPr>
        <w:t>ising</w:t>
      </w:r>
      <w:r w:rsidRPr="00455EA2">
        <w:rPr>
          <w:rFonts w:ascii="Arial" w:hAnsi="Arial" w:cs="Arial"/>
          <w:color w:val="000000"/>
        </w:rPr>
        <w:t xml:space="preserve"> the need to reflect on their learning, themselves and the environment they are in. This then, according to Zulkarnain and Moh (2020), gives learners the opportunity to identify the potential they have acknowledging their ambitions.</w:t>
      </w:r>
    </w:p>
    <w:p w14:paraId="69BB7390" w14:textId="22776797" w:rsidR="00455EA2" w:rsidRPr="00455EA2" w:rsidRDefault="00455EA2" w:rsidP="00455EA2">
      <w:pPr>
        <w:jc w:val="both"/>
        <w:rPr>
          <w:rFonts w:ascii="Arial" w:hAnsi="Arial" w:cs="Arial"/>
          <w:color w:val="000000"/>
        </w:rPr>
      </w:pPr>
      <w:r w:rsidRPr="00455EA2">
        <w:rPr>
          <w:rFonts w:ascii="Arial" w:hAnsi="Arial" w:cs="Arial"/>
          <w:color w:val="000000"/>
        </w:rPr>
        <w:t>The Humanistic approach also considers the educators role in this as a facilitator more than a teacher, the role of the facilitator is to guide and ensure equity amongst their student</w:t>
      </w:r>
      <w:r w:rsidR="00F20F20">
        <w:rPr>
          <w:rFonts w:ascii="Arial" w:hAnsi="Arial" w:cs="Arial"/>
          <w:color w:val="000000"/>
        </w:rPr>
        <w:t>s</w:t>
      </w:r>
      <w:r w:rsidRPr="00455EA2">
        <w:rPr>
          <w:rFonts w:ascii="Arial" w:hAnsi="Arial" w:cs="Arial"/>
          <w:color w:val="000000"/>
        </w:rPr>
        <w:t xml:space="preserve"> rather than the behaviourist view of teaching the same to everyone and treating the same. Rodgers (1994) argued that facilitation, rather than didactic teaching created meaningful and lifelong learning.</w:t>
      </w:r>
    </w:p>
    <w:p w14:paraId="574D5B4A" w14:textId="77777777" w:rsidR="00455EA2" w:rsidRPr="00455EA2" w:rsidRDefault="00455EA2" w:rsidP="00455EA2">
      <w:pPr>
        <w:jc w:val="both"/>
        <w:rPr>
          <w:rFonts w:ascii="Arial" w:hAnsi="Arial" w:cs="Arial"/>
        </w:rPr>
      </w:pPr>
      <w:r w:rsidRPr="00455EA2">
        <w:rPr>
          <w:rFonts w:ascii="Arial" w:hAnsi="Arial" w:cs="Arial"/>
          <w:color w:val="000000"/>
        </w:rPr>
        <w:lastRenderedPageBreak/>
        <w:t>Criticisms of the humanistic approach, according to Aubrey and Riley (2019), are that it is difficult to assess large scale learning and that it is a challenge to meet a large group of learners needs at once.</w:t>
      </w:r>
    </w:p>
    <w:p w14:paraId="4DB4147A" w14:textId="3E39CD5E" w:rsidR="00455EA2" w:rsidRPr="00455EA2" w:rsidRDefault="00455EA2" w:rsidP="00455EA2">
      <w:pPr>
        <w:jc w:val="both"/>
        <w:rPr>
          <w:rFonts w:ascii="Arial" w:hAnsi="Arial" w:cs="Arial"/>
        </w:rPr>
      </w:pPr>
      <w:r w:rsidRPr="00455EA2">
        <w:rPr>
          <w:rFonts w:ascii="Arial" w:hAnsi="Arial" w:cs="Arial"/>
        </w:rPr>
        <w:t xml:space="preserve">Cognitivism concerns itself with the process of the brain and how an understanding of the brain is needed in order to be able to educate appropriately. As one of the leading theorists behind cognitivism Piaget (1952) suggested that in each development stage an individual’s ability to learn and the process in which they learn is different. Reid (2005) suggests that the </w:t>
      </w:r>
      <w:r w:rsidR="00F20F20" w:rsidRPr="00455EA2">
        <w:rPr>
          <w:rFonts w:ascii="Arial" w:hAnsi="Arial" w:cs="Arial"/>
        </w:rPr>
        <w:t>learners’</w:t>
      </w:r>
      <w:r w:rsidRPr="00455EA2">
        <w:rPr>
          <w:rFonts w:ascii="Arial" w:hAnsi="Arial" w:cs="Arial"/>
        </w:rPr>
        <w:t xml:space="preserve"> roles is as an active participant in their learning which encompasses previous learning, experiences and creativity rather</w:t>
      </w:r>
      <w:r w:rsidR="00F20F20">
        <w:rPr>
          <w:rFonts w:ascii="Arial" w:hAnsi="Arial" w:cs="Arial"/>
        </w:rPr>
        <w:t xml:space="preserve"> simply becoming</w:t>
      </w:r>
      <w:r w:rsidRPr="00455EA2">
        <w:rPr>
          <w:rFonts w:ascii="Arial" w:hAnsi="Arial" w:cs="Arial"/>
        </w:rPr>
        <w:t xml:space="preserve"> a passive learner.</w:t>
      </w:r>
    </w:p>
    <w:p w14:paraId="10826A0F" w14:textId="77777777" w:rsidR="00455EA2" w:rsidRPr="00455EA2" w:rsidRDefault="00455EA2" w:rsidP="00455EA2">
      <w:pPr>
        <w:jc w:val="both"/>
        <w:rPr>
          <w:rFonts w:ascii="Arial" w:hAnsi="Arial" w:cs="Arial"/>
        </w:rPr>
      </w:pPr>
      <w:r w:rsidRPr="00455EA2">
        <w:rPr>
          <w:rFonts w:ascii="Arial" w:hAnsi="Arial" w:cs="Arial"/>
        </w:rPr>
        <w:t>Al-Shammari et al (2019) ‘cognitivism essentially focuses on the attributes of one's thinking, memory, self-reflection, and motivation to learn’. This shows the strength of this process as person centred but also taking into account the learners’ responsibility to be present in the learning.</w:t>
      </w:r>
    </w:p>
    <w:p w14:paraId="762B7DD7" w14:textId="0B68C95B" w:rsidR="00455EA2" w:rsidRPr="00455EA2" w:rsidRDefault="00455EA2" w:rsidP="00455EA2">
      <w:pPr>
        <w:jc w:val="both"/>
        <w:rPr>
          <w:rFonts w:ascii="Arial" w:hAnsi="Arial" w:cs="Arial"/>
        </w:rPr>
      </w:pPr>
      <w:bookmarkStart w:id="0" w:name="_Hlk33800018"/>
      <w:r w:rsidRPr="00455EA2">
        <w:rPr>
          <w:rFonts w:ascii="Helvetica" w:hAnsi="Helvetica" w:cs="Helvetica"/>
          <w:color w:val="333333"/>
        </w:rPr>
        <w:t>Nagowah</w:t>
      </w:r>
      <w:r w:rsidRPr="00455EA2">
        <w:rPr>
          <w:rFonts w:ascii="Arial" w:hAnsi="Arial" w:cs="Arial"/>
        </w:rPr>
        <w:t xml:space="preserve"> and </w:t>
      </w:r>
      <w:r w:rsidRPr="00455EA2">
        <w:rPr>
          <w:rFonts w:ascii="Helvetica" w:hAnsi="Helvetica" w:cs="Helvetica"/>
          <w:color w:val="333333"/>
        </w:rPr>
        <w:t>Nagowah</w:t>
      </w:r>
      <w:r w:rsidRPr="00455EA2">
        <w:rPr>
          <w:rFonts w:ascii="Arial" w:hAnsi="Arial" w:cs="Arial"/>
        </w:rPr>
        <w:t xml:space="preserve"> (2009) </w:t>
      </w:r>
      <w:bookmarkEnd w:id="0"/>
      <w:r w:rsidRPr="00455EA2">
        <w:rPr>
          <w:rFonts w:ascii="Arial" w:hAnsi="Arial" w:cs="Arial"/>
        </w:rPr>
        <w:t>suggests its weakness however to be putting too much pressure on the individual to learn and that learners may well learn something but it may not be the easiest or most straightforward method or technique</w:t>
      </w:r>
      <w:r w:rsidR="00F20F20">
        <w:rPr>
          <w:rFonts w:ascii="Arial" w:hAnsi="Arial" w:cs="Arial"/>
        </w:rPr>
        <w:t xml:space="preserve"> in order to complete a task</w:t>
      </w:r>
      <w:r w:rsidRPr="00455EA2">
        <w:rPr>
          <w:rFonts w:ascii="Arial" w:hAnsi="Arial" w:cs="Arial"/>
        </w:rPr>
        <w:t xml:space="preserve">. </w:t>
      </w:r>
    </w:p>
    <w:p w14:paraId="7D878A60" w14:textId="64749665" w:rsidR="00455EA2" w:rsidRPr="00455EA2" w:rsidRDefault="00455EA2" w:rsidP="00455EA2">
      <w:pPr>
        <w:jc w:val="both"/>
        <w:rPr>
          <w:rFonts w:ascii="Arial" w:hAnsi="Arial" w:cs="Arial"/>
        </w:rPr>
      </w:pPr>
      <w:r w:rsidRPr="00455EA2">
        <w:rPr>
          <w:rFonts w:ascii="Arial" w:hAnsi="Arial" w:cs="Arial"/>
        </w:rPr>
        <w:t>Constructivist theory is concerned with how the learners have constructed the world and their environment through lived experiences. Bruning et al (1999 p.25) claim that ‘each learner generates his own rules and mental models through experiencing things and reflecting on those experiences’.</w:t>
      </w:r>
      <w:r w:rsidRPr="00455EA2">
        <w:t xml:space="preserve"> </w:t>
      </w:r>
      <w:r w:rsidRPr="00455EA2">
        <w:rPr>
          <w:rFonts w:ascii="Arial" w:hAnsi="Arial" w:cs="Arial"/>
        </w:rPr>
        <w:t xml:space="preserve">It is in response to the behaviourist view of a specific teacher imparting all their knowledge to a learner and </w:t>
      </w:r>
      <w:r w:rsidR="007D7243">
        <w:rPr>
          <w:rFonts w:ascii="Arial" w:hAnsi="Arial" w:cs="Arial"/>
        </w:rPr>
        <w:t>instead</w:t>
      </w:r>
      <w:r w:rsidRPr="00455EA2">
        <w:rPr>
          <w:rFonts w:ascii="Arial" w:hAnsi="Arial" w:cs="Arial"/>
        </w:rPr>
        <w:t xml:space="preserve"> emphasised by each learner creating their own learning. Rogers (2007 p. 113) says therefore that the challengers to constructivism theory of education is that ‘this school of thought rejects the notion of knowledge existing outside of ourselves’.</w:t>
      </w:r>
    </w:p>
    <w:p w14:paraId="53D48D05" w14:textId="77777777" w:rsidR="00455EA2" w:rsidRPr="00455EA2" w:rsidRDefault="00455EA2" w:rsidP="00455EA2">
      <w:pPr>
        <w:jc w:val="both"/>
        <w:rPr>
          <w:rFonts w:ascii="Arial" w:hAnsi="Arial" w:cs="Arial"/>
        </w:rPr>
      </w:pPr>
      <w:r w:rsidRPr="00455EA2">
        <w:rPr>
          <w:rFonts w:ascii="Arial" w:hAnsi="Arial" w:cs="Arial"/>
        </w:rPr>
        <w:t xml:space="preserve">Moore (2000) suggests that, although there are a number of teaching theories that generally individual teachers chose to teach in the theory which suits them most. Whereas </w:t>
      </w:r>
      <w:r w:rsidRPr="00455EA2">
        <w:rPr>
          <w:rFonts w:ascii="Arial" w:hAnsi="Arial" w:cs="Arial"/>
          <w:color w:val="333333"/>
          <w:shd w:val="clear" w:color="auto" w:fill="FFFFFF"/>
        </w:rPr>
        <w:t>Campbell et al (2020) explains that different learning strategies that are based on the different learning theories can encourage learners to both intentionally and unintentionally learn.</w:t>
      </w:r>
    </w:p>
    <w:p w14:paraId="1C32D44E" w14:textId="230AE1B5" w:rsidR="00455EA2" w:rsidRPr="00455EA2" w:rsidRDefault="007D7243" w:rsidP="00455EA2">
      <w:pPr>
        <w:jc w:val="both"/>
        <w:rPr>
          <w:rFonts w:ascii="Arial" w:hAnsi="Arial" w:cs="Arial"/>
        </w:rPr>
      </w:pPr>
      <w:r>
        <w:rPr>
          <w:rFonts w:ascii="Arial" w:hAnsi="Arial" w:cs="Arial"/>
        </w:rPr>
        <w:t>With an understanding</w:t>
      </w:r>
      <w:r w:rsidR="00455EA2" w:rsidRPr="00455EA2">
        <w:rPr>
          <w:rFonts w:ascii="Arial" w:hAnsi="Arial" w:cs="Arial"/>
        </w:rPr>
        <w:t xml:space="preserve"> of these teaching theories it is vital that a mixture of all theories is used within planning, teaching and assessing learning within the chosen</w:t>
      </w:r>
      <w:r>
        <w:rPr>
          <w:rFonts w:ascii="Arial" w:hAnsi="Arial" w:cs="Arial"/>
        </w:rPr>
        <w:t xml:space="preserve"> course, which is </w:t>
      </w:r>
      <w:r w:rsidR="00455EA2" w:rsidRPr="00455EA2">
        <w:rPr>
          <w:rFonts w:ascii="Arial" w:hAnsi="Arial" w:cs="Arial"/>
        </w:rPr>
        <w:t>the youth and community work degree. There are subjects within the course which are not subjective and need a behaviouralist approach such as the way in which</w:t>
      </w:r>
      <w:r>
        <w:rPr>
          <w:rFonts w:ascii="Arial" w:hAnsi="Arial" w:cs="Arial"/>
        </w:rPr>
        <w:t xml:space="preserve"> the</w:t>
      </w:r>
      <w:r w:rsidR="00455EA2" w:rsidRPr="00455EA2">
        <w:rPr>
          <w:rFonts w:ascii="Arial" w:hAnsi="Arial" w:cs="Arial"/>
        </w:rPr>
        <w:t xml:space="preserve"> safeguarding concerns</w:t>
      </w:r>
      <w:r>
        <w:rPr>
          <w:rFonts w:ascii="Arial" w:hAnsi="Arial" w:cs="Arial"/>
        </w:rPr>
        <w:t xml:space="preserve"> for children and young people</w:t>
      </w:r>
      <w:r w:rsidR="00455EA2" w:rsidRPr="00455EA2">
        <w:rPr>
          <w:rFonts w:ascii="Arial" w:hAnsi="Arial" w:cs="Arial"/>
        </w:rPr>
        <w:t xml:space="preserve"> are raised and recorded. There is a </w:t>
      </w:r>
      <w:r>
        <w:rPr>
          <w:rFonts w:ascii="Arial" w:hAnsi="Arial" w:cs="Arial"/>
        </w:rPr>
        <w:t xml:space="preserve">legal, </w:t>
      </w:r>
      <w:r w:rsidR="00455EA2" w:rsidRPr="00455EA2">
        <w:rPr>
          <w:rFonts w:ascii="Arial" w:hAnsi="Arial" w:cs="Arial"/>
        </w:rPr>
        <w:t>measured, thought out process in which guidelines must be followed in these cases.</w:t>
      </w:r>
    </w:p>
    <w:p w14:paraId="650785DB" w14:textId="77777777" w:rsidR="00455EA2" w:rsidRPr="00455EA2" w:rsidRDefault="00455EA2" w:rsidP="00455EA2">
      <w:pPr>
        <w:jc w:val="both"/>
        <w:rPr>
          <w:rFonts w:ascii="Arial" w:hAnsi="Arial" w:cs="Arial"/>
        </w:rPr>
      </w:pPr>
      <w:r w:rsidRPr="00455EA2">
        <w:rPr>
          <w:rFonts w:ascii="Arial" w:hAnsi="Arial" w:cs="Arial"/>
        </w:rPr>
        <w:t>However, when it comes to the subjective views of how to manage boundaries within youth work or how to best plan a 10-week programme for young people meeting their needs there are no pre-defined methods to do this with. Therefore, a more humanist and cognitivist approach is more advantageous.</w:t>
      </w:r>
    </w:p>
    <w:p w14:paraId="6CA7145F" w14:textId="621073DF" w:rsidR="00455EA2" w:rsidRDefault="00455EA2" w:rsidP="00455EA2">
      <w:pPr>
        <w:jc w:val="both"/>
        <w:rPr>
          <w:rFonts w:ascii="Arial" w:hAnsi="Arial" w:cs="Arial"/>
        </w:rPr>
      </w:pPr>
      <w:r w:rsidRPr="00455EA2">
        <w:rPr>
          <w:rFonts w:ascii="Arial" w:hAnsi="Arial" w:cs="Arial"/>
        </w:rPr>
        <w:t>Within the youth and community work degree teaching strategies and assessments are mixtures of all types of learning theories dependant on the subject.</w:t>
      </w:r>
      <w:r w:rsidR="00AC65FB">
        <w:rPr>
          <w:rFonts w:ascii="Arial" w:hAnsi="Arial" w:cs="Arial"/>
        </w:rPr>
        <w:t xml:space="preserve"> Fieldwork placements, for example, take a humanist approach</w:t>
      </w:r>
      <w:r w:rsidR="007D7243">
        <w:rPr>
          <w:rFonts w:ascii="Arial" w:hAnsi="Arial" w:cs="Arial"/>
        </w:rPr>
        <w:t>. T</w:t>
      </w:r>
      <w:r w:rsidR="00AC65FB">
        <w:rPr>
          <w:rFonts w:ascii="Arial" w:hAnsi="Arial" w:cs="Arial"/>
        </w:rPr>
        <w:t xml:space="preserve">hey are </w:t>
      </w:r>
      <w:r w:rsidR="007D7243">
        <w:rPr>
          <w:rFonts w:ascii="Arial" w:hAnsi="Arial" w:cs="Arial"/>
        </w:rPr>
        <w:t>placement, practice based modules</w:t>
      </w:r>
      <w:r w:rsidR="00AC65FB">
        <w:rPr>
          <w:rFonts w:ascii="Arial" w:hAnsi="Arial" w:cs="Arial"/>
        </w:rPr>
        <w:t xml:space="preserve"> </w:t>
      </w:r>
      <w:r w:rsidR="007D7243">
        <w:rPr>
          <w:rFonts w:ascii="Arial" w:hAnsi="Arial" w:cs="Arial"/>
        </w:rPr>
        <w:t>centred around</w:t>
      </w:r>
      <w:r w:rsidR="00AC65FB">
        <w:rPr>
          <w:rFonts w:ascii="Arial" w:hAnsi="Arial" w:cs="Arial"/>
        </w:rPr>
        <w:t xml:space="preserve"> the </w:t>
      </w:r>
      <w:r w:rsidR="007D7243">
        <w:rPr>
          <w:rFonts w:ascii="Arial" w:hAnsi="Arial" w:cs="Arial"/>
        </w:rPr>
        <w:t>learners’</w:t>
      </w:r>
      <w:r w:rsidR="00AC65FB">
        <w:rPr>
          <w:rFonts w:ascii="Arial" w:hAnsi="Arial" w:cs="Arial"/>
        </w:rPr>
        <w:t xml:space="preserve"> interest and what the learner identifies as a gap in their </w:t>
      </w:r>
      <w:r w:rsidR="007D7243">
        <w:rPr>
          <w:rFonts w:ascii="Arial" w:hAnsi="Arial" w:cs="Arial"/>
        </w:rPr>
        <w:t>knowledge</w:t>
      </w:r>
      <w:r w:rsidR="00AC65FB">
        <w:rPr>
          <w:rFonts w:ascii="Arial" w:hAnsi="Arial" w:cs="Arial"/>
        </w:rPr>
        <w:t xml:space="preserve"> throughout the </w:t>
      </w:r>
      <w:r w:rsidR="007D7243">
        <w:rPr>
          <w:rFonts w:ascii="Arial" w:hAnsi="Arial" w:cs="Arial"/>
        </w:rPr>
        <w:t>degree programme.</w:t>
      </w:r>
    </w:p>
    <w:p w14:paraId="62227061" w14:textId="26B46549" w:rsidR="007D7243" w:rsidRPr="00455EA2" w:rsidRDefault="007D7243" w:rsidP="00455EA2">
      <w:pPr>
        <w:jc w:val="both"/>
        <w:rPr>
          <w:rFonts w:ascii="Arial" w:hAnsi="Arial" w:cs="Arial"/>
        </w:rPr>
      </w:pPr>
      <w:r>
        <w:rPr>
          <w:rFonts w:ascii="Arial" w:hAnsi="Arial" w:cs="Arial"/>
        </w:rPr>
        <w:t xml:space="preserve">It is too narrow a view to simply claim one learning theory is more superior to another or that specific degrees are teach or asses in one theory and do nothing in another. In order to provide </w:t>
      </w:r>
      <w:r>
        <w:rPr>
          <w:rFonts w:ascii="Arial" w:hAnsi="Arial" w:cs="Arial"/>
        </w:rPr>
        <w:lastRenderedPageBreak/>
        <w:t>a rounded education all learning theories must be considered when approaching teaching strategies and assessment.</w:t>
      </w:r>
    </w:p>
    <w:p w14:paraId="60C57D57" w14:textId="77777777" w:rsidR="00455EA2" w:rsidRPr="00455EA2" w:rsidRDefault="00455EA2" w:rsidP="00455EA2">
      <w:pPr>
        <w:jc w:val="both"/>
        <w:rPr>
          <w:rFonts w:ascii="Arial" w:hAnsi="Arial" w:cs="Arial"/>
        </w:rPr>
      </w:pPr>
    </w:p>
    <w:p w14:paraId="13666420" w14:textId="47739251" w:rsidR="00455EA2" w:rsidRDefault="00455EA2" w:rsidP="00455EA2">
      <w:pPr>
        <w:jc w:val="both"/>
        <w:rPr>
          <w:rFonts w:ascii="Arial" w:hAnsi="Arial" w:cs="Arial"/>
        </w:rPr>
      </w:pPr>
    </w:p>
    <w:p w14:paraId="37C11487" w14:textId="053D567D" w:rsidR="00C225A4" w:rsidRDefault="00C225A4" w:rsidP="00455EA2">
      <w:pPr>
        <w:jc w:val="both"/>
        <w:rPr>
          <w:rFonts w:ascii="Arial" w:hAnsi="Arial" w:cs="Arial"/>
        </w:rPr>
      </w:pPr>
    </w:p>
    <w:p w14:paraId="1D2BABEA" w14:textId="2F6EF3D2" w:rsidR="00C225A4" w:rsidRDefault="00C225A4" w:rsidP="00455EA2">
      <w:pPr>
        <w:jc w:val="both"/>
        <w:rPr>
          <w:rFonts w:ascii="Arial" w:hAnsi="Arial" w:cs="Arial"/>
        </w:rPr>
      </w:pPr>
    </w:p>
    <w:p w14:paraId="4E8C8186" w14:textId="7F51E165" w:rsidR="00C225A4" w:rsidRDefault="00C225A4" w:rsidP="00455EA2">
      <w:pPr>
        <w:jc w:val="both"/>
        <w:rPr>
          <w:rFonts w:ascii="Arial" w:hAnsi="Arial" w:cs="Arial"/>
        </w:rPr>
      </w:pPr>
    </w:p>
    <w:p w14:paraId="0340D93B" w14:textId="69DA5185" w:rsidR="00C225A4" w:rsidRDefault="00C225A4" w:rsidP="00455EA2">
      <w:pPr>
        <w:jc w:val="both"/>
        <w:rPr>
          <w:rFonts w:ascii="Arial" w:hAnsi="Arial" w:cs="Arial"/>
        </w:rPr>
      </w:pPr>
    </w:p>
    <w:p w14:paraId="77765825" w14:textId="12208BD0" w:rsidR="00C225A4" w:rsidRDefault="00C225A4" w:rsidP="00455EA2">
      <w:pPr>
        <w:jc w:val="both"/>
        <w:rPr>
          <w:rFonts w:ascii="Arial" w:hAnsi="Arial" w:cs="Arial"/>
        </w:rPr>
      </w:pPr>
    </w:p>
    <w:p w14:paraId="05A07485" w14:textId="77A2D081" w:rsidR="00C225A4" w:rsidRDefault="00C225A4" w:rsidP="00455EA2">
      <w:pPr>
        <w:jc w:val="both"/>
        <w:rPr>
          <w:rFonts w:ascii="Arial" w:hAnsi="Arial" w:cs="Arial"/>
        </w:rPr>
      </w:pPr>
    </w:p>
    <w:p w14:paraId="3C25DBED" w14:textId="1372DEB4" w:rsidR="00C225A4" w:rsidRDefault="00C225A4" w:rsidP="00455EA2">
      <w:pPr>
        <w:jc w:val="both"/>
        <w:rPr>
          <w:rFonts w:ascii="Arial" w:hAnsi="Arial" w:cs="Arial"/>
        </w:rPr>
      </w:pPr>
    </w:p>
    <w:p w14:paraId="38D65D6F" w14:textId="12CB2E17" w:rsidR="00C225A4" w:rsidRDefault="00C225A4" w:rsidP="00455EA2">
      <w:pPr>
        <w:jc w:val="both"/>
        <w:rPr>
          <w:rFonts w:ascii="Arial" w:hAnsi="Arial" w:cs="Arial"/>
        </w:rPr>
      </w:pPr>
    </w:p>
    <w:p w14:paraId="17B3D5C4" w14:textId="691C7686" w:rsidR="00C225A4" w:rsidRDefault="00C225A4" w:rsidP="00455EA2">
      <w:pPr>
        <w:jc w:val="both"/>
        <w:rPr>
          <w:rFonts w:ascii="Arial" w:hAnsi="Arial" w:cs="Arial"/>
        </w:rPr>
      </w:pPr>
    </w:p>
    <w:p w14:paraId="03FBE6F9" w14:textId="71D88E55" w:rsidR="00C225A4" w:rsidRDefault="00C225A4" w:rsidP="00455EA2">
      <w:pPr>
        <w:jc w:val="both"/>
        <w:rPr>
          <w:rFonts w:ascii="Arial" w:hAnsi="Arial" w:cs="Arial"/>
        </w:rPr>
      </w:pPr>
    </w:p>
    <w:p w14:paraId="1BD955B5" w14:textId="7BB9B9EC" w:rsidR="00C225A4" w:rsidRDefault="00C225A4" w:rsidP="00455EA2">
      <w:pPr>
        <w:jc w:val="both"/>
        <w:rPr>
          <w:rFonts w:ascii="Arial" w:hAnsi="Arial" w:cs="Arial"/>
        </w:rPr>
      </w:pPr>
    </w:p>
    <w:p w14:paraId="1F1E8347" w14:textId="709F0E09" w:rsidR="00C225A4" w:rsidRDefault="00C225A4" w:rsidP="00455EA2">
      <w:pPr>
        <w:jc w:val="both"/>
        <w:rPr>
          <w:rFonts w:ascii="Arial" w:hAnsi="Arial" w:cs="Arial"/>
        </w:rPr>
      </w:pPr>
    </w:p>
    <w:p w14:paraId="20EA67E8" w14:textId="5BA0F3D7" w:rsidR="00C225A4" w:rsidRDefault="00C225A4" w:rsidP="00455EA2">
      <w:pPr>
        <w:jc w:val="both"/>
        <w:rPr>
          <w:rFonts w:ascii="Arial" w:hAnsi="Arial" w:cs="Arial"/>
        </w:rPr>
      </w:pPr>
    </w:p>
    <w:p w14:paraId="48B760A9" w14:textId="3E042044" w:rsidR="00C225A4" w:rsidRDefault="00C225A4" w:rsidP="00455EA2">
      <w:pPr>
        <w:jc w:val="both"/>
        <w:rPr>
          <w:rFonts w:ascii="Arial" w:hAnsi="Arial" w:cs="Arial"/>
        </w:rPr>
      </w:pPr>
    </w:p>
    <w:p w14:paraId="3F56A79F" w14:textId="7A694D35" w:rsidR="00C225A4" w:rsidRDefault="00C225A4" w:rsidP="00455EA2">
      <w:pPr>
        <w:jc w:val="both"/>
        <w:rPr>
          <w:rFonts w:ascii="Arial" w:hAnsi="Arial" w:cs="Arial"/>
        </w:rPr>
      </w:pPr>
    </w:p>
    <w:p w14:paraId="34C3F147" w14:textId="5C0BF08E" w:rsidR="00C225A4" w:rsidRDefault="00C225A4" w:rsidP="00455EA2">
      <w:pPr>
        <w:jc w:val="both"/>
        <w:rPr>
          <w:rFonts w:ascii="Arial" w:hAnsi="Arial" w:cs="Arial"/>
        </w:rPr>
      </w:pPr>
    </w:p>
    <w:p w14:paraId="51186787" w14:textId="30488E1F" w:rsidR="00C225A4" w:rsidRDefault="00C225A4" w:rsidP="00455EA2">
      <w:pPr>
        <w:jc w:val="both"/>
        <w:rPr>
          <w:rFonts w:ascii="Arial" w:hAnsi="Arial" w:cs="Arial"/>
        </w:rPr>
      </w:pPr>
    </w:p>
    <w:p w14:paraId="6A80FA33" w14:textId="710B668B" w:rsidR="00C225A4" w:rsidRDefault="00C225A4" w:rsidP="00455EA2">
      <w:pPr>
        <w:jc w:val="both"/>
        <w:rPr>
          <w:rFonts w:ascii="Arial" w:hAnsi="Arial" w:cs="Arial"/>
        </w:rPr>
      </w:pPr>
    </w:p>
    <w:p w14:paraId="5D69D18A" w14:textId="3F987C77" w:rsidR="00C225A4" w:rsidRDefault="00C225A4" w:rsidP="00455EA2">
      <w:pPr>
        <w:jc w:val="both"/>
        <w:rPr>
          <w:rFonts w:ascii="Arial" w:hAnsi="Arial" w:cs="Arial"/>
        </w:rPr>
      </w:pPr>
    </w:p>
    <w:p w14:paraId="57EBB932" w14:textId="092C9673" w:rsidR="00C225A4" w:rsidRDefault="00C225A4" w:rsidP="00455EA2">
      <w:pPr>
        <w:jc w:val="both"/>
        <w:rPr>
          <w:rFonts w:ascii="Arial" w:hAnsi="Arial" w:cs="Arial"/>
        </w:rPr>
      </w:pPr>
    </w:p>
    <w:p w14:paraId="0E9460BE" w14:textId="6D501DE1" w:rsidR="00C225A4" w:rsidRDefault="00C225A4" w:rsidP="00455EA2">
      <w:pPr>
        <w:jc w:val="both"/>
        <w:rPr>
          <w:rFonts w:ascii="Arial" w:hAnsi="Arial" w:cs="Arial"/>
        </w:rPr>
      </w:pPr>
    </w:p>
    <w:p w14:paraId="35973E2B" w14:textId="0638D429" w:rsidR="00C225A4" w:rsidRDefault="00C225A4" w:rsidP="00455EA2">
      <w:pPr>
        <w:jc w:val="both"/>
        <w:rPr>
          <w:rFonts w:ascii="Arial" w:hAnsi="Arial" w:cs="Arial"/>
        </w:rPr>
      </w:pPr>
    </w:p>
    <w:p w14:paraId="4D2FE8E2" w14:textId="42060496" w:rsidR="00C225A4" w:rsidRDefault="00C225A4" w:rsidP="00455EA2">
      <w:pPr>
        <w:jc w:val="both"/>
        <w:rPr>
          <w:rFonts w:ascii="Arial" w:hAnsi="Arial" w:cs="Arial"/>
        </w:rPr>
      </w:pPr>
    </w:p>
    <w:p w14:paraId="7BEACA33" w14:textId="795C1350" w:rsidR="00C225A4" w:rsidRDefault="00C225A4" w:rsidP="00455EA2">
      <w:pPr>
        <w:jc w:val="both"/>
        <w:rPr>
          <w:rFonts w:ascii="Arial" w:hAnsi="Arial" w:cs="Arial"/>
        </w:rPr>
      </w:pPr>
    </w:p>
    <w:p w14:paraId="5C5DEFF4" w14:textId="1ACB4247" w:rsidR="00C225A4" w:rsidRDefault="00C225A4" w:rsidP="00455EA2">
      <w:pPr>
        <w:jc w:val="both"/>
        <w:rPr>
          <w:rFonts w:ascii="Arial" w:hAnsi="Arial" w:cs="Arial"/>
        </w:rPr>
      </w:pPr>
    </w:p>
    <w:p w14:paraId="02BA6115" w14:textId="432B1A73" w:rsidR="00C225A4" w:rsidRDefault="00C225A4" w:rsidP="00455EA2">
      <w:pPr>
        <w:jc w:val="both"/>
        <w:rPr>
          <w:rFonts w:ascii="Arial" w:hAnsi="Arial" w:cs="Arial"/>
        </w:rPr>
      </w:pPr>
    </w:p>
    <w:p w14:paraId="67A293FB" w14:textId="6313EBBC" w:rsidR="00C225A4" w:rsidRDefault="00C225A4" w:rsidP="00455EA2">
      <w:pPr>
        <w:jc w:val="both"/>
        <w:rPr>
          <w:rFonts w:ascii="Arial" w:hAnsi="Arial" w:cs="Arial"/>
        </w:rPr>
      </w:pPr>
    </w:p>
    <w:p w14:paraId="0E476630" w14:textId="6427FF93" w:rsidR="00C225A4" w:rsidRDefault="00C225A4" w:rsidP="00455EA2">
      <w:pPr>
        <w:jc w:val="both"/>
        <w:rPr>
          <w:rFonts w:ascii="Arial" w:hAnsi="Arial" w:cs="Arial"/>
        </w:rPr>
      </w:pPr>
    </w:p>
    <w:p w14:paraId="6D8496D2" w14:textId="129AF020" w:rsidR="00C225A4" w:rsidRDefault="00C225A4" w:rsidP="00455EA2">
      <w:pPr>
        <w:jc w:val="both"/>
        <w:rPr>
          <w:rFonts w:ascii="Arial" w:hAnsi="Arial" w:cs="Arial"/>
        </w:rPr>
      </w:pPr>
    </w:p>
    <w:p w14:paraId="0F0EC9E7" w14:textId="77777777" w:rsidR="00455EA2" w:rsidRPr="00455EA2" w:rsidRDefault="00455EA2" w:rsidP="00455EA2">
      <w:pPr>
        <w:jc w:val="both"/>
        <w:rPr>
          <w:rFonts w:ascii="Arial" w:hAnsi="Arial" w:cs="Arial"/>
        </w:rPr>
      </w:pPr>
      <w:r w:rsidRPr="00455EA2">
        <w:rPr>
          <w:rFonts w:ascii="Arial" w:hAnsi="Arial" w:cs="Arial"/>
        </w:rPr>
        <w:lastRenderedPageBreak/>
        <w:t>Reference List</w:t>
      </w:r>
    </w:p>
    <w:p w14:paraId="45646E5F" w14:textId="0F9A333D" w:rsidR="00455EA2" w:rsidRDefault="00455EA2" w:rsidP="00455EA2">
      <w:pPr>
        <w:jc w:val="both"/>
        <w:rPr>
          <w:rFonts w:ascii="Arial" w:hAnsi="Arial" w:cs="Arial"/>
        </w:rPr>
      </w:pPr>
      <w:r w:rsidRPr="00455EA2">
        <w:rPr>
          <w:rFonts w:ascii="Arial" w:hAnsi="Arial" w:cs="Arial"/>
        </w:rPr>
        <w:t>Al-Shammari, Zaid, Faulkner, Paula E., and Forlin, Chris. (2019),</w:t>
      </w:r>
      <w:r w:rsidRPr="00455EA2">
        <w:rPr>
          <w:rFonts w:ascii="Arial" w:hAnsi="Arial" w:cs="Arial"/>
        </w:rPr>
        <w:tab/>
        <w:t xml:space="preserve">Theories based Inclusive Education Practices. </w:t>
      </w:r>
      <w:r w:rsidRPr="00455EA2">
        <w:rPr>
          <w:rFonts w:ascii="Arial" w:hAnsi="Arial" w:cs="Arial"/>
          <w:i/>
          <w:iCs/>
        </w:rPr>
        <w:t>Education Quarterly Reviews</w:t>
      </w:r>
      <w:r w:rsidRPr="00455EA2">
        <w:rPr>
          <w:rFonts w:ascii="Arial" w:hAnsi="Arial" w:cs="Arial"/>
        </w:rPr>
        <w:t>, Vol.2, No.2, 408-414.</w:t>
      </w:r>
    </w:p>
    <w:p w14:paraId="29AC5DBD" w14:textId="679296A9" w:rsidR="00F46EC7" w:rsidRPr="00F46EC7" w:rsidRDefault="00F46EC7" w:rsidP="00455EA2">
      <w:pPr>
        <w:jc w:val="both"/>
        <w:rPr>
          <w:rFonts w:ascii="Arial" w:hAnsi="Arial" w:cs="Arial"/>
        </w:rPr>
      </w:pPr>
      <w:r>
        <w:rPr>
          <w:rFonts w:ascii="Arial" w:hAnsi="Arial" w:cs="Arial"/>
        </w:rPr>
        <w:t xml:space="preserve">Aubry, K. and Riley, A. (2019) </w:t>
      </w:r>
      <w:r>
        <w:rPr>
          <w:rFonts w:ascii="Arial" w:hAnsi="Arial" w:cs="Arial"/>
          <w:i/>
          <w:iCs/>
        </w:rPr>
        <w:t>Understanding and using educational theories</w:t>
      </w:r>
      <w:r>
        <w:rPr>
          <w:rFonts w:ascii="Arial" w:hAnsi="Arial" w:cs="Arial"/>
        </w:rPr>
        <w:t>, 2</w:t>
      </w:r>
      <w:r w:rsidRPr="00F46EC7">
        <w:rPr>
          <w:rFonts w:ascii="Arial" w:hAnsi="Arial" w:cs="Arial"/>
          <w:vertAlign w:val="superscript"/>
        </w:rPr>
        <w:t>nd</w:t>
      </w:r>
      <w:r>
        <w:rPr>
          <w:rFonts w:ascii="Arial" w:hAnsi="Arial" w:cs="Arial"/>
        </w:rPr>
        <w:t xml:space="preserve"> edn. London: Sage</w:t>
      </w:r>
    </w:p>
    <w:p w14:paraId="38EB08FB" w14:textId="77777777" w:rsidR="00455EA2" w:rsidRPr="00455EA2" w:rsidRDefault="00455EA2" w:rsidP="00455EA2">
      <w:pPr>
        <w:jc w:val="both"/>
        <w:rPr>
          <w:rFonts w:ascii="Arial" w:hAnsi="Arial" w:cs="Arial"/>
          <w:color w:val="333333"/>
          <w:shd w:val="clear" w:color="auto" w:fill="FFFFFF"/>
        </w:rPr>
      </w:pPr>
      <w:r w:rsidRPr="00455EA2">
        <w:rPr>
          <w:rFonts w:ascii="Arial" w:hAnsi="Arial" w:cs="Arial"/>
          <w:color w:val="333333"/>
          <w:shd w:val="clear" w:color="auto" w:fill="FFFFFF"/>
        </w:rPr>
        <w:t xml:space="preserve">Baum, W. (2016), On the Impossibility of Mental Causation: Comments on Burgos’ “Antidualism and Antimentalism in Radical Behaviorism”. </w:t>
      </w:r>
      <w:r w:rsidRPr="00455EA2">
        <w:rPr>
          <w:rFonts w:ascii="Arial" w:hAnsi="Arial" w:cs="Arial"/>
          <w:i/>
          <w:iCs/>
          <w:color w:val="333333"/>
        </w:rPr>
        <w:t>Behavior and Philosophy,</w:t>
      </w:r>
      <w:r w:rsidRPr="00455EA2">
        <w:rPr>
          <w:rFonts w:ascii="Arial" w:hAnsi="Arial" w:cs="Arial"/>
          <w:color w:val="333333"/>
          <w:shd w:val="clear" w:color="auto" w:fill="FFFFFF"/>
        </w:rPr>
        <w:t xml:space="preserve"> </w:t>
      </w:r>
      <w:r w:rsidRPr="00455EA2">
        <w:rPr>
          <w:rFonts w:ascii="Arial" w:hAnsi="Arial" w:cs="Arial"/>
          <w:i/>
          <w:iCs/>
          <w:color w:val="333333"/>
        </w:rPr>
        <w:t>44</w:t>
      </w:r>
      <w:r w:rsidRPr="00455EA2">
        <w:rPr>
          <w:rFonts w:ascii="Arial" w:hAnsi="Arial" w:cs="Arial"/>
          <w:color w:val="333333"/>
          <w:shd w:val="clear" w:color="auto" w:fill="FFFFFF"/>
        </w:rPr>
        <w:t>, 1-5</w:t>
      </w:r>
    </w:p>
    <w:p w14:paraId="2BC45030" w14:textId="77777777" w:rsidR="00455EA2" w:rsidRPr="00455EA2" w:rsidRDefault="00455EA2" w:rsidP="00455EA2">
      <w:pPr>
        <w:jc w:val="both"/>
        <w:rPr>
          <w:rFonts w:ascii="Arial" w:hAnsi="Arial" w:cs="Arial"/>
        </w:rPr>
      </w:pPr>
      <w:r w:rsidRPr="00455EA2">
        <w:rPr>
          <w:rFonts w:ascii="Arial" w:hAnsi="Arial" w:cs="Arial"/>
        </w:rPr>
        <w:t xml:space="preserve">Bruning, R .H. ,Schraw, G. J., Ronning, R. R. (1999) </w:t>
      </w:r>
      <w:r w:rsidRPr="00455EA2">
        <w:rPr>
          <w:rFonts w:ascii="Arial" w:hAnsi="Arial" w:cs="Arial"/>
          <w:i/>
          <w:iCs/>
        </w:rPr>
        <w:t>Cognitive psychology and instruction</w:t>
      </w:r>
      <w:r w:rsidRPr="00455EA2">
        <w:rPr>
          <w:rFonts w:ascii="Arial" w:hAnsi="Arial" w:cs="Arial"/>
        </w:rPr>
        <w:t>.3rd ed. New Jersey: Upper Saddle River</w:t>
      </w:r>
    </w:p>
    <w:p w14:paraId="25451476" w14:textId="77777777" w:rsidR="00455EA2" w:rsidRPr="00455EA2" w:rsidRDefault="00455EA2" w:rsidP="00455EA2">
      <w:pPr>
        <w:jc w:val="both"/>
        <w:rPr>
          <w:rFonts w:ascii="Arial" w:hAnsi="Arial" w:cs="Arial"/>
          <w:color w:val="333333"/>
        </w:rPr>
      </w:pPr>
      <w:r w:rsidRPr="00455EA2">
        <w:rPr>
          <w:rFonts w:ascii="Arial" w:hAnsi="Arial" w:cs="Arial"/>
          <w:color w:val="333333"/>
        </w:rPr>
        <w:t xml:space="preserve">Campbell, A. Craig, T. and Collier-Reed, B. (2020) ‘A framework for using learning theories to inform “growth mindset” activities’. </w:t>
      </w:r>
      <w:r w:rsidRPr="00455EA2">
        <w:rPr>
          <w:rFonts w:ascii="Arial" w:hAnsi="Arial" w:cs="Arial"/>
          <w:i/>
          <w:iCs/>
          <w:color w:val="333333"/>
          <w:bdr w:val="none" w:sz="0" w:space="0" w:color="auto" w:frame="1"/>
        </w:rPr>
        <w:t>International Journal of Mathematical Education in Science &amp; Technology</w:t>
      </w:r>
      <w:r w:rsidRPr="00455EA2">
        <w:rPr>
          <w:rFonts w:ascii="Arial" w:hAnsi="Arial" w:cs="Arial"/>
          <w:color w:val="333333"/>
        </w:rPr>
        <w:t>, 51(1), pp. 26–43</w:t>
      </w:r>
    </w:p>
    <w:p w14:paraId="662EB03B" w14:textId="77777777" w:rsidR="00455EA2" w:rsidRPr="00455EA2" w:rsidRDefault="00455EA2" w:rsidP="00455EA2">
      <w:pPr>
        <w:jc w:val="both"/>
        <w:rPr>
          <w:rFonts w:ascii="Arial" w:hAnsi="Arial" w:cs="Arial"/>
          <w:color w:val="333333"/>
        </w:rPr>
      </w:pPr>
      <w:bookmarkStart w:id="1" w:name="_Hlk33790998"/>
      <w:r w:rsidRPr="00455EA2">
        <w:rPr>
          <w:rFonts w:ascii="Helvetica" w:hAnsi="Helvetica" w:cs="Helvetica"/>
          <w:color w:val="333333"/>
        </w:rPr>
        <w:t>Nagowah</w:t>
      </w:r>
      <w:bookmarkEnd w:id="1"/>
      <w:r w:rsidRPr="00455EA2">
        <w:rPr>
          <w:rFonts w:ascii="Helvetica" w:hAnsi="Helvetica" w:cs="Helvetica"/>
          <w:color w:val="333333"/>
        </w:rPr>
        <w:t>, L. and Nagowah, S. (2009) ‘A Reflection on the Dominant Learning Theories: Behaviourism, Cognitivism and Constructivism’,</w:t>
      </w:r>
      <w:r w:rsidRPr="00455EA2">
        <w:rPr>
          <w:rFonts w:ascii="Helvetica" w:hAnsi="Helvetica" w:cs="Helvetica"/>
          <w:color w:val="333333"/>
          <w:shd w:val="clear" w:color="auto" w:fill="F5F5F5"/>
        </w:rPr>
        <w:t xml:space="preserve"> </w:t>
      </w:r>
      <w:r w:rsidRPr="00455EA2">
        <w:rPr>
          <w:rFonts w:ascii="Helvetica" w:hAnsi="Helvetica" w:cs="Helvetica"/>
          <w:i/>
          <w:iCs/>
          <w:color w:val="333333"/>
          <w:bdr w:val="none" w:sz="0" w:space="0" w:color="auto" w:frame="1"/>
        </w:rPr>
        <w:t>International Journal of Learning</w:t>
      </w:r>
      <w:r w:rsidRPr="00455EA2">
        <w:rPr>
          <w:rFonts w:ascii="Helvetica" w:hAnsi="Helvetica" w:cs="Helvetica"/>
          <w:color w:val="333333"/>
        </w:rPr>
        <w:t>, 16(2), pp. 279–285</w:t>
      </w:r>
    </w:p>
    <w:p w14:paraId="282BBE92" w14:textId="77777777" w:rsidR="00455EA2" w:rsidRPr="00455EA2" w:rsidRDefault="00455EA2" w:rsidP="00455EA2">
      <w:pPr>
        <w:jc w:val="both"/>
        <w:rPr>
          <w:rFonts w:ascii="Arial" w:hAnsi="Arial" w:cs="Arial"/>
        </w:rPr>
      </w:pPr>
      <w:r w:rsidRPr="00455EA2">
        <w:rPr>
          <w:rFonts w:ascii="Arial" w:hAnsi="Arial" w:cs="Arial"/>
          <w:color w:val="000000"/>
          <w:shd w:val="clear" w:color="auto" w:fill="FFFFFF"/>
        </w:rPr>
        <w:t xml:space="preserve">Maslow, A. H. (1966). </w:t>
      </w:r>
      <w:r w:rsidRPr="00455EA2">
        <w:rPr>
          <w:rFonts w:ascii="Arial" w:hAnsi="Arial" w:cs="Arial"/>
          <w:i/>
          <w:iCs/>
          <w:color w:val="000000"/>
        </w:rPr>
        <w:t>The psychology of science: a reconnaissance</w:t>
      </w:r>
      <w:r w:rsidRPr="00455EA2">
        <w:rPr>
          <w:rFonts w:ascii="Arial" w:hAnsi="Arial" w:cs="Arial"/>
          <w:color w:val="000000"/>
          <w:shd w:val="clear" w:color="auto" w:fill="FFFFFF"/>
        </w:rPr>
        <w:t>. New York: Harper &amp; Row</w:t>
      </w:r>
    </w:p>
    <w:p w14:paraId="313AB989" w14:textId="77777777" w:rsidR="00455EA2" w:rsidRPr="00455EA2" w:rsidRDefault="00455EA2" w:rsidP="00455EA2">
      <w:pPr>
        <w:jc w:val="both"/>
        <w:rPr>
          <w:rFonts w:ascii="Arial" w:hAnsi="Arial" w:cs="Arial"/>
        </w:rPr>
      </w:pPr>
      <w:r w:rsidRPr="00455EA2">
        <w:rPr>
          <w:rFonts w:ascii="Arial" w:hAnsi="Arial" w:cs="Arial"/>
        </w:rPr>
        <w:t xml:space="preserve">Moore, A. (2000). </w:t>
      </w:r>
      <w:r w:rsidRPr="00455EA2">
        <w:rPr>
          <w:rFonts w:ascii="Arial" w:hAnsi="Arial" w:cs="Arial"/>
          <w:i/>
          <w:iCs/>
        </w:rPr>
        <w:t xml:space="preserve">Teaching and learning pedagogy, curriculum and culture, </w:t>
      </w:r>
      <w:r w:rsidRPr="00455EA2">
        <w:rPr>
          <w:rFonts w:ascii="Arial" w:hAnsi="Arial" w:cs="Arial"/>
        </w:rPr>
        <w:t>2</w:t>
      </w:r>
      <w:r w:rsidRPr="00455EA2">
        <w:rPr>
          <w:rFonts w:ascii="Arial" w:hAnsi="Arial" w:cs="Arial"/>
          <w:vertAlign w:val="superscript"/>
        </w:rPr>
        <w:t>nd</w:t>
      </w:r>
      <w:r w:rsidRPr="00455EA2">
        <w:rPr>
          <w:rFonts w:ascii="Arial" w:hAnsi="Arial" w:cs="Arial"/>
        </w:rPr>
        <w:t xml:space="preserve"> edn. London: Routledge.</w:t>
      </w:r>
    </w:p>
    <w:p w14:paraId="34EC9616" w14:textId="77777777" w:rsidR="00455EA2" w:rsidRPr="00455EA2" w:rsidRDefault="00455EA2" w:rsidP="00455EA2">
      <w:pPr>
        <w:jc w:val="both"/>
        <w:rPr>
          <w:rFonts w:ascii="Helvetica" w:hAnsi="Helvetica" w:cs="Helvetica"/>
          <w:color w:val="333333"/>
        </w:rPr>
      </w:pPr>
      <w:r w:rsidRPr="00455EA2">
        <w:rPr>
          <w:rFonts w:ascii="Helvetica" w:hAnsi="Helvetica" w:cs="Helvetica"/>
          <w:color w:val="333333"/>
        </w:rPr>
        <w:t xml:space="preserve">Pershing, J. A. (2016) ‘Looking Back to Look Forward: Pathfinders No. 1: Behaviorism as a Beginning’, </w:t>
      </w:r>
      <w:r w:rsidRPr="00455EA2">
        <w:rPr>
          <w:rFonts w:ascii="Helvetica" w:hAnsi="Helvetica" w:cs="Helvetica"/>
          <w:i/>
          <w:iCs/>
          <w:color w:val="333333"/>
          <w:bdr w:val="none" w:sz="0" w:space="0" w:color="auto" w:frame="1"/>
        </w:rPr>
        <w:t>Performance Improvement</w:t>
      </w:r>
      <w:r w:rsidRPr="00455EA2">
        <w:rPr>
          <w:rFonts w:ascii="Helvetica" w:hAnsi="Helvetica" w:cs="Helvetica"/>
          <w:color w:val="333333"/>
        </w:rPr>
        <w:t>, 55(1), pp. 37–38</w:t>
      </w:r>
    </w:p>
    <w:p w14:paraId="7346913F" w14:textId="77777777" w:rsidR="00455EA2" w:rsidRPr="00455EA2" w:rsidRDefault="00455EA2" w:rsidP="00455EA2">
      <w:pPr>
        <w:jc w:val="both"/>
        <w:rPr>
          <w:rFonts w:ascii="Helvetica" w:hAnsi="Helvetica" w:cs="Helvetica"/>
          <w:color w:val="333333"/>
        </w:rPr>
      </w:pPr>
      <w:r w:rsidRPr="00455EA2">
        <w:rPr>
          <w:rFonts w:ascii="Helvetica" w:hAnsi="Helvetica" w:cs="Helvetica"/>
          <w:color w:val="333333"/>
        </w:rPr>
        <w:t xml:space="preserve">Piaget, J. (1952) </w:t>
      </w:r>
      <w:r w:rsidRPr="00455EA2">
        <w:rPr>
          <w:rFonts w:ascii="Helvetica" w:hAnsi="Helvetica" w:cs="Helvetica"/>
          <w:i/>
          <w:iCs/>
          <w:color w:val="333333"/>
        </w:rPr>
        <w:t xml:space="preserve">The origins of intelligence in children. </w:t>
      </w:r>
      <w:r w:rsidRPr="00455EA2">
        <w:rPr>
          <w:rFonts w:ascii="Helvetica" w:hAnsi="Helvetica" w:cs="Helvetica"/>
          <w:color w:val="333333"/>
        </w:rPr>
        <w:t>Translated by Margaret Cook. New York@ International Universities Press INC.</w:t>
      </w:r>
    </w:p>
    <w:p w14:paraId="753F141F" w14:textId="7DAAC947" w:rsidR="00455EA2" w:rsidRDefault="00455EA2" w:rsidP="00455EA2">
      <w:pPr>
        <w:jc w:val="both"/>
        <w:rPr>
          <w:rFonts w:ascii="Helvetica" w:hAnsi="Helvetica" w:cs="Helvetica"/>
          <w:color w:val="333333"/>
        </w:rPr>
      </w:pPr>
      <w:r w:rsidRPr="00455EA2">
        <w:rPr>
          <w:rFonts w:ascii="Helvetica" w:hAnsi="Helvetica" w:cs="Helvetica"/>
          <w:color w:val="333333"/>
        </w:rPr>
        <w:t xml:space="preserve">Reid, G. (2005). </w:t>
      </w:r>
      <w:r w:rsidRPr="00455EA2">
        <w:rPr>
          <w:rFonts w:ascii="Helvetica" w:hAnsi="Helvetica" w:cs="Helvetica"/>
          <w:i/>
          <w:iCs/>
          <w:color w:val="333333"/>
        </w:rPr>
        <w:t>Learning Styles and Inclusion</w:t>
      </w:r>
      <w:r w:rsidRPr="00455EA2">
        <w:rPr>
          <w:rFonts w:ascii="Helvetica" w:hAnsi="Helvetica" w:cs="Helvetica"/>
          <w:color w:val="333333"/>
        </w:rPr>
        <w:t>, London: Paul Chapman Publishing</w:t>
      </w:r>
    </w:p>
    <w:p w14:paraId="1BF89A9D" w14:textId="1C06EA6F" w:rsidR="00F46EC7" w:rsidRPr="00F46EC7" w:rsidRDefault="00F46EC7" w:rsidP="00455EA2">
      <w:pPr>
        <w:jc w:val="both"/>
        <w:rPr>
          <w:rFonts w:ascii="Helvetica" w:hAnsi="Helvetica" w:cs="Helvetica"/>
          <w:color w:val="333333"/>
        </w:rPr>
      </w:pPr>
      <w:r>
        <w:rPr>
          <w:rFonts w:ascii="Helvetica" w:hAnsi="Helvetica" w:cs="Helvetica"/>
          <w:color w:val="333333"/>
        </w:rPr>
        <w:t xml:space="preserve">Rogers, A. (2007) </w:t>
      </w:r>
      <w:r>
        <w:rPr>
          <w:rFonts w:ascii="Helvetica" w:hAnsi="Helvetica" w:cs="Helvetica"/>
          <w:i/>
          <w:iCs/>
          <w:color w:val="333333"/>
        </w:rPr>
        <w:t>Teaching adults</w:t>
      </w:r>
      <w:r>
        <w:rPr>
          <w:rFonts w:ascii="Helvetica" w:hAnsi="Helvetica" w:cs="Helvetica"/>
          <w:color w:val="333333"/>
        </w:rPr>
        <w:t>, 3</w:t>
      </w:r>
      <w:r w:rsidRPr="00F46EC7">
        <w:rPr>
          <w:rFonts w:ascii="Helvetica" w:hAnsi="Helvetica" w:cs="Helvetica"/>
          <w:color w:val="333333"/>
          <w:vertAlign w:val="superscript"/>
        </w:rPr>
        <w:t>rd</w:t>
      </w:r>
      <w:r>
        <w:rPr>
          <w:rFonts w:ascii="Helvetica" w:hAnsi="Helvetica" w:cs="Helvetica"/>
          <w:color w:val="333333"/>
        </w:rPr>
        <w:t xml:space="preserve"> edn. Berkshire: Open University Press</w:t>
      </w:r>
      <w:bookmarkStart w:id="2" w:name="_GoBack"/>
      <w:bookmarkEnd w:id="2"/>
    </w:p>
    <w:p w14:paraId="0FF3DB61" w14:textId="77777777" w:rsidR="00455EA2" w:rsidRPr="00455EA2" w:rsidRDefault="00455EA2" w:rsidP="00455EA2">
      <w:pPr>
        <w:jc w:val="both"/>
        <w:rPr>
          <w:rFonts w:ascii="Arial" w:hAnsi="Arial" w:cs="Arial"/>
        </w:rPr>
      </w:pPr>
      <w:r w:rsidRPr="00455EA2">
        <w:rPr>
          <w:rFonts w:ascii="Arial" w:hAnsi="Arial" w:cs="Arial"/>
          <w:shd w:val="clear" w:color="auto" w:fill="FFFFFF"/>
        </w:rPr>
        <w:t xml:space="preserve">Rogers, Carl R., and H. J. Freiberg (1994). </w:t>
      </w:r>
      <w:hyperlink r:id="rId6" w:history="1">
        <w:r w:rsidRPr="00455EA2">
          <w:rPr>
            <w:rFonts w:ascii="Arial" w:hAnsi="Arial" w:cs="Arial"/>
            <w:i/>
            <w:iCs/>
          </w:rPr>
          <w:t>Freedom to Learn</w:t>
        </w:r>
      </w:hyperlink>
      <w:r w:rsidRPr="00455EA2">
        <w:rPr>
          <w:rFonts w:ascii="Arial" w:hAnsi="Arial" w:cs="Arial"/>
          <w:i/>
          <w:iCs/>
        </w:rPr>
        <w:t>.</w:t>
      </w:r>
      <w:r w:rsidRPr="00455EA2">
        <w:rPr>
          <w:rFonts w:ascii="Arial" w:hAnsi="Arial" w:cs="Arial"/>
          <w:shd w:val="clear" w:color="auto" w:fill="FFFFFF"/>
        </w:rPr>
        <w:t xml:space="preserve"> Columbus: Charles Merrill Publishing Company, 1994</w:t>
      </w:r>
    </w:p>
    <w:p w14:paraId="1933E44B" w14:textId="77777777" w:rsidR="00455EA2" w:rsidRPr="00455EA2" w:rsidRDefault="00455EA2" w:rsidP="00455EA2">
      <w:pPr>
        <w:jc w:val="both"/>
        <w:rPr>
          <w:rFonts w:ascii="Arial" w:hAnsi="Arial" w:cs="Arial"/>
        </w:rPr>
      </w:pPr>
      <w:bookmarkStart w:id="3" w:name="_Hlk33784320"/>
      <w:r w:rsidRPr="00455EA2">
        <w:rPr>
          <w:rFonts w:ascii="Arial" w:hAnsi="Arial" w:cs="Arial"/>
          <w:color w:val="000000"/>
        </w:rPr>
        <w:t>Zulkarnain and Moh</w:t>
      </w:r>
      <w:bookmarkEnd w:id="3"/>
      <w:r w:rsidRPr="00455EA2">
        <w:rPr>
          <w:rFonts w:ascii="Arial" w:hAnsi="Arial" w:cs="Arial"/>
          <w:color w:val="000000"/>
        </w:rPr>
        <w:t xml:space="preserve">. Umar (2020), Humanistic Approaches in Learning Processes Package C Equity Program (Case Study of the Setia Mandiri Community Learning Center). </w:t>
      </w:r>
      <w:r w:rsidRPr="00455EA2">
        <w:rPr>
          <w:rFonts w:ascii="Arial" w:hAnsi="Arial" w:cs="Arial"/>
          <w:i/>
          <w:iCs/>
          <w:color w:val="000000"/>
        </w:rPr>
        <w:t>1st International Conference on Lifelong Learning and Education for Sustainability</w:t>
      </w:r>
      <w:r w:rsidRPr="00455EA2">
        <w:rPr>
          <w:rFonts w:ascii="Arial" w:hAnsi="Arial" w:cs="Arial"/>
          <w:color w:val="000000"/>
        </w:rPr>
        <w:t xml:space="preserve"> pp. 206-211</w:t>
      </w:r>
    </w:p>
    <w:p w14:paraId="76C9D2BB" w14:textId="77777777" w:rsidR="00455EA2" w:rsidRPr="00455EA2" w:rsidRDefault="00455EA2" w:rsidP="00455EA2">
      <w:pPr>
        <w:jc w:val="both"/>
        <w:rPr>
          <w:rFonts w:ascii="Arial" w:hAnsi="Arial" w:cs="Arial"/>
        </w:rPr>
      </w:pPr>
    </w:p>
    <w:p w14:paraId="37A646B2" w14:textId="77777777" w:rsidR="00455EA2" w:rsidRPr="00455EA2" w:rsidRDefault="00455EA2" w:rsidP="00455EA2">
      <w:pPr>
        <w:jc w:val="both"/>
        <w:rPr>
          <w:rFonts w:ascii="Arial" w:hAnsi="Arial" w:cs="Arial"/>
        </w:rPr>
      </w:pPr>
      <w:r w:rsidRPr="00455EA2">
        <w:rPr>
          <w:rFonts w:ascii="Arial" w:hAnsi="Arial" w:cs="Arial"/>
        </w:rPr>
        <w:t>Bibliography</w:t>
      </w:r>
    </w:p>
    <w:p w14:paraId="00F2F0C3" w14:textId="77777777" w:rsidR="00455EA2" w:rsidRPr="00455EA2" w:rsidRDefault="00455EA2" w:rsidP="00455EA2">
      <w:pPr>
        <w:jc w:val="both"/>
        <w:rPr>
          <w:rFonts w:ascii="Arial" w:hAnsi="Arial" w:cs="Arial"/>
          <w:color w:val="333333"/>
        </w:rPr>
      </w:pPr>
      <w:r w:rsidRPr="00455EA2">
        <w:rPr>
          <w:rFonts w:ascii="Arial" w:hAnsi="Arial" w:cs="Arial"/>
          <w:color w:val="333333"/>
        </w:rPr>
        <w:t xml:space="preserve">Gallagher, C. W. . (2016) ‘What Writers Do: Behaviors, Behaviorism, and Writing Studies’, </w:t>
      </w:r>
      <w:r w:rsidRPr="00455EA2">
        <w:rPr>
          <w:rFonts w:ascii="Arial" w:hAnsi="Arial" w:cs="Arial"/>
          <w:i/>
          <w:iCs/>
          <w:color w:val="333333"/>
          <w:bdr w:val="none" w:sz="0" w:space="0" w:color="auto" w:frame="1"/>
        </w:rPr>
        <w:t>College Composition &amp; Communication</w:t>
      </w:r>
      <w:r w:rsidRPr="00455EA2">
        <w:rPr>
          <w:rFonts w:ascii="Arial" w:hAnsi="Arial" w:cs="Arial"/>
          <w:color w:val="333333"/>
        </w:rPr>
        <w:t>, 68(2), pp. 238–265</w:t>
      </w:r>
    </w:p>
    <w:p w14:paraId="030B1101" w14:textId="77777777" w:rsidR="00455EA2" w:rsidRPr="00455EA2" w:rsidRDefault="00455EA2" w:rsidP="00455EA2">
      <w:pPr>
        <w:jc w:val="both"/>
        <w:rPr>
          <w:rFonts w:ascii="Arial" w:hAnsi="Arial" w:cs="Arial"/>
          <w:color w:val="333333"/>
          <w:spacing w:val="2"/>
          <w:shd w:val="clear" w:color="auto" w:fill="FCFCFC"/>
        </w:rPr>
      </w:pPr>
      <w:r w:rsidRPr="00455EA2">
        <w:rPr>
          <w:rFonts w:ascii="Arial" w:hAnsi="Arial" w:cs="Arial"/>
          <w:color w:val="333333"/>
          <w:spacing w:val="2"/>
          <w:shd w:val="clear" w:color="auto" w:fill="FCFCFC"/>
        </w:rPr>
        <w:t>Kumar A. (2019) The Menace of Neoliberal Education Reforms: Where Capitalism, Behaviourism, and Positivism Meet. In: Curriculum in International Contexts. Curriculum Studies Worldwide. Palgrave Macmillan, Cham</w:t>
      </w:r>
    </w:p>
    <w:p w14:paraId="5A9814A0" w14:textId="77777777" w:rsidR="00455EA2" w:rsidRPr="00455EA2" w:rsidRDefault="00455EA2" w:rsidP="00455EA2">
      <w:pPr>
        <w:jc w:val="both"/>
        <w:rPr>
          <w:rFonts w:ascii="Arial" w:hAnsi="Arial" w:cs="Arial"/>
          <w:color w:val="333333"/>
          <w:spacing w:val="2"/>
          <w:shd w:val="clear" w:color="auto" w:fill="FCFCFC"/>
        </w:rPr>
      </w:pPr>
      <w:r w:rsidRPr="00455EA2">
        <w:rPr>
          <w:rFonts w:ascii="Helvetica" w:hAnsi="Helvetica" w:cs="Helvetica"/>
          <w:color w:val="333333"/>
        </w:rPr>
        <w:t xml:space="preserve">Moss, J. D. (2018) ‘Inviting Autonomy: Common Roots and Beliefs of Self-determination Theory and Invitational Education Theory’, </w:t>
      </w:r>
      <w:r w:rsidRPr="00455EA2">
        <w:rPr>
          <w:rFonts w:ascii="Helvetica" w:hAnsi="Helvetica" w:cs="Helvetica"/>
          <w:i/>
          <w:iCs/>
          <w:color w:val="333333"/>
          <w:bdr w:val="none" w:sz="0" w:space="0" w:color="auto" w:frame="1"/>
        </w:rPr>
        <w:t>Journal of Invitational Theory &amp; Practice</w:t>
      </w:r>
      <w:r w:rsidRPr="00455EA2">
        <w:rPr>
          <w:rFonts w:ascii="Helvetica" w:hAnsi="Helvetica" w:cs="Helvetica"/>
          <w:color w:val="333333"/>
        </w:rPr>
        <w:t>, 24, pp. 17–28</w:t>
      </w:r>
    </w:p>
    <w:p w14:paraId="175C2B7C" w14:textId="77777777" w:rsidR="00455EA2" w:rsidRPr="00455EA2" w:rsidRDefault="00455EA2" w:rsidP="00455EA2">
      <w:pPr>
        <w:jc w:val="both"/>
        <w:rPr>
          <w:rFonts w:ascii="Arial" w:hAnsi="Arial" w:cs="Arial"/>
        </w:rPr>
      </w:pPr>
      <w:r w:rsidRPr="00455EA2">
        <w:rPr>
          <w:rFonts w:ascii="Helvetica" w:hAnsi="Helvetica" w:cs="Helvetica"/>
          <w:color w:val="333333"/>
        </w:rPr>
        <w:lastRenderedPageBreak/>
        <w:t xml:space="preserve">Wu, H. (2018) ‘The era after postmodernism - time to retrospect humanism’, </w:t>
      </w:r>
      <w:r w:rsidRPr="00455EA2">
        <w:rPr>
          <w:rFonts w:ascii="Helvetica" w:hAnsi="Helvetica" w:cs="Helvetica"/>
          <w:i/>
          <w:iCs/>
          <w:color w:val="333333"/>
          <w:bdr w:val="none" w:sz="0" w:space="0" w:color="auto" w:frame="1"/>
        </w:rPr>
        <w:t>Educational Philosophy &amp; Theory</w:t>
      </w:r>
      <w:r w:rsidRPr="00455EA2">
        <w:rPr>
          <w:rFonts w:ascii="Helvetica" w:hAnsi="Helvetica" w:cs="Helvetica"/>
          <w:color w:val="333333"/>
        </w:rPr>
        <w:t>, 50(14), pp. 1516–1517</w:t>
      </w:r>
    </w:p>
    <w:p w14:paraId="17887001" w14:textId="77777777" w:rsidR="00455EA2" w:rsidRPr="00661F82" w:rsidRDefault="00455EA2" w:rsidP="009F681A">
      <w:pPr>
        <w:jc w:val="both"/>
        <w:rPr>
          <w:rFonts w:ascii="Arial" w:hAnsi="Arial" w:cs="Arial"/>
        </w:rPr>
      </w:pPr>
    </w:p>
    <w:sectPr w:rsidR="00455EA2" w:rsidRPr="00661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81A"/>
    <w:rsid w:val="00000FB6"/>
    <w:rsid w:val="000170F1"/>
    <w:rsid w:val="0005658A"/>
    <w:rsid w:val="00090842"/>
    <w:rsid w:val="00106A50"/>
    <w:rsid w:val="00166A02"/>
    <w:rsid w:val="001D1A98"/>
    <w:rsid w:val="00202694"/>
    <w:rsid w:val="0021595C"/>
    <w:rsid w:val="002446A1"/>
    <w:rsid w:val="00295048"/>
    <w:rsid w:val="002B4F00"/>
    <w:rsid w:val="002C1E04"/>
    <w:rsid w:val="00347101"/>
    <w:rsid w:val="00354876"/>
    <w:rsid w:val="003B6077"/>
    <w:rsid w:val="004032A9"/>
    <w:rsid w:val="004549F9"/>
    <w:rsid w:val="00455EA2"/>
    <w:rsid w:val="00490832"/>
    <w:rsid w:val="004A31E5"/>
    <w:rsid w:val="0057107A"/>
    <w:rsid w:val="005F19EE"/>
    <w:rsid w:val="00661F82"/>
    <w:rsid w:val="006F4A1F"/>
    <w:rsid w:val="007666C7"/>
    <w:rsid w:val="007D7243"/>
    <w:rsid w:val="00841273"/>
    <w:rsid w:val="00886D70"/>
    <w:rsid w:val="00897710"/>
    <w:rsid w:val="008F3712"/>
    <w:rsid w:val="008F5589"/>
    <w:rsid w:val="009023B4"/>
    <w:rsid w:val="00912188"/>
    <w:rsid w:val="009B6F8C"/>
    <w:rsid w:val="009D0DE6"/>
    <w:rsid w:val="009D2C9B"/>
    <w:rsid w:val="009E1305"/>
    <w:rsid w:val="009F681A"/>
    <w:rsid w:val="00A52DE3"/>
    <w:rsid w:val="00A6316C"/>
    <w:rsid w:val="00A711E3"/>
    <w:rsid w:val="00A9340B"/>
    <w:rsid w:val="00AC65FB"/>
    <w:rsid w:val="00AE566E"/>
    <w:rsid w:val="00B62B0E"/>
    <w:rsid w:val="00C225A4"/>
    <w:rsid w:val="00C425FA"/>
    <w:rsid w:val="00C45C6E"/>
    <w:rsid w:val="00C72C32"/>
    <w:rsid w:val="00C82C17"/>
    <w:rsid w:val="00CA76A3"/>
    <w:rsid w:val="00CE7724"/>
    <w:rsid w:val="00CF6C5F"/>
    <w:rsid w:val="00D248AF"/>
    <w:rsid w:val="00D4023F"/>
    <w:rsid w:val="00D61AF5"/>
    <w:rsid w:val="00D92681"/>
    <w:rsid w:val="00DC250C"/>
    <w:rsid w:val="00DC3492"/>
    <w:rsid w:val="00DD5A07"/>
    <w:rsid w:val="00DF0150"/>
    <w:rsid w:val="00E7093D"/>
    <w:rsid w:val="00EA36A1"/>
    <w:rsid w:val="00EB78CE"/>
    <w:rsid w:val="00F20F20"/>
    <w:rsid w:val="00F46EC7"/>
    <w:rsid w:val="00FA7F84"/>
    <w:rsid w:val="00FF6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56B60"/>
  <w15:chartTrackingRefBased/>
  <w15:docId w15:val="{A71D9737-76FB-4BFE-AA1E-4BD0B0352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6316C"/>
    <w:rPr>
      <w:i/>
      <w:iCs/>
    </w:rPr>
  </w:style>
  <w:style w:type="character" w:styleId="CommentReference">
    <w:name w:val="annotation reference"/>
    <w:basedOn w:val="DefaultParagraphFont"/>
    <w:uiPriority w:val="99"/>
    <w:semiHidden/>
    <w:unhideWhenUsed/>
    <w:rsid w:val="00FF6D91"/>
    <w:rPr>
      <w:sz w:val="16"/>
      <w:szCs w:val="16"/>
    </w:rPr>
  </w:style>
  <w:style w:type="paragraph" w:styleId="CommentText">
    <w:name w:val="annotation text"/>
    <w:basedOn w:val="Normal"/>
    <w:link w:val="CommentTextChar"/>
    <w:uiPriority w:val="99"/>
    <w:semiHidden/>
    <w:unhideWhenUsed/>
    <w:rsid w:val="00FF6D91"/>
    <w:pPr>
      <w:spacing w:line="240" w:lineRule="auto"/>
    </w:pPr>
    <w:rPr>
      <w:sz w:val="20"/>
      <w:szCs w:val="20"/>
    </w:rPr>
  </w:style>
  <w:style w:type="character" w:customStyle="1" w:styleId="CommentTextChar">
    <w:name w:val="Comment Text Char"/>
    <w:basedOn w:val="DefaultParagraphFont"/>
    <w:link w:val="CommentText"/>
    <w:uiPriority w:val="99"/>
    <w:semiHidden/>
    <w:rsid w:val="00FF6D91"/>
    <w:rPr>
      <w:sz w:val="20"/>
      <w:szCs w:val="20"/>
    </w:rPr>
  </w:style>
  <w:style w:type="paragraph" w:styleId="CommentSubject">
    <w:name w:val="annotation subject"/>
    <w:basedOn w:val="CommentText"/>
    <w:next w:val="CommentText"/>
    <w:link w:val="CommentSubjectChar"/>
    <w:uiPriority w:val="99"/>
    <w:semiHidden/>
    <w:unhideWhenUsed/>
    <w:rsid w:val="00FF6D91"/>
    <w:rPr>
      <w:b/>
      <w:bCs/>
    </w:rPr>
  </w:style>
  <w:style w:type="character" w:customStyle="1" w:styleId="CommentSubjectChar">
    <w:name w:val="Comment Subject Char"/>
    <w:basedOn w:val="CommentTextChar"/>
    <w:link w:val="CommentSubject"/>
    <w:uiPriority w:val="99"/>
    <w:semiHidden/>
    <w:rsid w:val="00FF6D91"/>
    <w:rPr>
      <w:b/>
      <w:bCs/>
      <w:sz w:val="20"/>
      <w:szCs w:val="20"/>
    </w:rPr>
  </w:style>
  <w:style w:type="paragraph" w:styleId="BalloonText">
    <w:name w:val="Balloon Text"/>
    <w:basedOn w:val="Normal"/>
    <w:link w:val="BalloonTextChar"/>
    <w:uiPriority w:val="99"/>
    <w:semiHidden/>
    <w:unhideWhenUsed/>
    <w:rsid w:val="00FF6D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6D91"/>
    <w:rPr>
      <w:rFonts w:ascii="Segoe UI" w:hAnsi="Segoe UI" w:cs="Segoe UI"/>
      <w:sz w:val="18"/>
      <w:szCs w:val="18"/>
    </w:rPr>
  </w:style>
  <w:style w:type="character" w:styleId="Hyperlink">
    <w:name w:val="Hyperlink"/>
    <w:basedOn w:val="DefaultParagraphFont"/>
    <w:uiPriority w:val="99"/>
    <w:unhideWhenUsed/>
    <w:rsid w:val="00D248AF"/>
    <w:rPr>
      <w:color w:val="0563C1" w:themeColor="hyperlink"/>
      <w:u w:val="single"/>
    </w:rPr>
  </w:style>
  <w:style w:type="character" w:styleId="UnresolvedMention">
    <w:name w:val="Unresolved Mention"/>
    <w:basedOn w:val="DefaultParagraphFont"/>
    <w:uiPriority w:val="99"/>
    <w:semiHidden/>
    <w:unhideWhenUsed/>
    <w:rsid w:val="00D248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amazon.com/gp/product/0024031216/qid=1141927736/sr=2-1/ref=pd_bbs_b_2_1/103-9530115-3940612?s=books&amp;v=glance&amp;n=283155" TargetMode="External"/><Relationship Id="rId5" Type="http://schemas.openxmlformats.org/officeDocument/2006/relationships/hyperlink" Target="http://www.nya.org.uk/wp-content/uploads/2014/06/National-Occupation-Standards-for-Youth-Work.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AB5C2-5B4D-4504-9D0A-01A9C85AF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10</Pages>
  <Words>3109</Words>
  <Characters>17723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46</cp:revision>
  <dcterms:created xsi:type="dcterms:W3CDTF">2020-01-07T09:06:00Z</dcterms:created>
  <dcterms:modified xsi:type="dcterms:W3CDTF">2020-02-28T17:35:00Z</dcterms:modified>
</cp:coreProperties>
</file>