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067411" w14:textId="5CDC7C78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D7386">
        <w:rPr>
          <w:rFonts w:ascii="Arial" w:hAnsi="Arial" w:cs="Arial"/>
          <w:sz w:val="22"/>
          <w:szCs w:val="22"/>
        </w:rPr>
        <w:t>Alaimo</w:t>
      </w:r>
      <w:proofErr w:type="spellEnd"/>
      <w:r w:rsidRPr="00ED7386">
        <w:rPr>
          <w:rFonts w:ascii="Arial" w:hAnsi="Arial" w:cs="Arial"/>
          <w:sz w:val="22"/>
          <w:szCs w:val="22"/>
        </w:rPr>
        <w:t xml:space="preserve">, K., Olson, C., &amp; </w:t>
      </w:r>
      <w:proofErr w:type="spellStart"/>
      <w:r w:rsidRPr="00ED7386">
        <w:rPr>
          <w:rFonts w:ascii="Arial" w:hAnsi="Arial" w:cs="Arial"/>
          <w:sz w:val="22"/>
          <w:szCs w:val="22"/>
        </w:rPr>
        <w:t>Frongillo</w:t>
      </w:r>
      <w:proofErr w:type="spellEnd"/>
      <w:r w:rsidRPr="00ED7386">
        <w:rPr>
          <w:rFonts w:ascii="Arial" w:hAnsi="Arial" w:cs="Arial"/>
          <w:sz w:val="22"/>
          <w:szCs w:val="22"/>
        </w:rPr>
        <w:t xml:space="preserve">, E. (2001). “Food insufficiency and American school-aged children’s cognitive, academic, and psychosocial development,” </w:t>
      </w:r>
      <w:proofErr w:type="spellStart"/>
      <w:r w:rsidRPr="00ED7386">
        <w:rPr>
          <w:rFonts w:ascii="Arial" w:hAnsi="Arial" w:cs="Arial"/>
          <w:i/>
          <w:iCs/>
          <w:sz w:val="22"/>
          <w:szCs w:val="22"/>
        </w:rPr>
        <w:t>Pediatrics</w:t>
      </w:r>
      <w:proofErr w:type="spellEnd"/>
      <w:r w:rsidRPr="00ED7386">
        <w:rPr>
          <w:rFonts w:ascii="Arial" w:hAnsi="Arial" w:cs="Arial"/>
          <w:sz w:val="22"/>
          <w:szCs w:val="22"/>
        </w:rPr>
        <w:t>, 108(1), pp. 44-53.</w:t>
      </w:r>
    </w:p>
    <w:p w14:paraId="25342782" w14:textId="77777777" w:rsidR="00925266" w:rsidRPr="00ED7386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2E072A07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 xml:space="preserve">Bandura, A. (1977) </w:t>
      </w:r>
      <w:r w:rsidRPr="00ED7386">
        <w:rPr>
          <w:rFonts w:ascii="Arial" w:hAnsi="Arial" w:cs="Arial"/>
          <w:i/>
          <w:iCs/>
          <w:sz w:val="22"/>
          <w:szCs w:val="22"/>
        </w:rPr>
        <w:t>Social Learning Theory</w:t>
      </w:r>
      <w:r w:rsidRPr="00ED7386">
        <w:rPr>
          <w:rFonts w:ascii="Arial" w:hAnsi="Arial" w:cs="Arial"/>
          <w:sz w:val="22"/>
          <w:szCs w:val="22"/>
        </w:rPr>
        <w:t>. Prentice-Hall</w:t>
      </w:r>
    </w:p>
    <w:p w14:paraId="3DFCCC78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63E408AF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  <w:lang w:val="en-US"/>
        </w:rPr>
        <w:t xml:space="preserve">Banks, J. A. (2016)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 xml:space="preserve">Cultural Diversity and Education: Foundations, Curriculum, and Teaching. </w:t>
      </w:r>
      <w:r w:rsidRPr="00ED7386">
        <w:rPr>
          <w:rFonts w:ascii="Arial" w:hAnsi="Arial" w:cs="Arial"/>
          <w:sz w:val="22"/>
          <w:szCs w:val="22"/>
          <w:lang w:val="en-US"/>
        </w:rPr>
        <w:t>6</w:t>
      </w:r>
      <w:r w:rsidRPr="00ED7386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ED7386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ED7386">
        <w:rPr>
          <w:rFonts w:ascii="Arial" w:hAnsi="Arial" w:cs="Arial"/>
          <w:sz w:val="22"/>
          <w:szCs w:val="22"/>
          <w:lang w:val="en-US"/>
        </w:rPr>
        <w:t>edn</w:t>
      </w:r>
      <w:proofErr w:type="spellEnd"/>
      <w:r w:rsidRPr="00ED7386">
        <w:rPr>
          <w:rFonts w:ascii="Arial" w:hAnsi="Arial" w:cs="Arial"/>
          <w:sz w:val="22"/>
          <w:szCs w:val="22"/>
          <w:lang w:val="en-US"/>
        </w:rPr>
        <w:t>. New York: Routledge</w:t>
      </w:r>
    </w:p>
    <w:p w14:paraId="0C5751DE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E2E1FFB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>Bronfenbrenner, U. (1977) “Toward an experimental ecology of human development,” </w:t>
      </w:r>
      <w:r w:rsidRPr="00ED7386">
        <w:rPr>
          <w:rFonts w:ascii="Arial" w:hAnsi="Arial" w:cs="Arial"/>
          <w:i/>
          <w:iCs/>
          <w:sz w:val="22"/>
          <w:szCs w:val="22"/>
        </w:rPr>
        <w:t>The American psychologist</w:t>
      </w:r>
      <w:r w:rsidRPr="00ED7386">
        <w:rPr>
          <w:rFonts w:ascii="Arial" w:hAnsi="Arial" w:cs="Arial"/>
          <w:sz w:val="22"/>
          <w:szCs w:val="22"/>
        </w:rPr>
        <w:t xml:space="preserve">, 32(7), pp. 513–531. Available at: </w:t>
      </w:r>
      <w:hyperlink r:id="rId4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https://doi.org/10.1037/0003-066X.32.7.513</w:t>
        </w:r>
      </w:hyperlink>
      <w:r w:rsidRPr="00ED7386">
        <w:rPr>
          <w:rFonts w:ascii="Arial" w:hAnsi="Arial" w:cs="Arial"/>
          <w:sz w:val="22"/>
          <w:szCs w:val="22"/>
        </w:rPr>
        <w:t xml:space="preserve">. </w:t>
      </w:r>
    </w:p>
    <w:p w14:paraId="665A527D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0A8DA412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  <w:lang w:val="en-US"/>
        </w:rPr>
        <w:t xml:space="preserve">Bronfenbrenner’s Ecological Systems Theory (2024)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>SimplyPyschology.org</w:t>
      </w:r>
      <w:r w:rsidRPr="00ED7386"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5" w:history="1">
        <w:r w:rsidRPr="00ED7386">
          <w:rPr>
            <w:rStyle w:val="Hyperlink"/>
            <w:rFonts w:ascii="Arial" w:hAnsi="Arial" w:cs="Arial"/>
            <w:sz w:val="22"/>
            <w:szCs w:val="22"/>
            <w:lang w:val="en-US"/>
          </w:rPr>
          <w:t>https://www.simplypsychology.org/bronfenbrenner.html#The-Five-Ecological-Systems</w:t>
        </w:r>
      </w:hyperlink>
      <w:r w:rsidRPr="00ED7386">
        <w:rPr>
          <w:rFonts w:ascii="Arial" w:hAnsi="Arial" w:cs="Arial"/>
          <w:sz w:val="22"/>
          <w:szCs w:val="22"/>
          <w:lang w:val="en-US"/>
        </w:rPr>
        <w:t xml:space="preserve"> (Accessed 27 February 2024)</w:t>
      </w:r>
    </w:p>
    <w:p w14:paraId="644390D1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6DC0FBE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 xml:space="preserve">Carlson, S.A., Fulton, J.E., Lee, S.M., Maynard, L.M., Brown, D.R., Kohl III, H.W., &amp; Dietz, W.H. (2008). “Physical education and academic achievement in elementary school: Data from the early childhood longitudinal study”, </w:t>
      </w:r>
      <w:r w:rsidRPr="00ED7386">
        <w:rPr>
          <w:rFonts w:ascii="Arial" w:hAnsi="Arial" w:cs="Arial"/>
          <w:i/>
          <w:iCs/>
          <w:sz w:val="22"/>
          <w:szCs w:val="22"/>
        </w:rPr>
        <w:t>American Journal of Public Health</w:t>
      </w:r>
      <w:r w:rsidRPr="00ED7386">
        <w:rPr>
          <w:rFonts w:ascii="Arial" w:hAnsi="Arial" w:cs="Arial"/>
          <w:sz w:val="22"/>
          <w:szCs w:val="22"/>
        </w:rPr>
        <w:t>, 98(4), pp. 721-727.</w:t>
      </w:r>
    </w:p>
    <w:p w14:paraId="181B4484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7354D79E" w14:textId="5006BE06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 xml:space="preserve">Clark, S.B. (1993) “The Schooling of Cultural and Ethnic Subordinate Groups Affirming Diversity: The </w:t>
      </w:r>
      <w:proofErr w:type="spellStart"/>
      <w:r w:rsidRPr="00ED7386">
        <w:rPr>
          <w:rFonts w:ascii="Arial" w:hAnsi="Arial" w:cs="Arial"/>
          <w:sz w:val="22"/>
          <w:szCs w:val="22"/>
        </w:rPr>
        <w:t>Sociopolitical</w:t>
      </w:r>
      <w:proofErr w:type="spellEnd"/>
      <w:r w:rsidRPr="00ED7386">
        <w:rPr>
          <w:rFonts w:ascii="Arial" w:hAnsi="Arial" w:cs="Arial"/>
          <w:sz w:val="22"/>
          <w:szCs w:val="22"/>
        </w:rPr>
        <w:t xml:space="preserve"> Context of Multicultural Education. Sonia Nieto Making Choices for Multicultural Education: Five Approaches to Race, Class, and Gender. Christine E. </w:t>
      </w:r>
      <w:proofErr w:type="spellStart"/>
      <w:r w:rsidRPr="00ED7386">
        <w:rPr>
          <w:rFonts w:ascii="Arial" w:hAnsi="Arial" w:cs="Arial"/>
          <w:sz w:val="22"/>
          <w:szCs w:val="22"/>
        </w:rPr>
        <w:t>Sleeter</w:t>
      </w:r>
      <w:proofErr w:type="spellEnd"/>
      <w:r w:rsidRPr="00ED7386">
        <w:rPr>
          <w:rFonts w:ascii="Arial" w:hAnsi="Arial" w:cs="Arial"/>
          <w:sz w:val="22"/>
          <w:szCs w:val="22"/>
        </w:rPr>
        <w:t xml:space="preserve">, Carl A. Grant Minority Status and Schooling: A Comparative Study of Immigrant and Involuntary </w:t>
      </w:r>
      <w:proofErr w:type="gramStart"/>
      <w:r w:rsidRPr="00ED7386">
        <w:rPr>
          <w:rFonts w:ascii="Arial" w:hAnsi="Arial" w:cs="Arial"/>
          <w:sz w:val="22"/>
          <w:szCs w:val="22"/>
        </w:rPr>
        <w:t>Minorities .</w:t>
      </w:r>
      <w:proofErr w:type="gramEnd"/>
      <w:r w:rsidRPr="00ED7386">
        <w:rPr>
          <w:rFonts w:ascii="Arial" w:hAnsi="Arial" w:cs="Arial"/>
          <w:sz w:val="22"/>
          <w:szCs w:val="22"/>
        </w:rPr>
        <w:t xml:space="preserve"> Margaret A. </w:t>
      </w:r>
      <w:proofErr w:type="gramStart"/>
      <w:r w:rsidRPr="00ED7386">
        <w:rPr>
          <w:rFonts w:ascii="Arial" w:hAnsi="Arial" w:cs="Arial"/>
          <w:sz w:val="22"/>
          <w:szCs w:val="22"/>
        </w:rPr>
        <w:t>Gibson ,</w:t>
      </w:r>
      <w:proofErr w:type="gramEnd"/>
      <w:r w:rsidRPr="00ED7386">
        <w:rPr>
          <w:rFonts w:ascii="Arial" w:hAnsi="Arial" w:cs="Arial"/>
          <w:sz w:val="22"/>
          <w:szCs w:val="22"/>
        </w:rPr>
        <w:t xml:space="preserve"> John U. </w:t>
      </w:r>
      <w:proofErr w:type="spellStart"/>
      <w:r w:rsidRPr="00ED7386">
        <w:rPr>
          <w:rFonts w:ascii="Arial" w:hAnsi="Arial" w:cs="Arial"/>
          <w:sz w:val="22"/>
          <w:szCs w:val="22"/>
        </w:rPr>
        <w:t>Ogbu</w:t>
      </w:r>
      <w:proofErr w:type="spellEnd"/>
      <w:r w:rsidRPr="00ED7386">
        <w:rPr>
          <w:rFonts w:ascii="Arial" w:hAnsi="Arial" w:cs="Arial"/>
          <w:sz w:val="22"/>
          <w:szCs w:val="22"/>
        </w:rPr>
        <w:t>,” </w:t>
      </w:r>
      <w:r w:rsidRPr="00ED7386">
        <w:rPr>
          <w:rFonts w:ascii="Arial" w:hAnsi="Arial" w:cs="Arial"/>
          <w:i/>
          <w:iCs/>
          <w:sz w:val="22"/>
          <w:szCs w:val="22"/>
        </w:rPr>
        <w:t>Comparative education review</w:t>
      </w:r>
      <w:r w:rsidRPr="00ED7386">
        <w:rPr>
          <w:rFonts w:ascii="Arial" w:hAnsi="Arial" w:cs="Arial"/>
          <w:sz w:val="22"/>
          <w:szCs w:val="22"/>
        </w:rPr>
        <w:t xml:space="preserve">, 37(1), pp. 62–68. Available at: </w:t>
      </w:r>
      <w:hyperlink r:id="rId6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https://doi.org/10.1086/447165</w:t>
        </w:r>
      </w:hyperlink>
      <w:r w:rsidRPr="00ED7386">
        <w:rPr>
          <w:rFonts w:ascii="Arial" w:hAnsi="Arial" w:cs="Arial"/>
          <w:sz w:val="22"/>
          <w:szCs w:val="22"/>
        </w:rPr>
        <w:t xml:space="preserve">. </w:t>
      </w:r>
    </w:p>
    <w:p w14:paraId="64B5E548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18E0C24F" w14:textId="022E5C16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>Dewey, J. (1916) </w:t>
      </w:r>
      <w:r w:rsidRPr="00ED7386">
        <w:rPr>
          <w:rFonts w:ascii="Arial" w:hAnsi="Arial" w:cs="Arial"/>
          <w:i/>
          <w:iCs/>
          <w:sz w:val="22"/>
          <w:szCs w:val="22"/>
        </w:rPr>
        <w:t>Democracy and Education: An Introduction to the Philosophy of Education</w:t>
      </w:r>
      <w:r w:rsidRPr="00ED7386">
        <w:rPr>
          <w:rFonts w:ascii="Arial" w:hAnsi="Arial" w:cs="Arial"/>
          <w:sz w:val="22"/>
          <w:szCs w:val="22"/>
        </w:rPr>
        <w:t>. Project Gutenberg.</w:t>
      </w:r>
    </w:p>
    <w:p w14:paraId="0EC0D597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018B188F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 xml:space="preserve">Donaldson, G. (2015) </w:t>
      </w:r>
      <w:r w:rsidRPr="00ED7386">
        <w:rPr>
          <w:rFonts w:ascii="Arial" w:hAnsi="Arial" w:cs="Arial"/>
          <w:i/>
          <w:iCs/>
          <w:sz w:val="22"/>
          <w:szCs w:val="22"/>
        </w:rPr>
        <w:t>Successful Futures</w:t>
      </w:r>
      <w:r w:rsidRPr="00ED7386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https://www.gov.wales/sites/default/files/publications/2018-03/successful-futures.pdf</w:t>
        </w:r>
      </w:hyperlink>
      <w:r w:rsidRPr="00ED7386">
        <w:rPr>
          <w:rFonts w:ascii="Arial" w:hAnsi="Arial" w:cs="Arial"/>
          <w:sz w:val="22"/>
          <w:szCs w:val="22"/>
        </w:rPr>
        <w:t xml:space="preserve"> (Accessed 25 February 2024)</w:t>
      </w:r>
    </w:p>
    <w:p w14:paraId="141D8366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5039E0D8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ED7386">
        <w:rPr>
          <w:rFonts w:ascii="Arial" w:hAnsi="Arial" w:cs="Arial"/>
          <w:sz w:val="22"/>
          <w:szCs w:val="22"/>
          <w:lang w:val="en-US"/>
        </w:rPr>
        <w:t>Estyn</w:t>
      </w:r>
      <w:proofErr w:type="spellEnd"/>
      <w:r w:rsidRPr="00ED7386">
        <w:rPr>
          <w:rFonts w:ascii="Arial" w:hAnsi="Arial" w:cs="Arial"/>
          <w:sz w:val="22"/>
          <w:szCs w:val="22"/>
          <w:lang w:val="en-US"/>
        </w:rPr>
        <w:t xml:space="preserve"> (2023)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 xml:space="preserve">A report on ‘School X’. </w:t>
      </w:r>
      <w:r w:rsidRPr="00ED7386">
        <w:rPr>
          <w:rFonts w:ascii="Arial" w:hAnsi="Arial" w:cs="Arial"/>
          <w:sz w:val="22"/>
          <w:szCs w:val="22"/>
          <w:lang w:val="en-US"/>
        </w:rPr>
        <w:t>Available online (Accessed 25 February 2024)</w:t>
      </w:r>
    </w:p>
    <w:p w14:paraId="6CF5A151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7738F77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  <w:lang w:val="en-US"/>
        </w:rPr>
        <w:t xml:space="preserve">Harris, A., and Goodall, J. (2007) Engaging Parents in Raising Achievements. Do Parents Know They Matter?” University of Warwick. Available at: </w:t>
      </w:r>
      <w:hyperlink r:id="rId8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https://dera.ioe.ac.uk/id/eprint/6639/1/DCSF-RW004.pdf</w:t>
        </w:r>
      </w:hyperlink>
      <w:r w:rsidRPr="00ED7386">
        <w:rPr>
          <w:rFonts w:ascii="Arial" w:hAnsi="Arial" w:cs="Arial"/>
          <w:sz w:val="22"/>
          <w:szCs w:val="22"/>
        </w:rPr>
        <w:t xml:space="preserve"> </w:t>
      </w:r>
    </w:p>
    <w:p w14:paraId="3236D1FA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0753BB19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ED7386">
        <w:rPr>
          <w:rFonts w:ascii="Arial" w:hAnsi="Arial" w:cs="Arial"/>
          <w:sz w:val="22"/>
          <w:szCs w:val="22"/>
          <w:lang w:val="en-US"/>
        </w:rPr>
        <w:t>Havrilesky</w:t>
      </w:r>
      <w:proofErr w:type="spellEnd"/>
      <w:r w:rsidRPr="00ED7386">
        <w:rPr>
          <w:rFonts w:ascii="Arial" w:hAnsi="Arial" w:cs="Arial"/>
          <w:sz w:val="22"/>
          <w:szCs w:val="22"/>
          <w:lang w:val="en-US"/>
        </w:rPr>
        <w:t>, H. (2015) “HOW TO RAISE AN ADULT: Break Free of the Overparenting Trap and Prepare Your Kid for Success,” 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>New York Times Book Review</w:t>
      </w:r>
      <w:r w:rsidRPr="00ED7386">
        <w:rPr>
          <w:rFonts w:ascii="Arial" w:hAnsi="Arial" w:cs="Arial"/>
          <w:sz w:val="22"/>
          <w:szCs w:val="22"/>
          <w:lang w:val="en-US"/>
        </w:rPr>
        <w:t>. New York: New York Times Company, pp. 12.</w:t>
      </w:r>
    </w:p>
    <w:p w14:paraId="4862310A" w14:textId="77777777" w:rsidR="00925266" w:rsidRPr="00ED7386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323D7304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</w:rPr>
        <w:t>Ladson-Billings, G. (1995) “But that’s just good teaching! The case for culturally relevant pedagogy,” </w:t>
      </w:r>
      <w:r w:rsidRPr="00ED7386">
        <w:rPr>
          <w:rFonts w:ascii="Arial" w:hAnsi="Arial" w:cs="Arial"/>
          <w:i/>
          <w:iCs/>
          <w:sz w:val="22"/>
          <w:szCs w:val="22"/>
        </w:rPr>
        <w:t>Theory into practice</w:t>
      </w:r>
      <w:r w:rsidRPr="00ED7386">
        <w:rPr>
          <w:rFonts w:ascii="Arial" w:hAnsi="Arial" w:cs="Arial"/>
          <w:sz w:val="22"/>
          <w:szCs w:val="22"/>
        </w:rPr>
        <w:t xml:space="preserve">, 34(3), pp. 159–165. Available at: </w:t>
      </w:r>
      <w:hyperlink r:id="rId9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https://doi.org/10.1080/00405849509543675</w:t>
        </w:r>
      </w:hyperlink>
      <w:r w:rsidRPr="00ED7386">
        <w:rPr>
          <w:rFonts w:ascii="Arial" w:hAnsi="Arial" w:cs="Arial"/>
          <w:sz w:val="22"/>
          <w:szCs w:val="22"/>
        </w:rPr>
        <w:t>.</w:t>
      </w:r>
      <w:r w:rsidRPr="00ED7386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7577231B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A723E7C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  <w:r w:rsidRPr="00ED7386">
        <w:rPr>
          <w:rFonts w:ascii="Arial" w:hAnsi="Arial" w:cs="Arial"/>
          <w:sz w:val="22"/>
          <w:szCs w:val="22"/>
        </w:rPr>
        <w:t xml:space="preserve">Office for National Statistics (2022) </w:t>
      </w:r>
      <w:r w:rsidRPr="00ED7386">
        <w:rPr>
          <w:rFonts w:ascii="Arial" w:hAnsi="Arial" w:cs="Arial"/>
          <w:i/>
          <w:iCs/>
          <w:sz w:val="22"/>
          <w:szCs w:val="22"/>
        </w:rPr>
        <w:t>Census</w:t>
      </w:r>
      <w:r w:rsidRPr="00ED7386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ED7386">
          <w:rPr>
            <w:rStyle w:val="Hyperlink"/>
            <w:rFonts w:ascii="Arial" w:hAnsi="Arial" w:cs="Arial"/>
            <w:sz w:val="22"/>
            <w:szCs w:val="22"/>
          </w:rPr>
          <w:t>https://www.ons.gov.uk/census</w:t>
        </w:r>
      </w:hyperlink>
      <w:r w:rsidRPr="00ED7386">
        <w:rPr>
          <w:rFonts w:ascii="Arial" w:hAnsi="Arial" w:cs="Arial"/>
          <w:sz w:val="22"/>
          <w:szCs w:val="22"/>
        </w:rPr>
        <w:t xml:space="preserve"> (Accessed 27 February 2024)</w:t>
      </w:r>
    </w:p>
    <w:p w14:paraId="425733A2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</w:rPr>
      </w:pPr>
    </w:p>
    <w:p w14:paraId="0BD419AE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ED7386">
        <w:rPr>
          <w:rFonts w:ascii="Arial" w:hAnsi="Arial" w:cs="Arial"/>
          <w:sz w:val="22"/>
          <w:szCs w:val="22"/>
          <w:lang w:val="en-US"/>
        </w:rPr>
        <w:t>Pewewardy</w:t>
      </w:r>
      <w:proofErr w:type="spellEnd"/>
      <w:r w:rsidRPr="00ED7386">
        <w:rPr>
          <w:rFonts w:ascii="Arial" w:hAnsi="Arial" w:cs="Arial"/>
          <w:sz w:val="22"/>
          <w:szCs w:val="22"/>
          <w:lang w:val="en-US"/>
        </w:rPr>
        <w:t>, C. (1993</w:t>
      </w:r>
      <w:proofErr w:type="gramStart"/>
      <w:r w:rsidRPr="00ED7386">
        <w:rPr>
          <w:rFonts w:ascii="Arial" w:hAnsi="Arial" w:cs="Arial"/>
          <w:sz w:val="22"/>
          <w:szCs w:val="22"/>
          <w:lang w:val="en-US"/>
        </w:rPr>
        <w:t>)  Culturally</w:t>
      </w:r>
      <w:proofErr w:type="gramEnd"/>
      <w:r w:rsidRPr="00ED7386">
        <w:rPr>
          <w:rFonts w:ascii="Arial" w:hAnsi="Arial" w:cs="Arial"/>
          <w:sz w:val="22"/>
          <w:szCs w:val="22"/>
          <w:lang w:val="en-US"/>
        </w:rPr>
        <w:t xml:space="preserve"> responsible pedagogy in action: An American Indian magnet school. In Hollings, E., King, J., and Hayman, W. (Eds.)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>Teaching diverse populations: Formulating a knowledge base</w:t>
      </w:r>
      <w:r w:rsidRPr="00ED7386">
        <w:rPr>
          <w:rFonts w:ascii="Arial" w:hAnsi="Arial" w:cs="Arial"/>
          <w:sz w:val="22"/>
          <w:szCs w:val="22"/>
          <w:lang w:val="en-US"/>
        </w:rPr>
        <w:t xml:space="preserve"> (pp.77-92) Albany: State University of New York Press.</w:t>
      </w:r>
    </w:p>
    <w:p w14:paraId="7E26071C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2E9DAC9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  <w:lang w:val="en-US"/>
        </w:rPr>
        <w:t xml:space="preserve">The College Board (1985)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>Equality and excellence: The educational status of Black Americans</w:t>
      </w:r>
      <w:r w:rsidRPr="00ED7386">
        <w:rPr>
          <w:rFonts w:ascii="Arial" w:hAnsi="Arial" w:cs="Arial"/>
          <w:sz w:val="22"/>
          <w:szCs w:val="22"/>
          <w:lang w:val="en-US"/>
        </w:rPr>
        <w:t>. New York: Author</w:t>
      </w:r>
    </w:p>
    <w:p w14:paraId="527FC3A5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07B4229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proofErr w:type="spellStart"/>
      <w:r w:rsidRPr="00ED7386">
        <w:rPr>
          <w:rFonts w:ascii="Arial" w:hAnsi="Arial" w:cs="Arial"/>
          <w:sz w:val="22"/>
          <w:szCs w:val="22"/>
          <w:lang w:val="en-US"/>
        </w:rPr>
        <w:t>Tudge</w:t>
      </w:r>
      <w:proofErr w:type="spellEnd"/>
      <w:r w:rsidRPr="00ED7386">
        <w:rPr>
          <w:rFonts w:ascii="Arial" w:hAnsi="Arial" w:cs="Arial"/>
          <w:sz w:val="22"/>
          <w:szCs w:val="22"/>
          <w:lang w:val="en-US"/>
        </w:rPr>
        <w:t xml:space="preserve">, J.R.H. et al. (2009) “Uses and Misuses of Bronfenbrenner’s Bioecological Theory of Human Development,” Journal of family theory &amp; review, 1(4), pp. 198–210. Available at: </w:t>
      </w:r>
      <w:hyperlink r:id="rId11" w:history="1">
        <w:r w:rsidRPr="00ED7386">
          <w:rPr>
            <w:rStyle w:val="Hyperlink"/>
            <w:rFonts w:ascii="Arial" w:hAnsi="Arial" w:cs="Arial"/>
            <w:sz w:val="22"/>
            <w:szCs w:val="22"/>
            <w:lang w:val="en-US"/>
          </w:rPr>
          <w:t>https://doi.org/10.1111/j.1756-2589.2009.00026.x</w:t>
        </w:r>
      </w:hyperlink>
      <w:r w:rsidRPr="00ED7386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207D3CC1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2414297" w14:textId="2D5FD9F3" w:rsidR="006C2535" w:rsidRPr="006C2535" w:rsidRDefault="006C2535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6C2535">
        <w:rPr>
          <w:rFonts w:ascii="Arial" w:hAnsi="Arial" w:cs="Arial"/>
          <w:sz w:val="22"/>
          <w:szCs w:val="22"/>
          <w:lang w:val="en-US"/>
        </w:rPr>
        <w:t xml:space="preserve">Welsh Government (2017) </w:t>
      </w:r>
      <w:r w:rsidRPr="006C2535">
        <w:rPr>
          <w:rFonts w:ascii="Arial" w:hAnsi="Arial" w:cs="Arial"/>
          <w:i/>
          <w:iCs/>
          <w:sz w:val="22"/>
          <w:szCs w:val="22"/>
          <w:lang w:val="en-US"/>
        </w:rPr>
        <w:t>The Curriculum in Wales</w:t>
      </w:r>
      <w:r w:rsidRPr="006C2535"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12" w:history="1">
        <w:r w:rsidRPr="006C2535">
          <w:rPr>
            <w:rStyle w:val="Hyperlink"/>
            <w:rFonts w:ascii="Arial" w:hAnsi="Arial" w:cs="Arial"/>
            <w:sz w:val="22"/>
            <w:szCs w:val="22"/>
            <w:lang w:val="en-US"/>
          </w:rPr>
          <w:t>https://hwb.gov.wales/playlists/view/b87d757e-fefc-4e3e-a457-5cd9ebb9ab9b/en/1</w:t>
        </w:r>
      </w:hyperlink>
      <w:r w:rsidRPr="006C2535">
        <w:rPr>
          <w:rFonts w:ascii="Arial" w:hAnsi="Arial" w:cs="Arial"/>
          <w:sz w:val="22"/>
          <w:szCs w:val="22"/>
          <w:lang w:val="en-US"/>
        </w:rPr>
        <w:t xml:space="preserve"> (Accessed 26 February 2024</w:t>
      </w:r>
    </w:p>
    <w:p w14:paraId="779FD610" w14:textId="77777777" w:rsidR="006C2535" w:rsidRPr="006C2535" w:rsidRDefault="006C2535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3A6035F" w14:textId="6CA456B9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  <w:lang w:val="en-US"/>
        </w:rPr>
        <w:t xml:space="preserve">Welsh Government (2017) </w:t>
      </w:r>
      <w:r w:rsidRPr="00ED7386">
        <w:rPr>
          <w:rFonts w:ascii="Arial" w:hAnsi="Arial" w:cs="Arial"/>
          <w:i/>
          <w:iCs/>
          <w:sz w:val="22"/>
          <w:szCs w:val="22"/>
          <w:lang w:val="en-US"/>
        </w:rPr>
        <w:t>Curriculum for Wales: overview</w:t>
      </w:r>
      <w:r w:rsidRPr="00ED7386"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13" w:history="1">
        <w:r w:rsidRPr="00ED7386">
          <w:rPr>
            <w:rStyle w:val="Hyperlink"/>
            <w:rFonts w:ascii="Arial" w:hAnsi="Arial" w:cs="Arial"/>
            <w:sz w:val="22"/>
            <w:szCs w:val="22"/>
            <w:lang w:val="en-US"/>
          </w:rPr>
          <w:t>https://www.gov.wales/curriculum-wales-</w:t>
        </w:r>
        <w:r w:rsidRPr="00ED7386">
          <w:rPr>
            <w:rStyle w:val="Hyperlink"/>
            <w:rFonts w:ascii="Arial" w:hAnsi="Arial" w:cs="Arial"/>
            <w:sz w:val="22"/>
            <w:szCs w:val="22"/>
            <w:lang w:val="en-US"/>
          </w:rPr>
          <w:t>overview#:~:text=ambitious%2C%20capable%20learners%2C%20ready%20to,as%20valued%20members%20of%20society</w:t>
        </w:r>
      </w:hyperlink>
      <w:r w:rsidRPr="00ED7386">
        <w:rPr>
          <w:rFonts w:ascii="Arial" w:hAnsi="Arial" w:cs="Arial"/>
          <w:sz w:val="22"/>
          <w:szCs w:val="22"/>
          <w:lang w:val="en-US"/>
        </w:rPr>
        <w:t>. (Accessed 27 February 2024)</w:t>
      </w:r>
    </w:p>
    <w:p w14:paraId="30A42FE3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2DC439B" w14:textId="77777777" w:rsidR="00925266" w:rsidRPr="006C2535" w:rsidRDefault="00925266" w:rsidP="006C253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D7386">
        <w:rPr>
          <w:rFonts w:ascii="Arial" w:hAnsi="Arial" w:cs="Arial"/>
          <w:sz w:val="22"/>
          <w:szCs w:val="22"/>
          <w:lang w:val="en-US"/>
        </w:rPr>
        <w:lastRenderedPageBreak/>
        <w:t xml:space="preserve">Welsh Government (2021) Learning of Black, </w:t>
      </w:r>
      <w:proofErr w:type="gramStart"/>
      <w:r w:rsidRPr="00ED7386">
        <w:rPr>
          <w:rFonts w:ascii="Arial" w:hAnsi="Arial" w:cs="Arial"/>
          <w:sz w:val="22"/>
          <w:szCs w:val="22"/>
          <w:lang w:val="en-US"/>
        </w:rPr>
        <w:t>Asian</w:t>
      </w:r>
      <w:proofErr w:type="gramEnd"/>
      <w:r w:rsidRPr="00ED7386">
        <w:rPr>
          <w:rFonts w:ascii="Arial" w:hAnsi="Arial" w:cs="Arial"/>
          <w:sz w:val="22"/>
          <w:szCs w:val="22"/>
          <w:lang w:val="en-US"/>
        </w:rPr>
        <w:t xml:space="preserve"> and Minority Ethnic histories included in new Welsh Curriculum. Available at: </w:t>
      </w:r>
      <w:hyperlink r:id="rId14" w:history="1">
        <w:r w:rsidRPr="00ED7386">
          <w:rPr>
            <w:rStyle w:val="Hyperlink"/>
            <w:rFonts w:ascii="Arial" w:hAnsi="Arial" w:cs="Arial"/>
            <w:sz w:val="22"/>
            <w:szCs w:val="22"/>
            <w:lang w:val="en-US"/>
          </w:rPr>
          <w:t>https://www.gov.wales/learning-black-asian-and-minority-ethnic-histories-included-new-welsh-curriculum</w:t>
        </w:r>
      </w:hyperlink>
      <w:r w:rsidRPr="00ED7386">
        <w:rPr>
          <w:rFonts w:ascii="Arial" w:hAnsi="Arial" w:cs="Arial"/>
          <w:sz w:val="22"/>
          <w:szCs w:val="22"/>
          <w:lang w:val="en-US"/>
        </w:rPr>
        <w:t xml:space="preserve"> (Accessed 28 February 2024)</w:t>
      </w:r>
    </w:p>
    <w:p w14:paraId="2E0E1A94" w14:textId="77777777" w:rsidR="00925266" w:rsidRDefault="00925266"/>
    <w:sectPr w:rsidR="00925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266"/>
    <w:rsid w:val="006C2535"/>
    <w:rsid w:val="008B4E67"/>
    <w:rsid w:val="00925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E80CC2"/>
  <w15:chartTrackingRefBased/>
  <w15:docId w15:val="{F58855EA-0719-D946-8F49-4228B9F98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526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52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25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id/eprint/6639/1/DCSF-RW004.pdf" TargetMode="External"/><Relationship Id="rId13" Type="http://schemas.openxmlformats.org/officeDocument/2006/relationships/hyperlink" Target="https://www.gov.wales/curriculum-wales-overvi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8-03/successful-futures.pdf" TargetMode="External"/><Relationship Id="rId12" Type="http://schemas.openxmlformats.org/officeDocument/2006/relationships/hyperlink" Target="https://hwb.gov.wales/playlists/view/b87d757e-fefc-4e3e-a457-5cd9ebb9ab9b/en/1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86/447165" TargetMode="External"/><Relationship Id="rId11" Type="http://schemas.openxmlformats.org/officeDocument/2006/relationships/hyperlink" Target="https://doi.org/10.1111/j.1756-2589.2009.00026.x" TargetMode="External"/><Relationship Id="rId5" Type="http://schemas.openxmlformats.org/officeDocument/2006/relationships/hyperlink" Target="https://www.simplypsychology.org/bronfenbrenner.html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ons.gov.uk/census" TargetMode="External"/><Relationship Id="rId4" Type="http://schemas.openxmlformats.org/officeDocument/2006/relationships/hyperlink" Target="https://doi.org/10.1037/0003-066X.32.7.513" TargetMode="External"/><Relationship Id="rId9" Type="http://schemas.openxmlformats.org/officeDocument/2006/relationships/hyperlink" Target="https://doi.org/10.1080/00405849509543675" TargetMode="External"/><Relationship Id="rId14" Type="http://schemas.openxmlformats.org/officeDocument/2006/relationships/hyperlink" Target="https://www.gov.wales/learning-black-asian-and-minority-ethnic-histories-included-new-welsh-curricul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698</Words>
  <Characters>3983</Characters>
  <Application>Microsoft Office Word</Application>
  <DocSecurity>0</DocSecurity>
  <Lines>33</Lines>
  <Paragraphs>9</Paragraphs>
  <ScaleCrop>false</ScaleCrop>
  <Company/>
  <LinksUpToDate>false</LinksUpToDate>
  <CharactersWithSpaces>4672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Davies (2317126)</dc:creator>
  <cp:keywords/>
  <dc:description/>
  <cp:lastModifiedBy>Jamie Davies (2317126)</cp:lastModifiedBy>
  <cp:revision>3</cp:revision>
  <dcterms:created xsi:type="dcterms:W3CDTF">2024-03-03T18:29:00Z</dcterms:created>
  <dcterms:modified xsi:type="dcterms:W3CDTF">2024-03-03T18:40:00Z</dcterms:modified>
</cp:coreProperties>
</file>