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C35F7A" w14:textId="77777777" w:rsidR="007D0513" w:rsidRDefault="007D0513" w:rsidP="007D0513">
      <w:pPr>
        <w:spacing w:before="600"/>
        <w:jc w:val="center"/>
        <w:rPr>
          <w:b/>
          <w:bCs/>
          <w:color w:val="0E3A42"/>
          <w:sz w:val="28"/>
          <w:szCs w:val="28"/>
        </w:rPr>
      </w:pPr>
      <w:r>
        <w:rPr>
          <w:noProof/>
        </w:rPr>
        <w:drawing>
          <wp:inline distT="0" distB="0" distL="0" distR="0" wp14:anchorId="5CDAF4AB" wp14:editId="56E91A70">
            <wp:extent cx="5730240" cy="1577340"/>
            <wp:effectExtent l="0" t="0" r="0" b="0"/>
            <wp:docPr id="6" name="Picture 6"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versity of Wales Trinity Saint David launches new digital ..."/>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6238" b="17853"/>
                    <a:stretch/>
                  </pic:blipFill>
                  <pic:spPr bwMode="auto">
                    <a:xfrm>
                      <a:off x="0" y="0"/>
                      <a:ext cx="5731510" cy="1577690"/>
                    </a:xfrm>
                    <a:prstGeom prst="rect">
                      <a:avLst/>
                    </a:prstGeom>
                    <a:noFill/>
                    <a:ln>
                      <a:noFill/>
                    </a:ln>
                    <a:extLst>
                      <a:ext uri="{53640926-AAD7-44D8-BBD7-CCE9431645EC}">
                        <a14:shadowObscured xmlns:a14="http://schemas.microsoft.com/office/drawing/2010/main"/>
                      </a:ext>
                    </a:extLst>
                  </pic:spPr>
                </pic:pic>
              </a:graphicData>
            </a:graphic>
          </wp:inline>
        </w:drawing>
      </w:r>
      <w:r>
        <w:rPr>
          <w:b/>
          <w:bCs/>
          <w:color w:val="0E3A42"/>
          <w:sz w:val="28"/>
          <w:szCs w:val="28"/>
        </w:rPr>
        <w:br/>
      </w:r>
      <w:r>
        <w:rPr>
          <w:b/>
          <w:bCs/>
          <w:color w:val="0E3A42"/>
          <w:sz w:val="28"/>
          <w:szCs w:val="28"/>
        </w:rPr>
        <w:br/>
      </w:r>
      <w:r w:rsidR="00AB0DC6">
        <w:rPr>
          <w:b/>
          <w:bCs/>
          <w:color w:val="0E3A42"/>
          <w:sz w:val="28"/>
          <w:szCs w:val="28"/>
        </w:rPr>
        <w:t>----</w:t>
      </w:r>
    </w:p>
    <w:p w14:paraId="1232B652" w14:textId="77777777" w:rsidR="000B5899" w:rsidRDefault="00D446BC" w:rsidP="007D0513">
      <w:pPr>
        <w:spacing w:before="600"/>
        <w:jc w:val="center"/>
      </w:pPr>
      <w:r>
        <w:rPr>
          <w:b/>
          <w:bCs/>
          <w:color w:val="0E3A42"/>
          <w:sz w:val="28"/>
          <w:szCs w:val="28"/>
        </w:rPr>
        <w:t>University of Wales Trinity Saint David</w:t>
      </w:r>
    </w:p>
    <w:p w14:paraId="3E8929F3" w14:textId="77777777" w:rsidR="000B5899" w:rsidRDefault="00D446BC" w:rsidP="007D0513">
      <w:pPr>
        <w:pBdr>
          <w:bottom w:val="single" w:sz="6" w:space="1" w:color="auto"/>
        </w:pBdr>
        <w:spacing w:after="600"/>
        <w:jc w:val="center"/>
      </w:pPr>
      <w:r>
        <w:t>Certificate of Higher Education Skills for the Workplace (Health &amp; Social Care)</w:t>
      </w:r>
    </w:p>
    <w:p w14:paraId="2F1B3807" w14:textId="77777777" w:rsidR="000B5899" w:rsidRDefault="00D446BC" w:rsidP="007D0513">
      <w:pPr>
        <w:jc w:val="center"/>
      </w:pPr>
      <w:r>
        <w:rPr>
          <w:b/>
          <w:bCs/>
          <w:color w:val="0E3A42"/>
          <w:sz w:val="36"/>
          <w:szCs w:val="36"/>
        </w:rPr>
        <w:t>Component 1: Portfolio – Two Tasks</w:t>
      </w:r>
    </w:p>
    <w:p w14:paraId="42413BD6" w14:textId="77777777" w:rsidR="000B5899" w:rsidRPr="007D0513" w:rsidRDefault="00D446BC" w:rsidP="007D0513">
      <w:pPr>
        <w:spacing w:after="600"/>
        <w:jc w:val="center"/>
        <w:rPr>
          <w:b/>
        </w:rPr>
      </w:pPr>
      <w:r w:rsidRPr="007D0513">
        <w:rPr>
          <w:b/>
          <w:sz w:val="24"/>
          <w:szCs w:val="24"/>
        </w:rPr>
        <w:t>Task 1: Poster  |  Task 2: Essay</w:t>
      </w:r>
    </w:p>
    <w:tbl>
      <w:tblPr>
        <w:tblStyle w:val="ListTable3-Accent5"/>
        <w:tblW w:w="9780" w:type="dxa"/>
        <w:tblLook w:val="0000" w:firstRow="0" w:lastRow="0" w:firstColumn="0" w:lastColumn="0" w:noHBand="0" w:noVBand="0"/>
      </w:tblPr>
      <w:tblGrid>
        <w:gridCol w:w="3168"/>
        <w:gridCol w:w="6612"/>
      </w:tblGrid>
      <w:tr w:rsidR="000B5899" w:rsidRPr="007D0513" w14:paraId="2CD35C9F" w14:textId="77777777" w:rsidTr="00AB0DC6">
        <w:trPr>
          <w:cnfStyle w:val="000000100000" w:firstRow="0" w:lastRow="0" w:firstColumn="0" w:lastColumn="0" w:oddVBand="0" w:evenVBand="0" w:oddHBand="1" w:evenHBand="0" w:firstRowFirstColumn="0" w:firstRowLastColumn="0" w:lastRowFirstColumn="0" w:lastRowLastColumn="0"/>
          <w:trHeight w:val="386"/>
        </w:trPr>
        <w:tc>
          <w:tcPr>
            <w:cnfStyle w:val="000010000000" w:firstRow="0" w:lastRow="0" w:firstColumn="0" w:lastColumn="0" w:oddVBand="1" w:evenVBand="0" w:oddHBand="0" w:evenHBand="0" w:firstRowFirstColumn="0" w:firstRowLastColumn="0" w:lastRowFirstColumn="0" w:lastRowLastColumn="0"/>
            <w:tcW w:w="3168" w:type="dxa"/>
            <w:shd w:val="clear" w:color="auto" w:fill="E2EFD9" w:themeFill="accent6" w:themeFillTint="33"/>
          </w:tcPr>
          <w:p w14:paraId="5BA14BAB" w14:textId="77777777" w:rsidR="000B5899" w:rsidRPr="007D0513" w:rsidRDefault="00D446BC">
            <w:pPr>
              <w:spacing w:line="300" w:lineRule="auto"/>
            </w:pPr>
            <w:r w:rsidRPr="007D0513">
              <w:rPr>
                <w:b/>
                <w:bCs/>
              </w:rPr>
              <w:t>Module title:</w:t>
            </w:r>
          </w:p>
        </w:tc>
        <w:tc>
          <w:tcPr>
            <w:tcW w:w="6612" w:type="dxa"/>
            <w:shd w:val="clear" w:color="auto" w:fill="EDEDED" w:themeFill="accent3" w:themeFillTint="33"/>
          </w:tcPr>
          <w:p w14:paraId="55E0D189" w14:textId="77777777" w:rsidR="000B5899" w:rsidRPr="007D0513" w:rsidRDefault="00D446BC">
            <w:pPr>
              <w:spacing w:line="300" w:lineRule="auto"/>
              <w:cnfStyle w:val="000000100000" w:firstRow="0" w:lastRow="0" w:firstColumn="0" w:lastColumn="0" w:oddVBand="0" w:evenVBand="0" w:oddHBand="1" w:evenHBand="0" w:firstRowFirstColumn="0" w:firstRowLastColumn="0" w:lastRowFirstColumn="0" w:lastRowLastColumn="0"/>
            </w:pPr>
            <w:r w:rsidRPr="007D0513">
              <w:t>Introduction to Health and Social Care</w:t>
            </w:r>
          </w:p>
        </w:tc>
      </w:tr>
      <w:tr w:rsidR="000B5899" w:rsidRPr="007D0513" w14:paraId="4F0A3A90" w14:textId="77777777" w:rsidTr="00AB0DC6">
        <w:trPr>
          <w:trHeight w:val="386"/>
        </w:trPr>
        <w:tc>
          <w:tcPr>
            <w:cnfStyle w:val="000010000000" w:firstRow="0" w:lastRow="0" w:firstColumn="0" w:lastColumn="0" w:oddVBand="1" w:evenVBand="0" w:oddHBand="0" w:evenHBand="0" w:firstRowFirstColumn="0" w:firstRowLastColumn="0" w:lastRowFirstColumn="0" w:lastRowLastColumn="0"/>
            <w:tcW w:w="3168" w:type="dxa"/>
            <w:shd w:val="clear" w:color="auto" w:fill="E2EFD9" w:themeFill="accent6" w:themeFillTint="33"/>
          </w:tcPr>
          <w:p w14:paraId="43951029" w14:textId="77777777" w:rsidR="000B5899" w:rsidRPr="007D0513" w:rsidRDefault="00D446BC">
            <w:pPr>
              <w:spacing w:line="300" w:lineRule="auto"/>
            </w:pPr>
            <w:r w:rsidRPr="007D0513">
              <w:rPr>
                <w:b/>
                <w:bCs/>
              </w:rPr>
              <w:t>Module code:</w:t>
            </w:r>
          </w:p>
        </w:tc>
        <w:tc>
          <w:tcPr>
            <w:tcW w:w="6612" w:type="dxa"/>
            <w:shd w:val="clear" w:color="auto" w:fill="EDEDED" w:themeFill="accent3" w:themeFillTint="33"/>
          </w:tcPr>
          <w:p w14:paraId="4899CAE9" w14:textId="77777777" w:rsidR="000B5899" w:rsidRPr="007D0513" w:rsidRDefault="00D446BC">
            <w:pPr>
              <w:spacing w:line="300" w:lineRule="auto"/>
              <w:cnfStyle w:val="000000000000" w:firstRow="0" w:lastRow="0" w:firstColumn="0" w:lastColumn="0" w:oddVBand="0" w:evenVBand="0" w:oddHBand="0" w:evenHBand="0" w:firstRowFirstColumn="0" w:firstRowLastColumn="0" w:lastRowFirstColumn="0" w:lastRowLastColumn="0"/>
            </w:pPr>
            <w:r w:rsidRPr="007D0513">
              <w:t>LCHS4003</w:t>
            </w:r>
          </w:p>
        </w:tc>
      </w:tr>
      <w:tr w:rsidR="000B5899" w:rsidRPr="007D0513" w14:paraId="4B88D25D" w14:textId="77777777" w:rsidTr="00AB0DC6">
        <w:trPr>
          <w:cnfStyle w:val="000000100000" w:firstRow="0" w:lastRow="0" w:firstColumn="0" w:lastColumn="0" w:oddVBand="0" w:evenVBand="0" w:oddHBand="1" w:evenHBand="0" w:firstRowFirstColumn="0" w:firstRowLastColumn="0" w:lastRowFirstColumn="0" w:lastRowLastColumn="0"/>
          <w:trHeight w:val="402"/>
        </w:trPr>
        <w:tc>
          <w:tcPr>
            <w:cnfStyle w:val="000010000000" w:firstRow="0" w:lastRow="0" w:firstColumn="0" w:lastColumn="0" w:oddVBand="1" w:evenVBand="0" w:oddHBand="0" w:evenHBand="0" w:firstRowFirstColumn="0" w:firstRowLastColumn="0" w:lastRowFirstColumn="0" w:lastRowLastColumn="0"/>
            <w:tcW w:w="3168" w:type="dxa"/>
            <w:shd w:val="clear" w:color="auto" w:fill="E2EFD9" w:themeFill="accent6" w:themeFillTint="33"/>
          </w:tcPr>
          <w:p w14:paraId="5675920F" w14:textId="77777777" w:rsidR="000B5899" w:rsidRPr="007D0513" w:rsidRDefault="00D446BC">
            <w:pPr>
              <w:spacing w:line="300" w:lineRule="auto"/>
            </w:pPr>
            <w:r w:rsidRPr="007D0513">
              <w:rPr>
                <w:b/>
                <w:bCs/>
              </w:rPr>
              <w:t>Assignment title:</w:t>
            </w:r>
          </w:p>
        </w:tc>
        <w:tc>
          <w:tcPr>
            <w:tcW w:w="6612" w:type="dxa"/>
            <w:shd w:val="clear" w:color="auto" w:fill="EDEDED" w:themeFill="accent3" w:themeFillTint="33"/>
          </w:tcPr>
          <w:p w14:paraId="77712AEE" w14:textId="77777777" w:rsidR="000B5899" w:rsidRPr="007D0513" w:rsidRDefault="00D446BC">
            <w:pPr>
              <w:spacing w:line="300" w:lineRule="auto"/>
              <w:cnfStyle w:val="000000100000" w:firstRow="0" w:lastRow="0" w:firstColumn="0" w:lastColumn="0" w:oddVBand="0" w:evenVBand="0" w:oddHBand="1" w:evenHBand="0" w:firstRowFirstColumn="0" w:firstRowLastColumn="0" w:lastRowFirstColumn="0" w:lastRowLastColumn="0"/>
            </w:pPr>
            <w:r w:rsidRPr="007D0513">
              <w:t>Component 1: Portfolio – Two Tasks</w:t>
            </w:r>
          </w:p>
        </w:tc>
      </w:tr>
      <w:tr w:rsidR="000B5899" w:rsidRPr="007D0513" w14:paraId="4B3AB3C0" w14:textId="77777777" w:rsidTr="00AB0DC6">
        <w:trPr>
          <w:trHeight w:val="386"/>
        </w:trPr>
        <w:tc>
          <w:tcPr>
            <w:cnfStyle w:val="000010000000" w:firstRow="0" w:lastRow="0" w:firstColumn="0" w:lastColumn="0" w:oddVBand="1" w:evenVBand="0" w:oddHBand="0" w:evenHBand="0" w:firstRowFirstColumn="0" w:firstRowLastColumn="0" w:lastRowFirstColumn="0" w:lastRowLastColumn="0"/>
            <w:tcW w:w="3168" w:type="dxa"/>
            <w:shd w:val="clear" w:color="auto" w:fill="E2EFD9" w:themeFill="accent6" w:themeFillTint="33"/>
          </w:tcPr>
          <w:p w14:paraId="5AFB14D2" w14:textId="77777777" w:rsidR="000B5899" w:rsidRPr="007D0513" w:rsidRDefault="00D446BC">
            <w:pPr>
              <w:spacing w:line="300" w:lineRule="auto"/>
            </w:pPr>
            <w:r w:rsidRPr="007D0513">
              <w:rPr>
                <w:b/>
                <w:bCs/>
              </w:rPr>
              <w:t>Lecturer:</w:t>
            </w:r>
          </w:p>
        </w:tc>
        <w:tc>
          <w:tcPr>
            <w:tcW w:w="6612" w:type="dxa"/>
            <w:shd w:val="clear" w:color="auto" w:fill="EDEDED" w:themeFill="accent3" w:themeFillTint="33"/>
          </w:tcPr>
          <w:p w14:paraId="6D5AB0BA" w14:textId="77777777" w:rsidR="000B5899" w:rsidRPr="007D0513" w:rsidRDefault="00D446BC">
            <w:pPr>
              <w:spacing w:line="300" w:lineRule="auto"/>
              <w:cnfStyle w:val="000000000000" w:firstRow="0" w:lastRow="0" w:firstColumn="0" w:lastColumn="0" w:oddVBand="0" w:evenVBand="0" w:oddHBand="0" w:evenHBand="0" w:firstRowFirstColumn="0" w:firstRowLastColumn="0" w:lastRowFirstColumn="0" w:lastRowLastColumn="0"/>
            </w:pPr>
            <w:r w:rsidRPr="007D0513">
              <w:t xml:space="preserve">Muhammad </w:t>
            </w:r>
            <w:proofErr w:type="spellStart"/>
            <w:r w:rsidRPr="007D0513">
              <w:t>Aliyu</w:t>
            </w:r>
            <w:proofErr w:type="spellEnd"/>
            <w:r w:rsidRPr="007D0513">
              <w:t xml:space="preserve"> (Module Lead)</w:t>
            </w:r>
          </w:p>
        </w:tc>
      </w:tr>
      <w:tr w:rsidR="000B5899" w:rsidRPr="007D0513" w14:paraId="65A13885" w14:textId="77777777" w:rsidTr="00AB0DC6">
        <w:trPr>
          <w:cnfStyle w:val="000000100000" w:firstRow="0" w:lastRow="0" w:firstColumn="0" w:lastColumn="0" w:oddVBand="0" w:evenVBand="0" w:oddHBand="1" w:evenHBand="0" w:firstRowFirstColumn="0" w:firstRowLastColumn="0" w:lastRowFirstColumn="0" w:lastRowLastColumn="0"/>
          <w:trHeight w:val="386"/>
        </w:trPr>
        <w:tc>
          <w:tcPr>
            <w:cnfStyle w:val="000010000000" w:firstRow="0" w:lastRow="0" w:firstColumn="0" w:lastColumn="0" w:oddVBand="1" w:evenVBand="0" w:oddHBand="0" w:evenHBand="0" w:firstRowFirstColumn="0" w:firstRowLastColumn="0" w:lastRowFirstColumn="0" w:lastRowLastColumn="0"/>
            <w:tcW w:w="3168" w:type="dxa"/>
            <w:shd w:val="clear" w:color="auto" w:fill="E2EFD9" w:themeFill="accent6" w:themeFillTint="33"/>
          </w:tcPr>
          <w:p w14:paraId="260EA10C" w14:textId="77777777" w:rsidR="000B5899" w:rsidRPr="007D0513" w:rsidRDefault="00D446BC">
            <w:pPr>
              <w:spacing w:line="300" w:lineRule="auto"/>
            </w:pPr>
            <w:r w:rsidRPr="007D0513">
              <w:rPr>
                <w:b/>
                <w:bCs/>
              </w:rPr>
              <w:t>Student name:</w:t>
            </w:r>
          </w:p>
        </w:tc>
        <w:tc>
          <w:tcPr>
            <w:tcW w:w="6612" w:type="dxa"/>
            <w:shd w:val="clear" w:color="auto" w:fill="EDEDED" w:themeFill="accent3" w:themeFillTint="33"/>
          </w:tcPr>
          <w:p w14:paraId="1A450A1A" w14:textId="42F88B16" w:rsidR="000B5899" w:rsidRPr="007D0513" w:rsidRDefault="00804F9D">
            <w:pPr>
              <w:spacing w:line="300" w:lineRule="auto"/>
              <w:cnfStyle w:val="000000100000" w:firstRow="0" w:lastRow="0" w:firstColumn="0" w:lastColumn="0" w:oddVBand="0" w:evenVBand="0" w:oddHBand="1" w:evenHBand="0" w:firstRowFirstColumn="0" w:firstRowLastColumn="0" w:lastRowFirstColumn="0" w:lastRowLastColumn="0"/>
            </w:pPr>
            <w:r w:rsidRPr="00804F9D">
              <w:t>Asha Yassin</w:t>
            </w:r>
          </w:p>
        </w:tc>
      </w:tr>
      <w:tr w:rsidR="000B5899" w:rsidRPr="007D0513" w14:paraId="7F55BBCB" w14:textId="77777777" w:rsidTr="00AB0DC6">
        <w:trPr>
          <w:trHeight w:val="386"/>
        </w:trPr>
        <w:tc>
          <w:tcPr>
            <w:cnfStyle w:val="000010000000" w:firstRow="0" w:lastRow="0" w:firstColumn="0" w:lastColumn="0" w:oddVBand="1" w:evenVBand="0" w:oddHBand="0" w:evenHBand="0" w:firstRowFirstColumn="0" w:firstRowLastColumn="0" w:lastRowFirstColumn="0" w:lastRowLastColumn="0"/>
            <w:tcW w:w="3168" w:type="dxa"/>
            <w:shd w:val="clear" w:color="auto" w:fill="E2EFD9" w:themeFill="accent6" w:themeFillTint="33"/>
          </w:tcPr>
          <w:p w14:paraId="7502458B" w14:textId="77777777" w:rsidR="000B5899" w:rsidRPr="007D0513" w:rsidRDefault="00D446BC">
            <w:pPr>
              <w:spacing w:line="300" w:lineRule="auto"/>
            </w:pPr>
            <w:r w:rsidRPr="007D0513">
              <w:rPr>
                <w:b/>
                <w:bCs/>
              </w:rPr>
              <w:t>Student ID number:</w:t>
            </w:r>
          </w:p>
        </w:tc>
        <w:tc>
          <w:tcPr>
            <w:tcW w:w="6612" w:type="dxa"/>
            <w:shd w:val="clear" w:color="auto" w:fill="EDEDED" w:themeFill="accent3" w:themeFillTint="33"/>
          </w:tcPr>
          <w:p w14:paraId="7332CFAB" w14:textId="71E1C397" w:rsidR="000B5899" w:rsidRPr="007D0513" w:rsidRDefault="00804F9D">
            <w:pPr>
              <w:spacing w:line="300" w:lineRule="auto"/>
              <w:cnfStyle w:val="000000000000" w:firstRow="0" w:lastRow="0" w:firstColumn="0" w:lastColumn="0" w:oddVBand="0" w:evenVBand="0" w:oddHBand="0" w:evenHBand="0" w:firstRowFirstColumn="0" w:firstRowLastColumn="0" w:lastRowFirstColumn="0" w:lastRowLastColumn="0"/>
            </w:pPr>
            <w:r w:rsidRPr="00804F9D">
              <w:t>2531858</w:t>
            </w:r>
          </w:p>
        </w:tc>
      </w:tr>
      <w:tr w:rsidR="000B5899" w:rsidRPr="007D0513" w14:paraId="540B1E50" w14:textId="77777777" w:rsidTr="00AB0DC6">
        <w:trPr>
          <w:cnfStyle w:val="000000100000" w:firstRow="0" w:lastRow="0" w:firstColumn="0" w:lastColumn="0" w:oddVBand="0" w:evenVBand="0" w:oddHBand="1" w:evenHBand="0" w:firstRowFirstColumn="0" w:firstRowLastColumn="0" w:lastRowFirstColumn="0" w:lastRowLastColumn="0"/>
          <w:trHeight w:val="386"/>
        </w:trPr>
        <w:tc>
          <w:tcPr>
            <w:cnfStyle w:val="000010000000" w:firstRow="0" w:lastRow="0" w:firstColumn="0" w:lastColumn="0" w:oddVBand="1" w:evenVBand="0" w:oddHBand="0" w:evenHBand="0" w:firstRowFirstColumn="0" w:firstRowLastColumn="0" w:lastRowFirstColumn="0" w:lastRowLastColumn="0"/>
            <w:tcW w:w="3168" w:type="dxa"/>
            <w:shd w:val="clear" w:color="auto" w:fill="E2EFD9" w:themeFill="accent6" w:themeFillTint="33"/>
          </w:tcPr>
          <w:p w14:paraId="17125183" w14:textId="77777777" w:rsidR="000B5899" w:rsidRPr="007D0513" w:rsidRDefault="00D446BC">
            <w:pPr>
              <w:spacing w:line="300" w:lineRule="auto"/>
            </w:pPr>
            <w:r w:rsidRPr="007D0513">
              <w:rPr>
                <w:b/>
                <w:bCs/>
              </w:rPr>
              <w:t>Word count (equivalent):</w:t>
            </w:r>
          </w:p>
        </w:tc>
        <w:tc>
          <w:tcPr>
            <w:tcW w:w="6612" w:type="dxa"/>
            <w:shd w:val="clear" w:color="auto" w:fill="EDEDED" w:themeFill="accent3" w:themeFillTint="33"/>
          </w:tcPr>
          <w:p w14:paraId="34CDBE52" w14:textId="77777777" w:rsidR="000B5899" w:rsidRPr="007D0513" w:rsidRDefault="00B12E66">
            <w:pPr>
              <w:spacing w:line="300" w:lineRule="auto"/>
              <w:cnfStyle w:val="000000100000" w:firstRow="0" w:lastRow="0" w:firstColumn="0" w:lastColumn="0" w:oddVBand="0" w:evenVBand="0" w:oddHBand="1" w:evenHBand="0" w:firstRowFirstColumn="0" w:firstRowLastColumn="0" w:lastRowFirstColumn="0" w:lastRowLastColumn="0"/>
            </w:pPr>
            <w:r>
              <w:t>1,530 (Task 1 – 900; Task 2 – 63</w:t>
            </w:r>
            <w:r w:rsidR="00D446BC" w:rsidRPr="007D0513">
              <w:t>0)</w:t>
            </w:r>
            <w:r w:rsidR="007D0513">
              <w:t xml:space="preserve"> [excluding references]</w:t>
            </w:r>
          </w:p>
        </w:tc>
      </w:tr>
    </w:tbl>
    <w:p w14:paraId="4996CAB0" w14:textId="77777777" w:rsidR="000B5899" w:rsidRDefault="00D446BC">
      <w:r>
        <w:br w:type="page"/>
      </w:r>
    </w:p>
    <w:p w14:paraId="38EAA3CB" w14:textId="77777777" w:rsidR="000B5899" w:rsidRDefault="00D446BC">
      <w:r>
        <w:rPr>
          <w:b/>
          <w:bCs/>
          <w:color w:val="0E3A42"/>
          <w:sz w:val="28"/>
          <w:szCs w:val="28"/>
        </w:rPr>
        <w:t>Task 1: Poster</w:t>
      </w:r>
    </w:p>
    <w:tbl>
      <w:tblPr>
        <w:tblW w:w="9465" w:type="dxa"/>
        <w:tblBorders>
          <w:top w:val="single" w:sz="8" w:space="0" w:color="0E3A42"/>
          <w:left w:val="single" w:sz="8" w:space="0" w:color="0E3A42"/>
          <w:bottom w:val="single" w:sz="8" w:space="0" w:color="0E3A42"/>
          <w:right w:val="single" w:sz="8" w:space="0" w:color="0E3A42"/>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465"/>
      </w:tblGrid>
      <w:tr w:rsidR="000B5899" w14:paraId="462491B8" w14:textId="77777777" w:rsidTr="00835DB2">
        <w:trPr>
          <w:trHeight w:val="1046"/>
        </w:trPr>
        <w:tc>
          <w:tcPr>
            <w:tcW w:w="9422" w:type="dxa"/>
            <w:shd w:val="clear" w:color="auto" w:fill="0E3A42"/>
            <w:tcMar>
              <w:top w:w="160" w:type="dxa"/>
              <w:left w:w="160" w:type="dxa"/>
              <w:bottom w:w="160" w:type="dxa"/>
              <w:right w:w="160" w:type="dxa"/>
            </w:tcMar>
          </w:tcPr>
          <w:p w14:paraId="1C9A8521" w14:textId="77777777" w:rsidR="000B5899" w:rsidRDefault="00D446BC">
            <w:pPr>
              <w:spacing w:after="40" w:line="240" w:lineRule="auto"/>
              <w:jc w:val="center"/>
            </w:pPr>
            <w:r>
              <w:rPr>
                <w:b/>
                <w:bCs/>
                <w:color w:val="F7F4EE"/>
                <w:sz w:val="31"/>
                <w:szCs w:val="31"/>
              </w:rPr>
              <w:t>AMBULANCE SERVICES IN THE UNITED KINGDOM</w:t>
            </w:r>
          </w:p>
          <w:p w14:paraId="6EF2096B" w14:textId="77777777" w:rsidR="000B5899" w:rsidRDefault="000B5899">
            <w:pPr>
              <w:pBdr>
                <w:bottom w:val="single" w:sz="10" w:space="1" w:color="B8862F"/>
              </w:pBdr>
              <w:spacing w:before="30" w:after="60" w:line="200" w:lineRule="auto"/>
              <w:jc w:val="center"/>
            </w:pPr>
          </w:p>
          <w:p w14:paraId="5660442F" w14:textId="77777777" w:rsidR="000B5899" w:rsidRDefault="00D446BC">
            <w:pPr>
              <w:spacing w:after="0" w:line="240" w:lineRule="auto"/>
              <w:jc w:val="center"/>
            </w:pPr>
            <w:r>
              <w:rPr>
                <w:i/>
                <w:iCs/>
                <w:color w:val="F7F4EE"/>
                <w:sz w:val="24"/>
                <w:szCs w:val="24"/>
              </w:rPr>
              <w:t>An emergency healthcare service of the NHS</w:t>
            </w:r>
          </w:p>
        </w:tc>
      </w:tr>
    </w:tbl>
    <w:tbl>
      <w:tblPr>
        <w:tblpPr w:leftFromText="180" w:rightFromText="180" w:vertAnchor="text" w:horzAnchor="margin" w:tblpY="201"/>
        <w:tblW w:w="9385"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127"/>
        <w:gridCol w:w="3129"/>
        <w:gridCol w:w="3129"/>
      </w:tblGrid>
      <w:tr w:rsidR="00835DB2" w14:paraId="036E0846" w14:textId="77777777" w:rsidTr="00835DB2">
        <w:trPr>
          <w:trHeight w:val="546"/>
        </w:trPr>
        <w:tc>
          <w:tcPr>
            <w:tcW w:w="3127" w:type="dxa"/>
            <w:shd w:val="clear" w:color="auto" w:fill="0E3A42"/>
            <w:tcMar>
              <w:top w:w="80" w:type="dxa"/>
              <w:left w:w="80" w:type="dxa"/>
              <w:bottom w:w="80" w:type="dxa"/>
              <w:right w:w="80" w:type="dxa"/>
            </w:tcMar>
          </w:tcPr>
          <w:p w14:paraId="03F72719" w14:textId="77777777" w:rsidR="00835DB2" w:rsidRDefault="00835DB2" w:rsidP="00835DB2">
            <w:pPr>
              <w:spacing w:after="0" w:line="240" w:lineRule="auto"/>
              <w:jc w:val="center"/>
              <w:rPr>
                <w:b/>
                <w:bCs/>
                <w:color w:val="F7F4EE"/>
              </w:rPr>
            </w:pPr>
            <w:r>
              <w:rPr>
                <w:b/>
                <w:bCs/>
                <w:color w:val="F7F4EE"/>
              </w:rPr>
              <w:t xml:space="preserve">10 NHS ambulance trusts </w:t>
            </w:r>
          </w:p>
          <w:p w14:paraId="3BA3A919" w14:textId="77777777" w:rsidR="00835DB2" w:rsidRDefault="00835DB2" w:rsidP="00835DB2">
            <w:pPr>
              <w:spacing w:after="0" w:line="240" w:lineRule="auto"/>
              <w:jc w:val="center"/>
            </w:pPr>
            <w:r>
              <w:rPr>
                <w:b/>
                <w:bCs/>
                <w:color w:val="F7F4EE"/>
              </w:rPr>
              <w:t>in England</w:t>
            </w:r>
          </w:p>
        </w:tc>
        <w:tc>
          <w:tcPr>
            <w:tcW w:w="3129" w:type="dxa"/>
            <w:shd w:val="clear" w:color="auto" w:fill="0E3A42"/>
            <w:tcMar>
              <w:top w:w="80" w:type="dxa"/>
              <w:left w:w="80" w:type="dxa"/>
              <w:bottom w:w="80" w:type="dxa"/>
              <w:right w:w="80" w:type="dxa"/>
            </w:tcMar>
          </w:tcPr>
          <w:p w14:paraId="109AF4B5" w14:textId="77777777" w:rsidR="00835DB2" w:rsidRDefault="00835DB2" w:rsidP="00835DB2">
            <w:pPr>
              <w:spacing w:after="0" w:line="240" w:lineRule="auto"/>
              <w:jc w:val="center"/>
            </w:pPr>
            <w:r>
              <w:rPr>
                <w:b/>
                <w:bCs/>
                <w:color w:val="F7F4EE"/>
              </w:rPr>
              <w:t>999 in use since 1937</w:t>
            </w:r>
          </w:p>
        </w:tc>
        <w:tc>
          <w:tcPr>
            <w:tcW w:w="3129" w:type="dxa"/>
            <w:shd w:val="clear" w:color="auto" w:fill="0E3A42"/>
            <w:tcMar>
              <w:top w:w="80" w:type="dxa"/>
              <w:left w:w="80" w:type="dxa"/>
              <w:bottom w:w="80" w:type="dxa"/>
              <w:right w:w="80" w:type="dxa"/>
            </w:tcMar>
          </w:tcPr>
          <w:p w14:paraId="23AA8851" w14:textId="77777777" w:rsidR="00835DB2" w:rsidRDefault="00835DB2" w:rsidP="00835DB2">
            <w:pPr>
              <w:spacing w:after="0" w:line="240" w:lineRule="auto"/>
              <w:jc w:val="center"/>
              <w:rPr>
                <w:b/>
                <w:bCs/>
                <w:color w:val="F7F4EE"/>
              </w:rPr>
            </w:pPr>
            <w:r>
              <w:rPr>
                <w:b/>
                <w:bCs/>
                <w:color w:val="F7F4EE"/>
              </w:rPr>
              <w:t xml:space="preserve">4 response categories </w:t>
            </w:r>
          </w:p>
          <w:p w14:paraId="603C469E" w14:textId="77777777" w:rsidR="00835DB2" w:rsidRDefault="00835DB2" w:rsidP="00835DB2">
            <w:pPr>
              <w:spacing w:after="0" w:line="240" w:lineRule="auto"/>
              <w:jc w:val="center"/>
            </w:pPr>
            <w:r>
              <w:rPr>
                <w:b/>
                <w:bCs/>
                <w:color w:val="F7F4EE"/>
              </w:rPr>
              <w:t>(C1–C4)</w:t>
            </w:r>
          </w:p>
        </w:tc>
      </w:tr>
    </w:tbl>
    <w:tbl>
      <w:tblPr>
        <w:tblpPr w:leftFromText="180" w:rightFromText="180" w:vertAnchor="text" w:horzAnchor="margin" w:tblpY="1058"/>
        <w:tblW w:w="9494" w:type="dxa"/>
        <w:tblBorders>
          <w:top w:val="single" w:sz="4" w:space="0" w:color="E2DACB"/>
          <w:left w:val="single" w:sz="4" w:space="0" w:color="E2DACB"/>
          <w:bottom w:val="single" w:sz="4" w:space="0" w:color="E2DACB"/>
          <w:right w:val="single" w:sz="4" w:space="0" w:color="E2DACB"/>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494"/>
      </w:tblGrid>
      <w:tr w:rsidR="00835DB2" w14:paraId="489832FF" w14:textId="77777777" w:rsidTr="00835DB2">
        <w:trPr>
          <w:trHeight w:val="307"/>
        </w:trPr>
        <w:tc>
          <w:tcPr>
            <w:tcW w:w="9494" w:type="dxa"/>
            <w:shd w:val="clear" w:color="auto" w:fill="0E3A42"/>
            <w:tcMar>
              <w:top w:w="60" w:type="dxa"/>
              <w:left w:w="120" w:type="dxa"/>
              <w:bottom w:w="60" w:type="dxa"/>
              <w:right w:w="120" w:type="dxa"/>
            </w:tcMar>
          </w:tcPr>
          <w:p w14:paraId="2F4015FC" w14:textId="77777777" w:rsidR="00835DB2" w:rsidRDefault="00835DB2" w:rsidP="00835DB2">
            <w:pPr>
              <w:spacing w:after="0" w:line="240" w:lineRule="auto"/>
            </w:pPr>
            <w:r>
              <w:rPr>
                <w:b/>
                <w:bCs/>
                <w:color w:val="F7F4EE"/>
                <w:sz w:val="26"/>
                <w:szCs w:val="26"/>
              </w:rPr>
              <w:t>What is the ambulance service?</w:t>
            </w:r>
          </w:p>
        </w:tc>
      </w:tr>
      <w:tr w:rsidR="00835DB2" w14:paraId="3C7AC039" w14:textId="77777777" w:rsidTr="007D0513">
        <w:trPr>
          <w:trHeight w:val="1835"/>
        </w:trPr>
        <w:tc>
          <w:tcPr>
            <w:tcW w:w="9494" w:type="dxa"/>
            <w:shd w:val="clear" w:color="auto" w:fill="DEEAF6" w:themeFill="accent1" w:themeFillTint="33"/>
            <w:tcMar>
              <w:top w:w="60" w:type="dxa"/>
              <w:left w:w="160" w:type="dxa"/>
              <w:bottom w:w="60" w:type="dxa"/>
              <w:right w:w="160" w:type="dxa"/>
            </w:tcMar>
          </w:tcPr>
          <w:p w14:paraId="11E9414C" w14:textId="77777777" w:rsidR="00835DB2" w:rsidRDefault="00835DB2" w:rsidP="00835DB2">
            <w:pPr>
              <w:spacing w:after="0"/>
              <w:jc w:val="both"/>
            </w:pPr>
            <w:r>
              <w:t>The ambulance service is an emergency healthcare service. When someone calls 999, trained call handlers decide how urgent the problem is, send help, and give advice. Paramedics and technicians treat patients at the scene and take them to hospital when this is needed. In England, the service is run by ten NHS ambulance trusts. It also runs the NHS 111 service for urgent problems that are not life-threatening (Nuffield Trust, 2026).</w:t>
            </w:r>
          </w:p>
        </w:tc>
      </w:tr>
    </w:tbl>
    <w:p w14:paraId="4C2D2CB6" w14:textId="77777777" w:rsidR="000B5899" w:rsidRDefault="000B5899">
      <w:pPr>
        <w:spacing w:after="40"/>
      </w:pPr>
    </w:p>
    <w:tbl>
      <w:tblPr>
        <w:tblpPr w:leftFromText="180" w:rightFromText="180" w:vertAnchor="text" w:horzAnchor="margin" w:tblpY="-63"/>
        <w:tblW w:w="9602" w:type="dxa"/>
        <w:tblBorders>
          <w:top w:val="single" w:sz="4" w:space="0" w:color="E2DACB"/>
          <w:left w:val="single" w:sz="4" w:space="0" w:color="E2DACB"/>
          <w:bottom w:val="single" w:sz="4" w:space="0" w:color="E2DACB"/>
          <w:right w:val="single" w:sz="4" w:space="0" w:color="E2DACB"/>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602"/>
      </w:tblGrid>
      <w:tr w:rsidR="00835DB2" w14:paraId="6DB0B0E0" w14:textId="77777777" w:rsidTr="00835DB2">
        <w:trPr>
          <w:trHeight w:val="304"/>
        </w:trPr>
        <w:tc>
          <w:tcPr>
            <w:tcW w:w="9602" w:type="dxa"/>
            <w:shd w:val="clear" w:color="auto" w:fill="0E3A42"/>
            <w:tcMar>
              <w:top w:w="60" w:type="dxa"/>
              <w:left w:w="120" w:type="dxa"/>
              <w:bottom w:w="60" w:type="dxa"/>
              <w:right w:w="120" w:type="dxa"/>
            </w:tcMar>
          </w:tcPr>
          <w:p w14:paraId="7C19326E" w14:textId="77777777" w:rsidR="00835DB2" w:rsidRDefault="00835DB2" w:rsidP="00835DB2">
            <w:pPr>
              <w:spacing w:after="0" w:line="240" w:lineRule="auto"/>
            </w:pPr>
            <w:r>
              <w:rPr>
                <w:b/>
                <w:bCs/>
                <w:color w:val="F7F4EE"/>
                <w:sz w:val="26"/>
                <w:szCs w:val="26"/>
              </w:rPr>
              <w:t>A brief history of the service</w:t>
            </w:r>
          </w:p>
        </w:tc>
      </w:tr>
      <w:tr w:rsidR="00835DB2" w14:paraId="44E4EC08" w14:textId="77777777" w:rsidTr="007D0513">
        <w:trPr>
          <w:trHeight w:val="3011"/>
        </w:trPr>
        <w:tc>
          <w:tcPr>
            <w:tcW w:w="9602" w:type="dxa"/>
            <w:shd w:val="clear" w:color="auto" w:fill="E2EFD9" w:themeFill="accent6" w:themeFillTint="33"/>
            <w:tcMar>
              <w:top w:w="60" w:type="dxa"/>
              <w:left w:w="160" w:type="dxa"/>
              <w:bottom w:w="60" w:type="dxa"/>
              <w:right w:w="160" w:type="dxa"/>
            </w:tcMar>
          </w:tcPr>
          <w:p w14:paraId="2E7E7896" w14:textId="77777777" w:rsidR="00835DB2" w:rsidRDefault="00835DB2" w:rsidP="00835DB2">
            <w:pPr>
              <w:spacing w:after="0"/>
              <w:jc w:val="both"/>
            </w:pPr>
            <w:r>
              <w:t>People have carried the sick and injured for centuries, but today’s service is much newer. In the 1890s, horse-drawn stretchers were staffed by police and firefighters, and the first petrol ambulance appeared in 1904 (London Ambulance Service, no date). The 999 emergency number began in London in 1937 and was the first of its kind in the world (History.co.uk, no date). When the NHS started in 1948, ambulances were made available for everyone who needed them. London’s nine separate services were joined into one in 1965. From the 1970s and 1980s, defibrillators were added and the paramedic role grew, and paramedics have been professionally regulated since 2000 (London Ambulance Service, no date).</w:t>
            </w:r>
          </w:p>
        </w:tc>
      </w:tr>
    </w:tbl>
    <w:p w14:paraId="1D3FCB12" w14:textId="77777777" w:rsidR="000B5899" w:rsidRDefault="00835DB2" w:rsidP="004937B2">
      <w:pPr>
        <w:spacing w:after="20"/>
      </w:pPr>
      <w:r w:rsidRPr="003E0944">
        <w:rPr>
          <w:noProof/>
        </w:rPr>
        <w:drawing>
          <wp:inline distT="0" distB="0" distL="0" distR="0" wp14:anchorId="45A0A664" wp14:editId="3F1C31BB">
            <wp:extent cx="5928360" cy="1790608"/>
            <wp:effectExtent l="133350" t="76200" r="53340" b="114935"/>
            <wp:docPr id="3" name="Picture 3" descr="C:\Users\LENOVO\AppData\Local\Packages\AdobeSystemsIncorporated.AdobePhotoshopExpress_mtcwf2zmmt10c\LocalState\Share\Images\AdobeExpressPhotos_6610c2e9a7e44a62ab74b94573a23d1d_CopyEdit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AppData\Local\Packages\AdobeSystemsIncorporated.AdobePhotoshopExpress_mtcwf2zmmt10c\LocalState\Share\Images\AdobeExpressPhotos_6610c2e9a7e44a62ab74b94573a23d1d_CopyEdited.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50470" cy="1797286"/>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335E350D" w14:textId="77777777" w:rsidR="000B5899" w:rsidRDefault="000B5899">
      <w:pPr>
        <w:spacing w:before="80" w:after="80" w:line="240" w:lineRule="auto"/>
        <w:jc w:val="center"/>
      </w:pPr>
    </w:p>
    <w:tbl>
      <w:tblPr>
        <w:tblW w:w="9660" w:type="dxa"/>
        <w:tblBorders>
          <w:top w:val="single" w:sz="4" w:space="0" w:color="E2DACB"/>
          <w:left w:val="single" w:sz="4" w:space="0" w:color="E2DACB"/>
          <w:bottom w:val="single" w:sz="4" w:space="0" w:color="E2DACB"/>
          <w:right w:val="single" w:sz="4" w:space="0" w:color="E2DACB"/>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660"/>
      </w:tblGrid>
      <w:tr w:rsidR="000B5899" w14:paraId="0CEC159F" w14:textId="77777777" w:rsidTr="007D0513">
        <w:tc>
          <w:tcPr>
            <w:tcW w:w="9660" w:type="dxa"/>
            <w:shd w:val="clear" w:color="auto" w:fill="0E3A42"/>
            <w:tcMar>
              <w:top w:w="60" w:type="dxa"/>
              <w:left w:w="120" w:type="dxa"/>
              <w:bottom w:w="60" w:type="dxa"/>
              <w:right w:w="120" w:type="dxa"/>
            </w:tcMar>
          </w:tcPr>
          <w:p w14:paraId="40260073" w14:textId="77777777" w:rsidR="000B5899" w:rsidRDefault="00D446BC">
            <w:pPr>
              <w:spacing w:after="0" w:line="240" w:lineRule="auto"/>
            </w:pPr>
            <w:r>
              <w:rPr>
                <w:b/>
                <w:bCs/>
                <w:color w:val="F7F4EE"/>
                <w:sz w:val="26"/>
                <w:szCs w:val="26"/>
              </w:rPr>
              <w:t>How the service works today</w:t>
            </w:r>
          </w:p>
        </w:tc>
      </w:tr>
      <w:tr w:rsidR="000B5899" w14:paraId="60FF751C" w14:textId="77777777" w:rsidTr="007D0513">
        <w:tc>
          <w:tcPr>
            <w:tcW w:w="9660" w:type="dxa"/>
            <w:shd w:val="clear" w:color="auto" w:fill="DEEAF6" w:themeFill="accent1" w:themeFillTint="33"/>
            <w:tcMar>
              <w:top w:w="60" w:type="dxa"/>
              <w:left w:w="160" w:type="dxa"/>
              <w:bottom w:w="60" w:type="dxa"/>
              <w:right w:w="160" w:type="dxa"/>
            </w:tcMar>
          </w:tcPr>
          <w:p w14:paraId="58062012" w14:textId="77777777" w:rsidR="000B5899" w:rsidRPr="007D0513" w:rsidRDefault="00D446BC" w:rsidP="006D3292">
            <w:pPr>
              <w:spacing w:after="60"/>
              <w:jc w:val="both"/>
              <w:rPr>
                <w:sz w:val="21"/>
                <w:szCs w:val="21"/>
              </w:rPr>
            </w:pPr>
            <w:r w:rsidRPr="007D0513">
              <w:rPr>
                <w:sz w:val="21"/>
                <w:szCs w:val="21"/>
              </w:rPr>
              <w:t>Today, 999 calls are sorted into four categories, based on how serious the problem is (Nuffield Trust, 2026):</w:t>
            </w:r>
          </w:p>
          <w:p w14:paraId="7E092BED" w14:textId="77777777" w:rsidR="000B5899" w:rsidRPr="007D0513" w:rsidRDefault="00D446BC" w:rsidP="007D0513">
            <w:pPr>
              <w:pStyle w:val="ListParagraph"/>
              <w:numPr>
                <w:ilvl w:val="0"/>
                <w:numId w:val="2"/>
              </w:numPr>
              <w:spacing w:after="0"/>
              <w:jc w:val="both"/>
              <w:rPr>
                <w:sz w:val="21"/>
                <w:szCs w:val="21"/>
              </w:rPr>
            </w:pPr>
            <w:r w:rsidRPr="007D0513">
              <w:rPr>
                <w:sz w:val="21"/>
                <w:szCs w:val="21"/>
              </w:rPr>
              <w:t>Category 1 – life-threatening, such as cardiac arrest (target: 7 minutes on average).</w:t>
            </w:r>
          </w:p>
          <w:p w14:paraId="40E717B0" w14:textId="77777777" w:rsidR="000B5899" w:rsidRPr="007D0513" w:rsidRDefault="00D446BC" w:rsidP="007D0513">
            <w:pPr>
              <w:pStyle w:val="ListParagraph"/>
              <w:numPr>
                <w:ilvl w:val="0"/>
                <w:numId w:val="2"/>
              </w:numPr>
              <w:spacing w:after="0"/>
              <w:jc w:val="both"/>
              <w:rPr>
                <w:sz w:val="21"/>
                <w:szCs w:val="21"/>
              </w:rPr>
            </w:pPr>
            <w:r w:rsidRPr="007D0513">
              <w:rPr>
                <w:sz w:val="21"/>
                <w:szCs w:val="21"/>
              </w:rPr>
              <w:t>Category 2 – emergency, such as a stroke (target: 18 minutes on average).</w:t>
            </w:r>
          </w:p>
          <w:p w14:paraId="7C8486B0" w14:textId="77777777" w:rsidR="000B5899" w:rsidRPr="007D0513" w:rsidRDefault="00D446BC" w:rsidP="007D0513">
            <w:pPr>
              <w:pStyle w:val="ListParagraph"/>
              <w:numPr>
                <w:ilvl w:val="0"/>
                <w:numId w:val="2"/>
              </w:numPr>
              <w:spacing w:after="0"/>
              <w:jc w:val="both"/>
              <w:rPr>
                <w:sz w:val="21"/>
                <w:szCs w:val="21"/>
              </w:rPr>
            </w:pPr>
            <w:r w:rsidRPr="007D0513">
              <w:rPr>
                <w:sz w:val="21"/>
                <w:szCs w:val="21"/>
              </w:rPr>
              <w:t>Category 3 – urgent (target: 9 in 10 calls within 2 hours).</w:t>
            </w:r>
          </w:p>
          <w:p w14:paraId="03300048" w14:textId="77777777" w:rsidR="000B5899" w:rsidRPr="007D0513" w:rsidRDefault="00D446BC" w:rsidP="007D0513">
            <w:pPr>
              <w:pStyle w:val="ListParagraph"/>
              <w:numPr>
                <w:ilvl w:val="0"/>
                <w:numId w:val="2"/>
              </w:numPr>
              <w:spacing w:after="0"/>
              <w:jc w:val="both"/>
              <w:rPr>
                <w:sz w:val="21"/>
                <w:szCs w:val="21"/>
              </w:rPr>
            </w:pPr>
            <w:r w:rsidRPr="007D0513">
              <w:rPr>
                <w:sz w:val="21"/>
                <w:szCs w:val="21"/>
              </w:rPr>
              <w:t>Category 4 – less urgent (target: 9 in 10 calls within 3 hours).</w:t>
            </w:r>
          </w:p>
          <w:p w14:paraId="638784D3" w14:textId="77777777" w:rsidR="000B5899" w:rsidRPr="007D0513" w:rsidRDefault="00D446BC" w:rsidP="006D3292">
            <w:pPr>
              <w:spacing w:after="0"/>
              <w:jc w:val="both"/>
              <w:rPr>
                <w:sz w:val="21"/>
                <w:szCs w:val="21"/>
              </w:rPr>
            </w:pPr>
            <w:r w:rsidRPr="007D0513">
              <w:rPr>
                <w:sz w:val="21"/>
                <w:szCs w:val="21"/>
              </w:rPr>
              <w:t>To keep patients safe and reduce pressure on hospitals, staff may give advice over the phone (“hear and treat”) or treat people at the scene (“see and treat”), instead of always taking them to hospital.</w:t>
            </w:r>
          </w:p>
        </w:tc>
      </w:tr>
    </w:tbl>
    <w:p w14:paraId="433C9793" w14:textId="77777777" w:rsidR="006342C8" w:rsidRDefault="006D3292" w:rsidP="006D3292">
      <w:pPr>
        <w:spacing w:before="80" w:after="80" w:line="240" w:lineRule="auto"/>
        <w:jc w:val="both"/>
        <w:rPr>
          <w:b/>
          <w:bCs/>
          <w:color w:val="1F4E79" w:themeColor="accent1" w:themeShade="80"/>
          <w:sz w:val="26"/>
          <w:szCs w:val="26"/>
        </w:rPr>
      </w:pPr>
      <w:r w:rsidRPr="006D3292">
        <w:rPr>
          <w:noProof/>
        </w:rPr>
        <w:drawing>
          <wp:inline distT="0" distB="0" distL="0" distR="0" wp14:anchorId="47A81E1E" wp14:editId="1798402A">
            <wp:extent cx="5958840" cy="3206115"/>
            <wp:effectExtent l="57150" t="57150" r="99060" b="89535"/>
            <wp:docPr id="5" name="Picture 5" descr="C:\Users\LENOVO\Downloads\chart_clea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LENOVO\Downloads\chart_clear.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92735" cy="3224352"/>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8FCB88" w14:textId="77777777" w:rsidR="000B5899" w:rsidRPr="006D3292" w:rsidRDefault="00D446BC" w:rsidP="006D3292">
      <w:pPr>
        <w:spacing w:before="80" w:after="80" w:line="240" w:lineRule="auto"/>
        <w:jc w:val="both"/>
      </w:pPr>
      <w:r w:rsidRPr="00B33E9F">
        <w:rPr>
          <w:b/>
          <w:bCs/>
          <w:color w:val="1F4E79" w:themeColor="accent1" w:themeShade="80"/>
          <w:sz w:val="26"/>
          <w:szCs w:val="26"/>
        </w:rPr>
        <w:t xml:space="preserve">Two challenges </w:t>
      </w:r>
      <w:r w:rsidR="00B33E9F">
        <w:rPr>
          <w:b/>
          <w:bCs/>
          <w:color w:val="1F4E79" w:themeColor="accent1" w:themeShade="80"/>
          <w:sz w:val="26"/>
          <w:szCs w:val="26"/>
        </w:rPr>
        <w:t>t</w:t>
      </w:r>
      <w:r w:rsidRPr="00B33E9F">
        <w:rPr>
          <w:b/>
          <w:bCs/>
          <w:color w:val="1F4E79" w:themeColor="accent1" w:themeShade="80"/>
          <w:sz w:val="26"/>
          <w:szCs w:val="26"/>
        </w:rPr>
        <w:t>he service</w:t>
      </w:r>
      <w:r w:rsidR="00B33E9F">
        <w:rPr>
          <w:b/>
          <w:bCs/>
          <w:color w:val="1F4E79" w:themeColor="accent1" w:themeShade="80"/>
          <w:sz w:val="26"/>
          <w:szCs w:val="26"/>
        </w:rPr>
        <w:t xml:space="preserve"> is facing </w:t>
      </w:r>
    </w:p>
    <w:tbl>
      <w:tblPr>
        <w:tblW w:w="9600"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60"/>
        <w:gridCol w:w="5040"/>
      </w:tblGrid>
      <w:tr w:rsidR="000B5899" w:rsidRPr="007D0513" w14:paraId="604C1364" w14:textId="77777777" w:rsidTr="006342C8">
        <w:tc>
          <w:tcPr>
            <w:tcW w:w="4560" w:type="dxa"/>
            <w:tcBorders>
              <w:top w:val="single" w:sz="4" w:space="0" w:color="C4553B"/>
              <w:left w:val="single" w:sz="4" w:space="0" w:color="C4553B"/>
              <w:bottom w:val="single" w:sz="4" w:space="0" w:color="C4553B"/>
              <w:right w:val="single" w:sz="4" w:space="0" w:color="C4553B"/>
            </w:tcBorders>
            <w:shd w:val="clear" w:color="auto" w:fill="FAF1EC"/>
            <w:tcMar>
              <w:top w:w="90" w:type="dxa"/>
              <w:left w:w="150" w:type="dxa"/>
              <w:bottom w:w="90" w:type="dxa"/>
              <w:right w:w="150" w:type="dxa"/>
            </w:tcMar>
          </w:tcPr>
          <w:p w14:paraId="557FCDD0" w14:textId="77777777" w:rsidR="000B5899" w:rsidRPr="007D0513" w:rsidRDefault="00D446BC" w:rsidP="00B33E9F">
            <w:pPr>
              <w:spacing w:after="60"/>
              <w:rPr>
                <w:color w:val="1F4E79" w:themeColor="accent1" w:themeShade="80"/>
                <w:sz w:val="21"/>
                <w:szCs w:val="21"/>
              </w:rPr>
            </w:pPr>
            <w:r w:rsidRPr="007D0513">
              <w:rPr>
                <w:b/>
                <w:bCs/>
                <w:color w:val="1F4E79" w:themeColor="accent1" w:themeShade="80"/>
                <w:sz w:val="21"/>
                <w:szCs w:val="21"/>
              </w:rPr>
              <w:t>1. Rising demand and missed targets</w:t>
            </w:r>
          </w:p>
          <w:p w14:paraId="23078140" w14:textId="77777777" w:rsidR="000B5899" w:rsidRPr="007D0513" w:rsidRDefault="00D446BC" w:rsidP="00B33E9F">
            <w:pPr>
              <w:spacing w:after="0"/>
              <w:jc w:val="both"/>
              <w:rPr>
                <w:sz w:val="21"/>
                <w:szCs w:val="21"/>
              </w:rPr>
            </w:pPr>
            <w:r w:rsidRPr="007D0513">
              <w:rPr>
                <w:sz w:val="21"/>
                <w:szCs w:val="21"/>
              </w:rPr>
              <w:t>Demand for ambulances has grown, and many response-time targets are being missed. Recent figures show the Category 2 average was about 29 minutes, far above the 18-minute target (Nuffield Trust, 2026).</w:t>
            </w:r>
          </w:p>
        </w:tc>
        <w:tc>
          <w:tcPr>
            <w:tcW w:w="5040" w:type="dxa"/>
            <w:tcBorders>
              <w:top w:val="single" w:sz="4" w:space="0" w:color="C4553B"/>
              <w:left w:val="single" w:sz="4" w:space="0" w:color="C4553B"/>
              <w:bottom w:val="single" w:sz="4" w:space="0" w:color="C4553B"/>
              <w:right w:val="single" w:sz="4" w:space="0" w:color="C4553B"/>
            </w:tcBorders>
            <w:shd w:val="clear" w:color="auto" w:fill="FAF1EC"/>
            <w:tcMar>
              <w:top w:w="90" w:type="dxa"/>
              <w:left w:w="150" w:type="dxa"/>
              <w:bottom w:w="90" w:type="dxa"/>
              <w:right w:w="150" w:type="dxa"/>
            </w:tcMar>
          </w:tcPr>
          <w:p w14:paraId="71F6422C" w14:textId="77777777" w:rsidR="000B5899" w:rsidRPr="007D0513" w:rsidRDefault="00D446BC" w:rsidP="00B33E9F">
            <w:pPr>
              <w:spacing w:after="60"/>
              <w:jc w:val="both"/>
              <w:rPr>
                <w:color w:val="1F4E79" w:themeColor="accent1" w:themeShade="80"/>
                <w:sz w:val="21"/>
                <w:szCs w:val="21"/>
              </w:rPr>
            </w:pPr>
            <w:r w:rsidRPr="007D0513">
              <w:rPr>
                <w:b/>
                <w:bCs/>
                <w:color w:val="1F4E79" w:themeColor="accent1" w:themeShade="80"/>
                <w:sz w:val="21"/>
                <w:szCs w:val="21"/>
              </w:rPr>
              <w:t>2. Hospital handover delays</w:t>
            </w:r>
          </w:p>
          <w:p w14:paraId="0F558E98" w14:textId="77777777" w:rsidR="000B5899" w:rsidRPr="007D0513" w:rsidRDefault="00D446BC" w:rsidP="00B33E9F">
            <w:pPr>
              <w:spacing w:after="0"/>
              <w:jc w:val="both"/>
              <w:rPr>
                <w:sz w:val="21"/>
                <w:szCs w:val="21"/>
              </w:rPr>
            </w:pPr>
            <w:r w:rsidRPr="007D0513">
              <w:rPr>
                <w:sz w:val="21"/>
                <w:szCs w:val="21"/>
              </w:rPr>
              <w:t>Crews often wait outside busy A&amp;E departments before they can hand over patients. These delays wasted around 130,000 hours of ambulance time in only two weeks, keeping ambulances off the road and slowing responses (House of Commons Library, 2025).</w:t>
            </w:r>
          </w:p>
        </w:tc>
      </w:tr>
    </w:tbl>
    <w:p w14:paraId="6190C9AE" w14:textId="77777777" w:rsidR="000B5899" w:rsidRDefault="000B5899">
      <w:pPr>
        <w:spacing w:after="60"/>
      </w:pPr>
    </w:p>
    <w:tbl>
      <w:tblPr>
        <w:tblW w:w="9650" w:type="dxa"/>
        <w:tblBorders>
          <w:top w:val="single" w:sz="4" w:space="0" w:color="E2DACB"/>
          <w:left w:val="single" w:sz="4" w:space="0" w:color="E2DACB"/>
          <w:bottom w:val="single" w:sz="4" w:space="0" w:color="E2DACB"/>
          <w:right w:val="single" w:sz="4" w:space="0" w:color="E2DACB"/>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650"/>
      </w:tblGrid>
      <w:tr w:rsidR="000B5899" w14:paraId="3625E661" w14:textId="77777777" w:rsidTr="006342C8">
        <w:trPr>
          <w:trHeight w:val="302"/>
        </w:trPr>
        <w:tc>
          <w:tcPr>
            <w:tcW w:w="9650" w:type="dxa"/>
            <w:shd w:val="clear" w:color="auto" w:fill="0E3A42"/>
            <w:tcMar>
              <w:top w:w="60" w:type="dxa"/>
              <w:left w:w="120" w:type="dxa"/>
              <w:bottom w:w="60" w:type="dxa"/>
              <w:right w:w="120" w:type="dxa"/>
            </w:tcMar>
          </w:tcPr>
          <w:p w14:paraId="0A95F6B3" w14:textId="77777777" w:rsidR="000B5899" w:rsidRDefault="00D446BC">
            <w:pPr>
              <w:spacing w:after="0" w:line="240" w:lineRule="auto"/>
            </w:pPr>
            <w:r>
              <w:rPr>
                <w:b/>
                <w:bCs/>
                <w:color w:val="F7F4EE"/>
                <w:sz w:val="26"/>
                <w:szCs w:val="26"/>
              </w:rPr>
              <w:t>References shown in this poster</w:t>
            </w:r>
          </w:p>
        </w:tc>
      </w:tr>
      <w:tr w:rsidR="000B5899" w14:paraId="19678A6E" w14:textId="77777777" w:rsidTr="006342C8">
        <w:trPr>
          <w:trHeight w:val="690"/>
        </w:trPr>
        <w:tc>
          <w:tcPr>
            <w:tcW w:w="9650" w:type="dxa"/>
            <w:shd w:val="clear" w:color="auto" w:fill="EFEDE6"/>
            <w:tcMar>
              <w:top w:w="60" w:type="dxa"/>
              <w:left w:w="160" w:type="dxa"/>
              <w:bottom w:w="60" w:type="dxa"/>
              <w:right w:w="160" w:type="dxa"/>
            </w:tcMar>
          </w:tcPr>
          <w:p w14:paraId="6703D74D" w14:textId="77777777" w:rsidR="000B5899" w:rsidRDefault="00D446BC">
            <w:pPr>
              <w:spacing w:after="0"/>
            </w:pPr>
            <w:r>
              <w:rPr>
                <w:sz w:val="20"/>
                <w:szCs w:val="20"/>
              </w:rPr>
              <w:t>History.co.uk (no date); House of Commons Library (2025); London Ambulance Service (no date); Nuffield Trust (2026). Full details are given in the reference list at the end of this document.</w:t>
            </w:r>
          </w:p>
        </w:tc>
      </w:tr>
    </w:tbl>
    <w:p w14:paraId="34364F31" w14:textId="77777777" w:rsidR="00FF1E03" w:rsidRPr="00FF1E03" w:rsidRDefault="00FF1E03" w:rsidP="00FF1E03">
      <w:pPr>
        <w:jc w:val="both"/>
        <w:rPr>
          <w:rFonts w:eastAsia="Times New Roman"/>
          <w:b/>
          <w:sz w:val="24"/>
          <w:szCs w:val="24"/>
        </w:rPr>
      </w:pPr>
      <w:r w:rsidRPr="00FF1E03">
        <w:rPr>
          <w:rFonts w:eastAsia="Times New Roman"/>
          <w:b/>
          <w:bCs/>
          <w:color w:val="0F58BD"/>
          <w:sz w:val="24"/>
          <w:szCs w:val="24"/>
        </w:rPr>
        <w:t>Task 2: Residential Care Homes</w:t>
      </w:r>
    </w:p>
    <w:p w14:paraId="2288CB3E" w14:textId="77777777" w:rsidR="00FF1E03" w:rsidRPr="00FF1E03" w:rsidRDefault="00FF1E03" w:rsidP="00FF1E03">
      <w:pPr>
        <w:jc w:val="both"/>
        <w:rPr>
          <w:rFonts w:eastAsia="Times New Roman"/>
          <w:b/>
          <w:sz w:val="24"/>
          <w:szCs w:val="24"/>
        </w:rPr>
      </w:pPr>
      <w:r w:rsidRPr="00FF1E03">
        <w:rPr>
          <w:rFonts w:eastAsia="Times New Roman"/>
          <w:b/>
          <w:bCs/>
          <w:color w:val="0F58BD"/>
          <w:sz w:val="24"/>
          <w:szCs w:val="24"/>
        </w:rPr>
        <w:t>Introduction</w:t>
      </w:r>
    </w:p>
    <w:p w14:paraId="74E9C517" w14:textId="77777777" w:rsidR="00FF1E03" w:rsidRDefault="00FF1E03" w:rsidP="00FF1E03">
      <w:pPr>
        <w:jc w:val="both"/>
        <w:rPr>
          <w:rFonts w:eastAsia="Times New Roman"/>
          <w:sz w:val="24"/>
          <w:szCs w:val="24"/>
        </w:rPr>
      </w:pPr>
      <w:r w:rsidRPr="00FF1E03">
        <w:rPr>
          <w:rFonts w:eastAsia="Times New Roman"/>
          <w:sz w:val="24"/>
          <w:szCs w:val="24"/>
        </w:rPr>
        <w:t>Residential care homes provide accommodation, personal care and support for adults, most often older people, who can no longer manage safely in their own homes. This essay looks at where care homes came from, how they work today, and why they matter for the quality of life of the people who live in them.</w:t>
      </w:r>
    </w:p>
    <w:p w14:paraId="473AECB4" w14:textId="77777777" w:rsidR="00B33E9F" w:rsidRPr="00FF1E03" w:rsidRDefault="00B33E9F" w:rsidP="00FF1E03">
      <w:pPr>
        <w:jc w:val="both"/>
        <w:rPr>
          <w:rFonts w:eastAsia="Times New Roman"/>
          <w:sz w:val="24"/>
          <w:szCs w:val="24"/>
        </w:rPr>
      </w:pPr>
    </w:p>
    <w:p w14:paraId="3A979E37" w14:textId="77777777" w:rsidR="00FF1E03" w:rsidRPr="00FF1E03" w:rsidRDefault="00FF1E03" w:rsidP="00FF1E03">
      <w:pPr>
        <w:jc w:val="both"/>
        <w:rPr>
          <w:rFonts w:eastAsia="Times New Roman"/>
          <w:b/>
          <w:sz w:val="24"/>
          <w:szCs w:val="24"/>
        </w:rPr>
      </w:pPr>
      <w:r w:rsidRPr="00FF1E03">
        <w:rPr>
          <w:rFonts w:eastAsia="Times New Roman"/>
          <w:b/>
          <w:bCs/>
          <w:color w:val="0F58BD"/>
          <w:sz w:val="24"/>
          <w:szCs w:val="24"/>
        </w:rPr>
        <w:t>Origins and historical context</w:t>
      </w:r>
    </w:p>
    <w:p w14:paraId="659D823D" w14:textId="77777777" w:rsidR="00FF1E03" w:rsidRPr="00FF1E03" w:rsidRDefault="00FF1E03" w:rsidP="00FF1E03">
      <w:pPr>
        <w:jc w:val="both"/>
        <w:rPr>
          <w:rFonts w:eastAsia="Times New Roman"/>
          <w:sz w:val="24"/>
          <w:szCs w:val="24"/>
        </w:rPr>
      </w:pPr>
      <w:r w:rsidRPr="00FF1E03">
        <w:rPr>
          <w:rFonts w:eastAsia="Times New Roman"/>
          <w:bCs/>
          <w:sz w:val="24"/>
          <w:szCs w:val="24"/>
        </w:rPr>
        <w:t xml:space="preserve">The roots of residential care in England lie in the Poor Laws. For instance, the ‘Act for the Relief of the Poor’ of 1601 compelled local parishes to take responsibility for the ‘impotent poor’ who are unable to support themselves due to old age, illness, or disability (carehome.co.uk, </w:t>
      </w:r>
      <w:proofErr w:type="spellStart"/>
      <w:r w:rsidRPr="00FF1E03">
        <w:rPr>
          <w:rFonts w:eastAsia="Times New Roman"/>
          <w:bCs/>
          <w:sz w:val="24"/>
          <w:szCs w:val="24"/>
        </w:rPr>
        <w:t>n.d.</w:t>
      </w:r>
      <w:proofErr w:type="spellEnd"/>
      <w:r w:rsidRPr="00FF1E03">
        <w:rPr>
          <w:rFonts w:eastAsia="Times New Roman"/>
          <w:bCs/>
          <w:sz w:val="24"/>
          <w:szCs w:val="24"/>
        </w:rPr>
        <w:t xml:space="preserve">). Subsequently, the ‘Poor Law Amendment Act’ of 1834 established the workhouse as the primary means of assistance where deliberately harsh conditions were created to discourage people from seeking help (carehome.co.uk, </w:t>
      </w:r>
      <w:proofErr w:type="spellStart"/>
      <w:r w:rsidRPr="00FF1E03">
        <w:rPr>
          <w:rFonts w:eastAsia="Times New Roman"/>
          <w:bCs/>
          <w:sz w:val="24"/>
          <w:szCs w:val="24"/>
        </w:rPr>
        <w:t>n.d.</w:t>
      </w:r>
      <w:proofErr w:type="spellEnd"/>
      <w:r w:rsidRPr="00FF1E03">
        <w:rPr>
          <w:rFonts w:eastAsia="Times New Roman"/>
          <w:bCs/>
          <w:sz w:val="24"/>
          <w:szCs w:val="24"/>
        </w:rPr>
        <w:t>).</w:t>
      </w:r>
    </w:p>
    <w:p w14:paraId="669A4B54" w14:textId="77777777" w:rsidR="00FF1E03" w:rsidRDefault="00FF1E03" w:rsidP="00FF1E03">
      <w:pPr>
        <w:jc w:val="both"/>
        <w:rPr>
          <w:rFonts w:eastAsia="Times New Roman"/>
          <w:sz w:val="24"/>
          <w:szCs w:val="24"/>
        </w:rPr>
      </w:pPr>
      <w:r w:rsidRPr="00FF1E03">
        <w:rPr>
          <w:rFonts w:eastAsia="Times New Roman"/>
          <w:sz w:val="24"/>
          <w:szCs w:val="24"/>
        </w:rPr>
        <w:t>The modern system began with the National Assistance Act 1948, which finally abolished the old Poor Law and gave local councils a legal duty to provide residential accommodation for older and disabled people in need (The Health Foundation, no date). Later reforms shaped the sector further: the NHS and Community Care Act 1990 introduced needs assessments and encouraged private and voluntary providers, and since 2009, care homes in England have been inspected by the Care Quality Commission, or CQC (Carehome.co.uk, no date).</w:t>
      </w:r>
    </w:p>
    <w:p w14:paraId="4848C84E" w14:textId="77777777" w:rsidR="00B33E9F" w:rsidRPr="00FF1E03" w:rsidRDefault="00B33E9F" w:rsidP="00FF1E03">
      <w:pPr>
        <w:jc w:val="both"/>
        <w:rPr>
          <w:rFonts w:eastAsia="Times New Roman"/>
          <w:sz w:val="24"/>
          <w:szCs w:val="24"/>
        </w:rPr>
      </w:pPr>
    </w:p>
    <w:p w14:paraId="2B393CAB" w14:textId="77777777" w:rsidR="00FF1E03" w:rsidRPr="00FF1E03" w:rsidRDefault="00FF1E03" w:rsidP="00FF1E03">
      <w:pPr>
        <w:jc w:val="both"/>
        <w:rPr>
          <w:rFonts w:eastAsia="Times New Roman"/>
          <w:b/>
          <w:sz w:val="24"/>
          <w:szCs w:val="24"/>
        </w:rPr>
      </w:pPr>
      <w:r w:rsidRPr="00FF1E03">
        <w:rPr>
          <w:rFonts w:eastAsia="Times New Roman"/>
          <w:b/>
          <w:bCs/>
          <w:color w:val="0F58BD"/>
          <w:sz w:val="24"/>
          <w:szCs w:val="24"/>
        </w:rPr>
        <w:t>How care homes function today</w:t>
      </w:r>
    </w:p>
    <w:p w14:paraId="4DD927EA" w14:textId="77777777" w:rsidR="00FF1E03" w:rsidRPr="00FF1E03" w:rsidRDefault="00FF1E03" w:rsidP="00FF1E03">
      <w:pPr>
        <w:jc w:val="both"/>
        <w:rPr>
          <w:rFonts w:eastAsia="Times New Roman"/>
          <w:sz w:val="24"/>
          <w:szCs w:val="24"/>
        </w:rPr>
      </w:pPr>
      <w:r w:rsidRPr="00FF1E03">
        <w:rPr>
          <w:rFonts w:eastAsia="Times New Roman"/>
          <w:sz w:val="24"/>
          <w:szCs w:val="24"/>
        </w:rPr>
        <w:t xml:space="preserve">Today there are two main types of home. Residential homes provide personal care, such as help with washing, dressing and meals, while nursing homes also employ registered nurses for people with greater health needs. The Care Act 2014 places individual “wellbeing” at the </w:t>
      </w:r>
      <w:proofErr w:type="spellStart"/>
      <w:r w:rsidRPr="00FF1E03">
        <w:rPr>
          <w:rFonts w:eastAsia="Times New Roman"/>
          <w:sz w:val="24"/>
          <w:szCs w:val="24"/>
        </w:rPr>
        <w:t>centre</w:t>
      </w:r>
      <w:proofErr w:type="spellEnd"/>
      <w:r w:rsidRPr="00FF1E03">
        <w:rPr>
          <w:rFonts w:eastAsia="Times New Roman"/>
          <w:sz w:val="24"/>
          <w:szCs w:val="24"/>
        </w:rPr>
        <w:t xml:space="preserve"> of care and requires councils to meet people’s assessed needs (Legislation.gov.uk, 2014).</w:t>
      </w:r>
    </w:p>
    <w:p w14:paraId="1EDD13E7" w14:textId="77777777" w:rsidR="00FF1E03" w:rsidRDefault="00FF1E03" w:rsidP="00FF1E03">
      <w:pPr>
        <w:jc w:val="both"/>
        <w:rPr>
          <w:rFonts w:eastAsia="Times New Roman"/>
          <w:bCs/>
          <w:sz w:val="24"/>
          <w:szCs w:val="24"/>
        </w:rPr>
      </w:pPr>
      <w:r w:rsidRPr="00FF1E03">
        <w:rPr>
          <w:rFonts w:eastAsia="Times New Roman"/>
          <w:bCs/>
          <w:sz w:val="24"/>
          <w:szCs w:val="24"/>
        </w:rPr>
        <w:t xml:space="preserve">Moreover, eligibility for access is determined based on income. As a result, many residents cover some or all of the costs themselves while others receive funding from the local authorities. However, this sector is vast and predominantly independent, with approximately 18,500 </w:t>
      </w:r>
      <w:proofErr w:type="spellStart"/>
      <w:r w:rsidRPr="00FF1E03">
        <w:rPr>
          <w:rFonts w:eastAsia="Times New Roman"/>
          <w:bCs/>
          <w:sz w:val="24"/>
          <w:szCs w:val="24"/>
        </w:rPr>
        <w:t>organisations</w:t>
      </w:r>
      <w:proofErr w:type="spellEnd"/>
      <w:r w:rsidRPr="00FF1E03">
        <w:rPr>
          <w:rFonts w:eastAsia="Times New Roman"/>
          <w:bCs/>
          <w:sz w:val="24"/>
          <w:szCs w:val="24"/>
        </w:rPr>
        <w:t xml:space="preserve"> that ensure adult social care through around 40,000 establishments (Skills for Care, 2024). In reality, however, this sector is under immense pressure. According to Skills for Care (2024), there are an average of approximately 131,000 daily vacancies and a vacancy rate of 8.3%, which is nearly three times the wider economic average. Moreover, high staff turnover and limited council budgets make it difficult to provide consistent, person-</w:t>
      </w:r>
      <w:proofErr w:type="spellStart"/>
      <w:r w:rsidRPr="00FF1E03">
        <w:rPr>
          <w:rFonts w:eastAsia="Times New Roman"/>
          <w:bCs/>
          <w:sz w:val="24"/>
          <w:szCs w:val="24"/>
        </w:rPr>
        <w:t>centred</w:t>
      </w:r>
      <w:proofErr w:type="spellEnd"/>
      <w:r w:rsidRPr="00FF1E03">
        <w:rPr>
          <w:rFonts w:eastAsia="Times New Roman"/>
          <w:bCs/>
          <w:sz w:val="24"/>
          <w:szCs w:val="24"/>
        </w:rPr>
        <w:t xml:space="preserve"> care while disparities in quality persist; for example, some homes receive an ‘Outstanding’ rating whereas others fail to meet basic standards.</w:t>
      </w:r>
    </w:p>
    <w:p w14:paraId="22513ADE" w14:textId="77777777" w:rsidR="00B33E9F" w:rsidRPr="00FF1E03" w:rsidRDefault="00B33E9F" w:rsidP="00FF1E03">
      <w:pPr>
        <w:jc w:val="both"/>
        <w:rPr>
          <w:rFonts w:eastAsia="Times New Roman"/>
          <w:sz w:val="24"/>
          <w:szCs w:val="24"/>
        </w:rPr>
      </w:pPr>
    </w:p>
    <w:p w14:paraId="214C2819" w14:textId="77777777" w:rsidR="00FF1E03" w:rsidRPr="00FF1E03" w:rsidRDefault="00FF1E03" w:rsidP="00FF1E03">
      <w:pPr>
        <w:jc w:val="both"/>
        <w:rPr>
          <w:rFonts w:eastAsia="Times New Roman"/>
          <w:b/>
          <w:sz w:val="24"/>
          <w:szCs w:val="24"/>
        </w:rPr>
      </w:pPr>
      <w:r w:rsidRPr="00FF1E03">
        <w:rPr>
          <w:rFonts w:eastAsia="Times New Roman"/>
          <w:b/>
          <w:bCs/>
          <w:color w:val="0F58BD"/>
          <w:sz w:val="24"/>
          <w:szCs w:val="24"/>
        </w:rPr>
        <w:t>Significance for quality of life</w:t>
      </w:r>
    </w:p>
    <w:p w14:paraId="01AB0B92" w14:textId="77777777" w:rsidR="00FF1E03" w:rsidRDefault="00FF1E03" w:rsidP="00FF1E03">
      <w:pPr>
        <w:jc w:val="both"/>
        <w:rPr>
          <w:rFonts w:eastAsia="Times New Roman"/>
          <w:bCs/>
          <w:sz w:val="24"/>
          <w:szCs w:val="24"/>
        </w:rPr>
      </w:pPr>
      <w:r w:rsidRPr="00FF1E03">
        <w:rPr>
          <w:rFonts w:eastAsia="Times New Roman"/>
          <w:sz w:val="24"/>
          <w:szCs w:val="24"/>
        </w:rPr>
        <w:t xml:space="preserve">For residents, a care home is not only a service but also their home, so quality of life is central. </w:t>
      </w:r>
      <w:r w:rsidRPr="00FF1E03">
        <w:rPr>
          <w:rFonts w:eastAsia="Times New Roman"/>
          <w:bCs/>
          <w:sz w:val="24"/>
          <w:szCs w:val="24"/>
        </w:rPr>
        <w:t>Moreover, research by Towers et al. (2021) found that residents of care homes rated ‘Good’ or ‘Outstanding’ by the CQC enjoy a higher quality of life, and this association was strongest among those with the highest care needs. On the other hand, the same research links the improved outcomes to staff who are well-paid, well-trained and more stable, as well as to strong leadership. Furthermore, quality care supports dignity, choice, social interaction and meaningful activities, which can reduce loneliness and help people feel safe and valued; also, involving residents in decisions regarding their daily routines is widely regarded as a hallmark of good, person-</w:t>
      </w:r>
      <w:proofErr w:type="spellStart"/>
      <w:r w:rsidRPr="00FF1E03">
        <w:rPr>
          <w:rFonts w:eastAsia="Times New Roman"/>
          <w:bCs/>
          <w:sz w:val="24"/>
          <w:szCs w:val="24"/>
        </w:rPr>
        <w:t>centred</w:t>
      </w:r>
      <w:proofErr w:type="spellEnd"/>
      <w:r w:rsidRPr="00FF1E03">
        <w:rPr>
          <w:rFonts w:eastAsia="Times New Roman"/>
          <w:bCs/>
          <w:sz w:val="24"/>
          <w:szCs w:val="24"/>
        </w:rPr>
        <w:t xml:space="preserve"> care. Conversely, poor care can leave residents feeling isolated and with little control over their daily lives. This demonstrates that a skilled and stable workforce directly impacts residents’ well-being.</w:t>
      </w:r>
    </w:p>
    <w:p w14:paraId="19E79444" w14:textId="77777777" w:rsidR="00B33E9F" w:rsidRPr="00FF1E03" w:rsidRDefault="00B33E9F" w:rsidP="00FF1E03">
      <w:pPr>
        <w:jc w:val="both"/>
        <w:rPr>
          <w:rFonts w:eastAsia="Times New Roman"/>
          <w:sz w:val="24"/>
          <w:szCs w:val="24"/>
        </w:rPr>
      </w:pPr>
    </w:p>
    <w:p w14:paraId="642FBF55" w14:textId="77777777" w:rsidR="00FF1E03" w:rsidRPr="00FF1E03" w:rsidRDefault="00FF1E03" w:rsidP="00FF1E03">
      <w:pPr>
        <w:jc w:val="both"/>
        <w:rPr>
          <w:rFonts w:eastAsia="Times New Roman"/>
          <w:b/>
          <w:sz w:val="24"/>
          <w:szCs w:val="24"/>
        </w:rPr>
      </w:pPr>
      <w:r w:rsidRPr="00FF1E03">
        <w:rPr>
          <w:rFonts w:eastAsia="Times New Roman"/>
          <w:b/>
          <w:bCs/>
          <w:color w:val="0F58BD"/>
          <w:sz w:val="24"/>
          <w:szCs w:val="24"/>
        </w:rPr>
        <w:t>Conclusion</w:t>
      </w:r>
    </w:p>
    <w:p w14:paraId="16CC0D6D" w14:textId="77777777" w:rsidR="00FF1E03" w:rsidRPr="00FF1E03" w:rsidRDefault="00FF1E03" w:rsidP="00FF1E03">
      <w:pPr>
        <w:jc w:val="both"/>
        <w:rPr>
          <w:rFonts w:eastAsia="Times New Roman"/>
          <w:sz w:val="24"/>
          <w:szCs w:val="24"/>
        </w:rPr>
      </w:pPr>
      <w:r w:rsidRPr="00FF1E03">
        <w:rPr>
          <w:rFonts w:eastAsia="Times New Roman"/>
          <w:bCs/>
          <w:sz w:val="24"/>
          <w:szCs w:val="24"/>
        </w:rPr>
        <w:t>Finally, residential care homes have come a long way since the days of the workhouse. However, their core purpose for caring for vulnerable adults remains the same. Today, their success depends primarily on secure funding and a skilled, stable workforce, which are the key to safeguarding and improving the quality of the residents’ lives.</w:t>
      </w:r>
    </w:p>
    <w:p w14:paraId="2D2BD781" w14:textId="77777777" w:rsidR="000B5899" w:rsidRPr="00FF1E03" w:rsidRDefault="00D446BC" w:rsidP="00FF1E03">
      <w:pPr>
        <w:jc w:val="both"/>
      </w:pPr>
      <w:r w:rsidRPr="00FF1E03">
        <w:br w:type="page"/>
      </w:r>
    </w:p>
    <w:p w14:paraId="05F73F97" w14:textId="77777777" w:rsidR="000B5899" w:rsidRPr="00B33E9F" w:rsidRDefault="00D446BC" w:rsidP="00FF1E03">
      <w:pPr>
        <w:jc w:val="both"/>
        <w:rPr>
          <w:b/>
        </w:rPr>
      </w:pPr>
      <w:r w:rsidRPr="00B33E9F">
        <w:rPr>
          <w:b/>
          <w:bCs/>
          <w:color w:val="0E3A42"/>
          <w:sz w:val="28"/>
          <w:szCs w:val="28"/>
        </w:rPr>
        <w:t>Reference List</w:t>
      </w:r>
    </w:p>
    <w:p w14:paraId="794F4185" w14:textId="77777777" w:rsidR="000B5899" w:rsidRPr="00FF1E03" w:rsidRDefault="00D446BC" w:rsidP="00B33E9F">
      <w:pPr>
        <w:spacing w:after="160"/>
        <w:ind w:left="360" w:hanging="360"/>
      </w:pPr>
      <w:r w:rsidRPr="00FF1E03">
        <w:t xml:space="preserve">Carehome.co.uk (no date) </w:t>
      </w:r>
      <w:r w:rsidRPr="00FF1E03">
        <w:rPr>
          <w:i/>
          <w:iCs/>
        </w:rPr>
        <w:t>A history of care homes.</w:t>
      </w:r>
      <w:r w:rsidRPr="00FF1E03">
        <w:t xml:space="preserve"> Available at: https://www.carehome.co.uk/advice/a-history-of-care-homes (Accessed: 23 July 2026).</w:t>
      </w:r>
    </w:p>
    <w:p w14:paraId="709177F6" w14:textId="77777777" w:rsidR="000B5899" w:rsidRPr="00FF1E03" w:rsidRDefault="00D446BC" w:rsidP="00B33E9F">
      <w:pPr>
        <w:spacing w:after="160"/>
        <w:ind w:left="360" w:hanging="360"/>
      </w:pPr>
      <w:r w:rsidRPr="00FF1E03">
        <w:t xml:space="preserve">History.co.uk (no date) </w:t>
      </w:r>
      <w:r w:rsidRPr="00FF1E03">
        <w:rPr>
          <w:i/>
          <w:iCs/>
        </w:rPr>
        <w:t>999 emergency number first introduced.</w:t>
      </w:r>
      <w:r w:rsidRPr="00FF1E03">
        <w:t xml:space="preserve"> Available at: https://www.history.co.uk/this-day-in-history/30-june/999-emergency-number-first-introduced (Accessed: 23 July 2026).</w:t>
      </w:r>
    </w:p>
    <w:p w14:paraId="17B400E5" w14:textId="77777777" w:rsidR="000B5899" w:rsidRPr="00FF1E03" w:rsidRDefault="00D446BC" w:rsidP="00B33E9F">
      <w:pPr>
        <w:spacing w:after="160"/>
        <w:ind w:left="360" w:hanging="360"/>
      </w:pPr>
      <w:r w:rsidRPr="00FF1E03">
        <w:t xml:space="preserve">House of Commons Library (2025) </w:t>
      </w:r>
      <w:r w:rsidRPr="00FF1E03">
        <w:rPr>
          <w:i/>
          <w:iCs/>
        </w:rPr>
        <w:t>Ambulance service response times.</w:t>
      </w:r>
      <w:r w:rsidRPr="00FF1E03">
        <w:t xml:space="preserve"> Available at: https://commonslibrary.parliament.uk/research-briefings/cdp-2025-0042/ (Accessed: 23 July 2026).</w:t>
      </w:r>
    </w:p>
    <w:p w14:paraId="6F9313A6" w14:textId="77777777" w:rsidR="000B5899" w:rsidRPr="00FF1E03" w:rsidRDefault="00D446BC" w:rsidP="00B33E9F">
      <w:pPr>
        <w:spacing w:after="160"/>
        <w:ind w:left="360" w:hanging="360"/>
      </w:pPr>
      <w:r w:rsidRPr="00FF1E03">
        <w:t xml:space="preserve">Legislation.gov.uk (2014) </w:t>
      </w:r>
      <w:r w:rsidRPr="00FF1E03">
        <w:rPr>
          <w:i/>
          <w:iCs/>
        </w:rPr>
        <w:t>Care Act 2014.</w:t>
      </w:r>
      <w:r w:rsidRPr="00FF1E03">
        <w:t xml:space="preserve"> Available at: https://www.legislation.gov.uk/ukpga/2014/23/contents (Accessed: 23 July 2026).</w:t>
      </w:r>
    </w:p>
    <w:p w14:paraId="7865CBED" w14:textId="77777777" w:rsidR="000B5899" w:rsidRPr="00FF1E03" w:rsidRDefault="00D446BC" w:rsidP="00B33E9F">
      <w:pPr>
        <w:spacing w:after="160"/>
        <w:ind w:left="360" w:hanging="360"/>
      </w:pPr>
      <w:r w:rsidRPr="00FF1E03">
        <w:t xml:space="preserve">London Ambulance Service NHS Trust (no date) </w:t>
      </w:r>
      <w:r w:rsidRPr="00FF1E03">
        <w:rPr>
          <w:i/>
          <w:iCs/>
        </w:rPr>
        <w:t>Our history – a timeline.</w:t>
      </w:r>
      <w:r w:rsidRPr="00FF1E03">
        <w:t xml:space="preserve"> Available at: https://www.londonambulance.nhs.uk/about-us/our-history/our-history-a-timeline/ (Accessed: 23 July 2026).</w:t>
      </w:r>
    </w:p>
    <w:p w14:paraId="744D306A" w14:textId="77777777" w:rsidR="000B5899" w:rsidRPr="00FF1E03" w:rsidRDefault="00D446BC" w:rsidP="00B33E9F">
      <w:pPr>
        <w:spacing w:after="160"/>
        <w:ind w:left="360" w:hanging="360"/>
      </w:pPr>
      <w:r w:rsidRPr="00FF1E03">
        <w:t xml:space="preserve">Nuffield Trust (2026) </w:t>
      </w:r>
      <w:r w:rsidRPr="00FF1E03">
        <w:rPr>
          <w:i/>
          <w:iCs/>
        </w:rPr>
        <w:t>Ambulance response times.</w:t>
      </w:r>
      <w:r w:rsidRPr="00FF1E03">
        <w:t xml:space="preserve"> Available at: https://www.nuffieldtrust.org.uk/resource/ambulance-response-times (Accessed: 23 July 2026).</w:t>
      </w:r>
    </w:p>
    <w:p w14:paraId="5047534F" w14:textId="77777777" w:rsidR="000B5899" w:rsidRPr="00FF1E03" w:rsidRDefault="00D446BC" w:rsidP="00B33E9F">
      <w:pPr>
        <w:spacing w:after="160"/>
        <w:ind w:left="360" w:hanging="360"/>
      </w:pPr>
      <w:r w:rsidRPr="00FF1E03">
        <w:t xml:space="preserve">Skills for Care (2024) </w:t>
      </w:r>
      <w:r w:rsidRPr="00FF1E03">
        <w:rPr>
          <w:i/>
          <w:iCs/>
        </w:rPr>
        <w:t>The state of the adult social care sector and workforce in England 2024.</w:t>
      </w:r>
      <w:r w:rsidRPr="00FF1E03">
        <w:t xml:space="preserve"> Leeds: Skills for Care. Available at: https://www.skillsforcare.org.uk/Adult-Social-Care-Workforce-Data/Workforce-intelligence/publications/national-information/The-state-of-the-adult-social-care-sector-and-workforce-in-England.aspx (Accessed: 23 July 2026).</w:t>
      </w:r>
    </w:p>
    <w:p w14:paraId="5B53E0D4" w14:textId="77777777" w:rsidR="000B5899" w:rsidRPr="00FF1E03" w:rsidRDefault="00D446BC" w:rsidP="00B33E9F">
      <w:pPr>
        <w:spacing w:after="160"/>
        <w:ind w:left="360" w:hanging="360"/>
      </w:pPr>
      <w:r w:rsidRPr="00FF1E03">
        <w:t xml:space="preserve">The Health Foundation (no date) </w:t>
      </w:r>
      <w:r w:rsidRPr="00FF1E03">
        <w:rPr>
          <w:i/>
          <w:iCs/>
        </w:rPr>
        <w:t>The National Assistance Act 1948.</w:t>
      </w:r>
      <w:r w:rsidRPr="00FF1E03">
        <w:t xml:space="preserve"> Policy Navigator. Available at: https://navigator.health.org.uk/theme/national-assistance-act-1948 (Accessed: 23 July 2026).</w:t>
      </w:r>
    </w:p>
    <w:p w14:paraId="3BE50AC5" w14:textId="77777777" w:rsidR="000B5899" w:rsidRPr="00FF1E03" w:rsidRDefault="00D446BC" w:rsidP="00B33E9F">
      <w:pPr>
        <w:spacing w:after="160"/>
        <w:ind w:left="360" w:hanging="360"/>
      </w:pPr>
      <w:r w:rsidRPr="00FF1E03">
        <w:t xml:space="preserve">Towers, A.-M., Smith, N., Allan, S., </w:t>
      </w:r>
      <w:proofErr w:type="spellStart"/>
      <w:r w:rsidRPr="00FF1E03">
        <w:t>Vadean</w:t>
      </w:r>
      <w:proofErr w:type="spellEnd"/>
      <w:r w:rsidRPr="00FF1E03">
        <w:t xml:space="preserve">, F., Collins, G., Rand, S., </w:t>
      </w:r>
      <w:proofErr w:type="spellStart"/>
      <w:r w:rsidRPr="00FF1E03">
        <w:t>Bostock</w:t>
      </w:r>
      <w:proofErr w:type="spellEnd"/>
      <w:r w:rsidRPr="00FF1E03">
        <w:t xml:space="preserve">, J., </w:t>
      </w:r>
      <w:proofErr w:type="spellStart"/>
      <w:r w:rsidRPr="00FF1E03">
        <w:t>Ramsdell</w:t>
      </w:r>
      <w:proofErr w:type="spellEnd"/>
      <w:r w:rsidRPr="00FF1E03">
        <w:t xml:space="preserve">, H., Rutherford, A.-C., </w:t>
      </w:r>
      <w:proofErr w:type="spellStart"/>
      <w:r w:rsidRPr="00FF1E03">
        <w:t>Malley</w:t>
      </w:r>
      <w:proofErr w:type="spellEnd"/>
      <w:r w:rsidRPr="00FF1E03">
        <w:t xml:space="preserve">, J., Trigg, L., </w:t>
      </w:r>
      <w:proofErr w:type="spellStart"/>
      <w:r w:rsidRPr="00FF1E03">
        <w:t>Verey</w:t>
      </w:r>
      <w:proofErr w:type="spellEnd"/>
      <w:r w:rsidRPr="00FF1E03">
        <w:t xml:space="preserve">, A. and Forder, J. (2021) </w:t>
      </w:r>
      <w:r w:rsidRPr="00FF1E03">
        <w:rPr>
          <w:i/>
          <w:iCs/>
        </w:rPr>
        <w:t xml:space="preserve">‘Care home residents’ quality of life and its association with CQC ratings and workforce issues: </w:t>
      </w:r>
      <w:proofErr w:type="spellStart"/>
      <w:r w:rsidRPr="00FF1E03">
        <w:rPr>
          <w:i/>
          <w:iCs/>
        </w:rPr>
        <w:t>theMiCareHQ</w:t>
      </w:r>
      <w:proofErr w:type="spellEnd"/>
      <w:r w:rsidRPr="00FF1E03">
        <w:rPr>
          <w:i/>
          <w:iCs/>
        </w:rPr>
        <w:t xml:space="preserve"> mixed-methods study’,</w:t>
      </w:r>
      <w:r w:rsidRPr="00FF1E03">
        <w:t xml:space="preserve"> Health Services and Delivery Research, 9(19). Available at: https://www.ncbi.nlm.nih.gov/books/NBK574829/ (Accessed: 23 July 2026).</w:t>
      </w:r>
    </w:p>
    <w:sectPr w:rsidR="000B5899" w:rsidRPr="00FF1E03" w:rsidSect="00364A14">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E794D2" w14:textId="77777777" w:rsidR="0025337C" w:rsidRDefault="0025337C">
      <w:pPr>
        <w:spacing w:after="0" w:line="240" w:lineRule="auto"/>
      </w:pPr>
      <w:r>
        <w:separator/>
      </w:r>
    </w:p>
  </w:endnote>
  <w:endnote w:type="continuationSeparator" w:id="0">
    <w:p w14:paraId="663D6154" w14:textId="77777777" w:rsidR="0025337C" w:rsidRDefault="002533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C1A87F" w14:textId="77777777" w:rsidR="000B5899" w:rsidRDefault="00D446BC">
    <w:pPr>
      <w:spacing w:after="0"/>
      <w:jc w:val="center"/>
    </w:pPr>
    <w:r>
      <w:rPr>
        <w:sz w:val="18"/>
        <w:szCs w:val="18"/>
      </w:rPr>
      <w:t xml:space="preserve">Page </w:t>
    </w:r>
    <w:r w:rsidR="00364A14">
      <w:rPr>
        <w:sz w:val="18"/>
        <w:szCs w:val="18"/>
      </w:rPr>
      <w:fldChar w:fldCharType="begin"/>
    </w:r>
    <w:r>
      <w:rPr>
        <w:sz w:val="18"/>
        <w:szCs w:val="18"/>
      </w:rPr>
      <w:instrText>PAGE</w:instrText>
    </w:r>
    <w:r w:rsidR="00364A14">
      <w:rPr>
        <w:sz w:val="18"/>
        <w:szCs w:val="18"/>
      </w:rPr>
      <w:fldChar w:fldCharType="separate"/>
    </w:r>
    <w:r w:rsidR="00B12E66">
      <w:rPr>
        <w:noProof/>
        <w:sz w:val="18"/>
        <w:szCs w:val="18"/>
      </w:rPr>
      <w:t>2</w:t>
    </w:r>
    <w:r w:rsidR="00364A14">
      <w:rPr>
        <w:sz w:val="18"/>
        <w:szCs w:val="18"/>
      </w:rPr>
      <w:fldChar w:fldCharType="end"/>
    </w:r>
    <w:r>
      <w:rPr>
        <w:sz w:val="18"/>
        <w:szCs w:val="18"/>
      </w:rPr>
      <w:t xml:space="preserve"> of </w:t>
    </w:r>
    <w:r w:rsidR="00364A14">
      <w:rPr>
        <w:sz w:val="18"/>
        <w:szCs w:val="18"/>
      </w:rPr>
      <w:fldChar w:fldCharType="begin"/>
    </w:r>
    <w:r>
      <w:rPr>
        <w:sz w:val="18"/>
        <w:szCs w:val="18"/>
      </w:rPr>
      <w:instrText>NUMPAGES</w:instrText>
    </w:r>
    <w:r w:rsidR="00364A14">
      <w:rPr>
        <w:sz w:val="18"/>
        <w:szCs w:val="18"/>
      </w:rPr>
      <w:fldChar w:fldCharType="separate"/>
    </w:r>
    <w:r w:rsidR="00B12E66">
      <w:rPr>
        <w:noProof/>
        <w:sz w:val="18"/>
        <w:szCs w:val="18"/>
      </w:rPr>
      <w:t>6</w:t>
    </w:r>
    <w:r w:rsidR="00364A14">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198C6A" w14:textId="77777777" w:rsidR="0025337C" w:rsidRDefault="0025337C">
      <w:pPr>
        <w:spacing w:after="0" w:line="240" w:lineRule="auto"/>
      </w:pPr>
      <w:r>
        <w:separator/>
      </w:r>
    </w:p>
  </w:footnote>
  <w:footnote w:type="continuationSeparator" w:id="0">
    <w:p w14:paraId="3464A570" w14:textId="77777777" w:rsidR="0025337C" w:rsidRDefault="002533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82252B"/>
    <w:multiLevelType w:val="hybridMultilevel"/>
    <w:tmpl w:val="542219F2"/>
    <w:lvl w:ilvl="0" w:tplc="BA920346">
      <w:start w:val="1"/>
      <w:numFmt w:val="bullet"/>
      <w:lvlText w:val="●"/>
      <w:lvlJc w:val="left"/>
      <w:pPr>
        <w:ind w:left="720" w:hanging="360"/>
      </w:pPr>
    </w:lvl>
    <w:lvl w:ilvl="1" w:tplc="EA16CE80">
      <w:start w:val="1"/>
      <w:numFmt w:val="bullet"/>
      <w:lvlText w:val="○"/>
      <w:lvlJc w:val="left"/>
      <w:pPr>
        <w:ind w:left="1440" w:hanging="360"/>
      </w:pPr>
    </w:lvl>
    <w:lvl w:ilvl="2" w:tplc="B8B6A60A">
      <w:start w:val="1"/>
      <w:numFmt w:val="bullet"/>
      <w:lvlText w:val="■"/>
      <w:lvlJc w:val="left"/>
      <w:pPr>
        <w:ind w:left="2160" w:hanging="360"/>
      </w:pPr>
    </w:lvl>
    <w:lvl w:ilvl="3" w:tplc="64129A5C">
      <w:start w:val="1"/>
      <w:numFmt w:val="bullet"/>
      <w:lvlText w:val="●"/>
      <w:lvlJc w:val="left"/>
      <w:pPr>
        <w:ind w:left="2880" w:hanging="360"/>
      </w:pPr>
    </w:lvl>
    <w:lvl w:ilvl="4" w:tplc="65142776">
      <w:start w:val="1"/>
      <w:numFmt w:val="bullet"/>
      <w:lvlText w:val="○"/>
      <w:lvlJc w:val="left"/>
      <w:pPr>
        <w:ind w:left="3600" w:hanging="360"/>
      </w:pPr>
    </w:lvl>
    <w:lvl w:ilvl="5" w:tplc="58FC1FDC">
      <w:start w:val="1"/>
      <w:numFmt w:val="bullet"/>
      <w:lvlText w:val="■"/>
      <w:lvlJc w:val="left"/>
      <w:pPr>
        <w:ind w:left="4320" w:hanging="360"/>
      </w:pPr>
    </w:lvl>
    <w:lvl w:ilvl="6" w:tplc="7E24CEE8">
      <w:start w:val="1"/>
      <w:numFmt w:val="bullet"/>
      <w:lvlText w:val="●"/>
      <w:lvlJc w:val="left"/>
      <w:pPr>
        <w:ind w:left="5040" w:hanging="360"/>
      </w:pPr>
    </w:lvl>
    <w:lvl w:ilvl="7" w:tplc="52AAD622">
      <w:start w:val="1"/>
      <w:numFmt w:val="bullet"/>
      <w:lvlText w:val="●"/>
      <w:lvlJc w:val="left"/>
      <w:pPr>
        <w:ind w:left="5760" w:hanging="360"/>
      </w:pPr>
    </w:lvl>
    <w:lvl w:ilvl="8" w:tplc="6002A624">
      <w:start w:val="1"/>
      <w:numFmt w:val="bullet"/>
      <w:lvlText w:val="●"/>
      <w:lvlJc w:val="left"/>
      <w:pPr>
        <w:ind w:left="6480" w:hanging="360"/>
      </w:pPr>
    </w:lvl>
  </w:abstractNum>
  <w:abstractNum w:abstractNumId="1" w15:restartNumberingAfterBreak="0">
    <w:nsid w:val="31276EB8"/>
    <w:multiLevelType w:val="hybridMultilevel"/>
    <w:tmpl w:val="D2F81C04"/>
    <w:lvl w:ilvl="0" w:tplc="142A14A4">
      <w:start w:val="1"/>
      <w:numFmt w:val="bullet"/>
      <w:lvlText w:val="•"/>
      <w:lvlJc w:val="left"/>
      <w:pPr>
        <w:ind w:left="360" w:hanging="260"/>
      </w:pPr>
    </w:lvl>
    <w:lvl w:ilvl="1" w:tplc="3956198C">
      <w:numFmt w:val="decimal"/>
      <w:lvlText w:val=""/>
      <w:lvlJc w:val="left"/>
    </w:lvl>
    <w:lvl w:ilvl="2" w:tplc="67466612">
      <w:numFmt w:val="decimal"/>
      <w:lvlText w:val=""/>
      <w:lvlJc w:val="left"/>
    </w:lvl>
    <w:lvl w:ilvl="3" w:tplc="1BCE3760">
      <w:numFmt w:val="decimal"/>
      <w:lvlText w:val=""/>
      <w:lvlJc w:val="left"/>
    </w:lvl>
    <w:lvl w:ilvl="4" w:tplc="E49CC472">
      <w:numFmt w:val="decimal"/>
      <w:lvlText w:val=""/>
      <w:lvlJc w:val="left"/>
    </w:lvl>
    <w:lvl w:ilvl="5" w:tplc="DD5477B2">
      <w:numFmt w:val="decimal"/>
      <w:lvlText w:val=""/>
      <w:lvlJc w:val="left"/>
    </w:lvl>
    <w:lvl w:ilvl="6" w:tplc="632C0106">
      <w:numFmt w:val="decimal"/>
      <w:lvlText w:val=""/>
      <w:lvlJc w:val="left"/>
    </w:lvl>
    <w:lvl w:ilvl="7" w:tplc="A154BCC0">
      <w:numFmt w:val="decimal"/>
      <w:lvlText w:val=""/>
      <w:lvlJc w:val="left"/>
    </w:lvl>
    <w:lvl w:ilvl="8" w:tplc="AD2E2E22">
      <w:numFmt w:val="decimal"/>
      <w:lvlText w:val=""/>
      <w:lvlJc w:val="left"/>
    </w:lvl>
  </w:abstractNum>
  <w:num w:numId="1" w16cid:durableId="778568542">
    <w:abstractNumId w:val="0"/>
    <w:lvlOverride w:ilvl="0">
      <w:startOverride w:val="1"/>
    </w:lvlOverride>
  </w:num>
  <w:num w:numId="2" w16cid:durableId="112678566">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899"/>
    <w:rsid w:val="00020655"/>
    <w:rsid w:val="000B5899"/>
    <w:rsid w:val="000C0D73"/>
    <w:rsid w:val="0025337C"/>
    <w:rsid w:val="002533B7"/>
    <w:rsid w:val="002938C6"/>
    <w:rsid w:val="00364A14"/>
    <w:rsid w:val="003E0944"/>
    <w:rsid w:val="004223EB"/>
    <w:rsid w:val="00467740"/>
    <w:rsid w:val="004937B2"/>
    <w:rsid w:val="004B2D8D"/>
    <w:rsid w:val="004C4ADB"/>
    <w:rsid w:val="005817BF"/>
    <w:rsid w:val="006342C8"/>
    <w:rsid w:val="006D3292"/>
    <w:rsid w:val="006E5DF4"/>
    <w:rsid w:val="007D0513"/>
    <w:rsid w:val="00804F9D"/>
    <w:rsid w:val="00835DB2"/>
    <w:rsid w:val="008507B8"/>
    <w:rsid w:val="00954AA0"/>
    <w:rsid w:val="00A75433"/>
    <w:rsid w:val="00AB0DC6"/>
    <w:rsid w:val="00B12E66"/>
    <w:rsid w:val="00B33E9F"/>
    <w:rsid w:val="00CA0EEA"/>
    <w:rsid w:val="00CD39E4"/>
    <w:rsid w:val="00CD4DF8"/>
    <w:rsid w:val="00D446BC"/>
    <w:rsid w:val="00F2531E"/>
    <w:rsid w:val="00FA0087"/>
    <w:rsid w:val="00FF1E0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96CEE"/>
  <w15:docId w15:val="{E2743B28-A495-498D-8B40-6A89A7A05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A14"/>
  </w:style>
  <w:style w:type="paragraph" w:styleId="Heading1">
    <w:name w:val="heading 1"/>
    <w:qFormat/>
    <w:rsid w:val="00364A14"/>
    <w:pPr>
      <w:outlineLvl w:val="0"/>
    </w:pPr>
    <w:rPr>
      <w:color w:val="2E74B5"/>
      <w:sz w:val="32"/>
      <w:szCs w:val="32"/>
    </w:rPr>
  </w:style>
  <w:style w:type="paragraph" w:styleId="Heading2">
    <w:name w:val="heading 2"/>
    <w:qFormat/>
    <w:rsid w:val="00364A14"/>
    <w:pPr>
      <w:outlineLvl w:val="1"/>
    </w:pPr>
    <w:rPr>
      <w:color w:val="2E74B5"/>
      <w:sz w:val="26"/>
      <w:szCs w:val="26"/>
    </w:rPr>
  </w:style>
  <w:style w:type="paragraph" w:styleId="Heading3">
    <w:name w:val="heading 3"/>
    <w:qFormat/>
    <w:rsid w:val="00364A14"/>
    <w:pPr>
      <w:outlineLvl w:val="2"/>
    </w:pPr>
    <w:rPr>
      <w:color w:val="1F4D78"/>
      <w:sz w:val="24"/>
      <w:szCs w:val="24"/>
    </w:rPr>
  </w:style>
  <w:style w:type="paragraph" w:styleId="Heading4">
    <w:name w:val="heading 4"/>
    <w:qFormat/>
    <w:rsid w:val="00364A14"/>
    <w:pPr>
      <w:outlineLvl w:val="3"/>
    </w:pPr>
    <w:rPr>
      <w:i/>
      <w:iCs/>
      <w:color w:val="2E74B5"/>
    </w:rPr>
  </w:style>
  <w:style w:type="paragraph" w:styleId="Heading5">
    <w:name w:val="heading 5"/>
    <w:qFormat/>
    <w:rsid w:val="00364A14"/>
    <w:pPr>
      <w:outlineLvl w:val="4"/>
    </w:pPr>
    <w:rPr>
      <w:color w:val="2E74B5"/>
    </w:rPr>
  </w:style>
  <w:style w:type="paragraph" w:styleId="Heading6">
    <w:name w:val="heading 6"/>
    <w:qFormat/>
    <w:rsid w:val="00364A14"/>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sid w:val="00364A14"/>
    <w:rPr>
      <w:sz w:val="56"/>
      <w:szCs w:val="56"/>
    </w:rPr>
  </w:style>
  <w:style w:type="paragraph" w:customStyle="1" w:styleId="Strong1">
    <w:name w:val="Strong1"/>
    <w:qFormat/>
    <w:rsid w:val="00364A14"/>
    <w:rPr>
      <w:b/>
      <w:bCs/>
    </w:rPr>
  </w:style>
  <w:style w:type="paragraph" w:styleId="ListParagraph">
    <w:name w:val="List Paragraph"/>
    <w:qFormat/>
    <w:rsid w:val="00364A14"/>
  </w:style>
  <w:style w:type="character" w:styleId="Hyperlink">
    <w:name w:val="Hyperlink"/>
    <w:uiPriority w:val="99"/>
    <w:unhideWhenUsed/>
    <w:rsid w:val="00364A14"/>
    <w:rPr>
      <w:color w:val="0563C1"/>
      <w:u w:val="single"/>
    </w:rPr>
  </w:style>
  <w:style w:type="character" w:styleId="FootnoteReference">
    <w:name w:val="footnote reference"/>
    <w:uiPriority w:val="99"/>
    <w:semiHidden/>
    <w:unhideWhenUsed/>
    <w:rsid w:val="00364A14"/>
    <w:rPr>
      <w:vertAlign w:val="superscript"/>
    </w:rPr>
  </w:style>
  <w:style w:type="paragraph" w:styleId="FootnoteText">
    <w:name w:val="footnote text"/>
    <w:link w:val="FootnoteTextChar"/>
    <w:uiPriority w:val="99"/>
    <w:semiHidden/>
    <w:unhideWhenUsed/>
    <w:rsid w:val="00364A14"/>
    <w:pPr>
      <w:spacing w:after="0" w:line="240" w:lineRule="auto"/>
    </w:pPr>
    <w:rPr>
      <w:sz w:val="20"/>
      <w:szCs w:val="20"/>
    </w:rPr>
  </w:style>
  <w:style w:type="character" w:customStyle="1" w:styleId="FootnoteTextChar">
    <w:name w:val="Footnote Text Char"/>
    <w:link w:val="FootnoteText"/>
    <w:uiPriority w:val="99"/>
    <w:semiHidden/>
    <w:unhideWhenUsed/>
    <w:rsid w:val="00364A14"/>
    <w:rPr>
      <w:sz w:val="20"/>
      <w:szCs w:val="20"/>
    </w:rPr>
  </w:style>
  <w:style w:type="character" w:styleId="EndnoteReference">
    <w:name w:val="endnote reference"/>
    <w:uiPriority w:val="99"/>
    <w:semiHidden/>
    <w:unhideWhenUsed/>
    <w:rsid w:val="00364A14"/>
    <w:rPr>
      <w:vertAlign w:val="superscript"/>
    </w:rPr>
  </w:style>
  <w:style w:type="paragraph" w:styleId="EndnoteText">
    <w:name w:val="endnote text"/>
    <w:link w:val="EndnoteTextChar"/>
    <w:uiPriority w:val="99"/>
    <w:semiHidden/>
    <w:unhideWhenUsed/>
    <w:rsid w:val="00364A14"/>
    <w:pPr>
      <w:spacing w:after="0" w:line="240" w:lineRule="auto"/>
    </w:pPr>
    <w:rPr>
      <w:sz w:val="20"/>
      <w:szCs w:val="20"/>
    </w:rPr>
  </w:style>
  <w:style w:type="character" w:customStyle="1" w:styleId="EndnoteTextChar">
    <w:name w:val="Endnote Text Char"/>
    <w:link w:val="EndnoteText"/>
    <w:uiPriority w:val="99"/>
    <w:semiHidden/>
    <w:unhideWhenUsed/>
    <w:rsid w:val="00364A14"/>
    <w:rPr>
      <w:sz w:val="20"/>
      <w:szCs w:val="20"/>
    </w:rPr>
  </w:style>
  <w:style w:type="paragraph" w:styleId="BalloonText">
    <w:name w:val="Balloon Text"/>
    <w:basedOn w:val="Normal"/>
    <w:link w:val="BalloonTextChar"/>
    <w:uiPriority w:val="99"/>
    <w:semiHidden/>
    <w:unhideWhenUsed/>
    <w:rsid w:val="002533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33B7"/>
    <w:rPr>
      <w:rFonts w:ascii="Tahoma" w:hAnsi="Tahoma" w:cs="Tahoma"/>
      <w:sz w:val="16"/>
      <w:szCs w:val="16"/>
    </w:rPr>
  </w:style>
  <w:style w:type="character" w:customStyle="1" w:styleId="y2iqfc">
    <w:name w:val="y2iqfc"/>
    <w:basedOn w:val="DefaultParagraphFont"/>
    <w:rsid w:val="002533B7"/>
  </w:style>
  <w:style w:type="table" w:styleId="ListTable4-Accent5">
    <w:name w:val="List Table 4 Accent 5"/>
    <w:basedOn w:val="TableNormal"/>
    <w:uiPriority w:val="49"/>
    <w:rsid w:val="007D0513"/>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tcBorders>
        <w:shd w:val="clear" w:color="auto" w:fill="4472C4" w:themeFill="accent5"/>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3-Accent5">
    <w:name w:val="List Table 3 Accent 5"/>
    <w:basedOn w:val="TableNormal"/>
    <w:uiPriority w:val="48"/>
    <w:rsid w:val="007D0513"/>
    <w:pPr>
      <w:spacing w:after="0" w:line="240" w:lineRule="auto"/>
    </w:pPr>
    <w:tblPr>
      <w:tblStyleRowBandSize w:val="1"/>
      <w:tblStyleColBandSize w:val="1"/>
      <w:tblBorders>
        <w:top w:val="single" w:sz="4" w:space="0" w:color="4472C4" w:themeColor="accent5"/>
        <w:left w:val="single" w:sz="4" w:space="0" w:color="4472C4" w:themeColor="accent5"/>
        <w:bottom w:val="single" w:sz="4" w:space="0" w:color="4472C4" w:themeColor="accent5"/>
        <w:right w:val="single" w:sz="4" w:space="0" w:color="4472C4" w:themeColor="accent5"/>
      </w:tblBorders>
    </w:tblPr>
    <w:tblStylePr w:type="firstRow">
      <w:rPr>
        <w:b/>
        <w:bCs/>
        <w:color w:val="FFFFFF" w:themeColor="background1"/>
      </w:rPr>
      <w:tblPr/>
      <w:tcPr>
        <w:shd w:val="clear" w:color="auto" w:fill="4472C4" w:themeFill="accent5"/>
      </w:tcPr>
    </w:tblStylePr>
    <w:tblStylePr w:type="lastRow">
      <w:rPr>
        <w:b/>
        <w:bCs/>
      </w:rPr>
      <w:tblPr/>
      <w:tcPr>
        <w:tcBorders>
          <w:top w:val="double" w:sz="4" w:space="0" w:color="4472C4"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5"/>
          <w:right w:val="single" w:sz="4" w:space="0" w:color="4472C4" w:themeColor="accent5"/>
        </w:tcBorders>
      </w:tcPr>
    </w:tblStylePr>
    <w:tblStylePr w:type="band1Horz">
      <w:tblPr/>
      <w:tcPr>
        <w:tcBorders>
          <w:top w:val="single" w:sz="4" w:space="0" w:color="4472C4" w:themeColor="accent5"/>
          <w:bottom w:val="single" w:sz="4" w:space="0" w:color="4472C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5"/>
          <w:left w:val="nil"/>
        </w:tcBorders>
      </w:tcPr>
    </w:tblStylePr>
    <w:tblStylePr w:type="swCell">
      <w:tblPr/>
      <w:tcPr>
        <w:tcBorders>
          <w:top w:val="double" w:sz="4" w:space="0" w:color="4472C4" w:themeColor="accent5"/>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3193490">
      <w:bodyDiv w:val="1"/>
      <w:marLeft w:val="0"/>
      <w:marRight w:val="0"/>
      <w:marTop w:val="0"/>
      <w:marBottom w:val="0"/>
      <w:divBdr>
        <w:top w:val="none" w:sz="0" w:space="0" w:color="auto"/>
        <w:left w:val="none" w:sz="0" w:space="0" w:color="auto"/>
        <w:bottom w:val="none" w:sz="0" w:space="0" w:color="auto"/>
        <w:right w:val="none" w:sz="0" w:space="0" w:color="auto"/>
      </w:divBdr>
    </w:div>
    <w:div w:id="1126973372">
      <w:bodyDiv w:val="1"/>
      <w:marLeft w:val="0"/>
      <w:marRight w:val="0"/>
      <w:marTop w:val="0"/>
      <w:marBottom w:val="0"/>
      <w:divBdr>
        <w:top w:val="none" w:sz="0" w:space="0" w:color="auto"/>
        <w:left w:val="none" w:sz="0" w:space="0" w:color="auto"/>
        <w:bottom w:val="none" w:sz="0" w:space="0" w:color="auto"/>
        <w:right w:val="none" w:sz="0" w:space="0" w:color="auto"/>
      </w:divBdr>
    </w:div>
    <w:div w:id="1330525528">
      <w:bodyDiv w:val="1"/>
      <w:marLeft w:val="0"/>
      <w:marRight w:val="0"/>
      <w:marTop w:val="0"/>
      <w:marBottom w:val="0"/>
      <w:divBdr>
        <w:top w:val="none" w:sz="0" w:space="0" w:color="auto"/>
        <w:left w:val="none" w:sz="0" w:space="0" w:color="auto"/>
        <w:bottom w:val="none" w:sz="0" w:space="0" w:color="auto"/>
        <w:right w:val="none" w:sz="0" w:space="0" w:color="auto"/>
      </w:divBdr>
      <w:divsChild>
        <w:div w:id="1557547264">
          <w:marLeft w:val="0"/>
          <w:marRight w:val="0"/>
          <w:marTop w:val="120"/>
          <w:marBottom w:val="120"/>
          <w:divBdr>
            <w:top w:val="none" w:sz="0" w:space="0" w:color="auto"/>
            <w:left w:val="none" w:sz="0" w:space="0" w:color="auto"/>
            <w:bottom w:val="none" w:sz="0" w:space="0" w:color="auto"/>
            <w:right w:val="none" w:sz="0" w:space="0" w:color="auto"/>
          </w:divBdr>
        </w:div>
        <w:div w:id="287667718">
          <w:marLeft w:val="0"/>
          <w:marRight w:val="0"/>
          <w:marTop w:val="120"/>
          <w:marBottom w:val="120"/>
          <w:divBdr>
            <w:top w:val="none" w:sz="0" w:space="0" w:color="auto"/>
            <w:left w:val="none" w:sz="0" w:space="0" w:color="auto"/>
            <w:bottom w:val="none" w:sz="0" w:space="0" w:color="auto"/>
            <w:right w:val="none" w:sz="0" w:space="0" w:color="auto"/>
          </w:divBdr>
        </w:div>
        <w:div w:id="2052878031">
          <w:marLeft w:val="0"/>
          <w:marRight w:val="0"/>
          <w:marTop w:val="120"/>
          <w:marBottom w:val="120"/>
          <w:divBdr>
            <w:top w:val="none" w:sz="0" w:space="0" w:color="auto"/>
            <w:left w:val="none" w:sz="0" w:space="0" w:color="auto"/>
            <w:bottom w:val="none" w:sz="0" w:space="0" w:color="auto"/>
            <w:right w:val="none" w:sz="0" w:space="0" w:color="auto"/>
          </w:divBdr>
        </w:div>
        <w:div w:id="399716610">
          <w:marLeft w:val="0"/>
          <w:marRight w:val="0"/>
          <w:marTop w:val="120"/>
          <w:marBottom w:val="120"/>
          <w:divBdr>
            <w:top w:val="none" w:sz="0" w:space="0" w:color="auto"/>
            <w:left w:val="none" w:sz="0" w:space="0" w:color="auto"/>
            <w:bottom w:val="none" w:sz="0" w:space="0" w:color="auto"/>
            <w:right w:val="none" w:sz="0" w:space="0" w:color="auto"/>
          </w:divBdr>
        </w:div>
        <w:div w:id="733314709">
          <w:marLeft w:val="0"/>
          <w:marRight w:val="0"/>
          <w:marTop w:val="120"/>
          <w:marBottom w:val="120"/>
          <w:divBdr>
            <w:top w:val="none" w:sz="0" w:space="0" w:color="auto"/>
            <w:left w:val="none" w:sz="0" w:space="0" w:color="auto"/>
            <w:bottom w:val="none" w:sz="0" w:space="0" w:color="auto"/>
            <w:right w:val="none" w:sz="0" w:space="0" w:color="auto"/>
          </w:divBdr>
        </w:div>
        <w:div w:id="1435516124">
          <w:marLeft w:val="0"/>
          <w:marRight w:val="0"/>
          <w:marTop w:val="120"/>
          <w:marBottom w:val="120"/>
          <w:divBdr>
            <w:top w:val="none" w:sz="0" w:space="0" w:color="auto"/>
            <w:left w:val="none" w:sz="0" w:space="0" w:color="auto"/>
            <w:bottom w:val="none" w:sz="0" w:space="0" w:color="auto"/>
            <w:right w:val="none" w:sz="0" w:space="0" w:color="auto"/>
          </w:divBdr>
        </w:div>
        <w:div w:id="1583560377">
          <w:marLeft w:val="0"/>
          <w:marRight w:val="0"/>
          <w:marTop w:val="120"/>
          <w:marBottom w:val="120"/>
          <w:divBdr>
            <w:top w:val="none" w:sz="0" w:space="0" w:color="auto"/>
            <w:left w:val="none" w:sz="0" w:space="0" w:color="auto"/>
            <w:bottom w:val="none" w:sz="0" w:space="0" w:color="auto"/>
            <w:right w:val="none" w:sz="0" w:space="0" w:color="auto"/>
          </w:divBdr>
        </w:div>
        <w:div w:id="1730685272">
          <w:marLeft w:val="0"/>
          <w:marRight w:val="0"/>
          <w:marTop w:val="120"/>
          <w:marBottom w:val="120"/>
          <w:divBdr>
            <w:top w:val="none" w:sz="0" w:space="0" w:color="auto"/>
            <w:left w:val="none" w:sz="0" w:space="0" w:color="auto"/>
            <w:bottom w:val="none" w:sz="0" w:space="0" w:color="auto"/>
            <w:right w:val="none" w:sz="0" w:space="0" w:color="auto"/>
          </w:divBdr>
        </w:div>
        <w:div w:id="556355022">
          <w:marLeft w:val="0"/>
          <w:marRight w:val="0"/>
          <w:marTop w:val="120"/>
          <w:marBottom w:val="120"/>
          <w:divBdr>
            <w:top w:val="none" w:sz="0" w:space="0" w:color="auto"/>
            <w:left w:val="none" w:sz="0" w:space="0" w:color="auto"/>
            <w:bottom w:val="none" w:sz="0" w:space="0" w:color="auto"/>
            <w:right w:val="none" w:sz="0" w:space="0" w:color="auto"/>
          </w:divBdr>
        </w:div>
        <w:div w:id="1712220722">
          <w:marLeft w:val="0"/>
          <w:marRight w:val="0"/>
          <w:marTop w:val="120"/>
          <w:marBottom w:val="120"/>
          <w:divBdr>
            <w:top w:val="none" w:sz="0" w:space="0" w:color="auto"/>
            <w:left w:val="none" w:sz="0" w:space="0" w:color="auto"/>
            <w:bottom w:val="none" w:sz="0" w:space="0" w:color="auto"/>
            <w:right w:val="none" w:sz="0" w:space="0" w:color="auto"/>
          </w:divBdr>
        </w:div>
        <w:div w:id="829978614">
          <w:marLeft w:val="0"/>
          <w:marRight w:val="0"/>
          <w:marTop w:val="120"/>
          <w:marBottom w:val="120"/>
          <w:divBdr>
            <w:top w:val="none" w:sz="0" w:space="0" w:color="auto"/>
            <w:left w:val="none" w:sz="0" w:space="0" w:color="auto"/>
            <w:bottom w:val="none" w:sz="0" w:space="0" w:color="auto"/>
            <w:right w:val="none" w:sz="0" w:space="0" w:color="auto"/>
          </w:divBdr>
        </w:div>
        <w:div w:id="1074009808">
          <w:marLeft w:val="0"/>
          <w:marRight w:val="0"/>
          <w:marTop w:val="120"/>
          <w:marBottom w:val="120"/>
          <w:divBdr>
            <w:top w:val="none" w:sz="0" w:space="0" w:color="auto"/>
            <w:left w:val="none" w:sz="0" w:space="0" w:color="auto"/>
            <w:bottom w:val="none" w:sz="0" w:space="0" w:color="auto"/>
            <w:right w:val="none" w:sz="0" w:space="0" w:color="auto"/>
          </w:divBdr>
        </w:div>
        <w:div w:id="1221483445">
          <w:marLeft w:val="0"/>
          <w:marRight w:val="0"/>
          <w:marTop w:val="120"/>
          <w:marBottom w:val="120"/>
          <w:divBdr>
            <w:top w:val="none" w:sz="0" w:space="0" w:color="auto"/>
            <w:left w:val="none" w:sz="0" w:space="0" w:color="auto"/>
            <w:bottom w:val="none" w:sz="0" w:space="0" w:color="auto"/>
            <w:right w:val="none" w:sz="0" w:space="0" w:color="auto"/>
          </w:divBdr>
        </w:div>
      </w:divsChild>
    </w:div>
    <w:div w:id="1606231859">
      <w:bodyDiv w:val="1"/>
      <w:marLeft w:val="0"/>
      <w:marRight w:val="0"/>
      <w:marTop w:val="0"/>
      <w:marBottom w:val="0"/>
      <w:divBdr>
        <w:top w:val="none" w:sz="0" w:space="0" w:color="auto"/>
        <w:left w:val="none" w:sz="0" w:space="0" w:color="auto"/>
        <w:bottom w:val="none" w:sz="0" w:space="0" w:color="auto"/>
        <w:right w:val="none" w:sz="0" w:space="0" w:color="auto"/>
      </w:divBdr>
      <w:divsChild>
        <w:div w:id="68701631">
          <w:marLeft w:val="0"/>
          <w:marRight w:val="0"/>
          <w:marTop w:val="120"/>
          <w:marBottom w:val="120"/>
          <w:divBdr>
            <w:top w:val="none" w:sz="0" w:space="0" w:color="auto"/>
            <w:left w:val="none" w:sz="0" w:space="0" w:color="auto"/>
            <w:bottom w:val="none" w:sz="0" w:space="0" w:color="auto"/>
            <w:right w:val="none" w:sz="0" w:space="0" w:color="auto"/>
          </w:divBdr>
        </w:div>
        <w:div w:id="620114756">
          <w:marLeft w:val="0"/>
          <w:marRight w:val="0"/>
          <w:marTop w:val="120"/>
          <w:marBottom w:val="120"/>
          <w:divBdr>
            <w:top w:val="none" w:sz="0" w:space="0" w:color="auto"/>
            <w:left w:val="none" w:sz="0" w:space="0" w:color="auto"/>
            <w:bottom w:val="none" w:sz="0" w:space="0" w:color="auto"/>
            <w:right w:val="none" w:sz="0" w:space="0" w:color="auto"/>
          </w:divBdr>
        </w:div>
        <w:div w:id="1004630397">
          <w:marLeft w:val="0"/>
          <w:marRight w:val="0"/>
          <w:marTop w:val="120"/>
          <w:marBottom w:val="120"/>
          <w:divBdr>
            <w:top w:val="none" w:sz="0" w:space="0" w:color="auto"/>
            <w:left w:val="none" w:sz="0" w:space="0" w:color="auto"/>
            <w:bottom w:val="none" w:sz="0" w:space="0" w:color="auto"/>
            <w:right w:val="none" w:sz="0" w:space="0" w:color="auto"/>
          </w:divBdr>
        </w:div>
        <w:div w:id="2083914144">
          <w:marLeft w:val="0"/>
          <w:marRight w:val="0"/>
          <w:marTop w:val="120"/>
          <w:marBottom w:val="120"/>
          <w:divBdr>
            <w:top w:val="none" w:sz="0" w:space="0" w:color="auto"/>
            <w:left w:val="none" w:sz="0" w:space="0" w:color="auto"/>
            <w:bottom w:val="none" w:sz="0" w:space="0" w:color="auto"/>
            <w:right w:val="none" w:sz="0" w:space="0" w:color="auto"/>
          </w:divBdr>
        </w:div>
        <w:div w:id="1397119747">
          <w:marLeft w:val="0"/>
          <w:marRight w:val="0"/>
          <w:marTop w:val="120"/>
          <w:marBottom w:val="120"/>
          <w:divBdr>
            <w:top w:val="none" w:sz="0" w:space="0" w:color="auto"/>
            <w:left w:val="none" w:sz="0" w:space="0" w:color="auto"/>
            <w:bottom w:val="none" w:sz="0" w:space="0" w:color="auto"/>
            <w:right w:val="none" w:sz="0" w:space="0" w:color="auto"/>
          </w:divBdr>
        </w:div>
        <w:div w:id="632517997">
          <w:marLeft w:val="0"/>
          <w:marRight w:val="0"/>
          <w:marTop w:val="120"/>
          <w:marBottom w:val="120"/>
          <w:divBdr>
            <w:top w:val="none" w:sz="0" w:space="0" w:color="auto"/>
            <w:left w:val="none" w:sz="0" w:space="0" w:color="auto"/>
            <w:bottom w:val="none" w:sz="0" w:space="0" w:color="auto"/>
            <w:right w:val="none" w:sz="0" w:space="0" w:color="auto"/>
          </w:divBdr>
        </w:div>
        <w:div w:id="1956015065">
          <w:marLeft w:val="0"/>
          <w:marRight w:val="0"/>
          <w:marTop w:val="120"/>
          <w:marBottom w:val="120"/>
          <w:divBdr>
            <w:top w:val="none" w:sz="0" w:space="0" w:color="auto"/>
            <w:left w:val="none" w:sz="0" w:space="0" w:color="auto"/>
            <w:bottom w:val="none" w:sz="0" w:space="0" w:color="auto"/>
            <w:right w:val="none" w:sz="0" w:space="0" w:color="auto"/>
          </w:divBdr>
        </w:div>
        <w:div w:id="158932866">
          <w:marLeft w:val="0"/>
          <w:marRight w:val="0"/>
          <w:marTop w:val="120"/>
          <w:marBottom w:val="120"/>
          <w:divBdr>
            <w:top w:val="none" w:sz="0" w:space="0" w:color="auto"/>
            <w:left w:val="none" w:sz="0" w:space="0" w:color="auto"/>
            <w:bottom w:val="none" w:sz="0" w:space="0" w:color="auto"/>
            <w:right w:val="none" w:sz="0" w:space="0" w:color="auto"/>
          </w:divBdr>
        </w:div>
        <w:div w:id="1248467862">
          <w:marLeft w:val="0"/>
          <w:marRight w:val="0"/>
          <w:marTop w:val="120"/>
          <w:marBottom w:val="120"/>
          <w:divBdr>
            <w:top w:val="none" w:sz="0" w:space="0" w:color="auto"/>
            <w:left w:val="none" w:sz="0" w:space="0" w:color="auto"/>
            <w:bottom w:val="none" w:sz="0" w:space="0" w:color="auto"/>
            <w:right w:val="none" w:sz="0" w:space="0" w:color="auto"/>
          </w:divBdr>
        </w:div>
        <w:div w:id="1654213651">
          <w:marLeft w:val="0"/>
          <w:marRight w:val="0"/>
          <w:marTop w:val="120"/>
          <w:marBottom w:val="120"/>
          <w:divBdr>
            <w:top w:val="none" w:sz="0" w:space="0" w:color="auto"/>
            <w:left w:val="none" w:sz="0" w:space="0" w:color="auto"/>
            <w:bottom w:val="none" w:sz="0" w:space="0" w:color="auto"/>
            <w:right w:val="none" w:sz="0" w:space="0" w:color="auto"/>
          </w:divBdr>
        </w:div>
        <w:div w:id="54668552">
          <w:marLeft w:val="0"/>
          <w:marRight w:val="0"/>
          <w:marTop w:val="120"/>
          <w:marBottom w:val="120"/>
          <w:divBdr>
            <w:top w:val="none" w:sz="0" w:space="0" w:color="auto"/>
            <w:left w:val="none" w:sz="0" w:space="0" w:color="auto"/>
            <w:bottom w:val="none" w:sz="0" w:space="0" w:color="auto"/>
            <w:right w:val="none" w:sz="0" w:space="0" w:color="auto"/>
          </w:divBdr>
        </w:div>
        <w:div w:id="774329711">
          <w:marLeft w:val="0"/>
          <w:marRight w:val="0"/>
          <w:marTop w:val="120"/>
          <w:marBottom w:val="120"/>
          <w:divBdr>
            <w:top w:val="none" w:sz="0" w:space="0" w:color="auto"/>
            <w:left w:val="none" w:sz="0" w:space="0" w:color="auto"/>
            <w:bottom w:val="none" w:sz="0" w:space="0" w:color="auto"/>
            <w:right w:val="none" w:sz="0" w:space="0" w:color="auto"/>
          </w:divBdr>
        </w:div>
        <w:div w:id="705913562">
          <w:marLeft w:val="0"/>
          <w:marRight w:val="0"/>
          <w:marTop w:val="120"/>
          <w:marBottom w:val="12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1402</Words>
  <Characters>7994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447497399381</cp:lastModifiedBy>
  <cp:revision>2</cp:revision>
  <dcterms:created xsi:type="dcterms:W3CDTF">2026-07-28T15:14:00Z</dcterms:created>
  <dcterms:modified xsi:type="dcterms:W3CDTF">2026-07-28T15:14:00Z</dcterms:modified>
</cp:coreProperties>
</file>