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3B464" w14:textId="77777777" w:rsidR="00244360" w:rsidRPr="004973B1" w:rsidRDefault="00244360" w:rsidP="00244360">
      <w:pPr>
        <w:spacing w:line="360" w:lineRule="auto"/>
        <w:rPr>
          <w:rStyle w:val="normaltextrun"/>
          <w:rFonts w:ascii="Arial" w:hAnsi="Arial" w:cs="Arial"/>
          <w:sz w:val="24"/>
          <w:szCs w:val="24"/>
          <w:u w:val="single"/>
        </w:rPr>
      </w:pPr>
      <w:r w:rsidRPr="004973B1">
        <w:rPr>
          <w:rStyle w:val="normaltextrun"/>
          <w:rFonts w:ascii="Arial" w:hAnsi="Arial" w:cs="Arial"/>
          <w:sz w:val="24"/>
          <w:szCs w:val="24"/>
          <w:u w:val="single"/>
        </w:rPr>
        <w:t xml:space="preserve">The </w:t>
      </w:r>
      <w:r>
        <w:rPr>
          <w:rStyle w:val="normaltextrun"/>
          <w:rFonts w:ascii="Arial" w:hAnsi="Arial" w:cs="Arial"/>
          <w:sz w:val="24"/>
          <w:szCs w:val="24"/>
          <w:u w:val="single"/>
        </w:rPr>
        <w:t>C</w:t>
      </w:r>
      <w:r w:rsidRPr="004973B1">
        <w:rPr>
          <w:rStyle w:val="normaltextrun"/>
          <w:rFonts w:ascii="Arial" w:hAnsi="Arial" w:cs="Arial"/>
          <w:sz w:val="24"/>
          <w:szCs w:val="24"/>
          <w:u w:val="single"/>
        </w:rPr>
        <w:t xml:space="preserve">oncept of </w:t>
      </w:r>
      <w:r>
        <w:rPr>
          <w:rStyle w:val="normaltextrun"/>
          <w:rFonts w:ascii="Arial" w:hAnsi="Arial" w:cs="Arial"/>
          <w:sz w:val="24"/>
          <w:szCs w:val="24"/>
          <w:u w:val="single"/>
        </w:rPr>
        <w:t>H</w:t>
      </w:r>
      <w:r w:rsidRPr="004973B1">
        <w:rPr>
          <w:rStyle w:val="normaltextrun"/>
          <w:rFonts w:ascii="Arial" w:hAnsi="Arial" w:cs="Arial"/>
          <w:sz w:val="24"/>
          <w:szCs w:val="24"/>
          <w:u w:val="single"/>
        </w:rPr>
        <w:t xml:space="preserve">olistic </w:t>
      </w:r>
      <w:r>
        <w:rPr>
          <w:rStyle w:val="normaltextrun"/>
          <w:rFonts w:ascii="Arial" w:hAnsi="Arial" w:cs="Arial"/>
          <w:sz w:val="24"/>
          <w:szCs w:val="24"/>
          <w:u w:val="single"/>
        </w:rPr>
        <w:t>C</w:t>
      </w:r>
      <w:r w:rsidRPr="004973B1">
        <w:rPr>
          <w:rStyle w:val="normaltextrun"/>
          <w:rFonts w:ascii="Arial" w:hAnsi="Arial" w:cs="Arial"/>
          <w:sz w:val="24"/>
          <w:szCs w:val="24"/>
          <w:u w:val="single"/>
        </w:rPr>
        <w:t xml:space="preserve">hild </w:t>
      </w:r>
      <w:r>
        <w:rPr>
          <w:rStyle w:val="normaltextrun"/>
          <w:rFonts w:ascii="Arial" w:hAnsi="Arial" w:cs="Arial"/>
          <w:sz w:val="24"/>
          <w:szCs w:val="24"/>
          <w:u w:val="single"/>
        </w:rPr>
        <w:t>D</w:t>
      </w:r>
      <w:r w:rsidRPr="004973B1">
        <w:rPr>
          <w:rStyle w:val="normaltextrun"/>
          <w:rFonts w:ascii="Arial" w:hAnsi="Arial" w:cs="Arial"/>
          <w:sz w:val="24"/>
          <w:szCs w:val="24"/>
          <w:u w:val="single"/>
        </w:rPr>
        <w:t>evelopment</w:t>
      </w:r>
    </w:p>
    <w:p w14:paraId="476C2902"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Holistic development derives from Jan Christiaan Smuts’ theory of holism in his book Holism and Evolution (1926). Smuts described nature as tending to form ‘wholes greater than the sum of their parts</w:t>
      </w:r>
      <w:r>
        <w:rPr>
          <w:rFonts w:ascii="Arial" w:hAnsi="Arial" w:cs="Arial"/>
          <w:sz w:val="24"/>
          <w:szCs w:val="24"/>
        </w:rPr>
        <w:t>’,</w:t>
      </w:r>
      <w:r w:rsidRPr="004973B1">
        <w:rPr>
          <w:rFonts w:ascii="Arial" w:hAnsi="Arial" w:cs="Arial"/>
          <w:sz w:val="24"/>
          <w:szCs w:val="24"/>
        </w:rPr>
        <w:t xml:space="preserve"> meaning a child is not just a “sum” of skills or traits; their development is a complex process where emotional health, relationships</w:t>
      </w:r>
      <w:r>
        <w:rPr>
          <w:rFonts w:ascii="Arial" w:hAnsi="Arial" w:cs="Arial"/>
          <w:sz w:val="24"/>
          <w:szCs w:val="24"/>
        </w:rPr>
        <w:t xml:space="preserve"> </w:t>
      </w:r>
      <w:r w:rsidRPr="004973B1">
        <w:rPr>
          <w:rFonts w:ascii="Arial" w:hAnsi="Arial" w:cs="Arial"/>
          <w:sz w:val="24"/>
          <w:szCs w:val="24"/>
        </w:rPr>
        <w:t>and cognitive abilities influence each other.</w:t>
      </w:r>
    </w:p>
    <w:p w14:paraId="1B6E12E9"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‘Holism’ provides the philosophical foundation, and ‘holistic’ is its practical application </w:t>
      </w:r>
      <w:r>
        <w:rPr>
          <w:rFonts w:ascii="Arial" w:hAnsi="Arial" w:cs="Arial"/>
          <w:sz w:val="24"/>
          <w:szCs w:val="24"/>
        </w:rPr>
        <w:t>within</w:t>
      </w:r>
      <w:r w:rsidRPr="004973B1">
        <w:rPr>
          <w:rFonts w:ascii="Arial" w:hAnsi="Arial" w:cs="Arial"/>
          <w:sz w:val="24"/>
          <w:szCs w:val="24"/>
        </w:rPr>
        <w:t xml:space="preserve"> childcare and education. This concept went on to be shaped by early childhood pioneers such as Maslow, Frobel, Dewey, and later Steiner into what we recognise today as holistic development. </w:t>
      </w:r>
    </w:p>
    <w:p w14:paraId="68D83EAC" w14:textId="77777777" w:rsidR="00244360" w:rsidRDefault="00244360" w:rsidP="00244360">
      <w:pPr>
        <w:spacing w:line="360" w:lineRule="auto"/>
        <w:rPr>
          <w:rFonts w:ascii="Arial" w:hAnsi="Arial" w:cs="Arial"/>
          <w:sz w:val="24"/>
          <w:szCs w:val="24"/>
        </w:rPr>
      </w:pPr>
      <w:r w:rsidRPr="00E572CC">
        <w:rPr>
          <w:rFonts w:ascii="Arial" w:hAnsi="Arial" w:cs="Arial"/>
          <w:sz w:val="24"/>
          <w:szCs w:val="24"/>
        </w:rPr>
        <w:t>The concept of holistic development refers to a multidimensional approach that, as outlined by the Department for Education (2024), considers the child, encompassing physical, cognitive, social, emotional, moral, ethical, and creative growth. It recognises the interconnection of these and emphasises that learning and wellbeing are most effective when all aspects of development are nurtured</w:t>
      </w:r>
      <w:r>
        <w:rPr>
          <w:rFonts w:ascii="Arial" w:hAnsi="Arial" w:cs="Arial"/>
          <w:sz w:val="24"/>
          <w:szCs w:val="24"/>
        </w:rPr>
        <w:t>.</w:t>
      </w:r>
    </w:p>
    <w:p w14:paraId="4AE93802"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In </w:t>
      </w:r>
      <w:r>
        <w:rPr>
          <w:rFonts w:ascii="Arial" w:hAnsi="Arial" w:cs="Arial"/>
          <w:sz w:val="24"/>
          <w:szCs w:val="24"/>
        </w:rPr>
        <w:t>EY</w:t>
      </w:r>
      <w:r w:rsidRPr="004973B1">
        <w:rPr>
          <w:rFonts w:ascii="Arial" w:hAnsi="Arial" w:cs="Arial"/>
          <w:sz w:val="24"/>
          <w:szCs w:val="24"/>
        </w:rPr>
        <w:t xml:space="preserve"> every experience plays a vital role in shaping the whole child. Learning opportunities that stimulate cognitive growth, language development, and creative exploration all work together with social interactions to foster emotional resilience and interpersonal skills. These opportunities do not operate in isolation</w:t>
      </w:r>
      <w:r>
        <w:rPr>
          <w:rFonts w:ascii="Arial" w:hAnsi="Arial" w:cs="Arial"/>
          <w:sz w:val="24"/>
          <w:szCs w:val="24"/>
        </w:rPr>
        <w:t xml:space="preserve">, </w:t>
      </w:r>
      <w:r w:rsidRPr="004973B1">
        <w:rPr>
          <w:rFonts w:ascii="Arial" w:hAnsi="Arial" w:cs="Arial"/>
          <w:sz w:val="24"/>
          <w:szCs w:val="24"/>
        </w:rPr>
        <w:t>they blend to support holistic development</w:t>
      </w:r>
      <w:r>
        <w:rPr>
          <w:rFonts w:ascii="Arial" w:hAnsi="Arial" w:cs="Arial"/>
          <w:sz w:val="24"/>
          <w:szCs w:val="24"/>
        </w:rPr>
        <w:t xml:space="preserve"> by </w:t>
      </w:r>
      <w:r w:rsidRPr="004973B1">
        <w:rPr>
          <w:rFonts w:ascii="Arial" w:hAnsi="Arial" w:cs="Arial"/>
          <w:sz w:val="24"/>
          <w:szCs w:val="24"/>
        </w:rPr>
        <w:t xml:space="preserve">ensuring that physical, intellectual, emotional, and social needs are all met. By embracing this integrated approach, </w:t>
      </w:r>
      <w:r>
        <w:rPr>
          <w:rFonts w:ascii="Arial" w:hAnsi="Arial" w:cs="Arial"/>
          <w:sz w:val="24"/>
          <w:szCs w:val="24"/>
        </w:rPr>
        <w:t>EY</w:t>
      </w:r>
      <w:r w:rsidRPr="004973B1">
        <w:rPr>
          <w:rFonts w:ascii="Arial" w:hAnsi="Arial" w:cs="Arial"/>
          <w:sz w:val="24"/>
          <w:szCs w:val="24"/>
        </w:rPr>
        <w:t xml:space="preserve"> practitioners create a foundation for lifelong learning, adaptability, and wellbeing, preparing children not only for academic success but for the complexities of life beyond settings</w:t>
      </w:r>
      <w:r>
        <w:rPr>
          <w:rFonts w:ascii="Arial" w:hAnsi="Arial" w:cs="Arial"/>
          <w:sz w:val="24"/>
          <w:szCs w:val="24"/>
        </w:rPr>
        <w:t>.</w:t>
      </w:r>
    </w:p>
    <w:p w14:paraId="7016714D"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According to the Curriculum for Wales (2022) for this to be successful </w:t>
      </w:r>
      <w:r>
        <w:rPr>
          <w:rFonts w:ascii="Arial" w:hAnsi="Arial" w:cs="Arial"/>
          <w:sz w:val="24"/>
          <w:szCs w:val="24"/>
        </w:rPr>
        <w:t>it</w:t>
      </w:r>
      <w:r w:rsidRPr="004973B1">
        <w:rPr>
          <w:rFonts w:ascii="Arial" w:hAnsi="Arial" w:cs="Arial"/>
          <w:sz w:val="24"/>
          <w:szCs w:val="24"/>
        </w:rPr>
        <w:t xml:space="preserve"> relies on the three enablers to be embedded into practice. This is considered as effective practice and is key for supporting holistic development. According to the Curriculum these are identified as enabling adults, engaging experiences and effective environments. </w:t>
      </w:r>
      <w:r>
        <w:rPr>
          <w:rFonts w:ascii="Arial" w:hAnsi="Arial" w:cs="Arial"/>
          <w:sz w:val="24"/>
          <w:szCs w:val="24"/>
        </w:rPr>
        <w:t>They</w:t>
      </w:r>
      <w:r w:rsidRPr="004973B1">
        <w:rPr>
          <w:rFonts w:ascii="Arial" w:hAnsi="Arial" w:cs="Arial"/>
          <w:sz w:val="24"/>
          <w:szCs w:val="24"/>
        </w:rPr>
        <w:t xml:space="preserve"> work together to create a system where developmental pathways; physical, cognitive, emotional, and social are carefully considered and nurtured in an integrated way allowing children to develop. </w:t>
      </w:r>
    </w:p>
    <w:p w14:paraId="2805893D" w14:textId="77777777" w:rsidR="00244360" w:rsidRDefault="00244360" w:rsidP="00244360">
      <w:pPr>
        <w:spacing w:line="360" w:lineRule="auto"/>
        <w:rPr>
          <w:rFonts w:ascii="Arial" w:hAnsi="Arial" w:cs="Arial"/>
          <w:sz w:val="24"/>
          <w:szCs w:val="24"/>
        </w:rPr>
      </w:pPr>
      <w:r w:rsidRPr="004973B1">
        <w:rPr>
          <w:rFonts w:ascii="Arial" w:hAnsi="Arial" w:cs="Arial"/>
          <w:sz w:val="24"/>
          <w:szCs w:val="24"/>
        </w:rPr>
        <w:lastRenderedPageBreak/>
        <w:t>In high</w:t>
      </w:r>
      <w:r>
        <w:rPr>
          <w:rFonts w:ascii="Arial" w:hAnsi="Arial" w:cs="Arial"/>
          <w:sz w:val="24"/>
          <w:szCs w:val="24"/>
        </w:rPr>
        <w:t xml:space="preserve"> </w:t>
      </w:r>
      <w:r w:rsidRPr="004973B1">
        <w:rPr>
          <w:rFonts w:ascii="Arial" w:hAnsi="Arial" w:cs="Arial"/>
          <w:sz w:val="24"/>
          <w:szCs w:val="24"/>
        </w:rPr>
        <w:t xml:space="preserve">quality </w:t>
      </w:r>
      <w:r>
        <w:rPr>
          <w:rFonts w:ascii="Arial" w:hAnsi="Arial" w:cs="Arial"/>
          <w:sz w:val="24"/>
          <w:szCs w:val="24"/>
        </w:rPr>
        <w:t>EY</w:t>
      </w:r>
      <w:r w:rsidRPr="004973B1">
        <w:rPr>
          <w:rFonts w:ascii="Arial" w:hAnsi="Arial" w:cs="Arial"/>
          <w:sz w:val="24"/>
          <w:szCs w:val="24"/>
        </w:rPr>
        <w:t xml:space="preserve"> settings</w:t>
      </w:r>
      <w:r>
        <w:rPr>
          <w:rFonts w:ascii="Arial" w:hAnsi="Arial" w:cs="Arial"/>
          <w:sz w:val="24"/>
          <w:szCs w:val="24"/>
        </w:rPr>
        <w:t>,</w:t>
      </w:r>
      <w:r w:rsidRPr="004973B1">
        <w:rPr>
          <w:rFonts w:ascii="Arial" w:hAnsi="Arial" w:cs="Arial"/>
          <w:sz w:val="24"/>
          <w:szCs w:val="24"/>
        </w:rPr>
        <w:t xml:space="preserve"> holistic development is central to the work of practitioners. This approach recognises the critical role that adults, the learning environment</w:t>
      </w:r>
      <w:r>
        <w:rPr>
          <w:rFonts w:ascii="Arial" w:hAnsi="Arial" w:cs="Arial"/>
          <w:sz w:val="24"/>
          <w:szCs w:val="24"/>
        </w:rPr>
        <w:t>,</w:t>
      </w:r>
      <w:r w:rsidRPr="004973B1">
        <w:rPr>
          <w:rFonts w:ascii="Arial" w:hAnsi="Arial" w:cs="Arial"/>
          <w:sz w:val="24"/>
          <w:szCs w:val="24"/>
        </w:rPr>
        <w:t xml:space="preserve"> and experiences </w:t>
      </w:r>
      <w:r>
        <w:rPr>
          <w:rFonts w:ascii="Arial" w:hAnsi="Arial" w:cs="Arial"/>
          <w:sz w:val="24"/>
          <w:szCs w:val="24"/>
        </w:rPr>
        <w:t xml:space="preserve">play in </w:t>
      </w:r>
      <w:r w:rsidRPr="004973B1">
        <w:rPr>
          <w:rFonts w:ascii="Arial" w:hAnsi="Arial" w:cs="Arial"/>
          <w:sz w:val="24"/>
          <w:szCs w:val="24"/>
        </w:rPr>
        <w:t xml:space="preserve">shaping children’s growth. Each of these elements interacts to influence physical, cognitive, social, and emotional development, </w:t>
      </w:r>
      <w:r>
        <w:rPr>
          <w:rFonts w:ascii="Arial" w:hAnsi="Arial" w:cs="Arial"/>
          <w:sz w:val="24"/>
          <w:szCs w:val="24"/>
        </w:rPr>
        <w:t>ensuring</w:t>
      </w:r>
      <w:r w:rsidRPr="002A237D">
        <w:rPr>
          <w:rFonts w:ascii="Arial" w:hAnsi="Arial" w:cs="Arial"/>
          <w:sz w:val="24"/>
          <w:szCs w:val="24"/>
        </w:rPr>
        <w:t xml:space="preserve"> that all aspects of learning</w:t>
      </w:r>
      <w:r>
        <w:rPr>
          <w:rFonts w:ascii="Arial" w:hAnsi="Arial" w:cs="Arial"/>
          <w:sz w:val="24"/>
          <w:szCs w:val="24"/>
        </w:rPr>
        <w:t xml:space="preserve"> and care</w:t>
      </w:r>
      <w:r w:rsidRPr="002A237D">
        <w:rPr>
          <w:rFonts w:ascii="Arial" w:hAnsi="Arial" w:cs="Arial"/>
          <w:sz w:val="24"/>
          <w:szCs w:val="24"/>
        </w:rPr>
        <w:t xml:space="preserve"> </w:t>
      </w:r>
      <w:r>
        <w:rPr>
          <w:rFonts w:ascii="Arial" w:hAnsi="Arial" w:cs="Arial"/>
          <w:sz w:val="24"/>
          <w:szCs w:val="24"/>
        </w:rPr>
        <w:t>is</w:t>
      </w:r>
      <w:r w:rsidRPr="002A237D">
        <w:rPr>
          <w:rFonts w:ascii="Arial" w:hAnsi="Arial" w:cs="Arial"/>
          <w:sz w:val="24"/>
          <w:szCs w:val="24"/>
        </w:rPr>
        <w:t xml:space="preserve"> nurtured holistically</w:t>
      </w:r>
      <w:r>
        <w:rPr>
          <w:rFonts w:ascii="Arial" w:hAnsi="Arial" w:cs="Arial"/>
          <w:sz w:val="24"/>
          <w:szCs w:val="24"/>
        </w:rPr>
        <w:t>.</w:t>
      </w:r>
    </w:p>
    <w:p w14:paraId="776EC325"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The Flying Start program (2023) </w:t>
      </w:r>
      <w:r>
        <w:rPr>
          <w:rFonts w:ascii="Arial" w:hAnsi="Arial" w:cs="Arial"/>
          <w:sz w:val="24"/>
          <w:szCs w:val="24"/>
        </w:rPr>
        <w:t>implements</w:t>
      </w:r>
      <w:r w:rsidRPr="004973B1">
        <w:rPr>
          <w:rFonts w:ascii="Arial" w:hAnsi="Arial" w:cs="Arial"/>
          <w:sz w:val="24"/>
          <w:szCs w:val="24"/>
        </w:rPr>
        <w:t xml:space="preserve"> the principles of holistic development by providing a high</w:t>
      </w:r>
      <w:r>
        <w:rPr>
          <w:rFonts w:ascii="Arial" w:hAnsi="Arial" w:cs="Arial"/>
          <w:sz w:val="24"/>
          <w:szCs w:val="24"/>
        </w:rPr>
        <w:t>-quality all-round</w:t>
      </w:r>
      <w:r w:rsidRPr="004973B1">
        <w:rPr>
          <w:rFonts w:ascii="Arial" w:hAnsi="Arial" w:cs="Arial"/>
          <w:sz w:val="24"/>
          <w:szCs w:val="24"/>
        </w:rPr>
        <w:t xml:space="preserve"> approach to </w:t>
      </w:r>
      <w:r>
        <w:rPr>
          <w:rFonts w:ascii="Arial" w:hAnsi="Arial" w:cs="Arial"/>
          <w:sz w:val="24"/>
          <w:szCs w:val="24"/>
        </w:rPr>
        <w:t>EY</w:t>
      </w:r>
      <w:r w:rsidRPr="004973B1">
        <w:rPr>
          <w:rFonts w:ascii="Arial" w:hAnsi="Arial" w:cs="Arial"/>
          <w:sz w:val="24"/>
          <w:szCs w:val="24"/>
        </w:rPr>
        <w:t>. This is achieved by offering enhanced health visiting, and targeted support for language and parenting. Practitioners act as enabling adults who build secure relationships and guide development, while play</w:t>
      </w:r>
      <w:r>
        <w:rPr>
          <w:rFonts w:ascii="Arial" w:hAnsi="Arial" w:cs="Arial"/>
          <w:sz w:val="24"/>
          <w:szCs w:val="24"/>
        </w:rPr>
        <w:t xml:space="preserve"> b</w:t>
      </w:r>
      <w:r w:rsidRPr="004973B1">
        <w:rPr>
          <w:rFonts w:ascii="Arial" w:hAnsi="Arial" w:cs="Arial"/>
          <w:sz w:val="24"/>
          <w:szCs w:val="24"/>
        </w:rPr>
        <w:t>ased and language rich activities offer engaging experiences alongside purposefully designed settings that provide effective environments promoting safety, inclusion, and exploration.</w:t>
      </w:r>
    </w:p>
    <w:p w14:paraId="6F416869"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Th</w:t>
      </w:r>
      <w:r>
        <w:rPr>
          <w:rFonts w:ascii="Arial" w:hAnsi="Arial" w:cs="Arial"/>
          <w:sz w:val="24"/>
          <w:szCs w:val="24"/>
        </w:rPr>
        <w:t>e c</w:t>
      </w:r>
      <w:r w:rsidRPr="004973B1">
        <w:rPr>
          <w:rFonts w:ascii="Arial" w:hAnsi="Arial" w:cs="Arial"/>
          <w:sz w:val="24"/>
          <w:szCs w:val="24"/>
        </w:rPr>
        <w:t>oncept of holistic development aligns closely to Maslow’s hierarchy of needs theory. Both emphasise the importance of the multiple dimensions of development. Just as (Maslow, 1943) tells us that physiological, safety, social, esteem, and self-actualisation needs must be met for optimal development, holistic development supports the nurturing of physical, cognitive, emotional, and social development simultaneously.</w:t>
      </w:r>
    </w:p>
    <w:p w14:paraId="3B4F7BA8"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By creating environments that meet all the child’s basic needs while fostering belonging, confidence, and opportunities for creativity </w:t>
      </w:r>
      <w:r>
        <w:rPr>
          <w:rFonts w:ascii="Arial" w:hAnsi="Arial" w:cs="Arial"/>
          <w:sz w:val="24"/>
          <w:szCs w:val="24"/>
        </w:rPr>
        <w:t>EY</w:t>
      </w:r>
      <w:r w:rsidRPr="004973B1">
        <w:rPr>
          <w:rFonts w:ascii="Arial" w:hAnsi="Arial" w:cs="Arial"/>
          <w:sz w:val="24"/>
          <w:szCs w:val="24"/>
        </w:rPr>
        <w:t xml:space="preserve"> practitioners can implement these theories into practice. Together, holistic development and Maslow’s model underscore that development is not linear or isolated but an integrated process that supports </w:t>
      </w:r>
      <w:r>
        <w:rPr>
          <w:rFonts w:ascii="Arial" w:hAnsi="Arial" w:cs="Arial"/>
          <w:sz w:val="24"/>
          <w:szCs w:val="24"/>
        </w:rPr>
        <w:t xml:space="preserve">multiple stages. </w:t>
      </w:r>
    </w:p>
    <w:p w14:paraId="7347AB14"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However, Maslow’s hierarchy theory assumes that individuals have access to sufficient resources to progress beyond their basic survival needs, a premise that does not hold true for large proportions of the population especially many of those living in poverty or under conditions of insecurity in the South Wales valleys</w:t>
      </w:r>
      <w:r>
        <w:rPr>
          <w:rFonts w:ascii="Arial" w:hAnsi="Arial" w:cs="Arial"/>
          <w:sz w:val="24"/>
          <w:szCs w:val="24"/>
        </w:rPr>
        <w:t>.</w:t>
      </w:r>
    </w:p>
    <w:p w14:paraId="1F7B104F" w14:textId="77777777" w:rsidR="00244360" w:rsidRDefault="00244360" w:rsidP="00244360">
      <w:pPr>
        <w:spacing w:line="360" w:lineRule="auto"/>
        <w:rPr>
          <w:rFonts w:ascii="Arial" w:hAnsi="Arial" w:cs="Arial"/>
          <w:sz w:val="24"/>
          <w:szCs w:val="24"/>
        </w:rPr>
      </w:pPr>
      <w:r>
        <w:rPr>
          <w:rFonts w:ascii="Arial" w:hAnsi="Arial" w:cs="Arial"/>
          <w:sz w:val="24"/>
          <w:szCs w:val="24"/>
        </w:rPr>
        <w:t xml:space="preserve">Additionally, </w:t>
      </w:r>
      <w:proofErr w:type="spellStart"/>
      <w:r w:rsidRPr="00E67803">
        <w:rPr>
          <w:rFonts w:ascii="Arial" w:hAnsi="Arial" w:cs="Arial"/>
          <w:sz w:val="24"/>
          <w:szCs w:val="24"/>
        </w:rPr>
        <w:t>Ivtzan</w:t>
      </w:r>
      <w:proofErr w:type="spellEnd"/>
      <w:r w:rsidRPr="00E67803">
        <w:rPr>
          <w:rFonts w:ascii="Arial" w:hAnsi="Arial" w:cs="Arial"/>
          <w:sz w:val="24"/>
          <w:szCs w:val="24"/>
        </w:rPr>
        <w:t xml:space="preserve"> (2008) </w:t>
      </w:r>
      <w:r>
        <w:rPr>
          <w:rFonts w:ascii="Arial" w:hAnsi="Arial" w:cs="Arial"/>
          <w:sz w:val="24"/>
          <w:szCs w:val="24"/>
        </w:rPr>
        <w:t>claims</w:t>
      </w:r>
      <w:r w:rsidRPr="00E67803">
        <w:rPr>
          <w:rFonts w:ascii="Arial" w:hAnsi="Arial" w:cs="Arial"/>
          <w:sz w:val="24"/>
          <w:szCs w:val="24"/>
        </w:rPr>
        <w:t xml:space="preserve"> that the </w:t>
      </w:r>
      <w:r>
        <w:rPr>
          <w:rFonts w:ascii="Arial" w:hAnsi="Arial" w:cs="Arial"/>
          <w:sz w:val="24"/>
          <w:szCs w:val="24"/>
        </w:rPr>
        <w:t xml:space="preserve">concept </w:t>
      </w:r>
      <w:r w:rsidRPr="00E67803">
        <w:rPr>
          <w:rFonts w:ascii="Arial" w:hAnsi="Arial" w:cs="Arial"/>
          <w:sz w:val="24"/>
          <w:szCs w:val="24"/>
        </w:rPr>
        <w:t>of self</w:t>
      </w:r>
      <w:r>
        <w:rPr>
          <w:rFonts w:ascii="Arial" w:hAnsi="Arial" w:cs="Arial"/>
          <w:sz w:val="24"/>
          <w:szCs w:val="24"/>
        </w:rPr>
        <w:t>-</w:t>
      </w:r>
      <w:r w:rsidRPr="00E67803">
        <w:rPr>
          <w:rFonts w:ascii="Arial" w:hAnsi="Arial" w:cs="Arial"/>
          <w:sz w:val="24"/>
          <w:szCs w:val="24"/>
        </w:rPr>
        <w:t>actualisation is rooted in individualistic Western cultural assumptions and may not be applicable to collectivist cultures</w:t>
      </w:r>
      <w:r>
        <w:rPr>
          <w:rFonts w:ascii="Arial" w:hAnsi="Arial" w:cs="Arial"/>
          <w:sz w:val="24"/>
          <w:szCs w:val="24"/>
        </w:rPr>
        <w:t xml:space="preserve"> such as the travelling communities</w:t>
      </w:r>
      <w:r w:rsidRPr="00E67803">
        <w:rPr>
          <w:rFonts w:ascii="Arial" w:hAnsi="Arial" w:cs="Arial"/>
          <w:sz w:val="24"/>
          <w:szCs w:val="24"/>
        </w:rPr>
        <w:t xml:space="preserve"> that prioritise interdependence over independence. </w:t>
      </w:r>
    </w:p>
    <w:p w14:paraId="4F2D6BDC" w14:textId="77777777" w:rsidR="00244360" w:rsidRDefault="00244360" w:rsidP="00244360">
      <w:pPr>
        <w:spacing w:line="360" w:lineRule="auto"/>
        <w:rPr>
          <w:rFonts w:ascii="Arial" w:hAnsi="Arial" w:cs="Arial"/>
          <w:sz w:val="24"/>
          <w:szCs w:val="24"/>
        </w:rPr>
      </w:pPr>
      <w:r w:rsidRPr="00E67803">
        <w:rPr>
          <w:rFonts w:ascii="Arial" w:hAnsi="Arial" w:cs="Arial"/>
          <w:sz w:val="24"/>
          <w:szCs w:val="24"/>
        </w:rPr>
        <w:lastRenderedPageBreak/>
        <w:t>Beyond Maslow, the principle</w:t>
      </w:r>
      <w:r>
        <w:rPr>
          <w:rFonts w:ascii="Arial" w:hAnsi="Arial" w:cs="Arial"/>
          <w:sz w:val="24"/>
          <w:szCs w:val="24"/>
        </w:rPr>
        <w:t>s</w:t>
      </w:r>
      <w:r w:rsidRPr="00E67803">
        <w:rPr>
          <w:rFonts w:ascii="Arial" w:hAnsi="Arial" w:cs="Arial"/>
          <w:sz w:val="24"/>
          <w:szCs w:val="24"/>
        </w:rPr>
        <w:t xml:space="preserve"> of holistic development in </w:t>
      </w:r>
      <w:r>
        <w:rPr>
          <w:rFonts w:ascii="Arial" w:hAnsi="Arial" w:cs="Arial"/>
          <w:sz w:val="24"/>
          <w:szCs w:val="24"/>
        </w:rPr>
        <w:t>EY</w:t>
      </w:r>
      <w:r w:rsidRPr="00E67803">
        <w:rPr>
          <w:rFonts w:ascii="Arial" w:hAnsi="Arial" w:cs="Arial"/>
          <w:sz w:val="24"/>
          <w:szCs w:val="24"/>
        </w:rPr>
        <w:t xml:space="preserve"> education</w:t>
      </w:r>
      <w:r>
        <w:rPr>
          <w:rFonts w:ascii="Arial" w:hAnsi="Arial" w:cs="Arial"/>
          <w:sz w:val="24"/>
          <w:szCs w:val="24"/>
        </w:rPr>
        <w:t xml:space="preserve"> also</w:t>
      </w:r>
      <w:r w:rsidRPr="00E67803">
        <w:rPr>
          <w:rFonts w:ascii="Arial" w:hAnsi="Arial" w:cs="Arial"/>
          <w:sz w:val="24"/>
          <w:szCs w:val="24"/>
        </w:rPr>
        <w:t xml:space="preserve"> align</w:t>
      </w:r>
      <w:r>
        <w:rPr>
          <w:rFonts w:ascii="Arial" w:hAnsi="Arial" w:cs="Arial"/>
          <w:sz w:val="24"/>
          <w:szCs w:val="24"/>
        </w:rPr>
        <w:t xml:space="preserve"> </w:t>
      </w:r>
      <w:r w:rsidRPr="00E67803">
        <w:rPr>
          <w:rFonts w:ascii="Arial" w:hAnsi="Arial" w:cs="Arial"/>
          <w:sz w:val="24"/>
          <w:szCs w:val="24"/>
        </w:rPr>
        <w:t xml:space="preserve">closely with the philosophies of Rudolf Steiner and John Dewey, both of whom championed educating the ‘whole child.’ </w:t>
      </w:r>
    </w:p>
    <w:p w14:paraId="1C8FA380" w14:textId="77777777" w:rsidR="00244360" w:rsidRPr="00E67803" w:rsidRDefault="00244360" w:rsidP="00244360">
      <w:pPr>
        <w:spacing w:line="360" w:lineRule="auto"/>
        <w:rPr>
          <w:rFonts w:ascii="Arial" w:hAnsi="Arial" w:cs="Arial"/>
          <w:sz w:val="24"/>
          <w:szCs w:val="24"/>
        </w:rPr>
      </w:pPr>
      <w:r w:rsidRPr="00E67803">
        <w:rPr>
          <w:rFonts w:ascii="Arial" w:hAnsi="Arial" w:cs="Arial"/>
          <w:sz w:val="24"/>
          <w:szCs w:val="24"/>
        </w:rPr>
        <w:t>Steiner’s Waldorf approach</w:t>
      </w:r>
      <w:r>
        <w:rPr>
          <w:rFonts w:ascii="Arial" w:hAnsi="Arial" w:cs="Arial"/>
          <w:sz w:val="24"/>
          <w:szCs w:val="24"/>
        </w:rPr>
        <w:t xml:space="preserve"> (1996)</w:t>
      </w:r>
      <w:r w:rsidRPr="00E67803">
        <w:rPr>
          <w:rFonts w:ascii="Arial" w:hAnsi="Arial" w:cs="Arial"/>
          <w:sz w:val="24"/>
          <w:szCs w:val="24"/>
        </w:rPr>
        <w:t xml:space="preserve"> promotes integrated growth across cognitive, emotional, and physical domains, encouraging creativity and imagination through play, rhythm, and nature</w:t>
      </w:r>
      <w:r>
        <w:rPr>
          <w:rFonts w:ascii="Arial" w:hAnsi="Arial" w:cs="Arial"/>
          <w:sz w:val="24"/>
          <w:szCs w:val="24"/>
        </w:rPr>
        <w:t>-based</w:t>
      </w:r>
      <w:r w:rsidRPr="00E67803">
        <w:rPr>
          <w:rFonts w:ascii="Arial" w:hAnsi="Arial" w:cs="Arial"/>
          <w:sz w:val="24"/>
          <w:szCs w:val="24"/>
        </w:rPr>
        <w:t xml:space="preserve"> experiences</w:t>
      </w:r>
      <w:r>
        <w:rPr>
          <w:rFonts w:ascii="Arial" w:hAnsi="Arial" w:cs="Arial"/>
          <w:sz w:val="24"/>
          <w:szCs w:val="24"/>
        </w:rPr>
        <w:t>.</w:t>
      </w:r>
      <w:r w:rsidRPr="00E67803">
        <w:rPr>
          <w:rFonts w:ascii="Arial" w:hAnsi="Arial" w:cs="Arial"/>
          <w:sz w:val="24"/>
          <w:szCs w:val="24"/>
        </w:rPr>
        <w:t xml:space="preserve"> </w:t>
      </w:r>
    </w:p>
    <w:p w14:paraId="4D803167"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Similarly, </w:t>
      </w:r>
      <w:r>
        <w:rPr>
          <w:rFonts w:ascii="Arial" w:hAnsi="Arial" w:cs="Arial"/>
          <w:sz w:val="24"/>
          <w:szCs w:val="24"/>
        </w:rPr>
        <w:t xml:space="preserve">Kathy Brodie (2024) describes </w:t>
      </w:r>
      <w:r w:rsidRPr="004973B1">
        <w:rPr>
          <w:rFonts w:ascii="Arial" w:hAnsi="Arial" w:cs="Arial"/>
          <w:sz w:val="24"/>
          <w:szCs w:val="24"/>
        </w:rPr>
        <w:t xml:space="preserve">Dewey’s progressive education model </w:t>
      </w:r>
      <w:r>
        <w:rPr>
          <w:rFonts w:ascii="Arial" w:hAnsi="Arial" w:cs="Arial"/>
          <w:sz w:val="24"/>
          <w:szCs w:val="24"/>
        </w:rPr>
        <w:t xml:space="preserve">as </w:t>
      </w:r>
      <w:r w:rsidRPr="004973B1">
        <w:rPr>
          <w:rFonts w:ascii="Arial" w:hAnsi="Arial" w:cs="Arial"/>
          <w:sz w:val="24"/>
          <w:szCs w:val="24"/>
        </w:rPr>
        <w:t>prioritis</w:t>
      </w:r>
      <w:r>
        <w:rPr>
          <w:rFonts w:ascii="Arial" w:hAnsi="Arial" w:cs="Arial"/>
          <w:sz w:val="24"/>
          <w:szCs w:val="24"/>
        </w:rPr>
        <w:t xml:space="preserve">ing </w:t>
      </w:r>
      <w:r w:rsidRPr="004973B1">
        <w:rPr>
          <w:rFonts w:ascii="Arial" w:hAnsi="Arial" w:cs="Arial"/>
          <w:sz w:val="24"/>
          <w:szCs w:val="24"/>
        </w:rPr>
        <w:t xml:space="preserve">experiential learning, social interaction, and reflective thinking, </w:t>
      </w:r>
      <w:r>
        <w:rPr>
          <w:rFonts w:ascii="Arial" w:hAnsi="Arial" w:cs="Arial"/>
          <w:sz w:val="24"/>
          <w:szCs w:val="24"/>
        </w:rPr>
        <w:t xml:space="preserve">and </w:t>
      </w:r>
      <w:r w:rsidRPr="004973B1">
        <w:rPr>
          <w:rFonts w:ascii="Arial" w:hAnsi="Arial" w:cs="Arial"/>
          <w:sz w:val="24"/>
          <w:szCs w:val="24"/>
        </w:rPr>
        <w:t>viewing education as a democratic and interactive process that nurtures intellectual, social, and emotional capacities</w:t>
      </w:r>
      <w:r>
        <w:rPr>
          <w:rFonts w:ascii="Arial" w:hAnsi="Arial" w:cs="Arial"/>
          <w:sz w:val="24"/>
          <w:szCs w:val="24"/>
        </w:rPr>
        <w:t>.</w:t>
      </w:r>
    </w:p>
    <w:p w14:paraId="49F41655" w14:textId="77777777" w:rsidR="00244360" w:rsidRDefault="00244360" w:rsidP="00244360">
      <w:pPr>
        <w:spacing w:line="360" w:lineRule="auto"/>
        <w:rPr>
          <w:rFonts w:ascii="Arial" w:hAnsi="Arial" w:cs="Arial"/>
          <w:sz w:val="24"/>
          <w:szCs w:val="24"/>
        </w:rPr>
      </w:pPr>
      <w:r w:rsidRPr="002428F9">
        <w:rPr>
          <w:rFonts w:ascii="Arial" w:hAnsi="Arial" w:cs="Arial"/>
          <w:sz w:val="24"/>
          <w:szCs w:val="24"/>
        </w:rPr>
        <w:t>Both theorists opposed fragmented, assessment</w:t>
      </w:r>
      <w:r>
        <w:rPr>
          <w:rFonts w:ascii="Arial" w:hAnsi="Arial" w:cs="Arial"/>
          <w:sz w:val="24"/>
          <w:szCs w:val="24"/>
        </w:rPr>
        <w:t xml:space="preserve"> </w:t>
      </w:r>
      <w:r w:rsidRPr="002428F9">
        <w:rPr>
          <w:rFonts w:ascii="Arial" w:hAnsi="Arial" w:cs="Arial"/>
          <w:sz w:val="24"/>
          <w:szCs w:val="24"/>
        </w:rPr>
        <w:t xml:space="preserve">driven teaching, advocating instead for pedagogical approaches that nurture curiosity, critical thinking, and moral growth. These principles resonate with contemporary frameworks, such as </w:t>
      </w:r>
      <w:proofErr w:type="spellStart"/>
      <w:r w:rsidRPr="002428F9">
        <w:rPr>
          <w:rFonts w:ascii="Arial" w:hAnsi="Arial" w:cs="Arial"/>
          <w:sz w:val="24"/>
          <w:szCs w:val="24"/>
        </w:rPr>
        <w:t>Wales’</w:t>
      </w:r>
      <w:proofErr w:type="spellEnd"/>
      <w:r w:rsidRPr="002428F9">
        <w:rPr>
          <w:rFonts w:ascii="Arial" w:hAnsi="Arial" w:cs="Arial"/>
          <w:sz w:val="24"/>
          <w:szCs w:val="24"/>
        </w:rPr>
        <w:t xml:space="preserve"> Curriculum for Non-Maintained Settings, which aim to equip children for lifelong learning and active engagement in society</w:t>
      </w:r>
      <w:r>
        <w:rPr>
          <w:rFonts w:ascii="Arial" w:hAnsi="Arial" w:cs="Arial"/>
          <w:sz w:val="24"/>
          <w:szCs w:val="24"/>
        </w:rPr>
        <w:t>.</w:t>
      </w:r>
    </w:p>
    <w:p w14:paraId="34099385" w14:textId="77777777" w:rsidR="00244360" w:rsidRPr="004973B1" w:rsidRDefault="00244360" w:rsidP="00244360">
      <w:pPr>
        <w:spacing w:line="360" w:lineRule="auto"/>
        <w:rPr>
          <w:rFonts w:ascii="Arial" w:hAnsi="Arial" w:cs="Arial"/>
          <w:sz w:val="24"/>
          <w:szCs w:val="24"/>
        </w:rPr>
      </w:pPr>
      <w:r w:rsidRPr="004973B1">
        <w:rPr>
          <w:rFonts w:ascii="Arial" w:hAnsi="Arial" w:cs="Arial"/>
          <w:sz w:val="24"/>
          <w:szCs w:val="24"/>
        </w:rPr>
        <w:t xml:space="preserve">While the philosophies of Steiner and Dewey strongly align with holistic development, similarly to Maslow they too present certain challenges when applied in contemporary practice. </w:t>
      </w:r>
    </w:p>
    <w:p w14:paraId="6E6D2A95" w14:textId="77777777" w:rsidR="00244360" w:rsidRDefault="00244360" w:rsidP="00244360">
      <w:pPr>
        <w:spacing w:line="360" w:lineRule="auto"/>
        <w:rPr>
          <w:rFonts w:ascii="Arial" w:hAnsi="Arial" w:cs="Arial"/>
          <w:sz w:val="24"/>
          <w:szCs w:val="24"/>
        </w:rPr>
      </w:pPr>
      <w:r w:rsidRPr="004973B1">
        <w:rPr>
          <w:rFonts w:ascii="Arial" w:hAnsi="Arial" w:cs="Arial"/>
          <w:sz w:val="24"/>
          <w:szCs w:val="24"/>
        </w:rPr>
        <w:t>Steiner’s approach delays formal literacy and numeracy and discourages early exposure to technology, which conflict</w:t>
      </w:r>
      <w:r>
        <w:rPr>
          <w:rFonts w:ascii="Arial" w:hAnsi="Arial" w:cs="Arial"/>
          <w:sz w:val="24"/>
          <w:szCs w:val="24"/>
        </w:rPr>
        <w:t>s</w:t>
      </w:r>
      <w:r w:rsidRPr="004973B1">
        <w:rPr>
          <w:rFonts w:ascii="Arial" w:hAnsi="Arial" w:cs="Arial"/>
          <w:sz w:val="24"/>
          <w:szCs w:val="24"/>
        </w:rPr>
        <w:t xml:space="preserve"> with the Curriculum for </w:t>
      </w:r>
      <w:proofErr w:type="spellStart"/>
      <w:r w:rsidRPr="004973B1">
        <w:rPr>
          <w:rFonts w:ascii="Arial" w:hAnsi="Arial" w:cs="Arial"/>
          <w:sz w:val="24"/>
          <w:szCs w:val="24"/>
        </w:rPr>
        <w:t>Wales</w:t>
      </w:r>
      <w:r>
        <w:rPr>
          <w:rFonts w:ascii="Arial" w:hAnsi="Arial" w:cs="Arial"/>
          <w:sz w:val="24"/>
          <w:szCs w:val="24"/>
        </w:rPr>
        <w:t>’</w:t>
      </w:r>
      <w:proofErr w:type="spellEnd"/>
      <w:r>
        <w:rPr>
          <w:rFonts w:ascii="Arial" w:hAnsi="Arial" w:cs="Arial"/>
          <w:sz w:val="24"/>
          <w:szCs w:val="24"/>
        </w:rPr>
        <w:t xml:space="preserve"> </w:t>
      </w:r>
      <w:r w:rsidRPr="004973B1">
        <w:rPr>
          <w:rFonts w:ascii="Arial" w:hAnsi="Arial" w:cs="Arial"/>
          <w:sz w:val="24"/>
          <w:szCs w:val="24"/>
        </w:rPr>
        <w:t>emphasis on developing cross</w:t>
      </w:r>
      <w:r>
        <w:rPr>
          <w:rFonts w:ascii="Arial" w:hAnsi="Arial" w:cs="Arial"/>
          <w:sz w:val="24"/>
          <w:szCs w:val="24"/>
        </w:rPr>
        <w:t xml:space="preserve"> </w:t>
      </w:r>
      <w:r w:rsidRPr="004973B1">
        <w:rPr>
          <w:rFonts w:ascii="Arial" w:hAnsi="Arial" w:cs="Arial"/>
          <w:sz w:val="24"/>
          <w:szCs w:val="24"/>
        </w:rPr>
        <w:t>curricular skills such as digital competence and numeracy</w:t>
      </w:r>
      <w:r>
        <w:rPr>
          <w:rFonts w:ascii="Arial" w:hAnsi="Arial" w:cs="Arial"/>
          <w:sz w:val="24"/>
          <w:szCs w:val="24"/>
        </w:rPr>
        <w:t>.</w:t>
      </w:r>
    </w:p>
    <w:p w14:paraId="6D078B17" w14:textId="77777777" w:rsidR="00244360" w:rsidRDefault="00244360" w:rsidP="00244360">
      <w:pPr>
        <w:spacing w:line="360" w:lineRule="auto"/>
        <w:rPr>
          <w:rFonts w:ascii="Arial" w:hAnsi="Arial" w:cs="Arial"/>
          <w:sz w:val="24"/>
          <w:szCs w:val="24"/>
        </w:rPr>
      </w:pPr>
      <w:r w:rsidRPr="00755FFF">
        <w:rPr>
          <w:rFonts w:ascii="Arial" w:hAnsi="Arial" w:cs="Arial"/>
          <w:sz w:val="24"/>
          <w:szCs w:val="24"/>
        </w:rPr>
        <w:t>Similarly, Dewey’s experiential, child</w:t>
      </w:r>
      <w:r>
        <w:rPr>
          <w:rFonts w:ascii="Arial" w:hAnsi="Arial" w:cs="Arial"/>
          <w:sz w:val="24"/>
          <w:szCs w:val="24"/>
        </w:rPr>
        <w:t xml:space="preserve"> </w:t>
      </w:r>
      <w:r w:rsidRPr="00755FFF">
        <w:rPr>
          <w:rFonts w:ascii="Arial" w:hAnsi="Arial" w:cs="Arial"/>
          <w:sz w:val="24"/>
          <w:szCs w:val="24"/>
        </w:rPr>
        <w:t>led approach can be demanding in terms of resources and consistency, raising concerns about progression and assessment within statutory frameworks. Project</w:t>
      </w:r>
      <w:r>
        <w:rPr>
          <w:rFonts w:ascii="Arial" w:hAnsi="Arial" w:cs="Arial"/>
          <w:sz w:val="24"/>
          <w:szCs w:val="24"/>
        </w:rPr>
        <w:t xml:space="preserve"> </w:t>
      </w:r>
      <w:r w:rsidRPr="00755FFF">
        <w:rPr>
          <w:rFonts w:ascii="Arial" w:hAnsi="Arial" w:cs="Arial"/>
          <w:sz w:val="24"/>
          <w:szCs w:val="24"/>
        </w:rPr>
        <w:t>based learning requires substantial time, materials, and highly skilled practitioners</w:t>
      </w:r>
      <w:r>
        <w:rPr>
          <w:rFonts w:ascii="Arial" w:hAnsi="Arial" w:cs="Arial"/>
          <w:sz w:val="24"/>
          <w:szCs w:val="24"/>
        </w:rPr>
        <w:t xml:space="preserve"> </w:t>
      </w:r>
      <w:r w:rsidRPr="00755FFF">
        <w:rPr>
          <w:rFonts w:ascii="Arial" w:hAnsi="Arial" w:cs="Arial"/>
          <w:sz w:val="24"/>
          <w:szCs w:val="24"/>
        </w:rPr>
        <w:t>posing challenges for underfunded settings already facing recruitment and retention difficulties (Social Care Wales, 2024).</w:t>
      </w:r>
    </w:p>
    <w:p w14:paraId="556FE006" w14:textId="77777777" w:rsidR="00244360" w:rsidRDefault="00244360" w:rsidP="00244360">
      <w:pPr>
        <w:spacing w:line="360" w:lineRule="auto"/>
        <w:rPr>
          <w:rFonts w:ascii="Arial" w:hAnsi="Arial" w:cs="Arial"/>
          <w:sz w:val="24"/>
          <w:szCs w:val="24"/>
        </w:rPr>
      </w:pPr>
      <w:r w:rsidRPr="00A514DA">
        <w:rPr>
          <w:rFonts w:ascii="Arial" w:hAnsi="Arial" w:cs="Arial"/>
          <w:sz w:val="24"/>
          <w:szCs w:val="24"/>
        </w:rPr>
        <w:t xml:space="preserve">As noted by Bronfenbrenner (1979) and Siraj-Blatchford et al. (2002), challenges </w:t>
      </w:r>
      <w:r>
        <w:rPr>
          <w:rFonts w:ascii="Arial" w:hAnsi="Arial" w:cs="Arial"/>
          <w:sz w:val="24"/>
          <w:szCs w:val="24"/>
        </w:rPr>
        <w:t xml:space="preserve">may </w:t>
      </w:r>
      <w:r w:rsidRPr="00A514DA">
        <w:rPr>
          <w:rFonts w:ascii="Arial" w:hAnsi="Arial" w:cs="Arial"/>
          <w:sz w:val="24"/>
          <w:szCs w:val="24"/>
        </w:rPr>
        <w:t xml:space="preserve">arise in addressing the holistic needs of children with additional </w:t>
      </w:r>
      <w:r>
        <w:rPr>
          <w:rFonts w:ascii="Arial" w:hAnsi="Arial" w:cs="Arial"/>
          <w:sz w:val="24"/>
          <w:szCs w:val="24"/>
        </w:rPr>
        <w:t>needs</w:t>
      </w:r>
      <w:r w:rsidRPr="00A514DA">
        <w:rPr>
          <w:rFonts w:ascii="Arial" w:hAnsi="Arial" w:cs="Arial"/>
          <w:sz w:val="24"/>
          <w:szCs w:val="24"/>
        </w:rPr>
        <w:t>. Fragmented multi</w:t>
      </w:r>
      <w:r>
        <w:rPr>
          <w:rFonts w:ascii="Arial" w:hAnsi="Arial" w:cs="Arial"/>
          <w:sz w:val="24"/>
          <w:szCs w:val="24"/>
        </w:rPr>
        <w:t>-</w:t>
      </w:r>
      <w:r w:rsidRPr="00A514DA">
        <w:rPr>
          <w:rFonts w:ascii="Arial" w:hAnsi="Arial" w:cs="Arial"/>
          <w:sz w:val="24"/>
          <w:szCs w:val="24"/>
        </w:rPr>
        <w:t>agency support and inadequately adapted environments</w:t>
      </w:r>
      <w:r>
        <w:rPr>
          <w:rFonts w:ascii="Arial" w:hAnsi="Arial" w:cs="Arial"/>
          <w:sz w:val="24"/>
          <w:szCs w:val="24"/>
        </w:rPr>
        <w:t xml:space="preserve"> </w:t>
      </w:r>
      <w:r w:rsidRPr="00A514DA">
        <w:rPr>
          <w:rFonts w:ascii="Arial" w:hAnsi="Arial" w:cs="Arial"/>
          <w:sz w:val="24"/>
          <w:szCs w:val="24"/>
        </w:rPr>
        <w:t>lacking appropriate resources or trained staff</w:t>
      </w:r>
      <w:r>
        <w:rPr>
          <w:rFonts w:ascii="Arial" w:hAnsi="Arial" w:cs="Arial"/>
          <w:sz w:val="24"/>
          <w:szCs w:val="24"/>
        </w:rPr>
        <w:t xml:space="preserve"> </w:t>
      </w:r>
      <w:r w:rsidRPr="00A514DA">
        <w:rPr>
          <w:rFonts w:ascii="Arial" w:hAnsi="Arial" w:cs="Arial"/>
          <w:sz w:val="24"/>
          <w:szCs w:val="24"/>
        </w:rPr>
        <w:t xml:space="preserve">underscore the critical need for inclusive practice and coordinated systems to nurture </w:t>
      </w:r>
      <w:r>
        <w:rPr>
          <w:rFonts w:ascii="Arial" w:hAnsi="Arial" w:cs="Arial"/>
          <w:sz w:val="24"/>
          <w:szCs w:val="24"/>
        </w:rPr>
        <w:t xml:space="preserve">children with AN. </w:t>
      </w:r>
    </w:p>
    <w:p w14:paraId="3FF22AF5" w14:textId="77777777" w:rsidR="00244360" w:rsidRPr="00D80CD4" w:rsidRDefault="00244360" w:rsidP="00244360">
      <w:pPr>
        <w:spacing w:line="360" w:lineRule="auto"/>
        <w:rPr>
          <w:rFonts w:ascii="Arial" w:hAnsi="Arial" w:cs="Arial"/>
          <w:sz w:val="24"/>
          <w:szCs w:val="24"/>
        </w:rPr>
      </w:pPr>
      <w:r w:rsidRPr="00D80CD4">
        <w:rPr>
          <w:rFonts w:ascii="Arial" w:hAnsi="Arial" w:cs="Arial"/>
          <w:sz w:val="24"/>
          <w:szCs w:val="24"/>
        </w:rPr>
        <w:lastRenderedPageBreak/>
        <w:t>The</w:t>
      </w:r>
      <w:r>
        <w:rPr>
          <w:rFonts w:ascii="Arial" w:hAnsi="Arial" w:cs="Arial"/>
          <w:sz w:val="24"/>
          <w:szCs w:val="24"/>
        </w:rPr>
        <w:t xml:space="preserve"> non-maintained</w:t>
      </w:r>
      <w:r w:rsidRPr="00D80CD4">
        <w:rPr>
          <w:rFonts w:ascii="Arial" w:hAnsi="Arial" w:cs="Arial"/>
          <w:sz w:val="24"/>
          <w:szCs w:val="24"/>
        </w:rPr>
        <w:t xml:space="preserve"> curriculum</w:t>
      </w:r>
      <w:r>
        <w:rPr>
          <w:rFonts w:ascii="Arial" w:hAnsi="Arial" w:cs="Arial"/>
          <w:sz w:val="24"/>
          <w:szCs w:val="24"/>
        </w:rPr>
        <w:t xml:space="preserve"> </w:t>
      </w:r>
      <w:r w:rsidRPr="004973B1">
        <w:rPr>
          <w:rFonts w:ascii="Arial" w:hAnsi="Arial" w:cs="Arial"/>
          <w:sz w:val="24"/>
          <w:szCs w:val="24"/>
        </w:rPr>
        <w:t>(2022)</w:t>
      </w:r>
      <w:r w:rsidRPr="00D80CD4">
        <w:rPr>
          <w:rFonts w:ascii="Arial" w:hAnsi="Arial" w:cs="Arial"/>
          <w:sz w:val="24"/>
          <w:szCs w:val="24"/>
        </w:rPr>
        <w:t xml:space="preserve"> explicitly states that provision must be </w:t>
      </w:r>
      <w:r>
        <w:rPr>
          <w:rFonts w:ascii="Arial" w:hAnsi="Arial" w:cs="Arial"/>
          <w:sz w:val="24"/>
          <w:szCs w:val="24"/>
        </w:rPr>
        <w:t>‘</w:t>
      </w:r>
      <w:r w:rsidRPr="00D80CD4">
        <w:rPr>
          <w:rFonts w:ascii="Arial" w:hAnsi="Arial" w:cs="Arial"/>
          <w:sz w:val="24"/>
          <w:szCs w:val="24"/>
        </w:rPr>
        <w:t>suitable for learners of differing ages, abilities and aptitudes</w:t>
      </w:r>
      <w:r>
        <w:rPr>
          <w:rFonts w:ascii="Arial" w:hAnsi="Arial" w:cs="Arial"/>
          <w:sz w:val="24"/>
          <w:szCs w:val="24"/>
        </w:rPr>
        <w:t>’</w:t>
      </w:r>
      <w:r w:rsidRPr="00D80CD4">
        <w:rPr>
          <w:rFonts w:ascii="Arial" w:hAnsi="Arial" w:cs="Arial"/>
          <w:sz w:val="24"/>
          <w:szCs w:val="24"/>
        </w:rPr>
        <w:t xml:space="preserve"> and provide </w:t>
      </w:r>
      <w:r>
        <w:rPr>
          <w:rFonts w:ascii="Arial" w:hAnsi="Arial" w:cs="Arial"/>
          <w:sz w:val="24"/>
          <w:szCs w:val="24"/>
        </w:rPr>
        <w:t>‘</w:t>
      </w:r>
      <w:r w:rsidRPr="00D80CD4">
        <w:rPr>
          <w:rFonts w:ascii="Arial" w:hAnsi="Arial" w:cs="Arial"/>
          <w:sz w:val="24"/>
          <w:szCs w:val="24"/>
        </w:rPr>
        <w:t>appropriate progression for all learners</w:t>
      </w:r>
      <w:r>
        <w:rPr>
          <w:rFonts w:ascii="Arial" w:hAnsi="Arial" w:cs="Arial"/>
          <w:sz w:val="24"/>
          <w:szCs w:val="24"/>
        </w:rPr>
        <w:t>’</w:t>
      </w:r>
      <w:r w:rsidRPr="00D80CD4">
        <w:rPr>
          <w:rFonts w:ascii="Arial" w:hAnsi="Arial" w:cs="Arial"/>
          <w:sz w:val="24"/>
          <w:szCs w:val="24"/>
        </w:rPr>
        <w:t>, ensuring that children with AN are fully included in authentic learning experiences across the developmental pathways</w:t>
      </w:r>
      <w:r>
        <w:rPr>
          <w:rFonts w:ascii="Arial" w:hAnsi="Arial" w:cs="Arial"/>
          <w:sz w:val="24"/>
          <w:szCs w:val="24"/>
        </w:rPr>
        <w:t xml:space="preserve">. </w:t>
      </w:r>
    </w:p>
    <w:p w14:paraId="4866DE9B" w14:textId="77777777" w:rsidR="00244360" w:rsidRDefault="00244360" w:rsidP="00244360">
      <w:pPr>
        <w:spacing w:line="360" w:lineRule="auto"/>
        <w:rPr>
          <w:rFonts w:ascii="Arial" w:hAnsi="Arial" w:cs="Arial"/>
          <w:sz w:val="24"/>
          <w:szCs w:val="24"/>
        </w:rPr>
      </w:pPr>
      <w:r w:rsidRPr="00D80CD4">
        <w:rPr>
          <w:rFonts w:ascii="Arial" w:hAnsi="Arial" w:cs="Arial"/>
          <w:sz w:val="24"/>
          <w:szCs w:val="24"/>
        </w:rPr>
        <w:t>This study has identified</w:t>
      </w:r>
      <w:r>
        <w:rPr>
          <w:rFonts w:ascii="Arial" w:hAnsi="Arial" w:cs="Arial"/>
          <w:sz w:val="24"/>
          <w:szCs w:val="24"/>
        </w:rPr>
        <w:t xml:space="preserve"> that h</w:t>
      </w:r>
      <w:r w:rsidRPr="00D80CD4">
        <w:rPr>
          <w:rFonts w:ascii="Arial" w:hAnsi="Arial" w:cs="Arial"/>
          <w:sz w:val="24"/>
          <w:szCs w:val="24"/>
        </w:rPr>
        <w:t>olistic development is more than an educational approach</w:t>
      </w:r>
      <w:r>
        <w:rPr>
          <w:rFonts w:ascii="Arial" w:hAnsi="Arial" w:cs="Arial"/>
          <w:sz w:val="24"/>
          <w:szCs w:val="24"/>
        </w:rPr>
        <w:t>, i</w:t>
      </w:r>
      <w:r w:rsidRPr="00D80CD4">
        <w:rPr>
          <w:rFonts w:ascii="Arial" w:hAnsi="Arial" w:cs="Arial"/>
          <w:sz w:val="24"/>
          <w:szCs w:val="24"/>
        </w:rPr>
        <w:t>t is a philosophy that recognises the interconnected nature of physical, cognitive, social, and emotional growth</w:t>
      </w:r>
      <w:r>
        <w:rPr>
          <w:rFonts w:ascii="Arial" w:hAnsi="Arial" w:cs="Arial"/>
          <w:sz w:val="24"/>
          <w:szCs w:val="24"/>
        </w:rPr>
        <w:t xml:space="preserve"> </w:t>
      </w:r>
      <w:r w:rsidRPr="00D80CD4">
        <w:rPr>
          <w:rFonts w:ascii="Arial" w:hAnsi="Arial" w:cs="Arial"/>
          <w:sz w:val="24"/>
          <w:szCs w:val="24"/>
        </w:rPr>
        <w:t>shaped by influential thinkers</w:t>
      </w:r>
      <w:r>
        <w:rPr>
          <w:rFonts w:ascii="Arial" w:hAnsi="Arial" w:cs="Arial"/>
          <w:sz w:val="24"/>
          <w:szCs w:val="24"/>
        </w:rPr>
        <w:t>.</w:t>
      </w:r>
    </w:p>
    <w:p w14:paraId="2D76C5D6" w14:textId="77777777" w:rsidR="00244360" w:rsidRDefault="00244360" w:rsidP="00244360">
      <w:pPr>
        <w:spacing w:line="360" w:lineRule="auto"/>
        <w:rPr>
          <w:rFonts w:ascii="Arial" w:hAnsi="Arial" w:cs="Arial"/>
          <w:sz w:val="24"/>
          <w:szCs w:val="24"/>
        </w:rPr>
      </w:pPr>
      <w:r>
        <w:rPr>
          <w:rFonts w:ascii="Arial" w:hAnsi="Arial" w:cs="Arial"/>
          <w:sz w:val="24"/>
          <w:szCs w:val="24"/>
        </w:rPr>
        <w:t>It</w:t>
      </w:r>
      <w:r w:rsidRPr="00D80CD4">
        <w:rPr>
          <w:rFonts w:ascii="Arial" w:hAnsi="Arial" w:cs="Arial"/>
          <w:sz w:val="24"/>
          <w:szCs w:val="24"/>
        </w:rPr>
        <w:t xml:space="preserve"> emphasises that children thrive when all aspects of their development are nurtured together</w:t>
      </w:r>
      <w:r>
        <w:rPr>
          <w:rFonts w:ascii="Arial" w:hAnsi="Arial" w:cs="Arial"/>
          <w:sz w:val="24"/>
          <w:szCs w:val="24"/>
        </w:rPr>
        <w:t xml:space="preserve"> and w</w:t>
      </w:r>
      <w:r w:rsidRPr="00D80CD4">
        <w:rPr>
          <w:rFonts w:ascii="Arial" w:hAnsi="Arial" w:cs="Arial"/>
          <w:sz w:val="24"/>
          <w:szCs w:val="24"/>
        </w:rPr>
        <w:t xml:space="preserve">hile these theories provide valuable insights, their practical application in contemporary </w:t>
      </w:r>
      <w:r>
        <w:rPr>
          <w:rFonts w:ascii="Arial" w:hAnsi="Arial" w:cs="Arial"/>
          <w:sz w:val="24"/>
          <w:szCs w:val="24"/>
        </w:rPr>
        <w:t>EY</w:t>
      </w:r>
      <w:r w:rsidRPr="00D80CD4">
        <w:rPr>
          <w:rFonts w:ascii="Arial" w:hAnsi="Arial" w:cs="Arial"/>
          <w:sz w:val="24"/>
          <w:szCs w:val="24"/>
        </w:rPr>
        <w:t xml:space="preserve"> settings </w:t>
      </w:r>
      <w:r>
        <w:rPr>
          <w:rFonts w:ascii="Arial" w:hAnsi="Arial" w:cs="Arial"/>
          <w:sz w:val="24"/>
          <w:szCs w:val="24"/>
        </w:rPr>
        <w:t>sometimes requires</w:t>
      </w:r>
      <w:r w:rsidRPr="00D80CD4">
        <w:rPr>
          <w:rFonts w:ascii="Arial" w:hAnsi="Arial" w:cs="Arial"/>
          <w:sz w:val="24"/>
          <w:szCs w:val="24"/>
        </w:rPr>
        <w:t xml:space="preserve"> adaptation to meet statutory requirements, resource constraints, and </w:t>
      </w:r>
      <w:r>
        <w:rPr>
          <w:rFonts w:ascii="Arial" w:hAnsi="Arial" w:cs="Arial"/>
          <w:sz w:val="24"/>
          <w:szCs w:val="24"/>
        </w:rPr>
        <w:t xml:space="preserve">modern </w:t>
      </w:r>
      <w:r w:rsidRPr="00D80CD4">
        <w:rPr>
          <w:rFonts w:ascii="Arial" w:hAnsi="Arial" w:cs="Arial"/>
          <w:sz w:val="24"/>
          <w:szCs w:val="24"/>
        </w:rPr>
        <w:t xml:space="preserve">cultural contexts. </w:t>
      </w:r>
    </w:p>
    <w:p w14:paraId="4090814D" w14:textId="77777777" w:rsidR="00244360" w:rsidRPr="004973B1" w:rsidRDefault="00244360" w:rsidP="00244360">
      <w:pPr>
        <w:spacing w:line="360" w:lineRule="auto"/>
        <w:rPr>
          <w:rFonts w:ascii="Arial" w:hAnsi="Arial" w:cs="Arial"/>
          <w:sz w:val="24"/>
          <w:szCs w:val="24"/>
        </w:rPr>
      </w:pPr>
      <w:r w:rsidRPr="00A514DA">
        <w:rPr>
          <w:rFonts w:ascii="Arial" w:hAnsi="Arial" w:cs="Arial"/>
          <w:sz w:val="24"/>
          <w:szCs w:val="24"/>
        </w:rPr>
        <w:t xml:space="preserve">Frameworks such as the Curriculum for Wales and initiatives like Flying Start </w:t>
      </w:r>
      <w:r>
        <w:rPr>
          <w:rFonts w:ascii="Arial" w:hAnsi="Arial" w:cs="Arial"/>
          <w:sz w:val="24"/>
          <w:szCs w:val="24"/>
        </w:rPr>
        <w:t xml:space="preserve">value the importance of </w:t>
      </w:r>
      <w:r w:rsidRPr="00A514DA">
        <w:rPr>
          <w:rFonts w:ascii="Arial" w:hAnsi="Arial" w:cs="Arial"/>
          <w:sz w:val="24"/>
          <w:szCs w:val="24"/>
        </w:rPr>
        <w:t xml:space="preserve">holistic principles by </w:t>
      </w:r>
      <w:r>
        <w:rPr>
          <w:rFonts w:ascii="Arial" w:hAnsi="Arial" w:cs="Arial"/>
          <w:sz w:val="24"/>
          <w:szCs w:val="24"/>
        </w:rPr>
        <w:t>ensuring that it</w:t>
      </w:r>
      <w:r w:rsidRPr="00A514DA">
        <w:rPr>
          <w:rFonts w:ascii="Arial" w:hAnsi="Arial" w:cs="Arial"/>
          <w:sz w:val="24"/>
          <w:szCs w:val="24"/>
        </w:rPr>
        <w:t xml:space="preserve"> remains a cornerstone of high-quality </w:t>
      </w:r>
      <w:r>
        <w:rPr>
          <w:rFonts w:ascii="Arial" w:hAnsi="Arial" w:cs="Arial"/>
          <w:sz w:val="24"/>
          <w:szCs w:val="24"/>
        </w:rPr>
        <w:t>EY</w:t>
      </w:r>
      <w:r w:rsidRPr="00A514DA">
        <w:rPr>
          <w:rFonts w:ascii="Arial" w:hAnsi="Arial" w:cs="Arial"/>
          <w:sz w:val="24"/>
          <w:szCs w:val="24"/>
        </w:rPr>
        <w:t xml:space="preserve"> education, </w:t>
      </w:r>
      <w:r>
        <w:rPr>
          <w:rFonts w:ascii="Arial" w:hAnsi="Arial" w:cs="Arial"/>
          <w:sz w:val="24"/>
          <w:szCs w:val="24"/>
        </w:rPr>
        <w:t>affirming</w:t>
      </w:r>
      <w:r w:rsidRPr="00A514DA">
        <w:rPr>
          <w:rFonts w:ascii="Arial" w:hAnsi="Arial" w:cs="Arial"/>
          <w:sz w:val="24"/>
          <w:szCs w:val="24"/>
        </w:rPr>
        <w:t xml:space="preserve"> that each child </w:t>
      </w:r>
      <w:r>
        <w:rPr>
          <w:rFonts w:ascii="Arial" w:hAnsi="Arial" w:cs="Arial"/>
          <w:sz w:val="24"/>
          <w:szCs w:val="24"/>
        </w:rPr>
        <w:t>should be s</w:t>
      </w:r>
      <w:r w:rsidRPr="00A514DA">
        <w:rPr>
          <w:rFonts w:ascii="Arial" w:hAnsi="Arial" w:cs="Arial"/>
          <w:sz w:val="24"/>
          <w:szCs w:val="24"/>
        </w:rPr>
        <w:t>upported as a whole learner within an ever-changing world.</w:t>
      </w:r>
    </w:p>
    <w:p w14:paraId="02BD49A8" w14:textId="77777777" w:rsidR="00244360" w:rsidRPr="004973B1" w:rsidRDefault="00244360" w:rsidP="00244360">
      <w:pPr>
        <w:spacing w:line="360" w:lineRule="auto"/>
        <w:rPr>
          <w:rFonts w:ascii="Arial" w:hAnsi="Arial" w:cs="Arial"/>
          <w:sz w:val="24"/>
          <w:szCs w:val="24"/>
        </w:rPr>
      </w:pPr>
    </w:p>
    <w:p w14:paraId="32BF6DFA" w14:textId="77777777" w:rsidR="00244360" w:rsidRPr="004973B1" w:rsidRDefault="00244360" w:rsidP="00244360">
      <w:pPr>
        <w:spacing w:line="360" w:lineRule="auto"/>
        <w:rPr>
          <w:rFonts w:ascii="Arial" w:hAnsi="Arial" w:cs="Arial"/>
          <w:sz w:val="24"/>
          <w:szCs w:val="24"/>
        </w:rPr>
      </w:pPr>
    </w:p>
    <w:p w14:paraId="74EACF49" w14:textId="77777777" w:rsidR="00244360" w:rsidRPr="004973B1" w:rsidRDefault="00244360" w:rsidP="00244360">
      <w:pPr>
        <w:spacing w:line="360" w:lineRule="auto"/>
        <w:rPr>
          <w:rFonts w:ascii="Arial" w:hAnsi="Arial" w:cs="Arial"/>
          <w:sz w:val="24"/>
          <w:szCs w:val="24"/>
        </w:rPr>
      </w:pPr>
    </w:p>
    <w:p w14:paraId="6F1F0E97" w14:textId="77777777" w:rsidR="00244360" w:rsidRPr="004973B1" w:rsidRDefault="00244360" w:rsidP="00244360">
      <w:pPr>
        <w:spacing w:line="360" w:lineRule="auto"/>
        <w:rPr>
          <w:rFonts w:ascii="Arial" w:hAnsi="Arial" w:cs="Arial"/>
          <w:sz w:val="24"/>
          <w:szCs w:val="24"/>
        </w:rPr>
      </w:pPr>
    </w:p>
    <w:p w14:paraId="157FA66D" w14:textId="77777777" w:rsidR="00244360" w:rsidRPr="004973B1" w:rsidRDefault="00244360" w:rsidP="00244360">
      <w:pPr>
        <w:spacing w:line="360" w:lineRule="auto"/>
        <w:rPr>
          <w:rFonts w:ascii="Arial" w:hAnsi="Arial" w:cs="Arial"/>
          <w:sz w:val="24"/>
          <w:szCs w:val="24"/>
        </w:rPr>
      </w:pPr>
    </w:p>
    <w:p w14:paraId="5D2068E8" w14:textId="77777777" w:rsidR="00244360" w:rsidRPr="004973B1" w:rsidRDefault="00244360" w:rsidP="00244360">
      <w:pPr>
        <w:spacing w:line="360" w:lineRule="auto"/>
        <w:rPr>
          <w:rFonts w:ascii="Arial" w:hAnsi="Arial" w:cs="Arial"/>
          <w:sz w:val="24"/>
          <w:szCs w:val="24"/>
        </w:rPr>
      </w:pPr>
    </w:p>
    <w:p w14:paraId="3F6566CC" w14:textId="77777777" w:rsidR="00244360" w:rsidRDefault="00244360" w:rsidP="00244360">
      <w:pPr>
        <w:spacing w:line="360" w:lineRule="auto"/>
        <w:rPr>
          <w:rFonts w:ascii="Arial" w:hAnsi="Arial" w:cs="Arial"/>
          <w:sz w:val="24"/>
          <w:szCs w:val="24"/>
        </w:rPr>
      </w:pPr>
    </w:p>
    <w:p w14:paraId="302563C5" w14:textId="77777777" w:rsidR="00244360" w:rsidRDefault="00244360" w:rsidP="00244360">
      <w:pPr>
        <w:spacing w:line="360" w:lineRule="auto"/>
        <w:rPr>
          <w:rFonts w:ascii="Arial" w:hAnsi="Arial" w:cs="Arial"/>
          <w:sz w:val="24"/>
          <w:szCs w:val="24"/>
        </w:rPr>
      </w:pPr>
    </w:p>
    <w:p w14:paraId="2571573B" w14:textId="77777777" w:rsidR="00244360" w:rsidRDefault="00244360" w:rsidP="00244360">
      <w:pPr>
        <w:spacing w:line="360" w:lineRule="auto"/>
        <w:rPr>
          <w:rFonts w:ascii="Arial" w:hAnsi="Arial" w:cs="Arial"/>
          <w:sz w:val="24"/>
          <w:szCs w:val="24"/>
        </w:rPr>
      </w:pPr>
    </w:p>
    <w:p w14:paraId="082C4409" w14:textId="77777777" w:rsidR="00244360" w:rsidRDefault="00244360" w:rsidP="00244360">
      <w:pPr>
        <w:spacing w:line="360" w:lineRule="auto"/>
        <w:rPr>
          <w:rFonts w:ascii="Arial" w:hAnsi="Arial" w:cs="Arial"/>
          <w:sz w:val="24"/>
          <w:szCs w:val="24"/>
        </w:rPr>
      </w:pPr>
    </w:p>
    <w:p w14:paraId="253AB954" w14:textId="77777777" w:rsidR="00244360" w:rsidRDefault="00244360" w:rsidP="00244360">
      <w:pPr>
        <w:spacing w:line="360" w:lineRule="auto"/>
        <w:rPr>
          <w:rFonts w:ascii="Arial" w:hAnsi="Arial" w:cs="Arial"/>
          <w:sz w:val="24"/>
          <w:szCs w:val="24"/>
        </w:rPr>
      </w:pPr>
    </w:p>
    <w:p w14:paraId="58E49DDC" w14:textId="77777777" w:rsidR="00244360" w:rsidRDefault="00244360" w:rsidP="00244360">
      <w:pPr>
        <w:spacing w:line="360" w:lineRule="auto"/>
        <w:rPr>
          <w:rFonts w:ascii="Arial" w:hAnsi="Arial" w:cs="Arial"/>
          <w:sz w:val="24"/>
          <w:szCs w:val="24"/>
        </w:rPr>
      </w:pPr>
    </w:p>
    <w:p w14:paraId="5588F2A9" w14:textId="77777777" w:rsidR="00244360" w:rsidRPr="006F1A65" w:rsidRDefault="00244360" w:rsidP="00244360">
      <w:pPr>
        <w:spacing w:line="360" w:lineRule="auto"/>
        <w:rPr>
          <w:rFonts w:ascii="Arial" w:hAnsi="Arial" w:cs="Arial"/>
          <w:b/>
          <w:bCs/>
          <w:sz w:val="24"/>
          <w:szCs w:val="24"/>
          <w:u w:val="single"/>
        </w:rPr>
      </w:pPr>
      <w:r w:rsidRPr="006F1A65">
        <w:rPr>
          <w:rFonts w:ascii="Arial" w:hAnsi="Arial" w:cs="Arial"/>
          <w:b/>
          <w:bCs/>
          <w:sz w:val="24"/>
          <w:szCs w:val="24"/>
          <w:u w:val="single"/>
        </w:rPr>
        <w:lastRenderedPageBreak/>
        <w:t xml:space="preserve">References </w:t>
      </w:r>
    </w:p>
    <w:p w14:paraId="01D23343"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Bronfenbrenner, U. (1979) </w:t>
      </w:r>
      <w:r w:rsidRPr="006F1A65">
        <w:rPr>
          <w:rFonts w:ascii="Arial" w:hAnsi="Arial" w:cs="Arial"/>
          <w:i/>
          <w:iCs/>
          <w:sz w:val="24"/>
          <w:szCs w:val="24"/>
        </w:rPr>
        <w:t>The ecology of human development: Experiments by nature and design</w:t>
      </w:r>
      <w:r w:rsidRPr="006F1A65">
        <w:rPr>
          <w:rFonts w:ascii="Arial" w:hAnsi="Arial" w:cs="Arial"/>
          <w:sz w:val="24"/>
          <w:szCs w:val="24"/>
        </w:rPr>
        <w:t>. Cambridge, MA: Harvard University Press.</w:t>
      </w:r>
    </w:p>
    <w:p w14:paraId="78053A19"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Department for Education (2024) </w:t>
      </w:r>
      <w:r w:rsidRPr="006F1A65">
        <w:rPr>
          <w:rFonts w:ascii="Arial" w:hAnsi="Arial" w:cs="Arial"/>
          <w:i/>
          <w:iCs/>
          <w:sz w:val="24"/>
          <w:szCs w:val="24"/>
        </w:rPr>
        <w:t>Early years foundation stage statutory framework for group and school-based providers</w:t>
      </w:r>
      <w:r w:rsidRPr="006F1A65">
        <w:rPr>
          <w:rFonts w:ascii="Arial" w:hAnsi="Arial" w:cs="Arial"/>
          <w:sz w:val="24"/>
          <w:szCs w:val="24"/>
        </w:rPr>
        <w:t xml:space="preserve">. Available at: </w:t>
      </w:r>
      <w:hyperlink r:id="rId7" w:history="1">
        <w:r w:rsidRPr="006F1A65">
          <w:rPr>
            <w:rStyle w:val="Hyperlink"/>
            <w:rFonts w:ascii="Arial" w:hAnsi="Arial" w:cs="Arial"/>
            <w:sz w:val="24"/>
            <w:szCs w:val="24"/>
          </w:rPr>
          <w:t>https://assets.publishing.service.gov.uk/media/65aa5e42ed27ca001327b2c7/EYFS_statutory_framework_for_group_and_school_based_providers.pdf</w:t>
        </w:r>
      </w:hyperlink>
      <w:r>
        <w:rPr>
          <w:rFonts w:ascii="Arial" w:hAnsi="Arial" w:cs="Arial"/>
          <w:sz w:val="24"/>
          <w:szCs w:val="24"/>
        </w:rPr>
        <w:t xml:space="preserve"> </w:t>
      </w:r>
      <w:r w:rsidRPr="006F1A65">
        <w:rPr>
          <w:rFonts w:ascii="Arial" w:hAnsi="Arial" w:cs="Arial"/>
          <w:sz w:val="24"/>
          <w:szCs w:val="24"/>
        </w:rPr>
        <w:t xml:space="preserve"> (Accessed: 13 November 2025).</w:t>
      </w:r>
    </w:p>
    <w:p w14:paraId="7B92CA17"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Early Years TV (2024) ‘John Dewey: Pioneering Theories on Early Years Education’. Available at: </w:t>
      </w:r>
      <w:hyperlink r:id="rId8" w:history="1">
        <w:r w:rsidRPr="006F1A65">
          <w:rPr>
            <w:rStyle w:val="Hyperlink"/>
            <w:rFonts w:ascii="Arial" w:hAnsi="Arial" w:cs="Arial"/>
            <w:sz w:val="24"/>
            <w:szCs w:val="24"/>
          </w:rPr>
          <w:t>https://www.earlyyears.tv/john-dewey-pioneering-theories-on-early-years-education</w:t>
        </w:r>
      </w:hyperlink>
      <w:r>
        <w:rPr>
          <w:rFonts w:ascii="Arial" w:hAnsi="Arial" w:cs="Arial"/>
          <w:sz w:val="24"/>
          <w:szCs w:val="24"/>
        </w:rPr>
        <w:t xml:space="preserve"> </w:t>
      </w:r>
      <w:r w:rsidRPr="006F1A65">
        <w:rPr>
          <w:rFonts w:ascii="Arial" w:hAnsi="Arial" w:cs="Arial"/>
          <w:sz w:val="24"/>
          <w:szCs w:val="24"/>
        </w:rPr>
        <w:t xml:space="preserve"> (Accessed: 23 November 2025).</w:t>
      </w:r>
    </w:p>
    <w:p w14:paraId="495FD29C"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Innovative Early Learning (2024) ‘John Dewey’s Theory and Why We Love It’. Available at: </w:t>
      </w:r>
      <w:hyperlink r:id="rId9" w:history="1">
        <w:r w:rsidRPr="006F1A65">
          <w:rPr>
            <w:rStyle w:val="Hyperlink"/>
            <w:rFonts w:ascii="Arial" w:hAnsi="Arial" w:cs="Arial"/>
            <w:sz w:val="24"/>
            <w:szCs w:val="24"/>
          </w:rPr>
          <w:t>https://www.innovativeearlylearning.com.au/blog/20/john-deweys-theory-and-why-we-love-it</w:t>
        </w:r>
      </w:hyperlink>
      <w:r>
        <w:rPr>
          <w:rFonts w:ascii="Arial" w:hAnsi="Arial" w:cs="Arial"/>
          <w:sz w:val="24"/>
          <w:szCs w:val="24"/>
        </w:rPr>
        <w:t xml:space="preserve"> </w:t>
      </w:r>
      <w:r w:rsidRPr="006F1A65">
        <w:rPr>
          <w:rFonts w:ascii="Arial" w:hAnsi="Arial" w:cs="Arial"/>
          <w:sz w:val="24"/>
          <w:szCs w:val="24"/>
        </w:rPr>
        <w:t xml:space="preserve"> (Accessed: 23 November 2025).</w:t>
      </w:r>
    </w:p>
    <w:p w14:paraId="7C1F870E" w14:textId="77777777" w:rsidR="00244360" w:rsidRPr="006F1A65" w:rsidRDefault="00244360" w:rsidP="00244360">
      <w:pPr>
        <w:spacing w:line="360" w:lineRule="auto"/>
        <w:rPr>
          <w:rFonts w:ascii="Arial" w:hAnsi="Arial" w:cs="Arial"/>
          <w:sz w:val="24"/>
          <w:szCs w:val="24"/>
        </w:rPr>
      </w:pPr>
      <w:proofErr w:type="spellStart"/>
      <w:r w:rsidRPr="006F1A65">
        <w:rPr>
          <w:rFonts w:ascii="Arial" w:hAnsi="Arial" w:cs="Arial"/>
          <w:sz w:val="24"/>
          <w:szCs w:val="24"/>
        </w:rPr>
        <w:t>Ivtzan</w:t>
      </w:r>
      <w:proofErr w:type="spellEnd"/>
      <w:r w:rsidRPr="006F1A65">
        <w:rPr>
          <w:rFonts w:ascii="Arial" w:hAnsi="Arial" w:cs="Arial"/>
          <w:sz w:val="24"/>
          <w:szCs w:val="24"/>
        </w:rPr>
        <w:t xml:space="preserve">, I. (2008) ‘Self-actualisation: For individualistic cultures only?’, </w:t>
      </w:r>
      <w:r w:rsidRPr="006F1A65">
        <w:rPr>
          <w:rFonts w:ascii="Arial" w:hAnsi="Arial" w:cs="Arial"/>
          <w:i/>
          <w:iCs/>
          <w:sz w:val="24"/>
          <w:szCs w:val="24"/>
        </w:rPr>
        <w:t>International Journal on Humanistic Ideology</w:t>
      </w:r>
      <w:r w:rsidRPr="006F1A65">
        <w:rPr>
          <w:rFonts w:ascii="Arial" w:hAnsi="Arial" w:cs="Arial"/>
          <w:sz w:val="24"/>
          <w:szCs w:val="24"/>
        </w:rPr>
        <w:t>, 1(2), pp. 113–139.</w:t>
      </w:r>
    </w:p>
    <w:p w14:paraId="608D22DD"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Maslow, A.H. (1943) ‘A theory of human motivation’, </w:t>
      </w:r>
      <w:r w:rsidRPr="006F1A65">
        <w:rPr>
          <w:rFonts w:ascii="Arial" w:hAnsi="Arial" w:cs="Arial"/>
          <w:i/>
          <w:iCs/>
          <w:sz w:val="24"/>
          <w:szCs w:val="24"/>
        </w:rPr>
        <w:t>Psychological Review</w:t>
      </w:r>
      <w:r w:rsidRPr="006F1A65">
        <w:rPr>
          <w:rFonts w:ascii="Arial" w:hAnsi="Arial" w:cs="Arial"/>
          <w:sz w:val="24"/>
          <w:szCs w:val="24"/>
        </w:rPr>
        <w:t>, 50(4), pp. 370–396.</w:t>
      </w:r>
    </w:p>
    <w:p w14:paraId="217F5F04"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Siraj-Blatchford, I., Sylva, K., </w:t>
      </w:r>
      <w:proofErr w:type="spellStart"/>
      <w:r w:rsidRPr="006F1A65">
        <w:rPr>
          <w:rFonts w:ascii="Arial" w:hAnsi="Arial" w:cs="Arial"/>
          <w:sz w:val="24"/>
          <w:szCs w:val="24"/>
        </w:rPr>
        <w:t>Muttock</w:t>
      </w:r>
      <w:proofErr w:type="spellEnd"/>
      <w:r w:rsidRPr="006F1A65">
        <w:rPr>
          <w:rFonts w:ascii="Arial" w:hAnsi="Arial" w:cs="Arial"/>
          <w:sz w:val="24"/>
          <w:szCs w:val="24"/>
        </w:rPr>
        <w:t xml:space="preserve">, S., Gilden, R. and Bell, D. (2002) </w:t>
      </w:r>
      <w:r w:rsidRPr="006F1A65">
        <w:rPr>
          <w:rFonts w:ascii="Arial" w:hAnsi="Arial" w:cs="Arial"/>
          <w:i/>
          <w:iCs/>
          <w:sz w:val="24"/>
          <w:szCs w:val="24"/>
        </w:rPr>
        <w:t>Researching Effective Pedagogy in the Early Years (REPEY)</w:t>
      </w:r>
      <w:r w:rsidRPr="006F1A65">
        <w:rPr>
          <w:rFonts w:ascii="Arial" w:hAnsi="Arial" w:cs="Arial"/>
          <w:sz w:val="24"/>
          <w:szCs w:val="24"/>
        </w:rPr>
        <w:t>. London: Department for Education and Skills.</w:t>
      </w:r>
    </w:p>
    <w:p w14:paraId="2E6CD10E"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Smuts, J.C. (1926) </w:t>
      </w:r>
      <w:r w:rsidRPr="006F1A65">
        <w:rPr>
          <w:rFonts w:ascii="Arial" w:hAnsi="Arial" w:cs="Arial"/>
          <w:i/>
          <w:iCs/>
          <w:sz w:val="24"/>
          <w:szCs w:val="24"/>
        </w:rPr>
        <w:t>Holism and Evolution</w:t>
      </w:r>
      <w:r w:rsidRPr="006F1A65">
        <w:rPr>
          <w:rFonts w:ascii="Arial" w:hAnsi="Arial" w:cs="Arial"/>
          <w:sz w:val="24"/>
          <w:szCs w:val="24"/>
        </w:rPr>
        <w:t>. New York: The Macmillan Company.</w:t>
      </w:r>
    </w:p>
    <w:p w14:paraId="1F9CCD32"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Steiner, R. (1996) </w:t>
      </w:r>
      <w:r w:rsidRPr="006F1A65">
        <w:rPr>
          <w:rFonts w:ascii="Arial" w:hAnsi="Arial" w:cs="Arial"/>
          <w:i/>
          <w:iCs/>
          <w:sz w:val="24"/>
          <w:szCs w:val="24"/>
        </w:rPr>
        <w:t>The Education of the Child and Early Lectures on Education</w:t>
      </w:r>
      <w:r w:rsidRPr="006F1A65">
        <w:rPr>
          <w:rFonts w:ascii="Arial" w:hAnsi="Arial" w:cs="Arial"/>
          <w:sz w:val="24"/>
          <w:szCs w:val="24"/>
        </w:rPr>
        <w:t xml:space="preserve">. Hudson, NY: </w:t>
      </w:r>
      <w:proofErr w:type="spellStart"/>
      <w:r w:rsidRPr="006F1A65">
        <w:rPr>
          <w:rFonts w:ascii="Arial" w:hAnsi="Arial" w:cs="Arial"/>
          <w:sz w:val="24"/>
          <w:szCs w:val="24"/>
        </w:rPr>
        <w:t>Anthroposophic</w:t>
      </w:r>
      <w:proofErr w:type="spellEnd"/>
      <w:r w:rsidRPr="006F1A65">
        <w:rPr>
          <w:rFonts w:ascii="Arial" w:hAnsi="Arial" w:cs="Arial"/>
          <w:sz w:val="24"/>
          <w:szCs w:val="24"/>
        </w:rPr>
        <w:t xml:space="preserve"> Press.</w:t>
      </w:r>
    </w:p>
    <w:p w14:paraId="5D78B919"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Welsh Government (2022) </w:t>
      </w:r>
      <w:r w:rsidRPr="006F1A65">
        <w:rPr>
          <w:rFonts w:ascii="Arial" w:hAnsi="Arial" w:cs="Arial"/>
          <w:i/>
          <w:iCs/>
          <w:sz w:val="24"/>
          <w:szCs w:val="24"/>
        </w:rPr>
        <w:t>A curriculum for funded non-maintained nursery settings</w:t>
      </w:r>
      <w:r w:rsidRPr="006F1A65">
        <w:rPr>
          <w:rFonts w:ascii="Arial" w:hAnsi="Arial" w:cs="Arial"/>
          <w:sz w:val="24"/>
          <w:szCs w:val="24"/>
        </w:rPr>
        <w:t xml:space="preserve">. Available at: </w:t>
      </w:r>
      <w:hyperlink r:id="rId10" w:history="1">
        <w:r w:rsidRPr="006F1A65">
          <w:rPr>
            <w:rStyle w:val="Hyperlink"/>
            <w:rFonts w:ascii="Arial" w:hAnsi="Arial" w:cs="Arial"/>
            <w:sz w:val="24"/>
            <w:szCs w:val="24"/>
          </w:rPr>
          <w:t>https://hwb.gov.wales/curriculum-for-wales/curriculum-for-funded-non-maintained-nursery-settings/</w:t>
        </w:r>
      </w:hyperlink>
      <w:r>
        <w:rPr>
          <w:rFonts w:ascii="Arial" w:hAnsi="Arial" w:cs="Arial"/>
          <w:sz w:val="24"/>
          <w:szCs w:val="24"/>
        </w:rPr>
        <w:t xml:space="preserve"> </w:t>
      </w:r>
      <w:r w:rsidRPr="006F1A65">
        <w:rPr>
          <w:rFonts w:ascii="Arial" w:hAnsi="Arial" w:cs="Arial"/>
          <w:sz w:val="24"/>
          <w:szCs w:val="24"/>
        </w:rPr>
        <w:t>(Accessed: 19 November 2025).</w:t>
      </w:r>
    </w:p>
    <w:p w14:paraId="7B61EE49"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lastRenderedPageBreak/>
        <w:t xml:space="preserve">Welsh Government (2022) </w:t>
      </w:r>
      <w:r w:rsidRPr="006F1A65">
        <w:rPr>
          <w:rFonts w:ascii="Arial" w:hAnsi="Arial" w:cs="Arial"/>
          <w:i/>
          <w:iCs/>
          <w:sz w:val="24"/>
          <w:szCs w:val="24"/>
        </w:rPr>
        <w:t>Curriculum for Wales: Guidance</w:t>
      </w:r>
      <w:r w:rsidRPr="006F1A65">
        <w:rPr>
          <w:rFonts w:ascii="Arial" w:hAnsi="Arial" w:cs="Arial"/>
          <w:sz w:val="24"/>
          <w:szCs w:val="24"/>
        </w:rPr>
        <w:t xml:space="preserve">. Cardiff: Welsh Government. Available at: </w:t>
      </w:r>
      <w:hyperlink r:id="rId11" w:history="1">
        <w:r w:rsidRPr="006F1A65">
          <w:rPr>
            <w:rStyle w:val="Hyperlink"/>
            <w:rFonts w:ascii="Arial" w:hAnsi="Arial" w:cs="Arial"/>
            <w:sz w:val="24"/>
            <w:szCs w:val="24"/>
          </w:rPr>
          <w:t>https://hwb.gov.wales/curriculum-for-wales</w:t>
        </w:r>
      </w:hyperlink>
      <w:r>
        <w:rPr>
          <w:rFonts w:ascii="Arial" w:hAnsi="Arial" w:cs="Arial"/>
          <w:sz w:val="24"/>
          <w:szCs w:val="24"/>
        </w:rPr>
        <w:t xml:space="preserve"> </w:t>
      </w:r>
      <w:r w:rsidRPr="006F1A65">
        <w:rPr>
          <w:rFonts w:ascii="Arial" w:hAnsi="Arial" w:cs="Arial"/>
          <w:sz w:val="24"/>
          <w:szCs w:val="24"/>
        </w:rPr>
        <w:t xml:space="preserve"> (Accessed: 23 November 2025).</w:t>
      </w:r>
    </w:p>
    <w:p w14:paraId="76FF7089"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Welsh Government (2023) </w:t>
      </w:r>
      <w:r w:rsidRPr="006F1A65">
        <w:rPr>
          <w:rFonts w:ascii="Arial" w:hAnsi="Arial" w:cs="Arial"/>
          <w:i/>
          <w:iCs/>
          <w:sz w:val="24"/>
          <w:szCs w:val="24"/>
        </w:rPr>
        <w:t>Flying Start Programme Guidance</w:t>
      </w:r>
      <w:r w:rsidRPr="006F1A65">
        <w:rPr>
          <w:rFonts w:ascii="Arial" w:hAnsi="Arial" w:cs="Arial"/>
          <w:sz w:val="24"/>
          <w:szCs w:val="24"/>
        </w:rPr>
        <w:t xml:space="preserve">. Cardiff: Welsh Government. Available at: </w:t>
      </w:r>
      <w:hyperlink r:id="rId12" w:history="1">
        <w:r w:rsidRPr="006F1A65">
          <w:rPr>
            <w:rStyle w:val="Hyperlink"/>
            <w:rFonts w:ascii="Arial" w:hAnsi="Arial" w:cs="Arial"/>
            <w:sz w:val="24"/>
            <w:szCs w:val="24"/>
          </w:rPr>
          <w:t>https://gov.wales/flying-start</w:t>
        </w:r>
      </w:hyperlink>
      <w:r>
        <w:rPr>
          <w:rFonts w:ascii="Arial" w:hAnsi="Arial" w:cs="Arial"/>
          <w:sz w:val="24"/>
          <w:szCs w:val="24"/>
        </w:rPr>
        <w:t xml:space="preserve"> </w:t>
      </w:r>
      <w:r w:rsidRPr="006F1A65">
        <w:rPr>
          <w:rFonts w:ascii="Arial" w:hAnsi="Arial" w:cs="Arial"/>
          <w:sz w:val="24"/>
          <w:szCs w:val="24"/>
        </w:rPr>
        <w:t xml:space="preserve"> (Accessed: 23 November 2025).</w:t>
      </w:r>
    </w:p>
    <w:p w14:paraId="408D2816" w14:textId="77777777" w:rsidR="00244360" w:rsidRPr="006F1A65" w:rsidRDefault="00244360" w:rsidP="00244360">
      <w:pPr>
        <w:spacing w:line="360" w:lineRule="auto"/>
        <w:rPr>
          <w:rFonts w:ascii="Arial" w:hAnsi="Arial" w:cs="Arial"/>
          <w:sz w:val="24"/>
          <w:szCs w:val="24"/>
        </w:rPr>
      </w:pPr>
      <w:r w:rsidRPr="006F1A65">
        <w:rPr>
          <w:rFonts w:ascii="Arial" w:hAnsi="Arial" w:cs="Arial"/>
          <w:sz w:val="24"/>
          <w:szCs w:val="24"/>
        </w:rPr>
        <w:t xml:space="preserve">Welsh Government (2024) </w:t>
      </w:r>
      <w:r w:rsidRPr="006F1A65">
        <w:rPr>
          <w:rFonts w:ascii="Arial" w:hAnsi="Arial" w:cs="Arial"/>
          <w:i/>
          <w:iCs/>
          <w:sz w:val="24"/>
          <w:szCs w:val="24"/>
        </w:rPr>
        <w:t>10 Year Childcare, Play and Early Years Workforce Plan: Review and Refresh</w:t>
      </w:r>
      <w:r w:rsidRPr="006F1A65">
        <w:rPr>
          <w:rFonts w:ascii="Arial" w:hAnsi="Arial" w:cs="Arial"/>
          <w:sz w:val="24"/>
          <w:szCs w:val="24"/>
        </w:rPr>
        <w:t xml:space="preserve">. Cardiff: Welsh Government. Available at: </w:t>
      </w:r>
      <w:hyperlink r:id="rId13" w:history="1">
        <w:r w:rsidRPr="00C76A40">
          <w:rPr>
            <w:rStyle w:val="Hyperlink"/>
            <w:rFonts w:ascii="Arial" w:hAnsi="Arial" w:cs="Arial"/>
            <w:sz w:val="24"/>
            <w:szCs w:val="24"/>
          </w:rPr>
          <w:t>https://www.gov.wales/sites/default/files/publications/2024-07/childcare-play-early-years-workforce-plan-review-refresh.pdf</w:t>
        </w:r>
      </w:hyperlink>
      <w:r>
        <w:rPr>
          <w:rFonts w:ascii="Arial" w:hAnsi="Arial" w:cs="Arial"/>
          <w:sz w:val="24"/>
          <w:szCs w:val="24"/>
        </w:rPr>
        <w:t xml:space="preserve"> </w:t>
      </w:r>
      <w:r w:rsidRPr="006F1A65">
        <w:rPr>
          <w:rFonts w:ascii="Arial" w:hAnsi="Arial" w:cs="Arial"/>
          <w:sz w:val="24"/>
          <w:szCs w:val="24"/>
        </w:rPr>
        <w:t xml:space="preserve"> (Accessed: 23 November 2025).</w:t>
      </w:r>
    </w:p>
    <w:p w14:paraId="0247B8A0" w14:textId="77777777" w:rsidR="00244360" w:rsidRDefault="00244360" w:rsidP="00244360">
      <w:pPr>
        <w:spacing w:line="360" w:lineRule="auto"/>
        <w:rPr>
          <w:rFonts w:ascii="Arial" w:hAnsi="Arial" w:cs="Arial"/>
        </w:rPr>
      </w:pPr>
    </w:p>
    <w:p w14:paraId="1482836E" w14:textId="77777777" w:rsidR="00244360" w:rsidRPr="003978B2" w:rsidRDefault="00244360" w:rsidP="00244360">
      <w:pPr>
        <w:spacing w:line="360" w:lineRule="auto"/>
        <w:rPr>
          <w:rFonts w:ascii="Arial" w:hAnsi="Arial" w:cs="Arial"/>
        </w:rPr>
      </w:pPr>
    </w:p>
    <w:p w14:paraId="6DF8DA5E" w14:textId="77777777" w:rsidR="00244360" w:rsidRDefault="00244360" w:rsidP="00244360">
      <w:pPr>
        <w:spacing w:line="360" w:lineRule="auto"/>
        <w:rPr>
          <w:rFonts w:ascii="Arial" w:hAnsi="Arial" w:cs="Arial"/>
        </w:rPr>
      </w:pPr>
    </w:p>
    <w:p w14:paraId="7EDE3CF5" w14:textId="77777777" w:rsidR="00244360" w:rsidRDefault="00244360" w:rsidP="00244360">
      <w:pPr>
        <w:spacing w:line="360" w:lineRule="auto"/>
        <w:rPr>
          <w:rFonts w:ascii="Arial" w:hAnsi="Arial" w:cs="Arial"/>
        </w:rPr>
      </w:pPr>
    </w:p>
    <w:p w14:paraId="17EFBF82" w14:textId="77777777" w:rsidR="00244360" w:rsidRDefault="00244360" w:rsidP="00244360">
      <w:pPr>
        <w:spacing w:line="360" w:lineRule="auto"/>
        <w:rPr>
          <w:rFonts w:ascii="Arial" w:hAnsi="Arial" w:cs="Arial"/>
        </w:rPr>
      </w:pPr>
    </w:p>
    <w:p w14:paraId="0B705B19" w14:textId="77777777" w:rsidR="00244360" w:rsidRDefault="00244360" w:rsidP="00244360">
      <w:pPr>
        <w:spacing w:line="360" w:lineRule="auto"/>
        <w:rPr>
          <w:rFonts w:ascii="Arial" w:hAnsi="Arial" w:cs="Arial"/>
        </w:rPr>
      </w:pPr>
    </w:p>
    <w:p w14:paraId="3400E189" w14:textId="77777777" w:rsidR="00244360" w:rsidRDefault="00244360" w:rsidP="00244360">
      <w:pPr>
        <w:spacing w:line="360" w:lineRule="auto"/>
        <w:rPr>
          <w:rFonts w:ascii="Arial" w:hAnsi="Arial" w:cs="Arial"/>
        </w:rPr>
      </w:pPr>
    </w:p>
    <w:p w14:paraId="44DF93B0" w14:textId="77777777" w:rsidR="00244360" w:rsidRDefault="00244360" w:rsidP="00244360">
      <w:pPr>
        <w:spacing w:line="360" w:lineRule="auto"/>
        <w:rPr>
          <w:rFonts w:ascii="Arial" w:hAnsi="Arial" w:cs="Arial"/>
        </w:rPr>
      </w:pPr>
    </w:p>
    <w:p w14:paraId="1BA3FBF3" w14:textId="77777777" w:rsidR="00244360" w:rsidRDefault="00244360" w:rsidP="00244360">
      <w:pPr>
        <w:spacing w:line="360" w:lineRule="auto"/>
        <w:rPr>
          <w:rFonts w:ascii="Arial" w:hAnsi="Arial" w:cs="Arial"/>
        </w:rPr>
      </w:pPr>
    </w:p>
    <w:p w14:paraId="5141440F" w14:textId="77777777" w:rsidR="00244360" w:rsidRDefault="00244360" w:rsidP="00244360">
      <w:pPr>
        <w:spacing w:line="360" w:lineRule="auto"/>
        <w:rPr>
          <w:rFonts w:ascii="Arial" w:hAnsi="Arial" w:cs="Arial"/>
        </w:rPr>
      </w:pPr>
    </w:p>
    <w:p w14:paraId="646BE52D" w14:textId="77777777" w:rsidR="00244360" w:rsidRDefault="00244360" w:rsidP="00244360">
      <w:pPr>
        <w:spacing w:line="360" w:lineRule="auto"/>
        <w:rPr>
          <w:rFonts w:ascii="Arial" w:hAnsi="Arial" w:cs="Arial"/>
        </w:rPr>
      </w:pPr>
    </w:p>
    <w:p w14:paraId="3584485E" w14:textId="77777777" w:rsidR="00244360" w:rsidRDefault="00244360" w:rsidP="00244360">
      <w:pPr>
        <w:spacing w:line="360" w:lineRule="auto"/>
        <w:rPr>
          <w:rFonts w:ascii="Arial" w:hAnsi="Arial" w:cs="Arial"/>
        </w:rPr>
      </w:pPr>
    </w:p>
    <w:p w14:paraId="5AA50921" w14:textId="77777777" w:rsidR="00244360" w:rsidRDefault="00244360" w:rsidP="00244360">
      <w:pPr>
        <w:spacing w:line="360" w:lineRule="auto"/>
        <w:rPr>
          <w:rFonts w:ascii="Arial" w:hAnsi="Arial" w:cs="Arial"/>
        </w:rPr>
      </w:pPr>
    </w:p>
    <w:p w14:paraId="53AFF0A1" w14:textId="77777777" w:rsidR="00244360" w:rsidRDefault="00244360" w:rsidP="00244360">
      <w:pPr>
        <w:spacing w:line="360" w:lineRule="auto"/>
        <w:rPr>
          <w:rFonts w:ascii="Arial" w:hAnsi="Arial" w:cs="Arial"/>
        </w:rPr>
      </w:pPr>
    </w:p>
    <w:p w14:paraId="1E762480" w14:textId="77777777" w:rsidR="00244360" w:rsidRDefault="00244360" w:rsidP="00244360">
      <w:pPr>
        <w:spacing w:line="360" w:lineRule="auto"/>
        <w:rPr>
          <w:rFonts w:ascii="Arial" w:hAnsi="Arial" w:cs="Arial"/>
        </w:rPr>
      </w:pPr>
    </w:p>
    <w:p w14:paraId="3204782A" w14:textId="77777777" w:rsidR="00244360" w:rsidRDefault="00244360" w:rsidP="00244360">
      <w:pPr>
        <w:spacing w:line="360" w:lineRule="auto"/>
        <w:rPr>
          <w:rFonts w:ascii="Arial" w:hAnsi="Arial" w:cs="Arial"/>
        </w:rPr>
      </w:pPr>
    </w:p>
    <w:p w14:paraId="06160AA9" w14:textId="77777777" w:rsidR="00244360" w:rsidRPr="00730C25" w:rsidRDefault="00244360" w:rsidP="00244360">
      <w:pPr>
        <w:spacing w:line="360" w:lineRule="auto"/>
        <w:rPr>
          <w:rFonts w:ascii="Arial" w:hAnsi="Arial" w:cs="Arial"/>
        </w:rPr>
      </w:pPr>
    </w:p>
    <w:p w14:paraId="4DF0AD1B" w14:textId="4FF3B753" w:rsidR="00585C9C" w:rsidRPr="00033084" w:rsidRDefault="00585C9C" w:rsidP="00033084">
      <w:pPr>
        <w:spacing w:line="360" w:lineRule="auto"/>
        <w:rPr>
          <w:rFonts w:ascii="Arial" w:hAnsi="Arial" w:cs="Arial"/>
          <w:b/>
          <w:bCs/>
          <w:sz w:val="24"/>
          <w:szCs w:val="24"/>
          <w:u w:val="single"/>
        </w:rPr>
      </w:pPr>
      <w:r w:rsidRPr="00033084">
        <w:rPr>
          <w:rFonts w:ascii="Arial" w:hAnsi="Arial" w:cs="Arial"/>
          <w:b/>
          <w:bCs/>
          <w:sz w:val="24"/>
          <w:szCs w:val="24"/>
          <w:u w:val="single"/>
        </w:rPr>
        <w:lastRenderedPageBreak/>
        <w:t xml:space="preserve">Transitions </w:t>
      </w:r>
    </w:p>
    <w:p w14:paraId="2A5CEC7E" w14:textId="25D856EF" w:rsidR="00A120BC" w:rsidRPr="00A120BC" w:rsidRDefault="00A120BC" w:rsidP="00033084">
      <w:pPr>
        <w:spacing w:line="360" w:lineRule="auto"/>
        <w:rPr>
          <w:rFonts w:ascii="Arial" w:hAnsi="Arial" w:cs="Arial"/>
          <w:sz w:val="24"/>
          <w:szCs w:val="24"/>
        </w:rPr>
      </w:pPr>
      <w:r w:rsidRPr="00A120BC">
        <w:rPr>
          <w:rFonts w:ascii="Arial" w:hAnsi="Arial" w:cs="Arial"/>
          <w:sz w:val="24"/>
          <w:szCs w:val="24"/>
        </w:rPr>
        <w:t xml:space="preserve">Maslow’s Hierarchy of Needs (1943) offers a valuable theoretical </w:t>
      </w:r>
      <w:r w:rsidR="00585C9C" w:rsidRPr="00033084">
        <w:rPr>
          <w:rFonts w:ascii="Arial" w:hAnsi="Arial" w:cs="Arial"/>
          <w:sz w:val="24"/>
          <w:szCs w:val="24"/>
        </w:rPr>
        <w:t>perspective</w:t>
      </w:r>
      <w:r w:rsidRPr="00A120BC">
        <w:rPr>
          <w:rFonts w:ascii="Arial" w:hAnsi="Arial" w:cs="Arial"/>
          <w:sz w:val="24"/>
          <w:szCs w:val="24"/>
        </w:rPr>
        <w:t xml:space="preserve"> for understanding child development during transitions in early years settings. Maslow proposed that children must have their basic physiological and safety needs met before progressing to higher-order needs such as belonging, esteem, and self-actualisation. This principle is particularly significant during periods of transition, which can temporarily destabilise a child’s sense of security and predictability. </w:t>
      </w:r>
      <w:r w:rsidRPr="00033084">
        <w:rPr>
          <w:rFonts w:ascii="Arial" w:hAnsi="Arial" w:cs="Arial"/>
          <w:sz w:val="24"/>
          <w:szCs w:val="24"/>
        </w:rPr>
        <w:t>These</w:t>
      </w:r>
      <w:r w:rsidRPr="00A120BC">
        <w:rPr>
          <w:rFonts w:ascii="Arial" w:hAnsi="Arial" w:cs="Arial"/>
          <w:sz w:val="24"/>
          <w:szCs w:val="24"/>
        </w:rPr>
        <w:t xml:space="preserve"> disruptions may lead to heightened anxiety or behavioural challenges, as the child’s focus shifts toward </w:t>
      </w:r>
      <w:r w:rsidRPr="00033084">
        <w:rPr>
          <w:rFonts w:ascii="Arial" w:hAnsi="Arial" w:cs="Arial"/>
          <w:sz w:val="24"/>
          <w:szCs w:val="24"/>
        </w:rPr>
        <w:t>re-establishing</w:t>
      </w:r>
      <w:r w:rsidRPr="00A120BC">
        <w:rPr>
          <w:rFonts w:ascii="Arial" w:hAnsi="Arial" w:cs="Arial"/>
          <w:sz w:val="24"/>
          <w:szCs w:val="24"/>
        </w:rPr>
        <w:t xml:space="preserve"> safety and emotional connection</w:t>
      </w:r>
      <w:r w:rsidRPr="00033084">
        <w:rPr>
          <w:rFonts w:ascii="Arial" w:hAnsi="Arial" w:cs="Arial"/>
          <w:sz w:val="24"/>
          <w:szCs w:val="24"/>
        </w:rPr>
        <w:t>s</w:t>
      </w:r>
      <w:r w:rsidRPr="00A120BC">
        <w:rPr>
          <w:rFonts w:ascii="Arial" w:hAnsi="Arial" w:cs="Arial"/>
          <w:sz w:val="24"/>
          <w:szCs w:val="24"/>
        </w:rPr>
        <w:t xml:space="preserve"> (Maslow, 1943</w:t>
      </w:r>
      <w:r w:rsidR="00585C9C" w:rsidRPr="00033084">
        <w:rPr>
          <w:rFonts w:ascii="Arial" w:hAnsi="Arial" w:cs="Arial"/>
          <w:sz w:val="24"/>
          <w:szCs w:val="24"/>
        </w:rPr>
        <w:t>)</w:t>
      </w:r>
      <w:r w:rsidR="00F93C89">
        <w:rPr>
          <w:rFonts w:ascii="Arial" w:hAnsi="Arial" w:cs="Arial"/>
          <w:sz w:val="24"/>
          <w:szCs w:val="24"/>
        </w:rPr>
        <w:t>.</w:t>
      </w:r>
    </w:p>
    <w:p w14:paraId="1EB84560" w14:textId="77777777" w:rsidR="00F93C89" w:rsidRDefault="00A120BC" w:rsidP="00033084">
      <w:pPr>
        <w:spacing w:line="360" w:lineRule="auto"/>
        <w:rPr>
          <w:rFonts w:ascii="Arial" w:hAnsi="Arial" w:cs="Arial"/>
          <w:sz w:val="24"/>
          <w:szCs w:val="24"/>
        </w:rPr>
      </w:pPr>
      <w:r w:rsidRPr="00A120BC">
        <w:rPr>
          <w:rFonts w:ascii="Arial" w:hAnsi="Arial" w:cs="Arial"/>
          <w:sz w:val="24"/>
          <w:szCs w:val="24"/>
        </w:rPr>
        <w:t>An example from practice can be seen in Blaenau Gwent Flying Start settings, where the Early Years team has implemented a robust transition policy</w:t>
      </w:r>
      <w:r w:rsidR="00585C9C" w:rsidRPr="00033084">
        <w:rPr>
          <w:rFonts w:ascii="Arial" w:hAnsi="Arial" w:cs="Arial"/>
          <w:sz w:val="24"/>
          <w:szCs w:val="24"/>
        </w:rPr>
        <w:t xml:space="preserve"> in line with the Flying Start Transition guidance (2019)</w:t>
      </w:r>
      <w:r w:rsidRPr="00A120BC">
        <w:rPr>
          <w:rFonts w:ascii="Arial" w:hAnsi="Arial" w:cs="Arial"/>
          <w:sz w:val="24"/>
          <w:szCs w:val="24"/>
        </w:rPr>
        <w:t xml:space="preserve"> to support children moving from setting to school. Recognising that transition is a critical period for emotional wellbeing, the policy requires planning to begin at least a term before the move. This includes collaborative meetings between practitioners, parents, and multi-agency professionals to ensure continuity of care and familiarity for the child. </w:t>
      </w:r>
    </w:p>
    <w:p w14:paraId="49E95FC9" w14:textId="625CD730" w:rsidR="00A120BC" w:rsidRPr="00A120BC" w:rsidRDefault="00A120BC" w:rsidP="00033084">
      <w:pPr>
        <w:spacing w:line="360" w:lineRule="auto"/>
        <w:rPr>
          <w:rFonts w:ascii="Arial" w:hAnsi="Arial" w:cs="Arial"/>
          <w:sz w:val="24"/>
          <w:szCs w:val="24"/>
        </w:rPr>
      </w:pPr>
      <w:r w:rsidRPr="00A120BC">
        <w:rPr>
          <w:rFonts w:ascii="Arial" w:hAnsi="Arial" w:cs="Arial"/>
          <w:sz w:val="24"/>
          <w:szCs w:val="24"/>
        </w:rPr>
        <w:t xml:space="preserve">Strategies such as maintaining consistent routines, introducing school staff </w:t>
      </w:r>
      <w:r w:rsidR="00A9165A" w:rsidRPr="00033084">
        <w:rPr>
          <w:rFonts w:ascii="Arial" w:hAnsi="Arial" w:cs="Arial"/>
          <w:sz w:val="24"/>
          <w:szCs w:val="24"/>
        </w:rPr>
        <w:t>gradually, providing</w:t>
      </w:r>
      <w:r w:rsidRPr="00A120BC">
        <w:rPr>
          <w:rFonts w:ascii="Arial" w:hAnsi="Arial" w:cs="Arial"/>
          <w:sz w:val="24"/>
          <w:szCs w:val="24"/>
        </w:rPr>
        <w:t xml:space="preserve"> opportunities for children to visit their new environment are prioritised</w:t>
      </w:r>
      <w:r w:rsidR="00585C9C" w:rsidRPr="00033084">
        <w:rPr>
          <w:rFonts w:ascii="Arial" w:hAnsi="Arial" w:cs="Arial"/>
          <w:sz w:val="24"/>
          <w:szCs w:val="24"/>
        </w:rPr>
        <w:t xml:space="preserve"> ensuring the chil</w:t>
      </w:r>
      <w:r w:rsidR="00A9165A" w:rsidRPr="00033084">
        <w:rPr>
          <w:rFonts w:ascii="Arial" w:hAnsi="Arial" w:cs="Arial"/>
          <w:sz w:val="24"/>
          <w:szCs w:val="24"/>
        </w:rPr>
        <w:t>d’s voice</w:t>
      </w:r>
      <w:r w:rsidR="00585C9C" w:rsidRPr="00033084">
        <w:rPr>
          <w:rFonts w:ascii="Arial" w:hAnsi="Arial" w:cs="Arial"/>
          <w:sz w:val="24"/>
          <w:szCs w:val="24"/>
        </w:rPr>
        <w:t xml:space="preserve"> remains at the centre of </w:t>
      </w:r>
      <w:r w:rsidR="00A9165A" w:rsidRPr="00033084">
        <w:rPr>
          <w:rFonts w:ascii="Arial" w:hAnsi="Arial" w:cs="Arial"/>
          <w:sz w:val="24"/>
          <w:szCs w:val="24"/>
        </w:rPr>
        <w:t xml:space="preserve">these processes. </w:t>
      </w:r>
      <w:r w:rsidRPr="00A120BC">
        <w:rPr>
          <w:rFonts w:ascii="Arial" w:hAnsi="Arial" w:cs="Arial"/>
          <w:sz w:val="24"/>
          <w:szCs w:val="24"/>
        </w:rPr>
        <w:t>These measures directly address Maslow’s lower-tier needs</w:t>
      </w:r>
      <w:r w:rsidRPr="00033084">
        <w:rPr>
          <w:rFonts w:ascii="Arial" w:hAnsi="Arial" w:cs="Arial"/>
          <w:sz w:val="24"/>
          <w:szCs w:val="24"/>
        </w:rPr>
        <w:t xml:space="preserve">, </w:t>
      </w:r>
      <w:r w:rsidRPr="00A120BC">
        <w:rPr>
          <w:rFonts w:ascii="Arial" w:hAnsi="Arial" w:cs="Arial"/>
          <w:sz w:val="24"/>
          <w:szCs w:val="24"/>
        </w:rPr>
        <w:t>physiological comfort and safety</w:t>
      </w:r>
      <w:r w:rsidRPr="00033084">
        <w:rPr>
          <w:rFonts w:ascii="Arial" w:hAnsi="Arial" w:cs="Arial"/>
          <w:sz w:val="24"/>
          <w:szCs w:val="24"/>
        </w:rPr>
        <w:t xml:space="preserve">, </w:t>
      </w:r>
      <w:r w:rsidRPr="00A120BC">
        <w:rPr>
          <w:rFonts w:ascii="Arial" w:hAnsi="Arial" w:cs="Arial"/>
          <w:sz w:val="24"/>
          <w:szCs w:val="24"/>
        </w:rPr>
        <w:t>while fostering a sense of belonging through parental involvement and relationship</w:t>
      </w:r>
      <w:r w:rsidRPr="00033084">
        <w:rPr>
          <w:rFonts w:ascii="Arial" w:hAnsi="Arial" w:cs="Arial"/>
          <w:sz w:val="24"/>
          <w:szCs w:val="24"/>
        </w:rPr>
        <w:t xml:space="preserve"> </w:t>
      </w:r>
      <w:r w:rsidRPr="00A120BC">
        <w:rPr>
          <w:rFonts w:ascii="Arial" w:hAnsi="Arial" w:cs="Arial"/>
          <w:sz w:val="24"/>
          <w:szCs w:val="24"/>
        </w:rPr>
        <w:t>building with new caregivers (Curriculum for Non-Maintained Settings, 2023; Flying Start Guidance, 2019).</w:t>
      </w:r>
    </w:p>
    <w:p w14:paraId="190C7CD6" w14:textId="049109D2" w:rsidR="00A120BC" w:rsidRPr="00A120BC" w:rsidRDefault="00A120BC" w:rsidP="00033084">
      <w:pPr>
        <w:spacing w:line="360" w:lineRule="auto"/>
        <w:rPr>
          <w:rFonts w:ascii="Arial" w:hAnsi="Arial" w:cs="Arial"/>
          <w:sz w:val="24"/>
          <w:szCs w:val="24"/>
        </w:rPr>
      </w:pPr>
      <w:r w:rsidRPr="00A120BC">
        <w:rPr>
          <w:rFonts w:ascii="Arial" w:hAnsi="Arial" w:cs="Arial"/>
          <w:sz w:val="24"/>
          <w:szCs w:val="24"/>
        </w:rPr>
        <w:t>By embedding these practices, Flying Start ensures that children’s foundational needs are met before expecting them to engage in new learning experiences. This approach reflects Maslow’s assertion that higher</w:t>
      </w:r>
      <w:r w:rsidRPr="00033084">
        <w:rPr>
          <w:rFonts w:ascii="Arial" w:hAnsi="Arial" w:cs="Arial"/>
          <w:sz w:val="24"/>
          <w:szCs w:val="24"/>
        </w:rPr>
        <w:t xml:space="preserve"> </w:t>
      </w:r>
      <w:r w:rsidRPr="00A120BC">
        <w:rPr>
          <w:rFonts w:ascii="Arial" w:hAnsi="Arial" w:cs="Arial"/>
          <w:sz w:val="24"/>
          <w:szCs w:val="24"/>
        </w:rPr>
        <w:t xml:space="preserve">order development, such as confidence and resilience, cannot occur until basic needs are satisfied. Supporting children through transitions in this way promotes emotional security, reduces stress, and enables them to continue their developmental trajectory toward readiness for school and </w:t>
      </w:r>
      <w:r w:rsidR="00033084" w:rsidRPr="00033084">
        <w:rPr>
          <w:rFonts w:ascii="Arial" w:hAnsi="Arial" w:cs="Arial"/>
          <w:sz w:val="24"/>
          <w:szCs w:val="24"/>
        </w:rPr>
        <w:t>long-term</w:t>
      </w:r>
      <w:r w:rsidRPr="00A120BC">
        <w:rPr>
          <w:rFonts w:ascii="Arial" w:hAnsi="Arial" w:cs="Arial"/>
          <w:sz w:val="24"/>
          <w:szCs w:val="24"/>
        </w:rPr>
        <w:t xml:space="preserve"> wellbeing (Maslow, 1943; Howe, 2011).</w:t>
      </w:r>
    </w:p>
    <w:p w14:paraId="0F1DD6EA" w14:textId="7CEA1319" w:rsidR="00A120BC" w:rsidRDefault="00A120BC" w:rsidP="00033084">
      <w:pPr>
        <w:spacing w:line="360" w:lineRule="auto"/>
        <w:rPr>
          <w:rFonts w:ascii="Arial" w:hAnsi="Arial" w:cs="Arial"/>
          <w:sz w:val="24"/>
          <w:szCs w:val="24"/>
        </w:rPr>
      </w:pPr>
    </w:p>
    <w:p w14:paraId="774E2D85" w14:textId="77777777" w:rsidR="00033084" w:rsidRPr="00F93C89" w:rsidRDefault="00033084" w:rsidP="00033084">
      <w:pPr>
        <w:spacing w:line="360" w:lineRule="auto"/>
        <w:rPr>
          <w:rFonts w:ascii="Arial" w:hAnsi="Arial" w:cs="Arial"/>
          <w:b/>
          <w:bCs/>
          <w:sz w:val="24"/>
          <w:szCs w:val="24"/>
          <w:u w:val="single"/>
        </w:rPr>
      </w:pPr>
    </w:p>
    <w:p w14:paraId="1FC96264" w14:textId="0B724BFC" w:rsidR="00033084" w:rsidRPr="00F93C89" w:rsidRDefault="00A9165A" w:rsidP="00033084">
      <w:pPr>
        <w:spacing w:line="360" w:lineRule="auto"/>
        <w:rPr>
          <w:rFonts w:ascii="Arial" w:hAnsi="Arial" w:cs="Arial"/>
          <w:b/>
          <w:bCs/>
          <w:sz w:val="24"/>
          <w:szCs w:val="24"/>
          <w:u w:val="single"/>
        </w:rPr>
      </w:pPr>
      <w:r w:rsidRPr="00F93C89">
        <w:rPr>
          <w:rFonts w:ascii="Arial" w:hAnsi="Arial" w:cs="Arial"/>
          <w:b/>
          <w:bCs/>
          <w:sz w:val="24"/>
          <w:szCs w:val="24"/>
          <w:u w:val="single"/>
        </w:rPr>
        <w:t xml:space="preserve">Attachment and relationships </w:t>
      </w:r>
    </w:p>
    <w:p w14:paraId="4B07F5EC" w14:textId="77777777" w:rsidR="00033084" w:rsidRPr="00033084" w:rsidRDefault="00033084" w:rsidP="00033084">
      <w:pPr>
        <w:spacing w:line="360" w:lineRule="auto"/>
        <w:rPr>
          <w:rFonts w:ascii="Arial" w:hAnsi="Arial" w:cs="Arial"/>
          <w:sz w:val="24"/>
          <w:szCs w:val="24"/>
        </w:rPr>
      </w:pPr>
      <w:r w:rsidRPr="00033084">
        <w:rPr>
          <w:rFonts w:ascii="Arial" w:hAnsi="Arial" w:cs="Arial"/>
          <w:sz w:val="24"/>
          <w:szCs w:val="24"/>
        </w:rPr>
        <w:t xml:space="preserve">Attachment and relationships are fundamental to early childhood development, shaping a child’s ability to regulate emotions, build social connections, and engage in learning. Bowlby’s Attachment Theory (1969) emphasises that secure attachment to a consistent, responsive caregiver provides a “secure base” from which children can explore the world confidently. </w:t>
      </w:r>
    </w:p>
    <w:p w14:paraId="413E1C34" w14:textId="3C4F58A1" w:rsidR="00033084" w:rsidRPr="00033084" w:rsidRDefault="00033084" w:rsidP="00033084">
      <w:pPr>
        <w:spacing w:line="360" w:lineRule="auto"/>
        <w:rPr>
          <w:rFonts w:ascii="Arial" w:hAnsi="Arial" w:cs="Arial"/>
          <w:sz w:val="24"/>
          <w:szCs w:val="24"/>
        </w:rPr>
      </w:pPr>
      <w:r w:rsidRPr="00033084">
        <w:rPr>
          <w:rFonts w:ascii="Arial" w:hAnsi="Arial" w:cs="Arial"/>
          <w:sz w:val="24"/>
          <w:szCs w:val="24"/>
        </w:rPr>
        <w:t>For children in areas of deprivation, such as Blaenau Gwent, the importance of secure attachment is amplified. Socio-economic stressors, family instability, and limited resources can compromise caregiving quality, increasing the risk of insecure attachment patterns and long-term implications for emotional wellbeing and resilience (Bowlby, 1969; Howe, 2011).</w:t>
      </w:r>
    </w:p>
    <w:p w14:paraId="06CCCFD6" w14:textId="7867B0F9" w:rsidR="00033084" w:rsidRPr="00033084" w:rsidRDefault="00033084" w:rsidP="00033084">
      <w:pPr>
        <w:spacing w:line="360" w:lineRule="auto"/>
        <w:rPr>
          <w:rFonts w:ascii="Arial" w:hAnsi="Arial" w:cs="Arial"/>
          <w:sz w:val="24"/>
          <w:szCs w:val="24"/>
        </w:rPr>
      </w:pPr>
      <w:r w:rsidRPr="00033084">
        <w:rPr>
          <w:rFonts w:ascii="Arial" w:hAnsi="Arial" w:cs="Arial"/>
          <w:sz w:val="24"/>
          <w:szCs w:val="24"/>
        </w:rPr>
        <w:t xml:space="preserve">An example </w:t>
      </w:r>
      <w:r w:rsidR="00F93C89">
        <w:rPr>
          <w:rFonts w:ascii="Arial" w:hAnsi="Arial" w:cs="Arial"/>
          <w:sz w:val="24"/>
          <w:szCs w:val="24"/>
        </w:rPr>
        <w:t xml:space="preserve">of how EY practitioners can support this </w:t>
      </w:r>
      <w:r w:rsidRPr="00033084">
        <w:rPr>
          <w:rFonts w:ascii="Arial" w:hAnsi="Arial" w:cs="Arial"/>
          <w:sz w:val="24"/>
          <w:szCs w:val="24"/>
        </w:rPr>
        <w:t>can be seen in Blaenau Gwent Flying Start settings, where practitioners implement a key person approach and conduct home visits before a child starts nursery. These strategies promote continuity and trust, ensuring children experience predictable relationships and emotional security during transitions. Practitioners also work closely with parents to strengthen attachment at home, recognising that emotional availability is essential for development (Flying Start Guidance, 2019).</w:t>
      </w:r>
    </w:p>
    <w:p w14:paraId="4C31A0F9" w14:textId="5D66EE72" w:rsidR="00033084" w:rsidRPr="00033084" w:rsidRDefault="00033084" w:rsidP="00033084">
      <w:pPr>
        <w:spacing w:line="360" w:lineRule="auto"/>
        <w:rPr>
          <w:rFonts w:ascii="Arial" w:hAnsi="Arial" w:cs="Arial"/>
          <w:sz w:val="24"/>
          <w:szCs w:val="24"/>
        </w:rPr>
      </w:pPr>
      <w:r w:rsidRPr="00033084">
        <w:rPr>
          <w:rFonts w:ascii="Arial" w:hAnsi="Arial" w:cs="Arial"/>
          <w:sz w:val="24"/>
          <w:szCs w:val="24"/>
        </w:rPr>
        <w:t xml:space="preserve">The Circle of Security framework builds on Bowlby’s principles, highlighting the caregiver’s role in meeting a child’s need for both safety and autonomy (Powell et al., 2013). Maslow’s Hierarchy of Needs (1943) complements this by illustrating that emotional security and belonging are not optional extras but essential foundations for all other aspects of development. </w:t>
      </w:r>
    </w:p>
    <w:p w14:paraId="4FD162EF" w14:textId="77777777" w:rsidR="00033084" w:rsidRPr="00033084" w:rsidRDefault="00033084" w:rsidP="00033084">
      <w:pPr>
        <w:spacing w:line="360" w:lineRule="auto"/>
        <w:rPr>
          <w:rFonts w:ascii="Arial" w:hAnsi="Arial" w:cs="Arial"/>
          <w:sz w:val="24"/>
          <w:szCs w:val="24"/>
        </w:rPr>
      </w:pPr>
      <w:r w:rsidRPr="00033084">
        <w:rPr>
          <w:rFonts w:ascii="Arial" w:hAnsi="Arial" w:cs="Arial"/>
          <w:sz w:val="24"/>
          <w:szCs w:val="24"/>
        </w:rPr>
        <w:t>Maslow identified safety needs</w:t>
      </w:r>
      <w:r w:rsidRPr="00033084">
        <w:rPr>
          <w:rFonts w:ascii="Arial" w:hAnsi="Arial" w:cs="Arial"/>
          <w:sz w:val="24"/>
          <w:szCs w:val="24"/>
        </w:rPr>
        <w:t xml:space="preserve"> </w:t>
      </w:r>
      <w:r w:rsidRPr="00033084">
        <w:rPr>
          <w:rFonts w:ascii="Arial" w:hAnsi="Arial" w:cs="Arial"/>
          <w:sz w:val="24"/>
          <w:szCs w:val="24"/>
        </w:rPr>
        <w:t>such as protection from harm, stability, and predictable routines</w:t>
      </w:r>
      <w:r w:rsidRPr="00033084">
        <w:rPr>
          <w:rFonts w:ascii="Arial" w:hAnsi="Arial" w:cs="Arial"/>
          <w:sz w:val="24"/>
          <w:szCs w:val="24"/>
        </w:rPr>
        <w:t xml:space="preserve"> as </w:t>
      </w:r>
      <w:r w:rsidRPr="00033084">
        <w:rPr>
          <w:rFonts w:ascii="Arial" w:hAnsi="Arial" w:cs="Arial"/>
          <w:sz w:val="24"/>
          <w:szCs w:val="24"/>
        </w:rPr>
        <w:t xml:space="preserve">critical for reducing anxiety and enabling children to focus on exploration and learning. When these needs are unmet, children may exhibit heightened stress responses, clinginess, or withdrawal, which can hinder cognitive and social development. Equally important are love and belonging needs, which Maslow placed immediately after safety. These encompass strong, positive relationships with caregivers and peers, fostering trust and emotional resilience. </w:t>
      </w:r>
    </w:p>
    <w:p w14:paraId="7A4DE927" w14:textId="505E0D97" w:rsidR="00033084" w:rsidRPr="00033084" w:rsidRDefault="00033084" w:rsidP="00033084">
      <w:pPr>
        <w:spacing w:line="360" w:lineRule="auto"/>
        <w:rPr>
          <w:rFonts w:ascii="Arial" w:hAnsi="Arial" w:cs="Arial"/>
          <w:sz w:val="24"/>
          <w:szCs w:val="24"/>
        </w:rPr>
      </w:pPr>
      <w:r w:rsidRPr="00033084">
        <w:rPr>
          <w:rFonts w:ascii="Arial" w:hAnsi="Arial" w:cs="Arial"/>
          <w:sz w:val="24"/>
          <w:szCs w:val="24"/>
        </w:rPr>
        <w:lastRenderedPageBreak/>
        <w:t>In practice, Flying Start addresses these needs by ensuring safe, nurturing environments, consistent key adults, and opportunities for positive social interaction. Meeting these needs creates the conditions for children to progress toward esteem and confidence, ultimately supporting readiness for school and lifelong wellbeing (Maslow, 1943).</w:t>
      </w:r>
    </w:p>
    <w:p w14:paraId="52B47E19" w14:textId="77777777" w:rsidR="00033084" w:rsidRPr="00033084" w:rsidRDefault="00033084" w:rsidP="00033084">
      <w:pPr>
        <w:spacing w:line="360" w:lineRule="auto"/>
        <w:rPr>
          <w:rFonts w:ascii="Arial" w:hAnsi="Arial" w:cs="Arial"/>
          <w:sz w:val="24"/>
          <w:szCs w:val="24"/>
        </w:rPr>
      </w:pPr>
    </w:p>
    <w:p w14:paraId="14ED04DB" w14:textId="253565F7" w:rsidR="00033084" w:rsidRPr="00076C85" w:rsidRDefault="00033084" w:rsidP="00033084">
      <w:pPr>
        <w:spacing w:line="360" w:lineRule="auto"/>
        <w:rPr>
          <w:rFonts w:ascii="Arial" w:hAnsi="Arial" w:cs="Arial"/>
          <w:b/>
          <w:bCs/>
          <w:sz w:val="24"/>
          <w:szCs w:val="24"/>
          <w:u w:val="single"/>
        </w:rPr>
      </w:pPr>
      <w:r w:rsidRPr="00076C85">
        <w:rPr>
          <w:rFonts w:ascii="Arial" w:hAnsi="Arial" w:cs="Arial"/>
          <w:b/>
          <w:bCs/>
          <w:sz w:val="24"/>
          <w:szCs w:val="24"/>
          <w:u w:val="single"/>
        </w:rPr>
        <w:t xml:space="preserve">Poverty and Socioeconomic deprivation </w:t>
      </w:r>
    </w:p>
    <w:p w14:paraId="239A5DC2" w14:textId="77777777" w:rsidR="00076C85" w:rsidRDefault="00585C9C" w:rsidP="00033084">
      <w:pPr>
        <w:spacing w:line="360" w:lineRule="auto"/>
      </w:pPr>
      <w:r w:rsidRPr="00A120BC">
        <w:rPr>
          <w:rFonts w:ascii="Arial" w:hAnsi="Arial" w:cs="Arial"/>
          <w:sz w:val="24"/>
          <w:szCs w:val="24"/>
        </w:rPr>
        <w:t xml:space="preserve">Poverty is one of the most significant barriers to positive outcomes for children in </w:t>
      </w:r>
      <w:r w:rsidR="00076C85">
        <w:rPr>
          <w:rFonts w:ascii="Arial" w:hAnsi="Arial" w:cs="Arial"/>
          <w:sz w:val="24"/>
          <w:szCs w:val="24"/>
        </w:rPr>
        <w:t>EY</w:t>
      </w:r>
      <w:r w:rsidRPr="00A120BC">
        <w:rPr>
          <w:rFonts w:ascii="Arial" w:hAnsi="Arial" w:cs="Arial"/>
          <w:sz w:val="24"/>
          <w:szCs w:val="24"/>
        </w:rPr>
        <w:t xml:space="preserve"> settings. In areas such as Blaenau Gwent, socio-economic deprivation can affect every aspect of a child’s development, from physical health to emotional wellbeing and educational attainment</w:t>
      </w:r>
      <w:r w:rsidR="00076C85">
        <w:t xml:space="preserve">. </w:t>
      </w:r>
    </w:p>
    <w:p w14:paraId="7C1305D1" w14:textId="77777777" w:rsidR="00076C85" w:rsidRDefault="00076C85" w:rsidP="00033084">
      <w:pPr>
        <w:spacing w:line="360" w:lineRule="auto"/>
        <w:rPr>
          <w:rFonts w:ascii="Arial" w:hAnsi="Arial" w:cs="Arial"/>
          <w:sz w:val="24"/>
          <w:szCs w:val="24"/>
        </w:rPr>
      </w:pPr>
      <w:r w:rsidRPr="00076C85">
        <w:rPr>
          <w:rFonts w:ascii="Arial" w:hAnsi="Arial" w:cs="Arial"/>
          <w:sz w:val="24"/>
          <w:szCs w:val="24"/>
        </w:rPr>
        <w:t>The Institute of Health Equity and Gwent Public Services Board (2022) reports that ‘the poorest children in Gwent start school 10 months behind their more affluent peers’, highlighting the profound effect of socio-economic deprivation on early cognitive development, language skills, and long-term educational outcomes.</w:t>
      </w:r>
      <w:r w:rsidR="00585C9C" w:rsidRPr="00A120BC">
        <w:rPr>
          <w:rFonts w:ascii="Arial" w:hAnsi="Arial" w:cs="Arial"/>
          <w:sz w:val="24"/>
          <w:szCs w:val="24"/>
        </w:rPr>
        <w:t xml:space="preserve"> </w:t>
      </w:r>
    </w:p>
    <w:p w14:paraId="0D77C19E" w14:textId="41BA4317" w:rsidR="00585C9C" w:rsidRPr="00A120BC" w:rsidRDefault="00585C9C" w:rsidP="00033084">
      <w:pPr>
        <w:spacing w:line="360" w:lineRule="auto"/>
        <w:rPr>
          <w:rFonts w:ascii="Arial" w:hAnsi="Arial" w:cs="Arial"/>
          <w:sz w:val="24"/>
          <w:szCs w:val="24"/>
        </w:rPr>
      </w:pPr>
      <w:r w:rsidRPr="00A120BC">
        <w:rPr>
          <w:rFonts w:ascii="Arial" w:hAnsi="Arial" w:cs="Arial"/>
          <w:sz w:val="24"/>
          <w:szCs w:val="24"/>
        </w:rPr>
        <w:t>Flying Start, a Welsh Government initiative, seeks to mitigate these disadvantages by providing targeted support for families with children under four years old. Central to this approach is addressing basic needs</w:t>
      </w:r>
      <w:r w:rsidR="00076C85">
        <w:rPr>
          <w:rFonts w:ascii="Arial" w:hAnsi="Arial" w:cs="Arial"/>
          <w:sz w:val="24"/>
          <w:szCs w:val="24"/>
        </w:rPr>
        <w:t xml:space="preserve"> </w:t>
      </w:r>
      <w:r w:rsidRPr="00A120BC">
        <w:rPr>
          <w:rFonts w:ascii="Arial" w:hAnsi="Arial" w:cs="Arial"/>
          <w:sz w:val="24"/>
          <w:szCs w:val="24"/>
        </w:rPr>
        <w:t>such as nutrition, safety, and emotional security</w:t>
      </w:r>
      <w:r w:rsidR="00076C85">
        <w:rPr>
          <w:rFonts w:ascii="Arial" w:hAnsi="Arial" w:cs="Arial"/>
          <w:sz w:val="24"/>
          <w:szCs w:val="24"/>
        </w:rPr>
        <w:t xml:space="preserve"> </w:t>
      </w:r>
      <w:r w:rsidRPr="00A120BC">
        <w:rPr>
          <w:rFonts w:ascii="Arial" w:hAnsi="Arial" w:cs="Arial"/>
          <w:sz w:val="24"/>
          <w:szCs w:val="24"/>
        </w:rPr>
        <w:t>which are foundational for learning and development.</w:t>
      </w:r>
    </w:p>
    <w:p w14:paraId="74BBC0D4" w14:textId="77777777" w:rsidR="00076C85" w:rsidRDefault="00585C9C" w:rsidP="00033084">
      <w:pPr>
        <w:spacing w:line="360" w:lineRule="auto"/>
        <w:rPr>
          <w:rFonts w:ascii="Arial" w:hAnsi="Arial" w:cs="Arial"/>
          <w:sz w:val="24"/>
          <w:szCs w:val="24"/>
        </w:rPr>
      </w:pPr>
      <w:r w:rsidRPr="00A120BC">
        <w:rPr>
          <w:rFonts w:ascii="Arial" w:hAnsi="Arial" w:cs="Arial"/>
          <w:sz w:val="24"/>
          <w:szCs w:val="24"/>
        </w:rPr>
        <w:t xml:space="preserve">Maslow’s Hierarchy of Needs (1943) offers a useful framework for understanding why meeting these needs is critical. Maslow argued that physiological and safety needs must be satisfied before higher-order needs such as belonging, esteem, and self-actualisation can be achieved. </w:t>
      </w:r>
    </w:p>
    <w:p w14:paraId="17B93A1A" w14:textId="77777777" w:rsidR="00076C85" w:rsidRDefault="00585C9C" w:rsidP="00033084">
      <w:pPr>
        <w:spacing w:line="360" w:lineRule="auto"/>
        <w:rPr>
          <w:rFonts w:ascii="Arial" w:hAnsi="Arial" w:cs="Arial"/>
          <w:sz w:val="24"/>
          <w:szCs w:val="24"/>
        </w:rPr>
      </w:pPr>
      <w:r w:rsidRPr="00A120BC">
        <w:rPr>
          <w:rFonts w:ascii="Arial" w:hAnsi="Arial" w:cs="Arial"/>
          <w:sz w:val="24"/>
          <w:szCs w:val="24"/>
        </w:rPr>
        <w:t>For children living in poverty, these foundational needs are often compromised. Inadequate housing, food insecurity, and parental stress can create an environment where children struggle to feel safe and secure (Maslow, 1943).</w:t>
      </w:r>
    </w:p>
    <w:p w14:paraId="464B873D" w14:textId="7CC8A8D9" w:rsidR="00585C9C" w:rsidRPr="00A120BC" w:rsidRDefault="00585C9C" w:rsidP="00033084">
      <w:pPr>
        <w:spacing w:line="360" w:lineRule="auto"/>
        <w:rPr>
          <w:rFonts w:ascii="Arial" w:hAnsi="Arial" w:cs="Arial"/>
          <w:sz w:val="24"/>
          <w:szCs w:val="24"/>
        </w:rPr>
      </w:pPr>
      <w:r w:rsidRPr="00A120BC">
        <w:rPr>
          <w:rFonts w:ascii="Arial" w:hAnsi="Arial" w:cs="Arial"/>
          <w:sz w:val="24"/>
          <w:szCs w:val="24"/>
        </w:rPr>
        <w:t xml:space="preserve">Flying Start settings address these challenges by providing free childcare, nutritious meals, health support, and parenting programmes that promote stability and wellbeing. For example, practitioners in Blaenau Gwent work closely with health </w:t>
      </w:r>
      <w:r w:rsidRPr="00A120BC">
        <w:rPr>
          <w:rFonts w:ascii="Arial" w:hAnsi="Arial" w:cs="Arial"/>
          <w:sz w:val="24"/>
          <w:szCs w:val="24"/>
        </w:rPr>
        <w:lastRenderedPageBreak/>
        <w:t>visitors and social services to ensure families receive both practical and emotional support, reducing stress and improving home environments.</w:t>
      </w:r>
    </w:p>
    <w:p w14:paraId="725F49E6" w14:textId="77777777" w:rsidR="000E0DD9" w:rsidRDefault="00585C9C" w:rsidP="00033084">
      <w:pPr>
        <w:spacing w:line="360" w:lineRule="auto"/>
        <w:rPr>
          <w:rFonts w:ascii="Arial" w:hAnsi="Arial" w:cs="Arial"/>
          <w:sz w:val="24"/>
          <w:szCs w:val="24"/>
        </w:rPr>
      </w:pPr>
      <w:r w:rsidRPr="00A120BC">
        <w:rPr>
          <w:rFonts w:ascii="Arial" w:hAnsi="Arial" w:cs="Arial"/>
          <w:sz w:val="24"/>
          <w:szCs w:val="24"/>
        </w:rPr>
        <w:t>Bronfenbrenner’s Ecological Systems Theory (1979) reinforces this perspective by highlighting that poverty interacts with family dynamics, community resources, and broader socio-economic structures. Practitioners therefore adopt a holistic approach, engaging multiple agencies to address the wider determinants of</w:t>
      </w:r>
      <w:r w:rsidR="000E0DD9">
        <w:rPr>
          <w:rFonts w:ascii="Arial" w:hAnsi="Arial" w:cs="Arial"/>
          <w:sz w:val="24"/>
          <w:szCs w:val="24"/>
        </w:rPr>
        <w:t xml:space="preserve"> poverty </w:t>
      </w:r>
      <w:r w:rsidRPr="00A120BC">
        <w:rPr>
          <w:rFonts w:ascii="Arial" w:hAnsi="Arial" w:cs="Arial"/>
          <w:sz w:val="24"/>
          <w:szCs w:val="24"/>
        </w:rPr>
        <w:t xml:space="preserve">(Tudge et al., 2009). </w:t>
      </w:r>
    </w:p>
    <w:p w14:paraId="5A901BE1" w14:textId="70D99AB1" w:rsidR="00585C9C" w:rsidRPr="00A120BC" w:rsidRDefault="00585C9C" w:rsidP="00033084">
      <w:pPr>
        <w:spacing w:line="360" w:lineRule="auto"/>
        <w:rPr>
          <w:rFonts w:ascii="Arial" w:hAnsi="Arial" w:cs="Arial"/>
          <w:sz w:val="24"/>
          <w:szCs w:val="24"/>
        </w:rPr>
      </w:pPr>
      <w:r w:rsidRPr="00A120BC">
        <w:rPr>
          <w:rFonts w:ascii="Arial" w:hAnsi="Arial" w:cs="Arial"/>
          <w:sz w:val="24"/>
          <w:szCs w:val="24"/>
        </w:rPr>
        <w:t xml:space="preserve">Attachment Theory also intersects with </w:t>
      </w:r>
      <w:r w:rsidR="000E0DD9">
        <w:rPr>
          <w:rFonts w:ascii="Arial" w:hAnsi="Arial" w:cs="Arial"/>
          <w:sz w:val="24"/>
          <w:szCs w:val="24"/>
        </w:rPr>
        <w:t xml:space="preserve">many </w:t>
      </w:r>
      <w:r w:rsidRPr="00A120BC">
        <w:rPr>
          <w:rFonts w:ascii="Arial" w:hAnsi="Arial" w:cs="Arial"/>
          <w:sz w:val="24"/>
          <w:szCs w:val="24"/>
        </w:rPr>
        <w:t>poverty</w:t>
      </w:r>
      <w:r w:rsidR="000E0DD9">
        <w:rPr>
          <w:rFonts w:ascii="Arial" w:hAnsi="Arial" w:cs="Arial"/>
          <w:sz w:val="24"/>
          <w:szCs w:val="24"/>
        </w:rPr>
        <w:t xml:space="preserve"> </w:t>
      </w:r>
      <w:r w:rsidRPr="00A120BC">
        <w:rPr>
          <w:rFonts w:ascii="Arial" w:hAnsi="Arial" w:cs="Arial"/>
          <w:sz w:val="24"/>
          <w:szCs w:val="24"/>
        </w:rPr>
        <w:t>related challenges. Bowlby (1969) emphasised that secure attachment depends on consistent, responsive caregiving; however, financial hardship can increase parental stress, reducing emotional availability (Howe, 2011). Flying Start interventions, such as home visits and parenting support, aim to strengthen caregiver</w:t>
      </w:r>
      <w:r w:rsidR="000E0DD9">
        <w:rPr>
          <w:rFonts w:ascii="Arial" w:hAnsi="Arial" w:cs="Arial"/>
          <w:sz w:val="24"/>
          <w:szCs w:val="24"/>
        </w:rPr>
        <w:t xml:space="preserve"> and </w:t>
      </w:r>
      <w:r w:rsidRPr="00A120BC">
        <w:rPr>
          <w:rFonts w:ascii="Arial" w:hAnsi="Arial" w:cs="Arial"/>
          <w:sz w:val="24"/>
          <w:szCs w:val="24"/>
        </w:rPr>
        <w:t>child relationships, recognising that emotional security is as essential as physical provision.</w:t>
      </w:r>
    </w:p>
    <w:p w14:paraId="658A7614" w14:textId="77777777" w:rsidR="00585C9C" w:rsidRPr="00033084" w:rsidRDefault="00585C9C" w:rsidP="00033084">
      <w:pPr>
        <w:spacing w:line="360" w:lineRule="auto"/>
        <w:rPr>
          <w:rFonts w:ascii="Arial" w:hAnsi="Arial" w:cs="Arial"/>
          <w:sz w:val="24"/>
          <w:szCs w:val="24"/>
        </w:rPr>
      </w:pPr>
      <w:r w:rsidRPr="00033084">
        <w:rPr>
          <w:rFonts w:ascii="Arial" w:hAnsi="Arial" w:cs="Arial"/>
          <w:sz w:val="24"/>
          <w:szCs w:val="24"/>
        </w:rPr>
        <w:t xml:space="preserve">Although these theories provide important perspectives, they are not without limitations. </w:t>
      </w:r>
    </w:p>
    <w:p w14:paraId="0BE0DA53" w14:textId="3FB5C5D6" w:rsidR="00585C9C" w:rsidRPr="00A120BC" w:rsidRDefault="00585C9C" w:rsidP="00033084">
      <w:pPr>
        <w:spacing w:line="360" w:lineRule="auto"/>
        <w:rPr>
          <w:rFonts w:ascii="Arial" w:hAnsi="Arial" w:cs="Arial"/>
          <w:sz w:val="24"/>
          <w:szCs w:val="24"/>
        </w:rPr>
      </w:pPr>
      <w:r w:rsidRPr="00A120BC">
        <w:rPr>
          <w:rFonts w:ascii="Arial" w:hAnsi="Arial" w:cs="Arial"/>
          <w:sz w:val="24"/>
          <w:szCs w:val="24"/>
        </w:rPr>
        <w:t>Maslow’s model has been criticised for its rigid hierarchy and cultural bias (Neher, 1991</w:t>
      </w:r>
      <w:r w:rsidR="000E0DD9">
        <w:rPr>
          <w:rFonts w:ascii="Arial" w:hAnsi="Arial" w:cs="Arial"/>
          <w:sz w:val="24"/>
          <w:szCs w:val="24"/>
        </w:rPr>
        <w:t>)</w:t>
      </w:r>
      <w:r w:rsidRPr="00A120BC">
        <w:rPr>
          <w:rFonts w:ascii="Arial" w:hAnsi="Arial" w:cs="Arial"/>
          <w:sz w:val="24"/>
          <w:szCs w:val="24"/>
        </w:rPr>
        <w:t xml:space="preserve"> and attachment theory for overemphasising maternal care and underestimating resilience (Rutter, 1995; Rothbaum et al., 2000). These critiques remind practitioners to apply theory flexibly and contextually</w:t>
      </w:r>
      <w:r w:rsidR="000E0DD9">
        <w:rPr>
          <w:rFonts w:ascii="Arial" w:hAnsi="Arial" w:cs="Arial"/>
          <w:sz w:val="24"/>
          <w:szCs w:val="24"/>
        </w:rPr>
        <w:t xml:space="preserve"> based on the child and families’ individual needs</w:t>
      </w:r>
      <w:r w:rsidRPr="00A120BC">
        <w:rPr>
          <w:rFonts w:ascii="Arial" w:hAnsi="Arial" w:cs="Arial"/>
          <w:sz w:val="24"/>
          <w:szCs w:val="24"/>
        </w:rPr>
        <w:t>. By embedding these principles into practice, Flying Start creates conditions for children to thrive, even in the face of socio-economic disadvantage.</w:t>
      </w:r>
    </w:p>
    <w:p w14:paraId="55C1F8EF" w14:textId="77777777" w:rsidR="00585C9C" w:rsidRPr="00033084" w:rsidRDefault="00585C9C" w:rsidP="00033084">
      <w:pPr>
        <w:spacing w:line="360" w:lineRule="auto"/>
        <w:rPr>
          <w:rFonts w:ascii="Arial" w:hAnsi="Arial" w:cs="Arial"/>
          <w:sz w:val="24"/>
          <w:szCs w:val="24"/>
        </w:rPr>
      </w:pPr>
    </w:p>
    <w:p w14:paraId="0FD8B661" w14:textId="1E897487" w:rsidR="000E0DD9" w:rsidRPr="000E0DD9" w:rsidRDefault="000E0DD9" w:rsidP="000E0DD9">
      <w:pPr>
        <w:spacing w:line="360" w:lineRule="auto"/>
        <w:rPr>
          <w:rFonts w:ascii="Arial" w:hAnsi="Arial" w:cs="Arial"/>
          <w:b/>
          <w:bCs/>
          <w:sz w:val="24"/>
          <w:szCs w:val="24"/>
          <w:u w:val="single"/>
        </w:rPr>
      </w:pPr>
      <w:r w:rsidRPr="000E0DD9">
        <w:rPr>
          <w:rFonts w:ascii="Arial" w:hAnsi="Arial" w:cs="Arial"/>
          <w:b/>
          <w:bCs/>
          <w:sz w:val="24"/>
          <w:szCs w:val="24"/>
          <w:u w:val="single"/>
        </w:rPr>
        <w:t xml:space="preserve">References </w:t>
      </w:r>
    </w:p>
    <w:p w14:paraId="07D97252"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Bowlby, J. (1969) </w:t>
      </w:r>
      <w:r w:rsidRPr="000E0DD9">
        <w:rPr>
          <w:rFonts w:ascii="Arial" w:hAnsi="Arial" w:cs="Arial"/>
          <w:i/>
          <w:iCs/>
          <w:sz w:val="24"/>
          <w:szCs w:val="24"/>
        </w:rPr>
        <w:t>Attachment and Loss: Vol. 1. Attachment</w:t>
      </w:r>
      <w:r w:rsidRPr="000E0DD9">
        <w:rPr>
          <w:rFonts w:ascii="Arial" w:hAnsi="Arial" w:cs="Arial"/>
          <w:sz w:val="24"/>
          <w:szCs w:val="24"/>
        </w:rPr>
        <w:t>. London: Hogarth Press.</w:t>
      </w:r>
    </w:p>
    <w:p w14:paraId="3C03676A"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Bronfenbrenner, U. (1979) </w:t>
      </w:r>
      <w:r w:rsidRPr="000E0DD9">
        <w:rPr>
          <w:rFonts w:ascii="Arial" w:hAnsi="Arial" w:cs="Arial"/>
          <w:i/>
          <w:iCs/>
          <w:sz w:val="24"/>
          <w:szCs w:val="24"/>
        </w:rPr>
        <w:t>The Ecology of Human Development: Experiments by Nature and Design</w:t>
      </w:r>
      <w:r w:rsidRPr="000E0DD9">
        <w:rPr>
          <w:rFonts w:ascii="Arial" w:hAnsi="Arial" w:cs="Arial"/>
          <w:sz w:val="24"/>
          <w:szCs w:val="24"/>
        </w:rPr>
        <w:t>. Cambridge, MA: Harvard University Press.</w:t>
      </w:r>
    </w:p>
    <w:p w14:paraId="69A32D1D"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Curriculum for Non-Maintained Settings (2023) </w:t>
      </w:r>
      <w:r w:rsidRPr="000E0DD9">
        <w:rPr>
          <w:rFonts w:ascii="Arial" w:hAnsi="Arial" w:cs="Arial"/>
          <w:i/>
          <w:iCs/>
          <w:sz w:val="24"/>
          <w:szCs w:val="24"/>
        </w:rPr>
        <w:t>Curriculum for funded non-maintained nursery settings in Wales</w:t>
      </w:r>
      <w:r w:rsidRPr="000E0DD9">
        <w:rPr>
          <w:rFonts w:ascii="Arial" w:hAnsi="Arial" w:cs="Arial"/>
          <w:sz w:val="24"/>
          <w:szCs w:val="24"/>
        </w:rPr>
        <w:t>. Welsh Government.</w:t>
      </w:r>
    </w:p>
    <w:p w14:paraId="3406A90C"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lastRenderedPageBreak/>
        <w:t xml:space="preserve">Flying Start Guidance (2019) </w:t>
      </w:r>
      <w:r w:rsidRPr="000E0DD9">
        <w:rPr>
          <w:rFonts w:ascii="Arial" w:hAnsi="Arial" w:cs="Arial"/>
          <w:i/>
          <w:iCs/>
          <w:sz w:val="24"/>
          <w:szCs w:val="24"/>
        </w:rPr>
        <w:t>Flying Start: Guidance for Local Authorities</w:t>
      </w:r>
      <w:r w:rsidRPr="000E0DD9">
        <w:rPr>
          <w:rFonts w:ascii="Arial" w:hAnsi="Arial" w:cs="Arial"/>
          <w:sz w:val="24"/>
          <w:szCs w:val="24"/>
        </w:rPr>
        <w:t>. Welsh Government.</w:t>
      </w:r>
    </w:p>
    <w:p w14:paraId="7E900055"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Howe, D. (2011) </w:t>
      </w:r>
      <w:r w:rsidRPr="000E0DD9">
        <w:rPr>
          <w:rFonts w:ascii="Arial" w:hAnsi="Arial" w:cs="Arial"/>
          <w:i/>
          <w:iCs/>
          <w:sz w:val="24"/>
          <w:szCs w:val="24"/>
        </w:rPr>
        <w:t xml:space="preserve">Attachment Across the </w:t>
      </w:r>
      <w:proofErr w:type="spellStart"/>
      <w:r w:rsidRPr="000E0DD9">
        <w:rPr>
          <w:rFonts w:ascii="Arial" w:hAnsi="Arial" w:cs="Arial"/>
          <w:i/>
          <w:iCs/>
          <w:sz w:val="24"/>
          <w:szCs w:val="24"/>
        </w:rPr>
        <w:t>Lifecourse</w:t>
      </w:r>
      <w:proofErr w:type="spellEnd"/>
      <w:r w:rsidRPr="000E0DD9">
        <w:rPr>
          <w:rFonts w:ascii="Arial" w:hAnsi="Arial" w:cs="Arial"/>
          <w:i/>
          <w:iCs/>
          <w:sz w:val="24"/>
          <w:szCs w:val="24"/>
        </w:rPr>
        <w:t>: A Brief Introduction</w:t>
      </w:r>
      <w:r w:rsidRPr="000E0DD9">
        <w:rPr>
          <w:rFonts w:ascii="Arial" w:hAnsi="Arial" w:cs="Arial"/>
          <w:sz w:val="24"/>
          <w:szCs w:val="24"/>
        </w:rPr>
        <w:t>. Basingstoke: Palgrave Macmillan.</w:t>
      </w:r>
    </w:p>
    <w:p w14:paraId="7569A7F3" w14:textId="67D74743"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Institute of Health Equity and Gwent Public Services Board (2022) </w:t>
      </w:r>
      <w:r w:rsidRPr="000E0DD9">
        <w:rPr>
          <w:rFonts w:ascii="Arial" w:hAnsi="Arial" w:cs="Arial"/>
          <w:i/>
          <w:iCs/>
          <w:sz w:val="24"/>
          <w:szCs w:val="24"/>
        </w:rPr>
        <w:t>Building a Fairer Gwent: Improving Health Equity and the Social Determinants</w:t>
      </w:r>
      <w:r w:rsidRPr="000E0DD9">
        <w:rPr>
          <w:rFonts w:ascii="Arial" w:hAnsi="Arial" w:cs="Arial"/>
          <w:sz w:val="24"/>
          <w:szCs w:val="24"/>
        </w:rPr>
        <w:t xml:space="preserve">. London: UCL Institute of Health Equity. Available at: </w:t>
      </w:r>
      <w:hyperlink r:id="rId14" w:history="1">
        <w:r w:rsidRPr="000E0DD9">
          <w:rPr>
            <w:rStyle w:val="Hyperlink"/>
            <w:rFonts w:ascii="Arial" w:hAnsi="Arial" w:cs="Arial"/>
            <w:sz w:val="24"/>
            <w:szCs w:val="24"/>
          </w:rPr>
          <w:t>https://www.instituteofhealthequity.org/resources-reports/building-a-fairer-gwent-improving-health-equity-and-the-social-determinants/main-report.pdf</w:t>
        </w:r>
      </w:hyperlink>
      <w:r>
        <w:rPr>
          <w:rFonts w:ascii="Arial" w:hAnsi="Arial" w:cs="Arial"/>
          <w:sz w:val="24"/>
          <w:szCs w:val="24"/>
        </w:rPr>
        <w:t xml:space="preserve"> </w:t>
      </w:r>
      <w:r w:rsidRPr="000E0DD9">
        <w:rPr>
          <w:rFonts w:ascii="Arial" w:hAnsi="Arial" w:cs="Arial"/>
          <w:sz w:val="24"/>
          <w:szCs w:val="24"/>
        </w:rPr>
        <w:t xml:space="preserve"> (Accessed: 2</w:t>
      </w:r>
      <w:r>
        <w:rPr>
          <w:rFonts w:ascii="Arial" w:hAnsi="Arial" w:cs="Arial"/>
          <w:sz w:val="24"/>
          <w:szCs w:val="24"/>
        </w:rPr>
        <w:t>5</w:t>
      </w:r>
      <w:r w:rsidRPr="000E0DD9">
        <w:rPr>
          <w:rFonts w:ascii="Arial" w:hAnsi="Arial" w:cs="Arial"/>
          <w:sz w:val="24"/>
          <w:szCs w:val="24"/>
        </w:rPr>
        <w:t xml:space="preserve"> November 2025).</w:t>
      </w:r>
    </w:p>
    <w:p w14:paraId="715D04D8"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Maslow, A.H. (1943) ‘A Theory of Human Motivation’, </w:t>
      </w:r>
      <w:r w:rsidRPr="000E0DD9">
        <w:rPr>
          <w:rFonts w:ascii="Arial" w:hAnsi="Arial" w:cs="Arial"/>
          <w:i/>
          <w:iCs/>
          <w:sz w:val="24"/>
          <w:szCs w:val="24"/>
        </w:rPr>
        <w:t>Psychological Review</w:t>
      </w:r>
      <w:r w:rsidRPr="000E0DD9">
        <w:rPr>
          <w:rFonts w:ascii="Arial" w:hAnsi="Arial" w:cs="Arial"/>
          <w:sz w:val="24"/>
          <w:szCs w:val="24"/>
        </w:rPr>
        <w:t>, 50(4), pp. 370–396.</w:t>
      </w:r>
    </w:p>
    <w:p w14:paraId="188FBE25"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Neher, A. (1991) ‘Maslow’s Theory of Motivation: A Critique’, </w:t>
      </w:r>
      <w:r w:rsidRPr="000E0DD9">
        <w:rPr>
          <w:rFonts w:ascii="Arial" w:hAnsi="Arial" w:cs="Arial"/>
          <w:i/>
          <w:iCs/>
          <w:sz w:val="24"/>
          <w:szCs w:val="24"/>
        </w:rPr>
        <w:t>Journal of Humanistic Psychology</w:t>
      </w:r>
      <w:r w:rsidRPr="000E0DD9">
        <w:rPr>
          <w:rFonts w:ascii="Arial" w:hAnsi="Arial" w:cs="Arial"/>
          <w:sz w:val="24"/>
          <w:szCs w:val="24"/>
        </w:rPr>
        <w:t>, 31(3), pp. 89–112.</w:t>
      </w:r>
    </w:p>
    <w:p w14:paraId="5D7E45AA"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Powell, B., Cooper, G., Hoffman, K. and Marvin, B. (2013) </w:t>
      </w:r>
      <w:r w:rsidRPr="000E0DD9">
        <w:rPr>
          <w:rFonts w:ascii="Arial" w:hAnsi="Arial" w:cs="Arial"/>
          <w:i/>
          <w:iCs/>
          <w:sz w:val="24"/>
          <w:szCs w:val="24"/>
        </w:rPr>
        <w:t>The Circle of Security Intervention: Enhancing Attachment in Early Parent-Child Relationships</w:t>
      </w:r>
      <w:r w:rsidRPr="000E0DD9">
        <w:rPr>
          <w:rFonts w:ascii="Arial" w:hAnsi="Arial" w:cs="Arial"/>
          <w:sz w:val="24"/>
          <w:szCs w:val="24"/>
        </w:rPr>
        <w:t>. New York: Guilford Press.</w:t>
      </w:r>
    </w:p>
    <w:p w14:paraId="50437BC0"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Rothbaum, F., Weisz, J., Pott, M., Miyake, K. and Morelli, G. (2000) ‘Attachment and Culture: Security in the United States and Japan’, </w:t>
      </w:r>
      <w:r w:rsidRPr="000E0DD9">
        <w:rPr>
          <w:rFonts w:ascii="Arial" w:hAnsi="Arial" w:cs="Arial"/>
          <w:i/>
          <w:iCs/>
          <w:sz w:val="24"/>
          <w:szCs w:val="24"/>
        </w:rPr>
        <w:t>American Psychologist</w:t>
      </w:r>
      <w:r w:rsidRPr="000E0DD9">
        <w:rPr>
          <w:rFonts w:ascii="Arial" w:hAnsi="Arial" w:cs="Arial"/>
          <w:sz w:val="24"/>
          <w:szCs w:val="24"/>
        </w:rPr>
        <w:t>, 55(10), pp. 1093–1104.</w:t>
      </w:r>
    </w:p>
    <w:p w14:paraId="47EF4B4B"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Rutter, M. (1995) ‘Clinical Implications of Attachment Concepts: Retrospect and Prospect’, </w:t>
      </w:r>
      <w:r w:rsidRPr="000E0DD9">
        <w:rPr>
          <w:rFonts w:ascii="Arial" w:hAnsi="Arial" w:cs="Arial"/>
          <w:i/>
          <w:iCs/>
          <w:sz w:val="24"/>
          <w:szCs w:val="24"/>
        </w:rPr>
        <w:t>Journal of Child Psychology and Psychiatry</w:t>
      </w:r>
      <w:r w:rsidRPr="000E0DD9">
        <w:rPr>
          <w:rFonts w:ascii="Arial" w:hAnsi="Arial" w:cs="Arial"/>
          <w:sz w:val="24"/>
          <w:szCs w:val="24"/>
        </w:rPr>
        <w:t>, 36(4), pp. 549–571.</w:t>
      </w:r>
    </w:p>
    <w:p w14:paraId="42284E38" w14:textId="77777777" w:rsidR="000E0DD9" w:rsidRPr="000E0DD9" w:rsidRDefault="000E0DD9" w:rsidP="000E0DD9">
      <w:pPr>
        <w:spacing w:line="360" w:lineRule="auto"/>
        <w:rPr>
          <w:rFonts w:ascii="Arial" w:hAnsi="Arial" w:cs="Arial"/>
          <w:sz w:val="24"/>
          <w:szCs w:val="24"/>
        </w:rPr>
      </w:pPr>
      <w:r w:rsidRPr="000E0DD9">
        <w:rPr>
          <w:rFonts w:ascii="Arial" w:hAnsi="Arial" w:cs="Arial"/>
          <w:sz w:val="24"/>
          <w:szCs w:val="24"/>
        </w:rPr>
        <w:t xml:space="preserve">Tudge, J., </w:t>
      </w:r>
      <w:proofErr w:type="spellStart"/>
      <w:r w:rsidRPr="000E0DD9">
        <w:rPr>
          <w:rFonts w:ascii="Arial" w:hAnsi="Arial" w:cs="Arial"/>
          <w:sz w:val="24"/>
          <w:szCs w:val="24"/>
        </w:rPr>
        <w:t>Mokrova</w:t>
      </w:r>
      <w:proofErr w:type="spellEnd"/>
      <w:r w:rsidRPr="000E0DD9">
        <w:rPr>
          <w:rFonts w:ascii="Arial" w:hAnsi="Arial" w:cs="Arial"/>
          <w:sz w:val="24"/>
          <w:szCs w:val="24"/>
        </w:rPr>
        <w:t xml:space="preserve">, I., Hatfield, B. and Karnik, R. (2009) ‘Uses and Misuses of Bronfenbrenner’s Bioecological Theory of Human Development’, </w:t>
      </w:r>
      <w:r w:rsidRPr="000E0DD9">
        <w:rPr>
          <w:rFonts w:ascii="Arial" w:hAnsi="Arial" w:cs="Arial"/>
          <w:i/>
          <w:iCs/>
          <w:sz w:val="24"/>
          <w:szCs w:val="24"/>
        </w:rPr>
        <w:t>Journal of Family Theory &amp; Review</w:t>
      </w:r>
      <w:r w:rsidRPr="000E0DD9">
        <w:rPr>
          <w:rFonts w:ascii="Arial" w:hAnsi="Arial" w:cs="Arial"/>
          <w:sz w:val="24"/>
          <w:szCs w:val="24"/>
        </w:rPr>
        <w:t>, 1(4), pp. 198–210.</w:t>
      </w:r>
    </w:p>
    <w:p w14:paraId="1547649E" w14:textId="415C5FEC" w:rsidR="00965544" w:rsidRPr="00033084" w:rsidRDefault="00965544" w:rsidP="000E0DD9">
      <w:pPr>
        <w:spacing w:line="360" w:lineRule="auto"/>
        <w:rPr>
          <w:rFonts w:ascii="Arial" w:hAnsi="Arial" w:cs="Arial"/>
          <w:sz w:val="24"/>
          <w:szCs w:val="24"/>
        </w:rPr>
      </w:pPr>
    </w:p>
    <w:sectPr w:rsidR="00965544" w:rsidRPr="0003308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A42F8" w14:textId="77777777" w:rsidR="00BA217C" w:rsidRDefault="00BA217C" w:rsidP="000E0DD9">
      <w:pPr>
        <w:spacing w:after="0" w:line="240" w:lineRule="auto"/>
      </w:pPr>
      <w:r>
        <w:separator/>
      </w:r>
    </w:p>
  </w:endnote>
  <w:endnote w:type="continuationSeparator" w:id="0">
    <w:p w14:paraId="4953CBA4" w14:textId="77777777" w:rsidR="00BA217C" w:rsidRDefault="00BA217C" w:rsidP="000E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E0F12" w14:textId="77777777" w:rsidR="00BA217C" w:rsidRDefault="00BA217C" w:rsidP="000E0DD9">
      <w:pPr>
        <w:spacing w:after="0" w:line="240" w:lineRule="auto"/>
      </w:pPr>
      <w:r>
        <w:separator/>
      </w:r>
    </w:p>
  </w:footnote>
  <w:footnote w:type="continuationSeparator" w:id="0">
    <w:p w14:paraId="4C9EA7ED" w14:textId="77777777" w:rsidR="00BA217C" w:rsidRDefault="00BA217C" w:rsidP="000E0D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6BAEF" w14:textId="313BE007" w:rsidR="000E0DD9" w:rsidRPr="004973B1" w:rsidRDefault="000E0DD9" w:rsidP="000E0DD9">
    <w:pPr>
      <w:pStyle w:val="Header"/>
      <w:rPr>
        <w:rFonts w:ascii="Arial" w:hAnsi="Arial" w:cs="Arial"/>
        <w:sz w:val="24"/>
        <w:szCs w:val="24"/>
      </w:rPr>
    </w:pPr>
    <w:r w:rsidRPr="004973B1">
      <w:rPr>
        <w:rFonts w:ascii="Arial" w:hAnsi="Arial" w:cs="Arial"/>
        <w:sz w:val="24"/>
        <w:szCs w:val="24"/>
      </w:rPr>
      <w:t xml:space="preserve">Module - ECEY4001  </w:t>
    </w:r>
    <w:r>
      <w:rPr>
        <w:rFonts w:ascii="Arial" w:hAnsi="Arial" w:cs="Arial"/>
        <w:sz w:val="24"/>
        <w:szCs w:val="24"/>
      </w:rPr>
      <w:t xml:space="preserve">           </w:t>
    </w:r>
    <w:r w:rsidRPr="004973B1">
      <w:rPr>
        <w:rFonts w:ascii="Arial" w:hAnsi="Arial" w:cs="Arial"/>
        <w:sz w:val="24"/>
        <w:szCs w:val="24"/>
      </w:rPr>
      <w:t xml:space="preserve">Student Number – 2508338      </w:t>
    </w:r>
    <w:r>
      <w:rPr>
        <w:rFonts w:ascii="Arial" w:hAnsi="Arial" w:cs="Arial"/>
        <w:sz w:val="24"/>
        <w:szCs w:val="24"/>
      </w:rPr>
      <w:t xml:space="preserve">      </w:t>
    </w:r>
    <w:r w:rsidRPr="004973B1">
      <w:rPr>
        <w:rFonts w:ascii="Arial" w:hAnsi="Arial" w:cs="Arial"/>
        <w:sz w:val="24"/>
        <w:szCs w:val="24"/>
      </w:rPr>
      <w:t xml:space="preserve"> Word Count </w:t>
    </w:r>
    <w:r>
      <w:rPr>
        <w:rFonts w:ascii="Arial" w:hAnsi="Arial" w:cs="Arial"/>
        <w:sz w:val="24"/>
        <w:szCs w:val="24"/>
      </w:rPr>
      <w:t>10</w:t>
    </w:r>
    <w:r>
      <w:rPr>
        <w:rFonts w:ascii="Arial" w:hAnsi="Arial" w:cs="Arial"/>
        <w:sz w:val="24"/>
        <w:szCs w:val="24"/>
      </w:rPr>
      <w:t>95</w:t>
    </w:r>
  </w:p>
  <w:p w14:paraId="3070E597" w14:textId="77777777" w:rsidR="000E0DD9" w:rsidRDefault="000E0D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27450"/>
    <w:multiLevelType w:val="multilevel"/>
    <w:tmpl w:val="D3F4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BA57B1"/>
    <w:multiLevelType w:val="multilevel"/>
    <w:tmpl w:val="D97E3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525D18"/>
    <w:multiLevelType w:val="multilevel"/>
    <w:tmpl w:val="3AF67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7B685D"/>
    <w:multiLevelType w:val="multilevel"/>
    <w:tmpl w:val="EBD4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281340">
    <w:abstractNumId w:val="0"/>
  </w:num>
  <w:num w:numId="2" w16cid:durableId="1324091300">
    <w:abstractNumId w:val="1"/>
  </w:num>
  <w:num w:numId="3" w16cid:durableId="345405509">
    <w:abstractNumId w:val="2"/>
  </w:num>
  <w:num w:numId="4" w16cid:durableId="997612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0BC"/>
    <w:rsid w:val="00033084"/>
    <w:rsid w:val="00076C85"/>
    <w:rsid w:val="000E0DD9"/>
    <w:rsid w:val="00244360"/>
    <w:rsid w:val="00345D5E"/>
    <w:rsid w:val="00431995"/>
    <w:rsid w:val="00585C9C"/>
    <w:rsid w:val="00965544"/>
    <w:rsid w:val="00A120BC"/>
    <w:rsid w:val="00A9165A"/>
    <w:rsid w:val="00B17A88"/>
    <w:rsid w:val="00BA217C"/>
    <w:rsid w:val="00E35C7C"/>
    <w:rsid w:val="00F9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9E953"/>
  <w15:chartTrackingRefBased/>
  <w15:docId w15:val="{92541D66-9F18-4F48-A360-29A559728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0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120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20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20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20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20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0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0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0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0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120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20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20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20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20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0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0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0BC"/>
    <w:rPr>
      <w:rFonts w:eastAsiaTheme="majorEastAsia" w:cstheme="majorBidi"/>
      <w:color w:val="272727" w:themeColor="text1" w:themeTint="D8"/>
    </w:rPr>
  </w:style>
  <w:style w:type="paragraph" w:styleId="Title">
    <w:name w:val="Title"/>
    <w:basedOn w:val="Normal"/>
    <w:next w:val="Normal"/>
    <w:link w:val="TitleChar"/>
    <w:uiPriority w:val="10"/>
    <w:qFormat/>
    <w:rsid w:val="00A120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0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0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0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0BC"/>
    <w:pPr>
      <w:spacing w:before="160"/>
      <w:jc w:val="center"/>
    </w:pPr>
    <w:rPr>
      <w:i/>
      <w:iCs/>
      <w:color w:val="404040" w:themeColor="text1" w:themeTint="BF"/>
    </w:rPr>
  </w:style>
  <w:style w:type="character" w:customStyle="1" w:styleId="QuoteChar">
    <w:name w:val="Quote Char"/>
    <w:basedOn w:val="DefaultParagraphFont"/>
    <w:link w:val="Quote"/>
    <w:uiPriority w:val="29"/>
    <w:rsid w:val="00A120BC"/>
    <w:rPr>
      <w:i/>
      <w:iCs/>
      <w:color w:val="404040" w:themeColor="text1" w:themeTint="BF"/>
    </w:rPr>
  </w:style>
  <w:style w:type="paragraph" w:styleId="ListParagraph">
    <w:name w:val="List Paragraph"/>
    <w:basedOn w:val="Normal"/>
    <w:uiPriority w:val="34"/>
    <w:qFormat/>
    <w:rsid w:val="00A120BC"/>
    <w:pPr>
      <w:ind w:left="720"/>
      <w:contextualSpacing/>
    </w:pPr>
  </w:style>
  <w:style w:type="character" w:styleId="IntenseEmphasis">
    <w:name w:val="Intense Emphasis"/>
    <w:basedOn w:val="DefaultParagraphFont"/>
    <w:uiPriority w:val="21"/>
    <w:qFormat/>
    <w:rsid w:val="00A120BC"/>
    <w:rPr>
      <w:i/>
      <w:iCs/>
      <w:color w:val="2F5496" w:themeColor="accent1" w:themeShade="BF"/>
    </w:rPr>
  </w:style>
  <w:style w:type="paragraph" w:styleId="IntenseQuote">
    <w:name w:val="Intense Quote"/>
    <w:basedOn w:val="Normal"/>
    <w:next w:val="Normal"/>
    <w:link w:val="IntenseQuoteChar"/>
    <w:uiPriority w:val="30"/>
    <w:qFormat/>
    <w:rsid w:val="00A120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20BC"/>
    <w:rPr>
      <w:i/>
      <w:iCs/>
      <w:color w:val="2F5496" w:themeColor="accent1" w:themeShade="BF"/>
    </w:rPr>
  </w:style>
  <w:style w:type="character" w:styleId="IntenseReference">
    <w:name w:val="Intense Reference"/>
    <w:basedOn w:val="DefaultParagraphFont"/>
    <w:uiPriority w:val="32"/>
    <w:qFormat/>
    <w:rsid w:val="00A120BC"/>
    <w:rPr>
      <w:b/>
      <w:bCs/>
      <w:smallCaps/>
      <w:color w:val="2F5496" w:themeColor="accent1" w:themeShade="BF"/>
      <w:spacing w:val="5"/>
    </w:rPr>
  </w:style>
  <w:style w:type="character" w:styleId="Hyperlink">
    <w:name w:val="Hyperlink"/>
    <w:basedOn w:val="DefaultParagraphFont"/>
    <w:uiPriority w:val="99"/>
    <w:unhideWhenUsed/>
    <w:rsid w:val="00076C85"/>
    <w:rPr>
      <w:color w:val="0563C1" w:themeColor="hyperlink"/>
      <w:u w:val="single"/>
    </w:rPr>
  </w:style>
  <w:style w:type="character" w:styleId="UnresolvedMention">
    <w:name w:val="Unresolved Mention"/>
    <w:basedOn w:val="DefaultParagraphFont"/>
    <w:uiPriority w:val="99"/>
    <w:semiHidden/>
    <w:unhideWhenUsed/>
    <w:rsid w:val="00076C85"/>
    <w:rPr>
      <w:color w:val="605E5C"/>
      <w:shd w:val="clear" w:color="auto" w:fill="E1DFDD"/>
    </w:rPr>
  </w:style>
  <w:style w:type="paragraph" w:styleId="Header">
    <w:name w:val="header"/>
    <w:basedOn w:val="Normal"/>
    <w:link w:val="HeaderChar"/>
    <w:uiPriority w:val="99"/>
    <w:unhideWhenUsed/>
    <w:rsid w:val="000E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DD9"/>
  </w:style>
  <w:style w:type="paragraph" w:styleId="Footer">
    <w:name w:val="footer"/>
    <w:basedOn w:val="Normal"/>
    <w:link w:val="FooterChar"/>
    <w:uiPriority w:val="99"/>
    <w:unhideWhenUsed/>
    <w:rsid w:val="000E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DD9"/>
  </w:style>
  <w:style w:type="character" w:customStyle="1" w:styleId="normaltextrun">
    <w:name w:val="normaltextrun"/>
    <w:basedOn w:val="DefaultParagraphFont"/>
    <w:rsid w:val="00244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tv/john-dewey-pioneering-theories-on-early-years-education" TargetMode="External"/><Relationship Id="rId13" Type="http://schemas.openxmlformats.org/officeDocument/2006/relationships/hyperlink" Target="https://www.gov.wales/sites/default/files/publications/2024-07/childcare-play-early-years-workforce-plan-review-refresh.pdf" TargetMode="External"/><Relationship Id="rId3" Type="http://schemas.openxmlformats.org/officeDocument/2006/relationships/settings" Target="settings.xml"/><Relationship Id="rId7" Type="http://schemas.openxmlformats.org/officeDocument/2006/relationships/hyperlink" Target="https://assets.publishing.service.gov.uk/media/65aa5e42ed27ca001327b2c7/EYFS_statutory_framework_for_group_and_school_based_providers.pdf" TargetMode="External"/><Relationship Id="rId12" Type="http://schemas.openxmlformats.org/officeDocument/2006/relationships/hyperlink" Target="https://gov.wales/flying-star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wb.gov.wales/curriculum-for-wales/curriculum-for-funded-non-maintained-nursery-settings/" TargetMode="External"/><Relationship Id="rId4" Type="http://schemas.openxmlformats.org/officeDocument/2006/relationships/webSettings" Target="webSettings.xml"/><Relationship Id="rId9" Type="http://schemas.openxmlformats.org/officeDocument/2006/relationships/hyperlink" Target="https://www.innovativeearlylearning.com.au/blog/20/john-deweys-theory-and-why-we-love-it" TargetMode="External"/><Relationship Id="rId14" Type="http://schemas.openxmlformats.org/officeDocument/2006/relationships/hyperlink" Target="https://www.instituteofhealthequity.org/resources-reports/building-a-fairer-gwent-improving-health-equity-and-the-social-determinants/main-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3287</Words>
  <Characters>17950</Characters>
  <Application>Microsoft Office Word</Application>
  <DocSecurity>0</DocSecurity>
  <Lines>1495</Lines>
  <Paragraphs>758</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20479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Laura</dc:creator>
  <cp:keywords/>
  <dc:description/>
  <cp:lastModifiedBy>James, Laura</cp:lastModifiedBy>
  <cp:revision>3</cp:revision>
  <dcterms:created xsi:type="dcterms:W3CDTF">2025-11-29T09:05:00Z</dcterms:created>
  <dcterms:modified xsi:type="dcterms:W3CDTF">2025-11-29T09:55:00Z</dcterms:modified>
</cp:coreProperties>
</file>