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7AC15A" w14:textId="775040B4" w:rsidR="00F257CB" w:rsidRPr="00F936D7" w:rsidRDefault="00997452" w:rsidP="00F936D7">
      <w:pPr>
        <w:pStyle w:val="NoSpacing"/>
        <w:jc w:val="center"/>
        <w:rPr>
          <w:b/>
          <w:sz w:val="28"/>
          <w:szCs w:val="24"/>
          <w:u w:val="single"/>
          <w:lang w:eastAsia="en-GB"/>
        </w:rPr>
      </w:pPr>
      <w:r>
        <w:rPr>
          <w:b/>
          <w:sz w:val="28"/>
          <w:szCs w:val="24"/>
          <w:u w:val="single"/>
          <w:lang w:eastAsia="en-GB"/>
        </w:rPr>
        <w:t>Using</w:t>
      </w:r>
      <w:r w:rsidRPr="00997452">
        <w:rPr>
          <w:b/>
          <w:sz w:val="28"/>
          <w:szCs w:val="24"/>
          <w:u w:val="single"/>
          <w:lang w:eastAsia="en-GB"/>
        </w:rPr>
        <w:t xml:space="preserve"> Childe’s characteristics of complex societies, discuss </w:t>
      </w:r>
      <w:r>
        <w:rPr>
          <w:b/>
          <w:sz w:val="28"/>
          <w:szCs w:val="24"/>
          <w:u w:val="single"/>
          <w:lang w:eastAsia="en-GB"/>
        </w:rPr>
        <w:t xml:space="preserve">whether they are relevant when applied to the </w:t>
      </w:r>
      <w:r w:rsidR="00EF5306" w:rsidRPr="00F936D7">
        <w:rPr>
          <w:b/>
          <w:sz w:val="28"/>
          <w:szCs w:val="24"/>
          <w:u w:val="single"/>
          <w:lang w:eastAsia="en-GB"/>
        </w:rPr>
        <w:t>Persian Empire</w:t>
      </w:r>
      <w:r>
        <w:rPr>
          <w:b/>
          <w:sz w:val="28"/>
          <w:szCs w:val="24"/>
          <w:u w:val="single"/>
          <w:lang w:eastAsia="en-GB"/>
        </w:rPr>
        <w:t>?</w:t>
      </w:r>
    </w:p>
    <w:p w14:paraId="69F98FA3" w14:textId="77777777" w:rsidR="00F936D7" w:rsidRDefault="00F936D7" w:rsidP="00EF5306">
      <w:pPr>
        <w:pStyle w:val="NoSpacing"/>
        <w:rPr>
          <w:sz w:val="24"/>
          <w:szCs w:val="24"/>
          <w:lang w:eastAsia="en-GB"/>
        </w:rPr>
      </w:pPr>
    </w:p>
    <w:p w14:paraId="183BC20A" w14:textId="0A645021" w:rsidR="000E270F" w:rsidRPr="001C22E8" w:rsidRDefault="00397998" w:rsidP="001C22E8">
      <w:pPr>
        <w:pStyle w:val="NoSpacing"/>
        <w:rPr>
          <w:sz w:val="24"/>
          <w:szCs w:val="24"/>
          <w:lang w:eastAsia="en-GB"/>
        </w:rPr>
      </w:pPr>
      <w:r>
        <w:rPr>
          <w:sz w:val="24"/>
          <w:szCs w:val="24"/>
          <w:lang w:eastAsia="en-GB"/>
        </w:rPr>
        <w:t xml:space="preserve">Since the birth of modern Archaeology in the Victorian era, academics and scholars have tried to </w:t>
      </w:r>
      <w:r w:rsidR="003D178E">
        <w:rPr>
          <w:sz w:val="24"/>
          <w:szCs w:val="24"/>
          <w:lang w:eastAsia="en-GB"/>
        </w:rPr>
        <w:t xml:space="preserve">define what the characteristics of a “civilisation” was so that they could easily </w:t>
      </w:r>
      <w:r w:rsidR="00997452">
        <w:rPr>
          <w:sz w:val="24"/>
          <w:szCs w:val="24"/>
          <w:lang w:eastAsia="en-GB"/>
        </w:rPr>
        <w:t xml:space="preserve">define </w:t>
      </w:r>
      <w:r w:rsidR="00F15467">
        <w:rPr>
          <w:sz w:val="24"/>
          <w:szCs w:val="24"/>
          <w:lang w:eastAsia="en-GB"/>
        </w:rPr>
        <w:t>this</w:t>
      </w:r>
      <w:r w:rsidR="00F909C6">
        <w:rPr>
          <w:sz w:val="24"/>
          <w:szCs w:val="24"/>
          <w:lang w:eastAsia="en-GB"/>
        </w:rPr>
        <w:t xml:space="preserve"> and</w:t>
      </w:r>
      <w:r w:rsidR="00997452">
        <w:rPr>
          <w:sz w:val="24"/>
          <w:szCs w:val="24"/>
          <w:lang w:eastAsia="en-GB"/>
        </w:rPr>
        <w:t xml:space="preserve"> say </w:t>
      </w:r>
      <w:r w:rsidR="00F15467">
        <w:rPr>
          <w:sz w:val="24"/>
          <w:szCs w:val="24"/>
          <w:lang w:eastAsia="en-GB"/>
        </w:rPr>
        <w:t xml:space="preserve">whether </w:t>
      </w:r>
      <w:r w:rsidR="00997452">
        <w:rPr>
          <w:sz w:val="24"/>
          <w:szCs w:val="24"/>
          <w:lang w:eastAsia="en-GB"/>
        </w:rPr>
        <w:t xml:space="preserve">what they were excavating </w:t>
      </w:r>
      <w:r w:rsidR="00F909C6">
        <w:rPr>
          <w:sz w:val="24"/>
          <w:szCs w:val="24"/>
          <w:lang w:eastAsia="en-GB"/>
        </w:rPr>
        <w:t xml:space="preserve">could be classed as one. </w:t>
      </w:r>
      <w:r w:rsidR="003D178E">
        <w:rPr>
          <w:sz w:val="24"/>
          <w:szCs w:val="24"/>
          <w:lang w:eastAsia="en-GB"/>
        </w:rPr>
        <w:t>I</w:t>
      </w:r>
      <w:r>
        <w:rPr>
          <w:sz w:val="24"/>
          <w:szCs w:val="24"/>
          <w:lang w:eastAsia="en-GB"/>
        </w:rPr>
        <w:t xml:space="preserve">n </w:t>
      </w:r>
      <w:r w:rsidR="000E270F">
        <w:rPr>
          <w:sz w:val="24"/>
          <w:szCs w:val="24"/>
          <w:lang w:eastAsia="en-GB"/>
        </w:rPr>
        <w:t xml:space="preserve">the </w:t>
      </w:r>
      <w:r w:rsidR="00BF38B9">
        <w:rPr>
          <w:sz w:val="24"/>
          <w:szCs w:val="24"/>
          <w:lang w:eastAsia="en-GB"/>
        </w:rPr>
        <w:t xml:space="preserve">1950s, </w:t>
      </w:r>
      <w:r w:rsidR="000E270F">
        <w:rPr>
          <w:sz w:val="24"/>
          <w:szCs w:val="24"/>
          <w:lang w:eastAsia="en-GB"/>
        </w:rPr>
        <w:t>Gordon Child</w:t>
      </w:r>
      <w:r w:rsidR="003D178E">
        <w:rPr>
          <w:sz w:val="24"/>
          <w:szCs w:val="24"/>
          <w:lang w:eastAsia="en-GB"/>
        </w:rPr>
        <w:t>e was an Australian archaeologist who had been working at Skara Brae and in the Near East</w:t>
      </w:r>
      <w:r w:rsidR="00907B88">
        <w:rPr>
          <w:sz w:val="24"/>
          <w:szCs w:val="24"/>
          <w:lang w:eastAsia="en-GB"/>
        </w:rPr>
        <w:t xml:space="preserve"> (Green S, </w:t>
      </w:r>
      <w:r w:rsidR="003A55B6">
        <w:rPr>
          <w:sz w:val="24"/>
          <w:szCs w:val="24"/>
          <w:lang w:eastAsia="en-GB"/>
        </w:rPr>
        <w:t>1981</w:t>
      </w:r>
      <w:r w:rsidR="00907B88">
        <w:rPr>
          <w:sz w:val="24"/>
          <w:szCs w:val="24"/>
          <w:lang w:eastAsia="en-GB"/>
        </w:rPr>
        <w:t>)</w:t>
      </w:r>
      <w:r w:rsidR="003D178E">
        <w:rPr>
          <w:sz w:val="24"/>
          <w:szCs w:val="24"/>
          <w:lang w:eastAsia="en-GB"/>
        </w:rPr>
        <w:t xml:space="preserve">. </w:t>
      </w:r>
      <w:r w:rsidR="00F909C6">
        <w:rPr>
          <w:sz w:val="24"/>
          <w:szCs w:val="24"/>
          <w:lang w:eastAsia="en-GB"/>
        </w:rPr>
        <w:t>A</w:t>
      </w:r>
      <w:r w:rsidR="003D178E">
        <w:rPr>
          <w:sz w:val="24"/>
          <w:szCs w:val="24"/>
          <w:lang w:eastAsia="en-GB"/>
        </w:rPr>
        <w:t>fter comparing the numerous sites and analysing the cultures, he came up with 10 characteristics</w:t>
      </w:r>
      <w:r w:rsidR="00F909C6">
        <w:rPr>
          <w:sz w:val="24"/>
          <w:szCs w:val="24"/>
          <w:lang w:eastAsia="en-GB"/>
        </w:rPr>
        <w:t xml:space="preserve"> that made an Ancient Civilisation</w:t>
      </w:r>
      <w:r w:rsidR="00997452">
        <w:rPr>
          <w:sz w:val="24"/>
          <w:szCs w:val="24"/>
          <w:lang w:eastAsia="en-GB"/>
        </w:rPr>
        <w:t>. In the 21</w:t>
      </w:r>
      <w:r w:rsidR="00997452" w:rsidRPr="00997452">
        <w:rPr>
          <w:sz w:val="24"/>
          <w:szCs w:val="24"/>
          <w:vertAlign w:val="superscript"/>
          <w:lang w:eastAsia="en-GB"/>
        </w:rPr>
        <w:t>st</w:t>
      </w:r>
      <w:r w:rsidR="00997452">
        <w:rPr>
          <w:sz w:val="24"/>
          <w:szCs w:val="24"/>
          <w:lang w:eastAsia="en-GB"/>
        </w:rPr>
        <w:t xml:space="preserve"> Century, we use Childe’s work as a rough guideline to see whether a peoples’ group from any time period should be defined as a civilisation</w:t>
      </w:r>
      <w:r w:rsidR="00FC65D8">
        <w:rPr>
          <w:sz w:val="24"/>
          <w:szCs w:val="24"/>
          <w:lang w:eastAsia="en-GB"/>
        </w:rPr>
        <w:t xml:space="preserve"> (Childe, 1950)</w:t>
      </w:r>
      <w:r w:rsidR="00997452">
        <w:rPr>
          <w:sz w:val="24"/>
          <w:szCs w:val="24"/>
          <w:lang w:eastAsia="en-GB"/>
        </w:rPr>
        <w:t>.</w:t>
      </w:r>
      <w:r w:rsidR="007546EF">
        <w:rPr>
          <w:sz w:val="24"/>
          <w:szCs w:val="24"/>
          <w:lang w:eastAsia="en-GB"/>
        </w:rPr>
        <w:t xml:space="preserve"> One of the civilisations that Childe looked at when creating his points was Persia, and it is very apparent that all ten characteristics are present in this culture.</w:t>
      </w:r>
      <w:r w:rsidR="00ED09A3">
        <w:rPr>
          <w:sz w:val="24"/>
          <w:szCs w:val="24"/>
          <w:lang w:eastAsia="en-GB"/>
        </w:rPr>
        <w:t xml:space="preserve"> </w:t>
      </w:r>
    </w:p>
    <w:p w14:paraId="329D4DF2" w14:textId="57C3F93B" w:rsidR="007546EF" w:rsidRDefault="007546EF" w:rsidP="00EF5306">
      <w:pPr>
        <w:pStyle w:val="NoSpacing"/>
        <w:rPr>
          <w:sz w:val="24"/>
          <w:szCs w:val="24"/>
          <w:lang w:eastAsia="en-GB"/>
        </w:rPr>
      </w:pPr>
    </w:p>
    <w:p w14:paraId="4C2F0585" w14:textId="08815DDC" w:rsidR="00060C3D" w:rsidRDefault="00F15467" w:rsidP="00EF5306">
      <w:pPr>
        <w:pStyle w:val="NoSpacing"/>
        <w:rPr>
          <w:sz w:val="24"/>
          <w:szCs w:val="24"/>
          <w:lang w:eastAsia="en-GB"/>
        </w:rPr>
      </w:pPr>
      <w:r>
        <w:rPr>
          <w:sz w:val="24"/>
          <w:szCs w:val="24"/>
          <w:lang w:eastAsia="en-GB"/>
        </w:rPr>
        <w:t>The first point that Childe</w:t>
      </w:r>
      <w:r w:rsidR="007546EF">
        <w:rPr>
          <w:sz w:val="24"/>
          <w:szCs w:val="24"/>
          <w:lang w:eastAsia="en-GB"/>
        </w:rPr>
        <w:t xml:space="preserve"> p</w:t>
      </w:r>
      <w:r>
        <w:rPr>
          <w:sz w:val="24"/>
          <w:szCs w:val="24"/>
          <w:lang w:eastAsia="en-GB"/>
        </w:rPr>
        <w:t>resents</w:t>
      </w:r>
      <w:r w:rsidR="007546EF">
        <w:rPr>
          <w:sz w:val="24"/>
          <w:szCs w:val="24"/>
          <w:lang w:eastAsia="en-GB"/>
        </w:rPr>
        <w:t xml:space="preserve"> is</w:t>
      </w:r>
      <w:r>
        <w:rPr>
          <w:sz w:val="24"/>
          <w:szCs w:val="24"/>
          <w:lang w:eastAsia="en-GB"/>
        </w:rPr>
        <w:t xml:space="preserve"> that a c</w:t>
      </w:r>
      <w:r w:rsidR="008A03DD">
        <w:rPr>
          <w:sz w:val="24"/>
          <w:szCs w:val="24"/>
          <w:lang w:eastAsia="en-GB"/>
        </w:rPr>
        <w:t xml:space="preserve">ivilisation must </w:t>
      </w:r>
      <w:r w:rsidR="009C6070">
        <w:rPr>
          <w:sz w:val="24"/>
          <w:szCs w:val="24"/>
          <w:lang w:eastAsia="en-GB"/>
        </w:rPr>
        <w:t>“</w:t>
      </w:r>
      <w:r w:rsidR="008A03DD">
        <w:rPr>
          <w:sz w:val="24"/>
          <w:szCs w:val="24"/>
          <w:lang w:eastAsia="en-GB"/>
        </w:rPr>
        <w:t>have large urban centres</w:t>
      </w:r>
      <w:r w:rsidR="009C6070">
        <w:rPr>
          <w:sz w:val="24"/>
          <w:szCs w:val="24"/>
          <w:lang w:eastAsia="en-GB"/>
        </w:rPr>
        <w:t>” (Trigger, 2003</w:t>
      </w:r>
      <w:r w:rsidR="00F40DBE">
        <w:rPr>
          <w:sz w:val="24"/>
          <w:szCs w:val="24"/>
          <w:lang w:eastAsia="en-GB"/>
        </w:rPr>
        <w:t>. P.43</w:t>
      </w:r>
      <w:r w:rsidR="009C6070">
        <w:rPr>
          <w:sz w:val="24"/>
          <w:szCs w:val="24"/>
          <w:lang w:eastAsia="en-GB"/>
        </w:rPr>
        <w:t>)</w:t>
      </w:r>
      <w:r w:rsidR="005A10F9">
        <w:rPr>
          <w:sz w:val="24"/>
          <w:szCs w:val="24"/>
          <w:lang w:eastAsia="en-GB"/>
        </w:rPr>
        <w:t>.</w:t>
      </w:r>
      <w:r w:rsidR="00E233CD" w:rsidRPr="00E233CD">
        <w:rPr>
          <w:sz w:val="24"/>
          <w:szCs w:val="24"/>
          <w:lang w:eastAsia="en-GB"/>
        </w:rPr>
        <w:t xml:space="preserve"> </w:t>
      </w:r>
      <w:r>
        <w:rPr>
          <w:sz w:val="24"/>
          <w:szCs w:val="24"/>
          <w:lang w:eastAsia="en-GB"/>
        </w:rPr>
        <w:t>When Childe</w:t>
      </w:r>
      <w:r w:rsidR="00E233CD">
        <w:rPr>
          <w:sz w:val="24"/>
          <w:szCs w:val="24"/>
          <w:lang w:eastAsia="en-GB"/>
        </w:rPr>
        <w:t xml:space="preserve"> was conc</w:t>
      </w:r>
      <w:r>
        <w:rPr>
          <w:sz w:val="24"/>
          <w:szCs w:val="24"/>
          <w:lang w:eastAsia="en-GB"/>
        </w:rPr>
        <w:t>eiving this theory, h</w:t>
      </w:r>
      <w:r w:rsidR="00E233CD">
        <w:rPr>
          <w:sz w:val="24"/>
          <w:szCs w:val="24"/>
          <w:lang w:eastAsia="en-GB"/>
        </w:rPr>
        <w:t>e already had evidence to show that a number of Ancient civilisations such as the Pol</w:t>
      </w:r>
      <w:r>
        <w:rPr>
          <w:sz w:val="24"/>
          <w:szCs w:val="24"/>
          <w:lang w:eastAsia="en-GB"/>
        </w:rPr>
        <w:t>e</w:t>
      </w:r>
      <w:r w:rsidR="00E233CD">
        <w:rPr>
          <w:sz w:val="24"/>
          <w:szCs w:val="24"/>
          <w:lang w:eastAsia="en-GB"/>
        </w:rPr>
        <w:t xml:space="preserve">is of Greece and Egypt were </w:t>
      </w:r>
      <w:r w:rsidR="00086FEB">
        <w:rPr>
          <w:sz w:val="24"/>
          <w:szCs w:val="24"/>
          <w:lang w:eastAsia="en-GB"/>
        </w:rPr>
        <w:t>centred</w:t>
      </w:r>
      <w:r w:rsidR="00E233CD">
        <w:rPr>
          <w:sz w:val="24"/>
          <w:szCs w:val="24"/>
          <w:lang w:eastAsia="en-GB"/>
        </w:rPr>
        <w:t xml:space="preserve"> or were based around a number of cities and large urban </w:t>
      </w:r>
      <w:r w:rsidR="00060C3D">
        <w:rPr>
          <w:sz w:val="24"/>
          <w:szCs w:val="24"/>
          <w:lang w:eastAsia="en-GB"/>
        </w:rPr>
        <w:t>centres</w:t>
      </w:r>
      <w:r w:rsidR="00536712">
        <w:rPr>
          <w:sz w:val="24"/>
          <w:szCs w:val="24"/>
          <w:lang w:eastAsia="en-GB"/>
        </w:rPr>
        <w:t xml:space="preserve"> (Childe, 1950).</w:t>
      </w:r>
      <w:r w:rsidR="00E233CD">
        <w:rPr>
          <w:sz w:val="24"/>
          <w:szCs w:val="24"/>
          <w:lang w:eastAsia="en-GB"/>
        </w:rPr>
        <w:t xml:space="preserve"> </w:t>
      </w:r>
      <w:r w:rsidR="00433800">
        <w:rPr>
          <w:sz w:val="24"/>
          <w:szCs w:val="24"/>
          <w:lang w:eastAsia="en-GB"/>
        </w:rPr>
        <w:t>Archaeological surveys of the area that once cove</w:t>
      </w:r>
      <w:r>
        <w:rPr>
          <w:sz w:val="24"/>
          <w:szCs w:val="24"/>
          <w:lang w:eastAsia="en-GB"/>
        </w:rPr>
        <w:t>red the Persian Empire and studie</w:t>
      </w:r>
      <w:r w:rsidR="00E048E4">
        <w:rPr>
          <w:sz w:val="24"/>
          <w:szCs w:val="24"/>
          <w:lang w:eastAsia="en-GB"/>
        </w:rPr>
        <w:t>s of</w:t>
      </w:r>
      <w:r w:rsidR="00433800">
        <w:rPr>
          <w:sz w:val="24"/>
          <w:szCs w:val="24"/>
          <w:lang w:eastAsia="en-GB"/>
        </w:rPr>
        <w:t xml:space="preserve"> the written tablets and cylinders</w:t>
      </w:r>
      <w:r w:rsidR="00E048E4">
        <w:rPr>
          <w:sz w:val="24"/>
          <w:szCs w:val="24"/>
          <w:lang w:eastAsia="en-GB"/>
        </w:rPr>
        <w:t xml:space="preserve"> from the period</w:t>
      </w:r>
      <w:r w:rsidR="00433800">
        <w:rPr>
          <w:sz w:val="24"/>
          <w:szCs w:val="24"/>
          <w:lang w:eastAsia="en-GB"/>
        </w:rPr>
        <w:t>, have given evidence to show that the Persians did live in large urban communities</w:t>
      </w:r>
      <w:r w:rsidR="00CA6A37">
        <w:rPr>
          <w:sz w:val="24"/>
          <w:szCs w:val="24"/>
          <w:lang w:eastAsia="en-GB"/>
        </w:rPr>
        <w:t xml:space="preserve"> (Matheson, 1979, p.24)</w:t>
      </w:r>
      <w:r w:rsidR="00433800">
        <w:rPr>
          <w:sz w:val="24"/>
          <w:szCs w:val="24"/>
          <w:lang w:eastAsia="en-GB"/>
        </w:rPr>
        <w:t>. When Darius I became the</w:t>
      </w:r>
      <w:r w:rsidR="00CF791C">
        <w:rPr>
          <w:sz w:val="24"/>
          <w:szCs w:val="24"/>
          <w:lang w:eastAsia="en-GB"/>
        </w:rPr>
        <w:t xml:space="preserve"> </w:t>
      </w:r>
      <w:r w:rsidR="00433800">
        <w:rPr>
          <w:sz w:val="24"/>
          <w:szCs w:val="24"/>
          <w:lang w:eastAsia="en-GB"/>
        </w:rPr>
        <w:t>ruler</w:t>
      </w:r>
      <w:r w:rsidR="00CF791C">
        <w:rPr>
          <w:sz w:val="24"/>
          <w:szCs w:val="24"/>
          <w:lang w:eastAsia="en-GB"/>
        </w:rPr>
        <w:t xml:space="preserve"> of the empire</w:t>
      </w:r>
      <w:r w:rsidR="00433800">
        <w:rPr>
          <w:sz w:val="24"/>
          <w:szCs w:val="24"/>
          <w:lang w:eastAsia="en-GB"/>
        </w:rPr>
        <w:t xml:space="preserve">, he put in motion the plans to build a new urban centre, </w:t>
      </w:r>
      <w:r w:rsidR="00433800" w:rsidRPr="00433800">
        <w:rPr>
          <w:sz w:val="24"/>
          <w:szCs w:val="24"/>
          <w:lang w:eastAsia="en-GB"/>
        </w:rPr>
        <w:t>Persepolis</w:t>
      </w:r>
      <w:r w:rsidR="00433800">
        <w:rPr>
          <w:sz w:val="24"/>
          <w:szCs w:val="24"/>
          <w:lang w:eastAsia="en-GB"/>
        </w:rPr>
        <w:t xml:space="preserve">, even though he </w:t>
      </w:r>
      <w:r w:rsidR="00CF791C">
        <w:rPr>
          <w:sz w:val="24"/>
          <w:szCs w:val="24"/>
          <w:lang w:eastAsia="en-GB"/>
        </w:rPr>
        <w:t>already had ruled over</w:t>
      </w:r>
      <w:r w:rsidR="00433800">
        <w:rPr>
          <w:sz w:val="24"/>
          <w:szCs w:val="24"/>
          <w:lang w:eastAsia="en-GB"/>
        </w:rPr>
        <w:t xml:space="preserve"> </w:t>
      </w:r>
      <w:r w:rsidR="00CF791C">
        <w:rPr>
          <w:sz w:val="24"/>
          <w:szCs w:val="24"/>
          <w:lang w:eastAsia="en-GB"/>
        </w:rPr>
        <w:t xml:space="preserve">many </w:t>
      </w:r>
      <w:r w:rsidR="00433800">
        <w:rPr>
          <w:sz w:val="24"/>
          <w:szCs w:val="24"/>
          <w:lang w:eastAsia="en-GB"/>
        </w:rPr>
        <w:t>of the most prestigious cities in the fertile crescent, such as Babylon</w:t>
      </w:r>
      <w:r w:rsidR="006C7BC5">
        <w:rPr>
          <w:sz w:val="24"/>
          <w:szCs w:val="24"/>
          <w:lang w:eastAsia="en-GB"/>
        </w:rPr>
        <w:t xml:space="preserve"> </w:t>
      </w:r>
      <w:r w:rsidR="00CF791C">
        <w:rPr>
          <w:sz w:val="24"/>
          <w:szCs w:val="24"/>
          <w:lang w:eastAsia="en-GB"/>
        </w:rPr>
        <w:t>that had been conquered by his Grandfather, Cyrus the great</w:t>
      </w:r>
      <w:r w:rsidR="000E0DAE">
        <w:rPr>
          <w:sz w:val="24"/>
          <w:szCs w:val="24"/>
          <w:lang w:eastAsia="en-GB"/>
        </w:rPr>
        <w:t xml:space="preserve"> </w:t>
      </w:r>
      <w:r w:rsidR="006C7BC5">
        <w:rPr>
          <w:sz w:val="24"/>
          <w:szCs w:val="24"/>
          <w:lang w:eastAsia="en-GB"/>
        </w:rPr>
        <w:t>(Matheson, 1979, p.24)</w:t>
      </w:r>
      <w:r w:rsidR="00433800">
        <w:rPr>
          <w:sz w:val="24"/>
          <w:szCs w:val="24"/>
          <w:lang w:eastAsia="en-GB"/>
        </w:rPr>
        <w:t>.</w:t>
      </w:r>
      <w:r w:rsidR="00CA6A37">
        <w:rPr>
          <w:sz w:val="24"/>
          <w:szCs w:val="24"/>
          <w:lang w:eastAsia="en-GB"/>
        </w:rPr>
        <w:t xml:space="preserve"> This presents Darius I as trying to leave his mark on the empire to show the people that the Persians were</w:t>
      </w:r>
      <w:r w:rsidR="00276EDC">
        <w:rPr>
          <w:sz w:val="24"/>
          <w:szCs w:val="24"/>
          <w:lang w:eastAsia="en-GB"/>
        </w:rPr>
        <w:t xml:space="preserve"> here</w:t>
      </w:r>
      <w:r w:rsidR="00CA6A37">
        <w:rPr>
          <w:sz w:val="24"/>
          <w:szCs w:val="24"/>
          <w:lang w:eastAsia="en-GB"/>
        </w:rPr>
        <w:t xml:space="preserve"> to stay. This </w:t>
      </w:r>
      <w:r w:rsidR="008E387E">
        <w:rPr>
          <w:sz w:val="24"/>
          <w:szCs w:val="24"/>
          <w:lang w:eastAsia="en-GB"/>
        </w:rPr>
        <w:t>desire for monumental architecture is another characteristic of an Ancient Civilisation presented by Childe (Trigger, 2003. P.43).</w:t>
      </w:r>
    </w:p>
    <w:p w14:paraId="7629A2D6" w14:textId="77777777" w:rsidR="007546EF" w:rsidRDefault="007546EF" w:rsidP="00EF5306">
      <w:pPr>
        <w:pStyle w:val="NoSpacing"/>
        <w:rPr>
          <w:sz w:val="24"/>
          <w:szCs w:val="24"/>
          <w:lang w:eastAsia="en-GB"/>
        </w:rPr>
      </w:pPr>
    </w:p>
    <w:p w14:paraId="43B033E2" w14:textId="4AC01723" w:rsidR="00BE33B2" w:rsidRDefault="007546EF" w:rsidP="00EF5306">
      <w:pPr>
        <w:pStyle w:val="NoSpacing"/>
        <w:rPr>
          <w:sz w:val="24"/>
          <w:szCs w:val="24"/>
          <w:lang w:eastAsia="en-GB"/>
        </w:rPr>
      </w:pPr>
      <w:r>
        <w:rPr>
          <w:sz w:val="24"/>
          <w:szCs w:val="24"/>
          <w:lang w:eastAsia="en-GB"/>
        </w:rPr>
        <w:t xml:space="preserve">Another of Childe’s points is </w:t>
      </w:r>
      <w:r w:rsidR="00F15467">
        <w:rPr>
          <w:sz w:val="24"/>
          <w:szCs w:val="24"/>
          <w:lang w:eastAsia="en-GB"/>
        </w:rPr>
        <w:t>that</w:t>
      </w:r>
      <w:r w:rsidR="009C6070">
        <w:rPr>
          <w:sz w:val="24"/>
          <w:szCs w:val="24"/>
          <w:lang w:eastAsia="en-GB"/>
        </w:rPr>
        <w:t xml:space="preserve"> a civilisation should have “a ruling class exempt from manual labour” (Trigger, 2003</w:t>
      </w:r>
      <w:r w:rsidR="00F40DBE">
        <w:rPr>
          <w:sz w:val="24"/>
          <w:szCs w:val="24"/>
          <w:lang w:eastAsia="en-GB"/>
        </w:rPr>
        <w:t>, p.43</w:t>
      </w:r>
      <w:r w:rsidR="009C6070">
        <w:rPr>
          <w:sz w:val="24"/>
          <w:szCs w:val="24"/>
          <w:lang w:eastAsia="en-GB"/>
        </w:rPr>
        <w:t>)</w:t>
      </w:r>
      <w:r w:rsidR="00F15467">
        <w:rPr>
          <w:sz w:val="24"/>
          <w:szCs w:val="24"/>
          <w:lang w:eastAsia="en-GB"/>
        </w:rPr>
        <w:t>. Childe</w:t>
      </w:r>
      <w:r w:rsidR="00091504">
        <w:rPr>
          <w:sz w:val="24"/>
          <w:szCs w:val="24"/>
          <w:lang w:eastAsia="en-GB"/>
        </w:rPr>
        <w:t xml:space="preserve"> </w:t>
      </w:r>
      <w:r w:rsidR="00060C3D">
        <w:rPr>
          <w:sz w:val="24"/>
          <w:szCs w:val="24"/>
          <w:lang w:eastAsia="en-GB"/>
        </w:rPr>
        <w:t xml:space="preserve">had lots of evidence from Egyptian and Greek scholarly sources to show that </w:t>
      </w:r>
      <w:r w:rsidR="00F15467">
        <w:rPr>
          <w:sz w:val="24"/>
          <w:szCs w:val="24"/>
          <w:lang w:eastAsia="en-GB"/>
        </w:rPr>
        <w:t>a</w:t>
      </w:r>
      <w:r w:rsidR="00091504">
        <w:rPr>
          <w:sz w:val="24"/>
          <w:szCs w:val="24"/>
          <w:lang w:eastAsia="en-GB"/>
        </w:rPr>
        <w:t xml:space="preserve">ncient civilisations </w:t>
      </w:r>
      <w:r w:rsidR="00FB4821">
        <w:rPr>
          <w:sz w:val="24"/>
          <w:szCs w:val="24"/>
          <w:lang w:eastAsia="en-GB"/>
        </w:rPr>
        <w:t>had an esta</w:t>
      </w:r>
      <w:r w:rsidR="00F15467">
        <w:rPr>
          <w:sz w:val="24"/>
          <w:szCs w:val="24"/>
          <w:lang w:eastAsia="en-GB"/>
        </w:rPr>
        <w:t>blished ruling class, either a k</w:t>
      </w:r>
      <w:r w:rsidR="00FB4821">
        <w:rPr>
          <w:sz w:val="24"/>
          <w:szCs w:val="24"/>
          <w:lang w:eastAsia="en-GB"/>
        </w:rPr>
        <w:t>ing or a pharaoh, based on a hereditary system</w:t>
      </w:r>
      <w:r w:rsidR="00276EDC">
        <w:rPr>
          <w:sz w:val="24"/>
          <w:szCs w:val="24"/>
          <w:lang w:eastAsia="en-GB"/>
        </w:rPr>
        <w:t xml:space="preserve"> (</w:t>
      </w:r>
      <w:r w:rsidR="00276EDC" w:rsidRPr="00331F71">
        <w:rPr>
          <w:rFonts w:eastAsia="Times New Roman" w:cstheme="minorHAnsi"/>
          <w:color w:val="333333"/>
          <w:sz w:val="24"/>
          <w:szCs w:val="24"/>
          <w:lang w:eastAsia="en-GB"/>
        </w:rPr>
        <w:t xml:space="preserve">Herodotus, </w:t>
      </w:r>
      <w:r w:rsidR="00276EDC">
        <w:rPr>
          <w:rFonts w:eastAsia="Times New Roman" w:cstheme="minorHAnsi"/>
          <w:color w:val="333333"/>
          <w:sz w:val="24"/>
          <w:szCs w:val="24"/>
          <w:lang w:eastAsia="en-GB"/>
        </w:rPr>
        <w:t>C</w:t>
      </w:r>
      <w:r w:rsidR="00276EDC" w:rsidRPr="00331F71">
        <w:rPr>
          <w:rFonts w:eastAsia="Times New Roman" w:cstheme="minorHAnsi"/>
          <w:color w:val="333333"/>
          <w:sz w:val="24"/>
          <w:szCs w:val="24"/>
          <w:lang w:eastAsia="en-GB"/>
        </w:rPr>
        <w:t>.484 BC</w:t>
      </w:r>
      <w:r w:rsidR="00276EDC">
        <w:rPr>
          <w:rFonts w:eastAsia="Times New Roman" w:cstheme="minorHAnsi"/>
          <w:color w:val="333333"/>
          <w:sz w:val="24"/>
          <w:szCs w:val="24"/>
          <w:lang w:eastAsia="en-GB"/>
        </w:rPr>
        <w:t>)</w:t>
      </w:r>
      <w:r w:rsidR="00FB4821">
        <w:rPr>
          <w:sz w:val="24"/>
          <w:szCs w:val="24"/>
          <w:lang w:eastAsia="en-GB"/>
        </w:rPr>
        <w:t xml:space="preserve">. Persia followed this system like </w:t>
      </w:r>
      <w:r w:rsidR="00F15467">
        <w:rPr>
          <w:sz w:val="24"/>
          <w:szCs w:val="24"/>
          <w:lang w:eastAsia="en-GB"/>
        </w:rPr>
        <w:t>the</w:t>
      </w:r>
      <w:r w:rsidR="00FB4821">
        <w:rPr>
          <w:sz w:val="24"/>
          <w:szCs w:val="24"/>
          <w:lang w:eastAsia="en-GB"/>
        </w:rPr>
        <w:t xml:space="preserve"> other great ancient civilisations and had a hereditary monarchical system</w:t>
      </w:r>
      <w:r w:rsidR="00325E3C">
        <w:rPr>
          <w:sz w:val="24"/>
          <w:szCs w:val="24"/>
          <w:lang w:eastAsia="en-GB"/>
        </w:rPr>
        <w:t xml:space="preserve"> (</w:t>
      </w:r>
      <w:r w:rsidR="00325E3C" w:rsidRPr="00433800">
        <w:rPr>
          <w:rFonts w:eastAsia="Times New Roman" w:cstheme="minorHAnsi"/>
          <w:color w:val="333333"/>
          <w:sz w:val="24"/>
          <w:szCs w:val="24"/>
          <w:lang w:eastAsia="en-GB"/>
        </w:rPr>
        <w:t>Allen</w:t>
      </w:r>
      <w:r w:rsidR="00325E3C">
        <w:rPr>
          <w:rFonts w:eastAsia="Times New Roman" w:cstheme="minorHAnsi"/>
          <w:color w:val="333333"/>
          <w:sz w:val="24"/>
          <w:szCs w:val="24"/>
          <w:lang w:eastAsia="en-GB"/>
        </w:rPr>
        <w:t xml:space="preserve"> </w:t>
      </w:r>
      <w:r w:rsidR="00325E3C" w:rsidRPr="00433800">
        <w:rPr>
          <w:rFonts w:eastAsia="Times New Roman" w:cstheme="minorHAnsi"/>
          <w:color w:val="333333"/>
          <w:sz w:val="24"/>
          <w:szCs w:val="24"/>
          <w:lang w:eastAsia="en-GB"/>
        </w:rPr>
        <w:t>L,</w:t>
      </w:r>
      <w:r w:rsidR="00325E3C">
        <w:rPr>
          <w:rFonts w:eastAsia="Times New Roman" w:cstheme="minorHAnsi"/>
          <w:color w:val="333333"/>
          <w:sz w:val="24"/>
          <w:szCs w:val="24"/>
          <w:lang w:eastAsia="en-GB"/>
        </w:rPr>
        <w:t xml:space="preserve"> </w:t>
      </w:r>
      <w:r w:rsidR="00325E3C" w:rsidRPr="00433800">
        <w:rPr>
          <w:rFonts w:eastAsia="Times New Roman" w:cstheme="minorHAnsi"/>
          <w:color w:val="333333"/>
          <w:sz w:val="24"/>
          <w:szCs w:val="24"/>
          <w:lang w:eastAsia="en-GB"/>
        </w:rPr>
        <w:t>2005</w:t>
      </w:r>
      <w:r w:rsidR="00325E3C">
        <w:rPr>
          <w:rFonts w:eastAsia="Times New Roman" w:cstheme="minorHAnsi"/>
          <w:color w:val="333333"/>
          <w:sz w:val="24"/>
          <w:szCs w:val="24"/>
          <w:lang w:eastAsia="en-GB"/>
        </w:rPr>
        <w:t>)</w:t>
      </w:r>
      <w:r w:rsidR="00FB4821">
        <w:rPr>
          <w:sz w:val="24"/>
          <w:szCs w:val="24"/>
          <w:lang w:eastAsia="en-GB"/>
        </w:rPr>
        <w:t xml:space="preserve">. </w:t>
      </w:r>
      <w:r w:rsidR="00276EDC">
        <w:rPr>
          <w:sz w:val="24"/>
          <w:szCs w:val="24"/>
          <w:lang w:eastAsia="en-GB"/>
        </w:rPr>
        <w:t xml:space="preserve"> </w:t>
      </w:r>
      <w:r>
        <w:rPr>
          <w:sz w:val="24"/>
          <w:szCs w:val="24"/>
          <w:lang w:eastAsia="en-GB"/>
        </w:rPr>
        <w:t>We know the extensive list of</w:t>
      </w:r>
      <w:r w:rsidR="00F15467">
        <w:rPr>
          <w:sz w:val="24"/>
          <w:szCs w:val="24"/>
          <w:lang w:eastAsia="en-GB"/>
        </w:rPr>
        <w:t xml:space="preserve"> k</w:t>
      </w:r>
      <w:r w:rsidR="00BE33B2">
        <w:rPr>
          <w:sz w:val="24"/>
          <w:szCs w:val="24"/>
          <w:lang w:eastAsia="en-GB"/>
        </w:rPr>
        <w:t xml:space="preserve">ings in </w:t>
      </w:r>
      <w:r>
        <w:rPr>
          <w:sz w:val="24"/>
          <w:szCs w:val="24"/>
          <w:lang w:eastAsia="en-GB"/>
        </w:rPr>
        <w:t>the Persian empire</w:t>
      </w:r>
      <w:r w:rsidR="00BE33B2">
        <w:rPr>
          <w:sz w:val="24"/>
          <w:szCs w:val="24"/>
          <w:lang w:eastAsia="en-GB"/>
        </w:rPr>
        <w:t>,</w:t>
      </w:r>
      <w:r>
        <w:rPr>
          <w:sz w:val="24"/>
          <w:szCs w:val="24"/>
          <w:lang w:eastAsia="en-GB"/>
        </w:rPr>
        <w:t xml:space="preserve"> due to the works of Greek historians such as </w:t>
      </w:r>
      <w:r w:rsidRPr="00623F85">
        <w:rPr>
          <w:sz w:val="24"/>
          <w:szCs w:val="24"/>
          <w:lang w:eastAsia="en-GB"/>
        </w:rPr>
        <w:t>Herodotus</w:t>
      </w:r>
      <w:r>
        <w:rPr>
          <w:sz w:val="24"/>
          <w:szCs w:val="24"/>
          <w:lang w:eastAsia="en-GB"/>
        </w:rPr>
        <w:t xml:space="preserve"> in his </w:t>
      </w:r>
      <w:r w:rsidRPr="007546EF">
        <w:rPr>
          <w:i/>
          <w:sz w:val="24"/>
          <w:szCs w:val="24"/>
          <w:lang w:eastAsia="en-GB"/>
        </w:rPr>
        <w:t>‘Histories’</w:t>
      </w:r>
      <w:r>
        <w:rPr>
          <w:sz w:val="24"/>
          <w:szCs w:val="24"/>
          <w:lang w:eastAsia="en-GB"/>
        </w:rPr>
        <w:t xml:space="preserve"> </w:t>
      </w:r>
      <w:r w:rsidR="00F15467" w:rsidRPr="00F15467">
        <w:rPr>
          <w:sz w:val="24"/>
          <w:szCs w:val="24"/>
          <w:lang w:eastAsia="en-GB"/>
        </w:rPr>
        <w:t xml:space="preserve">(Herodotus, C.484 B.C.) </w:t>
      </w:r>
      <w:r>
        <w:rPr>
          <w:sz w:val="24"/>
          <w:szCs w:val="24"/>
          <w:lang w:eastAsia="en-GB"/>
        </w:rPr>
        <w:t xml:space="preserve">and Thucydides in his </w:t>
      </w:r>
      <w:r w:rsidRPr="007546EF">
        <w:rPr>
          <w:i/>
          <w:sz w:val="24"/>
          <w:szCs w:val="24"/>
          <w:lang w:eastAsia="en-GB"/>
        </w:rPr>
        <w:t>‘History of the Peloponnesian War’</w:t>
      </w:r>
      <w:r>
        <w:rPr>
          <w:sz w:val="24"/>
          <w:szCs w:val="24"/>
          <w:lang w:eastAsia="en-GB"/>
        </w:rPr>
        <w:t xml:space="preserve"> (Thucydides, C.</w:t>
      </w:r>
      <w:r w:rsidR="00993867">
        <w:rPr>
          <w:sz w:val="24"/>
          <w:szCs w:val="24"/>
          <w:lang w:eastAsia="en-GB"/>
        </w:rPr>
        <w:t>431</w:t>
      </w:r>
      <w:r>
        <w:rPr>
          <w:sz w:val="24"/>
          <w:szCs w:val="24"/>
          <w:lang w:eastAsia="en-GB"/>
        </w:rPr>
        <w:t xml:space="preserve">BC). </w:t>
      </w:r>
      <w:r w:rsidR="00BE33B2">
        <w:rPr>
          <w:sz w:val="24"/>
          <w:szCs w:val="24"/>
          <w:lang w:eastAsia="en-GB"/>
        </w:rPr>
        <w:t xml:space="preserve">Some of our primary evidence about Xerxes I and Darius I comes from these works due to them being the enemy in the </w:t>
      </w:r>
      <w:r w:rsidR="00251A8D">
        <w:rPr>
          <w:sz w:val="24"/>
          <w:szCs w:val="24"/>
          <w:lang w:eastAsia="en-GB"/>
        </w:rPr>
        <w:t>Persian W</w:t>
      </w:r>
      <w:r w:rsidR="00BE33B2">
        <w:rPr>
          <w:sz w:val="24"/>
          <w:szCs w:val="24"/>
          <w:lang w:eastAsia="en-GB"/>
        </w:rPr>
        <w:t>ar. Also, the names of later kings are</w:t>
      </w:r>
      <w:r w:rsidR="00F15467">
        <w:rPr>
          <w:sz w:val="24"/>
          <w:szCs w:val="24"/>
          <w:lang w:eastAsia="en-GB"/>
        </w:rPr>
        <w:t xml:space="preserve"> mentioned due to the Greek poleis</w:t>
      </w:r>
      <w:r w:rsidR="00BE33B2">
        <w:rPr>
          <w:sz w:val="24"/>
          <w:szCs w:val="24"/>
          <w:lang w:eastAsia="en-GB"/>
        </w:rPr>
        <w:t xml:space="preserve"> trading with the Persians</w:t>
      </w:r>
      <w:r w:rsidR="006C7BC5">
        <w:rPr>
          <w:sz w:val="24"/>
          <w:szCs w:val="24"/>
          <w:lang w:eastAsia="en-GB"/>
        </w:rPr>
        <w:t xml:space="preserve"> and the</w:t>
      </w:r>
      <w:r w:rsidR="00C471D5">
        <w:rPr>
          <w:sz w:val="24"/>
          <w:szCs w:val="24"/>
          <w:lang w:eastAsia="en-GB"/>
        </w:rPr>
        <w:t xml:space="preserve"> invasion of Persia by Alexander </w:t>
      </w:r>
      <w:r w:rsidR="00325E3C">
        <w:rPr>
          <w:sz w:val="24"/>
          <w:szCs w:val="24"/>
          <w:lang w:eastAsia="en-GB"/>
        </w:rPr>
        <w:t>the</w:t>
      </w:r>
      <w:r w:rsidR="00C471D5">
        <w:rPr>
          <w:sz w:val="24"/>
          <w:szCs w:val="24"/>
          <w:lang w:eastAsia="en-GB"/>
        </w:rPr>
        <w:t xml:space="preserve"> Great defeating the last Achaemenid King, effectively ending the dynasty and the empire</w:t>
      </w:r>
      <w:r w:rsidR="00993867" w:rsidRPr="00993867">
        <w:rPr>
          <w:rFonts w:eastAsia="Times New Roman" w:cstheme="minorHAnsi"/>
          <w:color w:val="333333"/>
          <w:sz w:val="24"/>
          <w:szCs w:val="24"/>
          <w:lang w:eastAsia="en-GB"/>
        </w:rPr>
        <w:t xml:space="preserve"> </w:t>
      </w:r>
      <w:r w:rsidR="00993867">
        <w:rPr>
          <w:rFonts w:eastAsia="Times New Roman" w:cstheme="minorHAnsi"/>
          <w:color w:val="333333"/>
          <w:sz w:val="24"/>
          <w:szCs w:val="24"/>
          <w:lang w:eastAsia="en-GB"/>
        </w:rPr>
        <w:t>(</w:t>
      </w:r>
      <w:r w:rsidR="00993867" w:rsidRPr="00ED09A3">
        <w:rPr>
          <w:rFonts w:eastAsia="Times New Roman" w:cstheme="minorHAnsi"/>
          <w:color w:val="333333"/>
          <w:sz w:val="24"/>
          <w:szCs w:val="24"/>
          <w:lang w:eastAsia="en-GB"/>
        </w:rPr>
        <w:t>Warner et al</w:t>
      </w:r>
      <w:r w:rsidR="00993867">
        <w:rPr>
          <w:rFonts w:eastAsia="Times New Roman" w:cstheme="minorHAnsi"/>
          <w:color w:val="333333"/>
          <w:sz w:val="24"/>
          <w:szCs w:val="24"/>
          <w:lang w:eastAsia="en-GB"/>
        </w:rPr>
        <w:t xml:space="preserve">, </w:t>
      </w:r>
      <w:r w:rsidR="00993867" w:rsidRPr="00ED09A3">
        <w:rPr>
          <w:rFonts w:eastAsia="Times New Roman" w:cstheme="minorHAnsi"/>
          <w:color w:val="333333"/>
          <w:sz w:val="24"/>
          <w:szCs w:val="24"/>
          <w:lang w:eastAsia="en-GB"/>
        </w:rPr>
        <w:t>1972</w:t>
      </w:r>
      <w:r w:rsidR="00993867">
        <w:rPr>
          <w:rFonts w:eastAsia="Times New Roman" w:cstheme="minorHAnsi"/>
          <w:color w:val="333333"/>
          <w:sz w:val="24"/>
          <w:szCs w:val="24"/>
          <w:lang w:eastAsia="en-GB"/>
        </w:rPr>
        <w:t>)</w:t>
      </w:r>
      <w:r w:rsidR="00BE33B2">
        <w:rPr>
          <w:sz w:val="24"/>
          <w:szCs w:val="24"/>
          <w:lang w:eastAsia="en-GB"/>
        </w:rPr>
        <w:t>.</w:t>
      </w:r>
    </w:p>
    <w:p w14:paraId="5EAA5185" w14:textId="77777777" w:rsidR="007546EF" w:rsidRDefault="007546EF" w:rsidP="00EF5306">
      <w:pPr>
        <w:pStyle w:val="NoSpacing"/>
        <w:rPr>
          <w:sz w:val="24"/>
          <w:szCs w:val="24"/>
          <w:lang w:eastAsia="en-GB"/>
        </w:rPr>
      </w:pPr>
    </w:p>
    <w:p w14:paraId="48717088" w14:textId="42BE6F3C" w:rsidR="007546EF" w:rsidRDefault="007546EF" w:rsidP="00EF5306">
      <w:pPr>
        <w:pStyle w:val="NoSpacing"/>
        <w:rPr>
          <w:sz w:val="24"/>
          <w:szCs w:val="24"/>
          <w:lang w:eastAsia="en-GB"/>
        </w:rPr>
      </w:pPr>
      <w:r>
        <w:rPr>
          <w:sz w:val="24"/>
          <w:szCs w:val="24"/>
          <w:lang w:eastAsia="en-GB"/>
        </w:rPr>
        <w:t>Also, the Persians themselves were extensive record keepers. This also leads into another of Childe’s points,</w:t>
      </w:r>
      <w:r w:rsidR="00ED09A3">
        <w:rPr>
          <w:sz w:val="24"/>
          <w:szCs w:val="24"/>
          <w:lang w:eastAsia="en-GB"/>
        </w:rPr>
        <w:t xml:space="preserve"> that a civilisation must have “systems</w:t>
      </w:r>
      <w:r>
        <w:rPr>
          <w:sz w:val="24"/>
          <w:szCs w:val="24"/>
          <w:lang w:eastAsia="en-GB"/>
        </w:rPr>
        <w:t xml:space="preserve"> </w:t>
      </w:r>
      <w:r w:rsidR="00ED09A3">
        <w:rPr>
          <w:sz w:val="24"/>
          <w:szCs w:val="24"/>
          <w:lang w:eastAsia="en-GB"/>
        </w:rPr>
        <w:t>for recording information”</w:t>
      </w:r>
      <w:r w:rsidR="00276EDC">
        <w:rPr>
          <w:sz w:val="24"/>
          <w:szCs w:val="24"/>
          <w:lang w:eastAsia="en-GB"/>
        </w:rPr>
        <w:t xml:space="preserve"> (Trigger, 2003, p.43)</w:t>
      </w:r>
      <w:r w:rsidR="00ED09A3">
        <w:rPr>
          <w:sz w:val="24"/>
          <w:szCs w:val="24"/>
          <w:lang w:eastAsia="en-GB"/>
        </w:rPr>
        <w:t xml:space="preserve">. </w:t>
      </w:r>
      <w:r>
        <w:rPr>
          <w:sz w:val="24"/>
          <w:szCs w:val="24"/>
          <w:lang w:eastAsia="en-GB"/>
        </w:rPr>
        <w:t>The Persians, l</w:t>
      </w:r>
      <w:r w:rsidR="00F40DBE">
        <w:rPr>
          <w:sz w:val="24"/>
          <w:szCs w:val="24"/>
          <w:lang w:eastAsia="en-GB"/>
        </w:rPr>
        <w:t>ike their Mesopotamian predecessors</w:t>
      </w:r>
      <w:r>
        <w:rPr>
          <w:sz w:val="24"/>
          <w:szCs w:val="24"/>
          <w:lang w:eastAsia="en-GB"/>
        </w:rPr>
        <w:t xml:space="preserve"> beforehand, were very keen on their record keeping on stone tablets or </w:t>
      </w:r>
      <w:r w:rsidR="00664FE7">
        <w:rPr>
          <w:sz w:val="24"/>
          <w:szCs w:val="24"/>
          <w:lang w:eastAsia="en-GB"/>
        </w:rPr>
        <w:t>cylinders (</w:t>
      </w:r>
      <w:r w:rsidR="00D814F0">
        <w:rPr>
          <w:rFonts w:eastAsia="Times New Roman" w:cstheme="minorHAnsi"/>
          <w:color w:val="333333"/>
          <w:sz w:val="24"/>
          <w:szCs w:val="24"/>
          <w:lang w:eastAsia="en-GB"/>
        </w:rPr>
        <w:t>Olmste</w:t>
      </w:r>
      <w:r w:rsidR="00664FE7" w:rsidRPr="00ED09A3">
        <w:rPr>
          <w:rFonts w:eastAsia="Times New Roman" w:cstheme="minorHAnsi"/>
          <w:color w:val="333333"/>
          <w:sz w:val="24"/>
          <w:szCs w:val="24"/>
          <w:lang w:eastAsia="en-GB"/>
        </w:rPr>
        <w:t>a</w:t>
      </w:r>
      <w:r w:rsidR="00D814F0">
        <w:rPr>
          <w:rFonts w:eastAsia="Times New Roman" w:cstheme="minorHAnsi"/>
          <w:color w:val="333333"/>
          <w:sz w:val="24"/>
          <w:szCs w:val="24"/>
          <w:lang w:eastAsia="en-GB"/>
        </w:rPr>
        <w:t>d</w:t>
      </w:r>
      <w:r w:rsidR="00664FE7" w:rsidRPr="00ED09A3">
        <w:rPr>
          <w:rFonts w:eastAsia="Times New Roman" w:cstheme="minorHAnsi"/>
          <w:color w:val="333333"/>
          <w:sz w:val="24"/>
          <w:szCs w:val="24"/>
          <w:lang w:eastAsia="en-GB"/>
        </w:rPr>
        <w:t xml:space="preserve"> </w:t>
      </w:r>
      <w:r w:rsidR="00D814F0">
        <w:rPr>
          <w:rFonts w:eastAsia="Times New Roman" w:cstheme="minorHAnsi"/>
          <w:color w:val="333333"/>
          <w:sz w:val="24"/>
          <w:szCs w:val="24"/>
          <w:lang w:eastAsia="en-GB"/>
        </w:rPr>
        <w:t>A.T</w:t>
      </w:r>
      <w:r w:rsidR="00664FE7">
        <w:rPr>
          <w:rFonts w:eastAsia="Times New Roman" w:cstheme="minorHAnsi"/>
          <w:color w:val="333333"/>
          <w:sz w:val="24"/>
          <w:szCs w:val="24"/>
          <w:lang w:eastAsia="en-GB"/>
        </w:rPr>
        <w:t xml:space="preserve">, </w:t>
      </w:r>
      <w:r w:rsidR="00664FE7" w:rsidRPr="00ED09A3">
        <w:rPr>
          <w:rFonts w:eastAsia="Times New Roman" w:cstheme="minorHAnsi"/>
          <w:color w:val="333333"/>
          <w:sz w:val="24"/>
          <w:szCs w:val="24"/>
          <w:lang w:eastAsia="en-GB"/>
        </w:rPr>
        <w:t>19</w:t>
      </w:r>
      <w:r w:rsidR="00D814F0">
        <w:rPr>
          <w:rFonts w:eastAsia="Times New Roman" w:cstheme="minorHAnsi"/>
          <w:color w:val="333333"/>
          <w:sz w:val="24"/>
          <w:szCs w:val="24"/>
          <w:lang w:eastAsia="en-GB"/>
        </w:rPr>
        <w:t>48</w:t>
      </w:r>
      <w:r w:rsidR="00664FE7">
        <w:rPr>
          <w:rFonts w:eastAsia="Times New Roman" w:cstheme="minorHAnsi"/>
          <w:color w:val="333333"/>
          <w:sz w:val="24"/>
          <w:szCs w:val="24"/>
          <w:lang w:eastAsia="en-GB"/>
        </w:rPr>
        <w:t>)</w:t>
      </w:r>
      <w:r w:rsidR="00664FE7">
        <w:rPr>
          <w:sz w:val="24"/>
          <w:szCs w:val="24"/>
          <w:lang w:eastAsia="en-GB"/>
        </w:rPr>
        <w:t>.</w:t>
      </w:r>
      <w:r>
        <w:rPr>
          <w:sz w:val="24"/>
          <w:szCs w:val="24"/>
          <w:lang w:eastAsia="en-GB"/>
        </w:rPr>
        <w:t xml:space="preserve"> The</w:t>
      </w:r>
      <w:r w:rsidRPr="007546EF">
        <w:rPr>
          <w:sz w:val="24"/>
          <w:szCs w:val="24"/>
          <w:lang w:eastAsia="en-GB"/>
        </w:rPr>
        <w:t xml:space="preserve"> </w:t>
      </w:r>
      <w:r>
        <w:rPr>
          <w:sz w:val="24"/>
          <w:szCs w:val="24"/>
          <w:lang w:eastAsia="en-GB"/>
        </w:rPr>
        <w:t>Cyrus Cylinder</w:t>
      </w:r>
      <w:r w:rsidR="005E4F9D">
        <w:rPr>
          <w:sz w:val="24"/>
          <w:szCs w:val="24"/>
          <w:lang w:eastAsia="en-GB"/>
        </w:rPr>
        <w:t xml:space="preserve"> is one of the best examples of t</w:t>
      </w:r>
      <w:r w:rsidR="00F40DBE">
        <w:rPr>
          <w:sz w:val="24"/>
          <w:szCs w:val="24"/>
          <w:lang w:eastAsia="en-GB"/>
        </w:rPr>
        <w:t xml:space="preserve">his record keeping and helped </w:t>
      </w:r>
      <w:r w:rsidR="00F40DBE" w:rsidRPr="004D23EF">
        <w:rPr>
          <w:sz w:val="24"/>
          <w:szCs w:val="24"/>
          <w:lang w:eastAsia="en-GB"/>
        </w:rPr>
        <w:t xml:space="preserve">the academic </w:t>
      </w:r>
      <w:r w:rsidR="00F40DBE" w:rsidRPr="004D23EF">
        <w:rPr>
          <w:sz w:val="24"/>
          <w:szCs w:val="24"/>
          <w:lang w:eastAsia="en-GB"/>
        </w:rPr>
        <w:lastRenderedPageBreak/>
        <w:t>community</w:t>
      </w:r>
      <w:r w:rsidR="005E4F9D" w:rsidRPr="004D23EF">
        <w:rPr>
          <w:sz w:val="24"/>
          <w:szCs w:val="24"/>
          <w:lang w:eastAsia="en-GB"/>
        </w:rPr>
        <w:t xml:space="preserve"> to completely change </w:t>
      </w:r>
      <w:r w:rsidR="00F40DBE" w:rsidRPr="004D23EF">
        <w:rPr>
          <w:sz w:val="24"/>
          <w:szCs w:val="24"/>
          <w:lang w:eastAsia="en-GB"/>
        </w:rPr>
        <w:t>their</w:t>
      </w:r>
      <w:r w:rsidR="005E4F9D" w:rsidRPr="004D23EF">
        <w:rPr>
          <w:sz w:val="24"/>
          <w:szCs w:val="24"/>
          <w:lang w:eastAsia="en-GB"/>
        </w:rPr>
        <w:t xml:space="preserve"> understanding of the Persian Empire</w:t>
      </w:r>
      <w:r w:rsidR="00993867" w:rsidRPr="004D23EF">
        <w:rPr>
          <w:sz w:val="24"/>
          <w:szCs w:val="24"/>
          <w:lang w:eastAsia="en-GB"/>
        </w:rPr>
        <w:t xml:space="preserve"> (</w:t>
      </w:r>
      <w:r w:rsidR="00993867" w:rsidRPr="00D814F0">
        <w:rPr>
          <w:rFonts w:eastAsia="Times New Roman" w:cstheme="minorHAnsi"/>
          <w:color w:val="333333"/>
          <w:sz w:val="24"/>
          <w:szCs w:val="24"/>
          <w:lang w:eastAsia="en-GB"/>
        </w:rPr>
        <w:t>Mallowan</w:t>
      </w:r>
      <w:r w:rsidR="00993867">
        <w:rPr>
          <w:rFonts w:eastAsia="Times New Roman" w:cstheme="minorHAnsi"/>
          <w:color w:val="333333"/>
          <w:sz w:val="24"/>
          <w:szCs w:val="24"/>
          <w:lang w:eastAsia="en-GB"/>
        </w:rPr>
        <w:t xml:space="preserve"> M, </w:t>
      </w:r>
      <w:r w:rsidR="00993867" w:rsidRPr="00D814F0">
        <w:rPr>
          <w:rFonts w:eastAsia="Times New Roman" w:cstheme="minorHAnsi"/>
          <w:color w:val="333333"/>
          <w:sz w:val="24"/>
          <w:szCs w:val="24"/>
          <w:lang w:eastAsia="en-GB"/>
        </w:rPr>
        <w:t>1972)</w:t>
      </w:r>
      <w:r w:rsidR="005E4F9D">
        <w:rPr>
          <w:sz w:val="24"/>
          <w:szCs w:val="24"/>
          <w:lang w:eastAsia="en-GB"/>
        </w:rPr>
        <w:t xml:space="preserve">. </w:t>
      </w:r>
      <w:r w:rsidR="005E4F9D" w:rsidRPr="004D23EF">
        <w:rPr>
          <w:sz w:val="24"/>
          <w:szCs w:val="24"/>
          <w:lang w:eastAsia="en-GB"/>
        </w:rPr>
        <w:t xml:space="preserve">Beforehand </w:t>
      </w:r>
      <w:r w:rsidR="00F40DBE" w:rsidRPr="004D23EF">
        <w:rPr>
          <w:sz w:val="24"/>
          <w:szCs w:val="24"/>
          <w:lang w:eastAsia="en-GB"/>
        </w:rPr>
        <w:t>the archaeological</w:t>
      </w:r>
      <w:r w:rsidR="004D23EF" w:rsidRPr="004D23EF">
        <w:rPr>
          <w:sz w:val="24"/>
          <w:szCs w:val="24"/>
          <w:lang w:eastAsia="en-GB"/>
        </w:rPr>
        <w:t xml:space="preserve"> and academical</w:t>
      </w:r>
      <w:r w:rsidR="00F40DBE" w:rsidRPr="004D23EF">
        <w:rPr>
          <w:sz w:val="24"/>
          <w:szCs w:val="24"/>
          <w:lang w:eastAsia="en-GB"/>
        </w:rPr>
        <w:t xml:space="preserve"> communit</w:t>
      </w:r>
      <w:r w:rsidR="004D23EF" w:rsidRPr="004D23EF">
        <w:rPr>
          <w:sz w:val="24"/>
          <w:szCs w:val="24"/>
          <w:lang w:eastAsia="en-GB"/>
        </w:rPr>
        <w:t>ies</w:t>
      </w:r>
      <w:r w:rsidR="005E4F9D">
        <w:rPr>
          <w:sz w:val="24"/>
          <w:szCs w:val="24"/>
          <w:lang w:eastAsia="en-GB"/>
        </w:rPr>
        <w:t xml:space="preserve"> had to rely on the works of outside sources to see what the </w:t>
      </w:r>
      <w:r w:rsidR="004C6762">
        <w:rPr>
          <w:sz w:val="24"/>
          <w:szCs w:val="24"/>
          <w:lang w:eastAsia="en-GB"/>
        </w:rPr>
        <w:t>reign</w:t>
      </w:r>
      <w:r w:rsidR="00F40DBE">
        <w:rPr>
          <w:sz w:val="24"/>
          <w:szCs w:val="24"/>
          <w:lang w:eastAsia="en-GB"/>
        </w:rPr>
        <w:t xml:space="preserve"> of Cyrus the G</w:t>
      </w:r>
      <w:r w:rsidR="005E4F9D">
        <w:rPr>
          <w:sz w:val="24"/>
          <w:szCs w:val="24"/>
          <w:lang w:eastAsia="en-GB"/>
        </w:rPr>
        <w:t>reat was like</w:t>
      </w:r>
      <w:r w:rsidR="004C6762">
        <w:rPr>
          <w:sz w:val="24"/>
          <w:szCs w:val="24"/>
          <w:lang w:eastAsia="en-GB"/>
        </w:rPr>
        <w:t xml:space="preserve">, mainly from Anatolian and Babylonian sources. These sources were from the people who had been conquered by Cyrus, so their views on the Persia were largely negative. However, there were some </w:t>
      </w:r>
      <w:r w:rsidR="004D23EF">
        <w:rPr>
          <w:sz w:val="24"/>
          <w:szCs w:val="24"/>
          <w:lang w:eastAsia="en-GB"/>
        </w:rPr>
        <w:t>sources like the Cyrus Cylinder that Proved that Cyrus wasn’t as bad as the Greeks made him out to be (</w:t>
      </w:r>
      <w:r w:rsidR="004D23EF" w:rsidRPr="00D814F0">
        <w:rPr>
          <w:rFonts w:eastAsia="Times New Roman" w:cstheme="minorHAnsi"/>
          <w:color w:val="333333"/>
          <w:sz w:val="24"/>
          <w:szCs w:val="24"/>
          <w:lang w:eastAsia="en-GB"/>
        </w:rPr>
        <w:t>Mallowan</w:t>
      </w:r>
      <w:r w:rsidR="004D23EF">
        <w:rPr>
          <w:rFonts w:eastAsia="Times New Roman" w:cstheme="minorHAnsi"/>
          <w:color w:val="333333"/>
          <w:sz w:val="24"/>
          <w:szCs w:val="24"/>
          <w:lang w:eastAsia="en-GB"/>
        </w:rPr>
        <w:t xml:space="preserve"> M, </w:t>
      </w:r>
      <w:r w:rsidR="004D23EF" w:rsidRPr="00D814F0">
        <w:rPr>
          <w:rFonts w:eastAsia="Times New Roman" w:cstheme="minorHAnsi"/>
          <w:color w:val="333333"/>
          <w:sz w:val="24"/>
          <w:szCs w:val="24"/>
          <w:lang w:eastAsia="en-GB"/>
        </w:rPr>
        <w:t>1972</w:t>
      </w:r>
      <w:r w:rsidR="004D23EF">
        <w:rPr>
          <w:rFonts w:eastAsia="Times New Roman" w:cstheme="minorHAnsi"/>
          <w:color w:val="333333"/>
          <w:sz w:val="24"/>
          <w:szCs w:val="24"/>
          <w:lang w:eastAsia="en-GB"/>
        </w:rPr>
        <w:t>).</w:t>
      </w:r>
    </w:p>
    <w:p w14:paraId="0BA0C5BE" w14:textId="66F782BE" w:rsidR="00F936D7" w:rsidRDefault="00F936D7" w:rsidP="00EF5306">
      <w:pPr>
        <w:pStyle w:val="NoSpacing"/>
        <w:rPr>
          <w:sz w:val="24"/>
          <w:szCs w:val="24"/>
          <w:lang w:eastAsia="en-GB"/>
        </w:rPr>
      </w:pPr>
    </w:p>
    <w:p w14:paraId="405FADAE" w14:textId="12946A4C" w:rsidR="00091504" w:rsidRDefault="00C471D5" w:rsidP="00EF5306">
      <w:pPr>
        <w:pStyle w:val="NoSpacing"/>
        <w:rPr>
          <w:sz w:val="24"/>
          <w:szCs w:val="24"/>
          <w:lang w:eastAsia="en-GB"/>
        </w:rPr>
      </w:pPr>
      <w:r>
        <w:rPr>
          <w:sz w:val="24"/>
          <w:szCs w:val="24"/>
          <w:lang w:eastAsia="en-GB"/>
        </w:rPr>
        <w:t>Since Childe</w:t>
      </w:r>
      <w:r w:rsidR="00086FEB">
        <w:rPr>
          <w:sz w:val="24"/>
          <w:szCs w:val="24"/>
          <w:lang w:eastAsia="en-GB"/>
        </w:rPr>
        <w:t>’s</w:t>
      </w:r>
      <w:bookmarkStart w:id="0" w:name="_GoBack"/>
      <w:bookmarkEnd w:id="0"/>
      <w:r w:rsidR="00086FEB">
        <w:rPr>
          <w:sz w:val="24"/>
          <w:szCs w:val="24"/>
          <w:lang w:eastAsia="en-GB"/>
        </w:rPr>
        <w:t xml:space="preserve"> </w:t>
      </w:r>
      <w:r>
        <w:rPr>
          <w:sz w:val="24"/>
          <w:szCs w:val="24"/>
          <w:lang w:eastAsia="en-GB"/>
        </w:rPr>
        <w:t xml:space="preserve">conception of these characteristics, academics and archaeologists have viewed them with scepticism. </w:t>
      </w:r>
      <w:r w:rsidR="00C3248A">
        <w:rPr>
          <w:sz w:val="24"/>
          <w:szCs w:val="24"/>
          <w:lang w:eastAsia="en-GB"/>
        </w:rPr>
        <w:t xml:space="preserve">Further studies into non-Mediterranean civilisations such as the Mayans, Aborigines, and Benin, </w:t>
      </w:r>
      <w:r w:rsidR="00D419FE">
        <w:rPr>
          <w:sz w:val="24"/>
          <w:szCs w:val="24"/>
          <w:lang w:eastAsia="en-GB"/>
        </w:rPr>
        <w:t xml:space="preserve">have shown that a majority of civilisations don’t fit into these </w:t>
      </w:r>
      <w:r w:rsidR="008E387E">
        <w:rPr>
          <w:sz w:val="24"/>
          <w:szCs w:val="24"/>
          <w:lang w:eastAsia="en-GB"/>
        </w:rPr>
        <w:t>characteristics</w:t>
      </w:r>
      <w:r w:rsidR="00276EDC">
        <w:rPr>
          <w:sz w:val="24"/>
          <w:szCs w:val="24"/>
          <w:lang w:eastAsia="en-GB"/>
        </w:rPr>
        <w:t>. Therefore, we view Childe work as a guideline to how to identify and characterise a</w:t>
      </w:r>
      <w:r w:rsidR="004D23EF">
        <w:rPr>
          <w:sz w:val="24"/>
          <w:szCs w:val="24"/>
          <w:lang w:eastAsia="en-GB"/>
        </w:rPr>
        <w:t>n</w:t>
      </w:r>
      <w:r w:rsidR="00276EDC">
        <w:rPr>
          <w:sz w:val="24"/>
          <w:szCs w:val="24"/>
          <w:lang w:eastAsia="en-GB"/>
        </w:rPr>
        <w:t xml:space="preserve"> Ancient Civilisation. </w:t>
      </w:r>
    </w:p>
    <w:p w14:paraId="0CFCCA1C" w14:textId="58E2538F" w:rsidR="00C471D5" w:rsidRDefault="00C471D5" w:rsidP="00EF5306">
      <w:pPr>
        <w:pStyle w:val="NoSpacing"/>
        <w:rPr>
          <w:sz w:val="24"/>
          <w:szCs w:val="24"/>
          <w:lang w:eastAsia="en-GB"/>
        </w:rPr>
      </w:pPr>
    </w:p>
    <w:p w14:paraId="7DAC8869" w14:textId="77777777" w:rsidR="00C471D5" w:rsidRDefault="00C471D5" w:rsidP="00EF5306">
      <w:pPr>
        <w:pStyle w:val="NoSpacing"/>
        <w:rPr>
          <w:sz w:val="24"/>
          <w:szCs w:val="24"/>
          <w:lang w:eastAsia="en-GB"/>
        </w:rPr>
      </w:pPr>
    </w:p>
    <w:p w14:paraId="27C43267" w14:textId="658E20F0" w:rsidR="003B3854" w:rsidRDefault="003B3854" w:rsidP="00A65D86">
      <w:pPr>
        <w:shd w:val="clear" w:color="auto" w:fill="FFFFFF"/>
        <w:spacing w:after="120" w:line="288" w:lineRule="atLeast"/>
        <w:textAlignment w:val="baseline"/>
        <w:outlineLvl w:val="1"/>
        <w:rPr>
          <w:rFonts w:eastAsia="Times New Roman" w:cstheme="minorHAnsi"/>
          <w:color w:val="333333"/>
          <w:sz w:val="24"/>
          <w:szCs w:val="24"/>
          <w:lang w:eastAsia="en-GB"/>
        </w:rPr>
      </w:pPr>
    </w:p>
    <w:p w14:paraId="5DFA960E" w14:textId="44B82C6E" w:rsidR="00331F71" w:rsidRDefault="003B3854" w:rsidP="00A65D86">
      <w:pPr>
        <w:shd w:val="clear" w:color="auto" w:fill="FFFFFF"/>
        <w:spacing w:after="120" w:line="288" w:lineRule="atLeast"/>
        <w:textAlignment w:val="baseline"/>
        <w:outlineLvl w:val="1"/>
        <w:rPr>
          <w:rFonts w:eastAsia="Times New Roman" w:cstheme="minorHAnsi"/>
          <w:color w:val="333333"/>
          <w:sz w:val="24"/>
          <w:szCs w:val="24"/>
          <w:lang w:eastAsia="en-GB"/>
        </w:rPr>
      </w:pPr>
      <w:r>
        <w:rPr>
          <w:rFonts w:eastAsia="Times New Roman" w:cstheme="minorHAnsi"/>
          <w:color w:val="333333"/>
          <w:sz w:val="24"/>
          <w:szCs w:val="24"/>
          <w:u w:val="single"/>
          <w:lang w:eastAsia="en-GB"/>
        </w:rPr>
        <w:t>Reference List</w:t>
      </w:r>
    </w:p>
    <w:p w14:paraId="6DF14321" w14:textId="53079206" w:rsidR="00433800" w:rsidRDefault="00433800" w:rsidP="00A65D86">
      <w:pPr>
        <w:shd w:val="clear" w:color="auto" w:fill="FFFFFF"/>
        <w:spacing w:after="120" w:line="288" w:lineRule="atLeast"/>
        <w:textAlignment w:val="baseline"/>
        <w:outlineLvl w:val="1"/>
        <w:rPr>
          <w:rFonts w:eastAsia="Times New Roman" w:cstheme="minorHAnsi"/>
          <w:color w:val="333333"/>
          <w:sz w:val="24"/>
          <w:szCs w:val="24"/>
          <w:lang w:eastAsia="en-GB"/>
        </w:rPr>
      </w:pPr>
      <w:r w:rsidRPr="00433800">
        <w:rPr>
          <w:rFonts w:eastAsia="Times New Roman" w:cstheme="minorHAnsi"/>
          <w:color w:val="333333"/>
          <w:sz w:val="24"/>
          <w:szCs w:val="24"/>
          <w:lang w:eastAsia="en-GB"/>
        </w:rPr>
        <w:t>Allen</w:t>
      </w:r>
      <w:r w:rsidR="006E6E1E">
        <w:rPr>
          <w:rFonts w:eastAsia="Times New Roman" w:cstheme="minorHAnsi"/>
          <w:color w:val="333333"/>
          <w:sz w:val="24"/>
          <w:szCs w:val="24"/>
          <w:lang w:eastAsia="en-GB"/>
        </w:rPr>
        <w:t xml:space="preserve"> </w:t>
      </w:r>
      <w:r w:rsidRPr="00433800">
        <w:rPr>
          <w:rFonts w:eastAsia="Times New Roman" w:cstheme="minorHAnsi"/>
          <w:color w:val="333333"/>
          <w:sz w:val="24"/>
          <w:szCs w:val="24"/>
          <w:lang w:eastAsia="en-GB"/>
        </w:rPr>
        <w:t xml:space="preserve">L, </w:t>
      </w:r>
      <w:r w:rsidR="006E6E1E">
        <w:rPr>
          <w:rFonts w:eastAsia="Times New Roman" w:cstheme="minorHAnsi"/>
          <w:color w:val="333333"/>
          <w:sz w:val="24"/>
          <w:szCs w:val="24"/>
          <w:lang w:eastAsia="en-GB"/>
        </w:rPr>
        <w:t>(</w:t>
      </w:r>
      <w:r w:rsidRPr="00433800">
        <w:rPr>
          <w:rFonts w:eastAsia="Times New Roman" w:cstheme="minorHAnsi"/>
          <w:color w:val="333333"/>
          <w:sz w:val="24"/>
          <w:szCs w:val="24"/>
          <w:lang w:eastAsia="en-GB"/>
        </w:rPr>
        <w:t>2005</w:t>
      </w:r>
      <w:r w:rsidR="006E6E1E">
        <w:rPr>
          <w:rFonts w:eastAsia="Times New Roman" w:cstheme="minorHAnsi"/>
          <w:color w:val="333333"/>
          <w:sz w:val="24"/>
          <w:szCs w:val="24"/>
          <w:lang w:eastAsia="en-GB"/>
        </w:rPr>
        <w:t xml:space="preserve">), </w:t>
      </w:r>
      <w:r w:rsidR="006E6E1E" w:rsidRPr="006E6E1E">
        <w:rPr>
          <w:rFonts w:eastAsia="Times New Roman" w:cstheme="minorHAnsi"/>
          <w:i/>
          <w:color w:val="333333"/>
          <w:sz w:val="24"/>
          <w:szCs w:val="24"/>
          <w:lang w:eastAsia="en-GB"/>
        </w:rPr>
        <w:t>‘</w:t>
      </w:r>
      <w:r w:rsidRPr="006E6E1E">
        <w:rPr>
          <w:rFonts w:eastAsia="Times New Roman" w:cstheme="minorHAnsi"/>
          <w:i/>
          <w:color w:val="333333"/>
          <w:sz w:val="24"/>
          <w:szCs w:val="24"/>
          <w:lang w:eastAsia="en-GB"/>
        </w:rPr>
        <w:t>The Persian Empire</w:t>
      </w:r>
      <w:r w:rsidR="006E6E1E" w:rsidRPr="006E6E1E">
        <w:rPr>
          <w:rFonts w:eastAsia="Times New Roman" w:cstheme="minorHAnsi"/>
          <w:i/>
          <w:color w:val="333333"/>
          <w:sz w:val="24"/>
          <w:szCs w:val="24"/>
          <w:lang w:eastAsia="en-GB"/>
        </w:rPr>
        <w:t>’</w:t>
      </w:r>
      <w:r w:rsidRPr="00433800">
        <w:rPr>
          <w:rFonts w:eastAsia="Times New Roman" w:cstheme="minorHAnsi"/>
          <w:color w:val="333333"/>
          <w:sz w:val="24"/>
          <w:szCs w:val="24"/>
          <w:lang w:eastAsia="en-GB"/>
        </w:rPr>
        <w:t>, Chicago: University of Chicago Press.</w:t>
      </w:r>
    </w:p>
    <w:p w14:paraId="41462D94" w14:textId="77777777" w:rsidR="00433800" w:rsidRDefault="00433800" w:rsidP="00A65D86">
      <w:pPr>
        <w:shd w:val="clear" w:color="auto" w:fill="FFFFFF"/>
        <w:spacing w:after="120" w:line="288" w:lineRule="atLeast"/>
        <w:textAlignment w:val="baseline"/>
        <w:outlineLvl w:val="1"/>
        <w:rPr>
          <w:rFonts w:eastAsia="Times New Roman" w:cstheme="minorHAnsi"/>
          <w:color w:val="333333"/>
          <w:sz w:val="24"/>
          <w:szCs w:val="24"/>
          <w:lang w:eastAsia="en-GB"/>
        </w:rPr>
      </w:pPr>
    </w:p>
    <w:p w14:paraId="4C35C3E7" w14:textId="2B9B15D3" w:rsidR="00FC65D8" w:rsidRDefault="00FC65D8" w:rsidP="00A65D86">
      <w:pPr>
        <w:shd w:val="clear" w:color="auto" w:fill="FFFFFF"/>
        <w:spacing w:after="120" w:line="288" w:lineRule="atLeast"/>
        <w:textAlignment w:val="baseline"/>
        <w:outlineLvl w:val="1"/>
        <w:rPr>
          <w:rFonts w:eastAsia="Times New Roman" w:cstheme="minorHAnsi"/>
          <w:color w:val="333333"/>
          <w:sz w:val="24"/>
          <w:szCs w:val="24"/>
          <w:lang w:eastAsia="en-GB"/>
        </w:rPr>
      </w:pPr>
      <w:r>
        <w:rPr>
          <w:rFonts w:eastAsia="Times New Roman" w:cstheme="minorHAnsi"/>
          <w:color w:val="333333"/>
          <w:sz w:val="24"/>
          <w:szCs w:val="24"/>
          <w:lang w:eastAsia="en-GB"/>
        </w:rPr>
        <w:t xml:space="preserve">Childe V.G, (1950), </w:t>
      </w:r>
      <w:r w:rsidRPr="00FC65D8">
        <w:rPr>
          <w:rFonts w:eastAsia="Times New Roman" w:cstheme="minorHAnsi"/>
          <w:i/>
          <w:color w:val="333333"/>
          <w:sz w:val="24"/>
          <w:szCs w:val="24"/>
          <w:lang w:eastAsia="en-GB"/>
        </w:rPr>
        <w:t>‘</w:t>
      </w:r>
      <w:r>
        <w:rPr>
          <w:rFonts w:eastAsia="Times New Roman" w:cstheme="minorHAnsi"/>
          <w:i/>
          <w:color w:val="333333"/>
          <w:sz w:val="24"/>
          <w:szCs w:val="24"/>
          <w:lang w:eastAsia="en-GB"/>
        </w:rPr>
        <w:t>The Urban Revolution</w:t>
      </w:r>
      <w:r w:rsidRPr="00FC65D8">
        <w:rPr>
          <w:rFonts w:eastAsia="Times New Roman" w:cstheme="minorHAnsi"/>
          <w:i/>
          <w:color w:val="333333"/>
          <w:sz w:val="24"/>
          <w:szCs w:val="24"/>
          <w:lang w:eastAsia="en-GB"/>
        </w:rPr>
        <w:t>’</w:t>
      </w:r>
      <w:r>
        <w:rPr>
          <w:rFonts w:eastAsia="Times New Roman" w:cstheme="minorHAnsi"/>
          <w:color w:val="333333"/>
          <w:sz w:val="24"/>
          <w:szCs w:val="24"/>
          <w:lang w:eastAsia="en-GB"/>
        </w:rPr>
        <w:t>, Town planning review 21:3-17</w:t>
      </w:r>
    </w:p>
    <w:p w14:paraId="0BDD530A" w14:textId="77777777" w:rsidR="00FC65D8" w:rsidRDefault="00FC65D8" w:rsidP="00A65D86">
      <w:pPr>
        <w:shd w:val="clear" w:color="auto" w:fill="FFFFFF"/>
        <w:spacing w:after="120" w:line="288" w:lineRule="atLeast"/>
        <w:textAlignment w:val="baseline"/>
        <w:outlineLvl w:val="1"/>
        <w:rPr>
          <w:rFonts w:eastAsia="Times New Roman" w:cstheme="minorHAnsi"/>
          <w:color w:val="333333"/>
          <w:sz w:val="24"/>
          <w:szCs w:val="24"/>
          <w:lang w:eastAsia="en-GB"/>
        </w:rPr>
      </w:pPr>
    </w:p>
    <w:p w14:paraId="4F1E50C2" w14:textId="77A117B1" w:rsidR="003A55B6" w:rsidRDefault="003A55B6" w:rsidP="00A65D86">
      <w:pPr>
        <w:shd w:val="clear" w:color="auto" w:fill="FFFFFF"/>
        <w:spacing w:after="120" w:line="288" w:lineRule="atLeast"/>
        <w:textAlignment w:val="baseline"/>
        <w:outlineLvl w:val="1"/>
        <w:rPr>
          <w:rFonts w:eastAsia="Times New Roman" w:cstheme="minorHAnsi"/>
          <w:color w:val="333333"/>
          <w:sz w:val="24"/>
          <w:szCs w:val="24"/>
          <w:lang w:eastAsia="en-GB"/>
        </w:rPr>
      </w:pPr>
      <w:r>
        <w:rPr>
          <w:rFonts w:eastAsia="Times New Roman" w:cstheme="minorHAnsi"/>
          <w:color w:val="333333"/>
          <w:sz w:val="24"/>
          <w:szCs w:val="24"/>
          <w:lang w:eastAsia="en-GB"/>
        </w:rPr>
        <w:t xml:space="preserve">Green S, (1981), </w:t>
      </w:r>
      <w:r w:rsidRPr="003A55B6">
        <w:rPr>
          <w:rFonts w:eastAsia="Times New Roman" w:cstheme="minorHAnsi"/>
          <w:i/>
          <w:color w:val="333333"/>
          <w:sz w:val="24"/>
          <w:szCs w:val="24"/>
          <w:lang w:eastAsia="en-GB"/>
        </w:rPr>
        <w:t>‘</w:t>
      </w:r>
      <w:r>
        <w:rPr>
          <w:rFonts w:eastAsia="Times New Roman" w:cstheme="minorHAnsi"/>
          <w:i/>
          <w:color w:val="333333"/>
          <w:sz w:val="24"/>
          <w:szCs w:val="24"/>
          <w:lang w:eastAsia="en-GB"/>
        </w:rPr>
        <w:t>Prehistorian: a biography of V.</w:t>
      </w:r>
      <w:r w:rsidR="00FC65D8">
        <w:rPr>
          <w:rFonts w:eastAsia="Times New Roman" w:cstheme="minorHAnsi"/>
          <w:i/>
          <w:color w:val="333333"/>
          <w:sz w:val="24"/>
          <w:szCs w:val="24"/>
          <w:lang w:eastAsia="en-GB"/>
        </w:rPr>
        <w:t xml:space="preserve"> </w:t>
      </w:r>
      <w:r>
        <w:rPr>
          <w:rFonts w:eastAsia="Times New Roman" w:cstheme="minorHAnsi"/>
          <w:i/>
          <w:color w:val="333333"/>
          <w:sz w:val="24"/>
          <w:szCs w:val="24"/>
          <w:lang w:eastAsia="en-GB"/>
        </w:rPr>
        <w:t>Gordon Childe</w:t>
      </w:r>
      <w:r w:rsidRPr="003A55B6">
        <w:rPr>
          <w:rFonts w:eastAsia="Times New Roman" w:cstheme="minorHAnsi"/>
          <w:i/>
          <w:color w:val="333333"/>
          <w:sz w:val="24"/>
          <w:szCs w:val="24"/>
          <w:lang w:eastAsia="en-GB"/>
        </w:rPr>
        <w:t>’</w:t>
      </w:r>
      <w:r>
        <w:rPr>
          <w:rFonts w:eastAsia="Times New Roman" w:cstheme="minorHAnsi"/>
          <w:color w:val="333333"/>
          <w:sz w:val="24"/>
          <w:szCs w:val="24"/>
          <w:lang w:eastAsia="en-GB"/>
        </w:rPr>
        <w:t xml:space="preserve">, Bradford-on-Avon: </w:t>
      </w:r>
      <w:proofErr w:type="spellStart"/>
      <w:r>
        <w:rPr>
          <w:rFonts w:eastAsia="Times New Roman" w:cstheme="minorHAnsi"/>
          <w:color w:val="333333"/>
          <w:sz w:val="24"/>
          <w:szCs w:val="24"/>
          <w:lang w:eastAsia="en-GB"/>
        </w:rPr>
        <w:t>Moonraker</w:t>
      </w:r>
      <w:proofErr w:type="spellEnd"/>
    </w:p>
    <w:p w14:paraId="61E524D9" w14:textId="77777777" w:rsidR="003A55B6" w:rsidRDefault="003A55B6" w:rsidP="00A65D86">
      <w:pPr>
        <w:shd w:val="clear" w:color="auto" w:fill="FFFFFF"/>
        <w:spacing w:after="120" w:line="288" w:lineRule="atLeast"/>
        <w:textAlignment w:val="baseline"/>
        <w:outlineLvl w:val="1"/>
        <w:rPr>
          <w:rFonts w:eastAsia="Times New Roman" w:cstheme="minorHAnsi"/>
          <w:color w:val="333333"/>
          <w:sz w:val="24"/>
          <w:szCs w:val="24"/>
          <w:lang w:eastAsia="en-GB"/>
        </w:rPr>
      </w:pPr>
    </w:p>
    <w:p w14:paraId="17550465" w14:textId="10EF9F38" w:rsidR="00331F71" w:rsidRDefault="00331F71" w:rsidP="00A65D86">
      <w:pPr>
        <w:shd w:val="clear" w:color="auto" w:fill="FFFFFF"/>
        <w:spacing w:after="120" w:line="288" w:lineRule="atLeast"/>
        <w:textAlignment w:val="baseline"/>
        <w:outlineLvl w:val="1"/>
        <w:rPr>
          <w:rFonts w:eastAsia="Times New Roman" w:cstheme="minorHAnsi"/>
          <w:color w:val="333333"/>
          <w:sz w:val="24"/>
          <w:szCs w:val="24"/>
          <w:lang w:eastAsia="en-GB"/>
        </w:rPr>
      </w:pPr>
      <w:r w:rsidRPr="00331F71">
        <w:rPr>
          <w:rFonts w:eastAsia="Times New Roman" w:cstheme="minorHAnsi"/>
          <w:color w:val="333333"/>
          <w:sz w:val="24"/>
          <w:szCs w:val="24"/>
          <w:lang w:eastAsia="en-GB"/>
        </w:rPr>
        <w:t xml:space="preserve">Herodotus, </w:t>
      </w:r>
      <w:r>
        <w:rPr>
          <w:rFonts w:eastAsia="Times New Roman" w:cstheme="minorHAnsi"/>
          <w:color w:val="333333"/>
          <w:sz w:val="24"/>
          <w:szCs w:val="24"/>
          <w:lang w:eastAsia="en-GB"/>
        </w:rPr>
        <w:t>(</w:t>
      </w:r>
      <w:r w:rsidR="00623F85">
        <w:rPr>
          <w:rFonts w:eastAsia="Times New Roman" w:cstheme="minorHAnsi"/>
          <w:color w:val="333333"/>
          <w:sz w:val="24"/>
          <w:szCs w:val="24"/>
          <w:lang w:eastAsia="en-GB"/>
        </w:rPr>
        <w:t>C</w:t>
      </w:r>
      <w:r w:rsidRPr="00331F71">
        <w:rPr>
          <w:rFonts w:eastAsia="Times New Roman" w:cstheme="minorHAnsi"/>
          <w:color w:val="333333"/>
          <w:sz w:val="24"/>
          <w:szCs w:val="24"/>
          <w:lang w:eastAsia="en-GB"/>
        </w:rPr>
        <w:t>.484 BC?</w:t>
      </w:r>
      <w:r>
        <w:rPr>
          <w:rFonts w:eastAsia="Times New Roman" w:cstheme="minorHAnsi"/>
          <w:color w:val="333333"/>
          <w:sz w:val="24"/>
          <w:szCs w:val="24"/>
          <w:lang w:eastAsia="en-GB"/>
        </w:rPr>
        <w:t>)</w:t>
      </w:r>
      <w:r w:rsidRPr="00331F71">
        <w:rPr>
          <w:rFonts w:eastAsia="Times New Roman" w:cstheme="minorHAnsi"/>
          <w:color w:val="333333"/>
          <w:sz w:val="24"/>
          <w:szCs w:val="24"/>
          <w:lang w:eastAsia="en-GB"/>
        </w:rPr>
        <w:t xml:space="preserve">, </w:t>
      </w:r>
      <w:r>
        <w:rPr>
          <w:rFonts w:eastAsia="Times New Roman" w:cstheme="minorHAnsi"/>
          <w:color w:val="333333"/>
          <w:sz w:val="24"/>
          <w:szCs w:val="24"/>
          <w:lang w:eastAsia="en-GB"/>
        </w:rPr>
        <w:t xml:space="preserve">A.R. </w:t>
      </w:r>
      <w:r w:rsidRPr="00331F71">
        <w:rPr>
          <w:rFonts w:eastAsia="Times New Roman" w:cstheme="minorHAnsi"/>
          <w:color w:val="333333"/>
          <w:sz w:val="24"/>
          <w:szCs w:val="24"/>
          <w:lang w:eastAsia="en-GB"/>
        </w:rPr>
        <w:t>Sélincourt, and A.</w:t>
      </w:r>
      <w:r>
        <w:rPr>
          <w:rFonts w:eastAsia="Times New Roman" w:cstheme="minorHAnsi"/>
          <w:color w:val="333333"/>
          <w:sz w:val="24"/>
          <w:szCs w:val="24"/>
          <w:lang w:eastAsia="en-GB"/>
        </w:rPr>
        <w:t>R</w:t>
      </w:r>
      <w:r w:rsidRPr="00331F71">
        <w:rPr>
          <w:rFonts w:eastAsia="Times New Roman" w:cstheme="minorHAnsi"/>
          <w:color w:val="333333"/>
          <w:sz w:val="24"/>
          <w:szCs w:val="24"/>
          <w:lang w:eastAsia="en-GB"/>
        </w:rPr>
        <w:t>.</w:t>
      </w:r>
      <w:r>
        <w:rPr>
          <w:rFonts w:eastAsia="Times New Roman" w:cstheme="minorHAnsi"/>
          <w:color w:val="333333"/>
          <w:sz w:val="24"/>
          <w:szCs w:val="24"/>
          <w:lang w:eastAsia="en-GB"/>
        </w:rPr>
        <w:t xml:space="preserve"> Burn (1954)</w:t>
      </w:r>
      <w:r w:rsidRPr="00331F71">
        <w:rPr>
          <w:rFonts w:eastAsia="Times New Roman" w:cstheme="minorHAnsi"/>
          <w:color w:val="333333"/>
          <w:sz w:val="24"/>
          <w:szCs w:val="24"/>
          <w:lang w:eastAsia="en-GB"/>
        </w:rPr>
        <w:t xml:space="preserve"> </w:t>
      </w:r>
      <w:r w:rsidRPr="00331F71">
        <w:rPr>
          <w:rFonts w:eastAsia="Times New Roman" w:cstheme="minorHAnsi"/>
          <w:i/>
          <w:color w:val="333333"/>
          <w:sz w:val="24"/>
          <w:szCs w:val="24"/>
          <w:lang w:eastAsia="en-GB"/>
        </w:rPr>
        <w:t xml:space="preserve">‘The </w:t>
      </w:r>
      <w:r w:rsidR="003A55B6" w:rsidRPr="00331F71">
        <w:rPr>
          <w:rFonts w:eastAsia="Times New Roman" w:cstheme="minorHAnsi"/>
          <w:i/>
          <w:color w:val="333333"/>
          <w:sz w:val="24"/>
          <w:szCs w:val="24"/>
          <w:lang w:eastAsia="en-GB"/>
        </w:rPr>
        <w:t>Histories</w:t>
      </w:r>
      <w:r w:rsidRPr="00331F71">
        <w:rPr>
          <w:rFonts w:eastAsia="Times New Roman" w:cstheme="minorHAnsi"/>
          <w:i/>
          <w:color w:val="333333"/>
          <w:sz w:val="24"/>
          <w:szCs w:val="24"/>
          <w:lang w:eastAsia="en-GB"/>
        </w:rPr>
        <w:t>’</w:t>
      </w:r>
      <w:r w:rsidRPr="00331F71">
        <w:rPr>
          <w:rFonts w:eastAsia="Times New Roman" w:cstheme="minorHAnsi"/>
          <w:color w:val="333333"/>
          <w:sz w:val="24"/>
          <w:szCs w:val="24"/>
          <w:lang w:eastAsia="en-GB"/>
        </w:rPr>
        <w:t>. New ed. London: Penguin, Penguin Classics; L34</w:t>
      </w:r>
    </w:p>
    <w:p w14:paraId="7B95700E" w14:textId="4A35C7B8" w:rsidR="00331F71" w:rsidRDefault="00331F71" w:rsidP="00A65D86">
      <w:pPr>
        <w:shd w:val="clear" w:color="auto" w:fill="FFFFFF"/>
        <w:spacing w:after="120" w:line="288" w:lineRule="atLeast"/>
        <w:textAlignment w:val="baseline"/>
        <w:outlineLvl w:val="1"/>
        <w:rPr>
          <w:rFonts w:eastAsia="Times New Roman" w:cstheme="minorHAnsi"/>
          <w:color w:val="333333"/>
          <w:sz w:val="24"/>
          <w:szCs w:val="24"/>
          <w:lang w:eastAsia="en-GB"/>
        </w:rPr>
      </w:pPr>
    </w:p>
    <w:p w14:paraId="0C3BAA5A" w14:textId="691FB1FA" w:rsidR="00D814F0" w:rsidRDefault="00D814F0" w:rsidP="00D814F0">
      <w:pPr>
        <w:shd w:val="clear" w:color="auto" w:fill="FFFFFF"/>
        <w:spacing w:after="120" w:line="288" w:lineRule="atLeast"/>
        <w:textAlignment w:val="baseline"/>
        <w:outlineLvl w:val="1"/>
        <w:rPr>
          <w:rFonts w:eastAsia="Times New Roman" w:cstheme="minorHAnsi"/>
          <w:color w:val="333333"/>
          <w:sz w:val="24"/>
          <w:szCs w:val="24"/>
          <w:lang w:eastAsia="en-GB"/>
        </w:rPr>
      </w:pPr>
      <w:r w:rsidRPr="00D814F0">
        <w:rPr>
          <w:rFonts w:eastAsia="Times New Roman" w:cstheme="minorHAnsi"/>
          <w:color w:val="333333"/>
          <w:sz w:val="24"/>
          <w:szCs w:val="24"/>
          <w:lang w:eastAsia="en-GB"/>
        </w:rPr>
        <w:t>Mallowan</w:t>
      </w:r>
      <w:r>
        <w:rPr>
          <w:rFonts w:eastAsia="Times New Roman" w:cstheme="minorHAnsi"/>
          <w:color w:val="333333"/>
          <w:sz w:val="24"/>
          <w:szCs w:val="24"/>
          <w:lang w:eastAsia="en-GB"/>
        </w:rPr>
        <w:t xml:space="preserve"> M, </w:t>
      </w:r>
      <w:r w:rsidRPr="00D814F0">
        <w:rPr>
          <w:rFonts w:eastAsia="Times New Roman" w:cstheme="minorHAnsi"/>
          <w:color w:val="333333"/>
          <w:sz w:val="24"/>
          <w:szCs w:val="24"/>
          <w:lang w:eastAsia="en-GB"/>
        </w:rPr>
        <w:t xml:space="preserve">(1972), </w:t>
      </w:r>
      <w:r w:rsidRPr="00D814F0">
        <w:rPr>
          <w:rFonts w:eastAsia="Times New Roman" w:cstheme="minorHAnsi"/>
          <w:i/>
          <w:color w:val="333333"/>
          <w:sz w:val="24"/>
          <w:szCs w:val="24"/>
          <w:lang w:eastAsia="en-GB"/>
        </w:rPr>
        <w:t>‘Cyrus the Great (558-529 B.C.)’</w:t>
      </w:r>
      <w:r>
        <w:rPr>
          <w:rFonts w:eastAsia="Times New Roman" w:cstheme="minorHAnsi"/>
          <w:color w:val="333333"/>
          <w:sz w:val="24"/>
          <w:szCs w:val="24"/>
          <w:lang w:eastAsia="en-GB"/>
        </w:rPr>
        <w:t xml:space="preserve">, Iran, </w:t>
      </w:r>
      <w:r w:rsidRPr="00D814F0">
        <w:rPr>
          <w:rFonts w:eastAsia="Times New Roman" w:cstheme="minorHAnsi"/>
          <w:color w:val="333333"/>
          <w:sz w:val="24"/>
          <w:szCs w:val="24"/>
          <w:lang w:eastAsia="en-GB"/>
        </w:rPr>
        <w:t>Vol. 10</w:t>
      </w:r>
      <w:r>
        <w:rPr>
          <w:rFonts w:eastAsia="Times New Roman" w:cstheme="minorHAnsi"/>
          <w:color w:val="333333"/>
          <w:sz w:val="24"/>
          <w:szCs w:val="24"/>
          <w:lang w:eastAsia="en-GB"/>
        </w:rPr>
        <w:t>,</w:t>
      </w:r>
      <w:r w:rsidRPr="00D814F0">
        <w:rPr>
          <w:rFonts w:eastAsia="Times New Roman" w:cstheme="minorHAnsi"/>
          <w:color w:val="333333"/>
          <w:sz w:val="24"/>
          <w:szCs w:val="24"/>
          <w:lang w:eastAsia="en-GB"/>
        </w:rPr>
        <w:t xml:space="preserve"> </w:t>
      </w:r>
      <w:r>
        <w:rPr>
          <w:rFonts w:eastAsia="Times New Roman" w:cstheme="minorHAnsi"/>
          <w:color w:val="333333"/>
          <w:sz w:val="24"/>
          <w:szCs w:val="24"/>
          <w:lang w:eastAsia="en-GB"/>
        </w:rPr>
        <w:t>Pages</w:t>
      </w:r>
      <w:r w:rsidRPr="00D814F0">
        <w:rPr>
          <w:rFonts w:eastAsia="Times New Roman" w:cstheme="minorHAnsi"/>
          <w:color w:val="333333"/>
          <w:sz w:val="24"/>
          <w:szCs w:val="24"/>
          <w:lang w:eastAsia="en-GB"/>
        </w:rPr>
        <w:t>. 1-17</w:t>
      </w:r>
      <w:r>
        <w:rPr>
          <w:rFonts w:eastAsia="Times New Roman" w:cstheme="minorHAnsi"/>
          <w:color w:val="333333"/>
          <w:sz w:val="24"/>
          <w:szCs w:val="24"/>
          <w:lang w:eastAsia="en-GB"/>
        </w:rPr>
        <w:t xml:space="preserve">, </w:t>
      </w:r>
      <w:r w:rsidRPr="00D814F0">
        <w:rPr>
          <w:rFonts w:eastAsia="Times New Roman" w:cstheme="minorHAnsi"/>
          <w:color w:val="333333"/>
          <w:sz w:val="24"/>
          <w:szCs w:val="24"/>
          <w:lang w:eastAsia="en-GB"/>
        </w:rPr>
        <w:t>Taylor &amp; Francis, Ltd.</w:t>
      </w:r>
      <w:r>
        <w:rPr>
          <w:rFonts w:eastAsia="Times New Roman" w:cstheme="minorHAnsi"/>
          <w:color w:val="333333"/>
          <w:sz w:val="24"/>
          <w:szCs w:val="24"/>
          <w:lang w:eastAsia="en-GB"/>
        </w:rPr>
        <w:t xml:space="preserve"> </w:t>
      </w:r>
      <w:r w:rsidRPr="00D814F0">
        <w:rPr>
          <w:rFonts w:eastAsia="Times New Roman" w:cstheme="minorHAnsi"/>
          <w:color w:val="333333"/>
          <w:sz w:val="24"/>
          <w:szCs w:val="24"/>
          <w:lang w:eastAsia="en-GB"/>
        </w:rPr>
        <w:t xml:space="preserve">Stable URL: </w:t>
      </w:r>
      <w:hyperlink r:id="rId7" w:history="1">
        <w:r w:rsidRPr="00344ED3">
          <w:rPr>
            <w:rStyle w:val="Hyperlink"/>
            <w:rFonts w:eastAsia="Times New Roman" w:cstheme="minorHAnsi"/>
            <w:sz w:val="24"/>
            <w:szCs w:val="24"/>
            <w:lang w:eastAsia="en-GB"/>
          </w:rPr>
          <w:t>https://www.jstor.org/stable/4300460</w:t>
        </w:r>
      </w:hyperlink>
      <w:r>
        <w:rPr>
          <w:rFonts w:eastAsia="Times New Roman" w:cstheme="minorHAnsi"/>
          <w:color w:val="333333"/>
          <w:sz w:val="24"/>
          <w:szCs w:val="24"/>
          <w:lang w:eastAsia="en-GB"/>
        </w:rPr>
        <w:t xml:space="preserve"> </w:t>
      </w:r>
      <w:r w:rsidRPr="00D814F0">
        <w:rPr>
          <w:rFonts w:eastAsia="Times New Roman" w:cstheme="minorHAnsi"/>
          <w:color w:val="333333"/>
          <w:sz w:val="24"/>
          <w:szCs w:val="24"/>
          <w:lang w:eastAsia="en-GB"/>
        </w:rPr>
        <w:t>Accessed: 14-11-</w:t>
      </w:r>
      <w:r>
        <w:rPr>
          <w:rFonts w:eastAsia="Times New Roman" w:cstheme="minorHAnsi"/>
          <w:color w:val="333333"/>
          <w:sz w:val="24"/>
          <w:szCs w:val="24"/>
          <w:lang w:eastAsia="en-GB"/>
        </w:rPr>
        <w:t>2019</w:t>
      </w:r>
    </w:p>
    <w:p w14:paraId="5461D009" w14:textId="77777777" w:rsidR="00D814F0" w:rsidRDefault="00D814F0" w:rsidP="00A65D86">
      <w:pPr>
        <w:shd w:val="clear" w:color="auto" w:fill="FFFFFF"/>
        <w:spacing w:after="120" w:line="288" w:lineRule="atLeast"/>
        <w:textAlignment w:val="baseline"/>
        <w:outlineLvl w:val="1"/>
        <w:rPr>
          <w:rFonts w:eastAsia="Times New Roman" w:cstheme="minorHAnsi"/>
          <w:color w:val="333333"/>
          <w:sz w:val="24"/>
          <w:szCs w:val="24"/>
          <w:lang w:eastAsia="en-GB"/>
        </w:rPr>
      </w:pPr>
    </w:p>
    <w:p w14:paraId="1027974F" w14:textId="11DFCC34" w:rsidR="006C7BC5" w:rsidRDefault="006C7BC5" w:rsidP="00A65D86">
      <w:pPr>
        <w:shd w:val="clear" w:color="auto" w:fill="FFFFFF"/>
        <w:spacing w:after="120" w:line="288" w:lineRule="atLeast"/>
        <w:textAlignment w:val="baseline"/>
        <w:outlineLvl w:val="1"/>
        <w:rPr>
          <w:rFonts w:eastAsia="Times New Roman" w:cstheme="minorHAnsi"/>
          <w:color w:val="333333"/>
          <w:sz w:val="24"/>
          <w:szCs w:val="24"/>
          <w:lang w:eastAsia="en-GB"/>
        </w:rPr>
      </w:pPr>
      <w:r>
        <w:rPr>
          <w:sz w:val="24"/>
          <w:szCs w:val="24"/>
          <w:lang w:eastAsia="en-GB"/>
        </w:rPr>
        <w:t xml:space="preserve">Matheson S.A, 1979, </w:t>
      </w:r>
      <w:r w:rsidRPr="006C7BC5">
        <w:rPr>
          <w:i/>
          <w:sz w:val="24"/>
          <w:szCs w:val="24"/>
          <w:lang w:eastAsia="en-GB"/>
        </w:rPr>
        <w:t>‘</w:t>
      </w:r>
      <w:r>
        <w:rPr>
          <w:i/>
          <w:sz w:val="24"/>
          <w:szCs w:val="24"/>
          <w:lang w:eastAsia="en-GB"/>
        </w:rPr>
        <w:t>Persia: An Archaeological Guide</w:t>
      </w:r>
      <w:r w:rsidRPr="006C7BC5">
        <w:rPr>
          <w:i/>
          <w:sz w:val="24"/>
          <w:szCs w:val="24"/>
          <w:lang w:eastAsia="en-GB"/>
        </w:rPr>
        <w:t>’</w:t>
      </w:r>
      <w:r>
        <w:rPr>
          <w:sz w:val="24"/>
          <w:szCs w:val="24"/>
          <w:lang w:eastAsia="en-GB"/>
        </w:rPr>
        <w:t xml:space="preserve">, London: Faber and Faber Limited, p.24, </w:t>
      </w:r>
    </w:p>
    <w:p w14:paraId="2C716558" w14:textId="73C3FB37" w:rsidR="006C7BC5" w:rsidRDefault="006C7BC5" w:rsidP="00A65D86">
      <w:pPr>
        <w:shd w:val="clear" w:color="auto" w:fill="FFFFFF"/>
        <w:spacing w:after="120" w:line="288" w:lineRule="atLeast"/>
        <w:textAlignment w:val="baseline"/>
        <w:outlineLvl w:val="1"/>
        <w:rPr>
          <w:rFonts w:eastAsia="Times New Roman" w:cstheme="minorHAnsi"/>
          <w:color w:val="333333"/>
          <w:sz w:val="24"/>
          <w:szCs w:val="24"/>
          <w:lang w:eastAsia="en-GB"/>
        </w:rPr>
      </w:pPr>
    </w:p>
    <w:p w14:paraId="3AE5FF67" w14:textId="02F9F4ED" w:rsidR="00D814F0" w:rsidRDefault="00D814F0" w:rsidP="00A65D86">
      <w:pPr>
        <w:shd w:val="clear" w:color="auto" w:fill="FFFFFF"/>
        <w:spacing w:after="120" w:line="288" w:lineRule="atLeast"/>
        <w:textAlignment w:val="baseline"/>
        <w:outlineLvl w:val="1"/>
        <w:rPr>
          <w:rFonts w:eastAsia="Times New Roman" w:cstheme="minorHAnsi"/>
          <w:color w:val="333333"/>
          <w:sz w:val="24"/>
          <w:szCs w:val="24"/>
          <w:lang w:eastAsia="en-GB"/>
        </w:rPr>
      </w:pPr>
      <w:r>
        <w:rPr>
          <w:rFonts w:eastAsia="Times New Roman" w:cstheme="minorHAnsi"/>
          <w:color w:val="333333"/>
          <w:sz w:val="24"/>
          <w:szCs w:val="24"/>
          <w:lang w:eastAsia="en-GB"/>
        </w:rPr>
        <w:t>Olmste</w:t>
      </w:r>
      <w:r w:rsidRPr="00ED09A3">
        <w:rPr>
          <w:rFonts w:eastAsia="Times New Roman" w:cstheme="minorHAnsi"/>
          <w:color w:val="333333"/>
          <w:sz w:val="24"/>
          <w:szCs w:val="24"/>
          <w:lang w:eastAsia="en-GB"/>
        </w:rPr>
        <w:t>a</w:t>
      </w:r>
      <w:r>
        <w:rPr>
          <w:rFonts w:eastAsia="Times New Roman" w:cstheme="minorHAnsi"/>
          <w:color w:val="333333"/>
          <w:sz w:val="24"/>
          <w:szCs w:val="24"/>
          <w:lang w:eastAsia="en-GB"/>
        </w:rPr>
        <w:t>d</w:t>
      </w:r>
      <w:r w:rsidRPr="00ED09A3">
        <w:rPr>
          <w:rFonts w:eastAsia="Times New Roman" w:cstheme="minorHAnsi"/>
          <w:color w:val="333333"/>
          <w:sz w:val="24"/>
          <w:szCs w:val="24"/>
          <w:lang w:eastAsia="en-GB"/>
        </w:rPr>
        <w:t xml:space="preserve"> </w:t>
      </w:r>
      <w:r>
        <w:rPr>
          <w:rFonts w:eastAsia="Times New Roman" w:cstheme="minorHAnsi"/>
          <w:color w:val="333333"/>
          <w:sz w:val="24"/>
          <w:szCs w:val="24"/>
          <w:lang w:eastAsia="en-GB"/>
        </w:rPr>
        <w:t>A.T, (</w:t>
      </w:r>
      <w:r w:rsidRPr="00ED09A3">
        <w:rPr>
          <w:rFonts w:eastAsia="Times New Roman" w:cstheme="minorHAnsi"/>
          <w:color w:val="333333"/>
          <w:sz w:val="24"/>
          <w:szCs w:val="24"/>
          <w:lang w:eastAsia="en-GB"/>
        </w:rPr>
        <w:t>19</w:t>
      </w:r>
      <w:r>
        <w:rPr>
          <w:rFonts w:eastAsia="Times New Roman" w:cstheme="minorHAnsi"/>
          <w:color w:val="333333"/>
          <w:sz w:val="24"/>
          <w:szCs w:val="24"/>
          <w:lang w:eastAsia="en-GB"/>
        </w:rPr>
        <w:t xml:space="preserve">48) </w:t>
      </w:r>
      <w:r w:rsidRPr="00D814F0">
        <w:rPr>
          <w:rFonts w:eastAsia="Times New Roman" w:cstheme="minorHAnsi"/>
          <w:i/>
          <w:color w:val="333333"/>
          <w:sz w:val="24"/>
          <w:szCs w:val="24"/>
          <w:lang w:eastAsia="en-GB"/>
        </w:rPr>
        <w:t>‘History of the Persian Empire’</w:t>
      </w:r>
      <w:r>
        <w:rPr>
          <w:rFonts w:eastAsia="Times New Roman" w:cstheme="minorHAnsi"/>
          <w:color w:val="333333"/>
          <w:sz w:val="24"/>
          <w:szCs w:val="24"/>
          <w:lang w:eastAsia="en-GB"/>
        </w:rPr>
        <w:t>, Chicago: The University of Chicago Press Ltd, Page 4</w:t>
      </w:r>
    </w:p>
    <w:p w14:paraId="5CF3506A" w14:textId="77777777" w:rsidR="00D814F0" w:rsidRDefault="00D814F0" w:rsidP="00A65D86">
      <w:pPr>
        <w:shd w:val="clear" w:color="auto" w:fill="FFFFFF"/>
        <w:spacing w:after="120" w:line="288" w:lineRule="atLeast"/>
        <w:textAlignment w:val="baseline"/>
        <w:outlineLvl w:val="1"/>
        <w:rPr>
          <w:rFonts w:eastAsia="Times New Roman" w:cstheme="minorHAnsi"/>
          <w:color w:val="333333"/>
          <w:sz w:val="24"/>
          <w:szCs w:val="24"/>
          <w:lang w:eastAsia="en-GB"/>
        </w:rPr>
      </w:pPr>
    </w:p>
    <w:p w14:paraId="354BB082" w14:textId="10B4EF9E" w:rsidR="003B3854" w:rsidRDefault="00ED09A3" w:rsidP="00A65D86">
      <w:pPr>
        <w:shd w:val="clear" w:color="auto" w:fill="FFFFFF"/>
        <w:spacing w:after="120" w:line="288" w:lineRule="atLeast"/>
        <w:textAlignment w:val="baseline"/>
        <w:outlineLvl w:val="1"/>
        <w:rPr>
          <w:rFonts w:eastAsia="Times New Roman" w:cstheme="minorHAnsi"/>
          <w:color w:val="333333"/>
          <w:sz w:val="24"/>
          <w:szCs w:val="24"/>
          <w:lang w:eastAsia="en-GB"/>
        </w:rPr>
      </w:pPr>
      <w:r w:rsidRPr="00ED09A3">
        <w:rPr>
          <w:rFonts w:eastAsia="Times New Roman" w:cstheme="minorHAnsi"/>
          <w:color w:val="333333"/>
          <w:sz w:val="24"/>
          <w:szCs w:val="24"/>
          <w:lang w:eastAsia="en-GB"/>
        </w:rPr>
        <w:t xml:space="preserve">Trigger, B.G, </w:t>
      </w:r>
      <w:r>
        <w:rPr>
          <w:rFonts w:eastAsia="Times New Roman" w:cstheme="minorHAnsi"/>
          <w:color w:val="333333"/>
          <w:sz w:val="24"/>
          <w:szCs w:val="24"/>
          <w:lang w:eastAsia="en-GB"/>
        </w:rPr>
        <w:t>(</w:t>
      </w:r>
      <w:r w:rsidRPr="00ED09A3">
        <w:rPr>
          <w:rFonts w:eastAsia="Times New Roman" w:cstheme="minorHAnsi"/>
          <w:color w:val="333333"/>
          <w:sz w:val="24"/>
          <w:szCs w:val="24"/>
          <w:lang w:eastAsia="en-GB"/>
        </w:rPr>
        <w:t>2007</w:t>
      </w:r>
      <w:r>
        <w:rPr>
          <w:rFonts w:eastAsia="Times New Roman" w:cstheme="minorHAnsi"/>
          <w:color w:val="333333"/>
          <w:sz w:val="24"/>
          <w:szCs w:val="24"/>
          <w:lang w:eastAsia="en-GB"/>
        </w:rPr>
        <w:t xml:space="preserve">), </w:t>
      </w:r>
      <w:r w:rsidRPr="00ED09A3">
        <w:rPr>
          <w:rFonts w:eastAsia="Times New Roman" w:cstheme="minorHAnsi"/>
          <w:i/>
          <w:color w:val="333333"/>
          <w:sz w:val="24"/>
          <w:szCs w:val="24"/>
          <w:lang w:eastAsia="en-GB"/>
        </w:rPr>
        <w:t>‘Understanding early civilizations: a comparative study’</w:t>
      </w:r>
      <w:r w:rsidRPr="00ED09A3">
        <w:rPr>
          <w:rFonts w:eastAsia="Times New Roman" w:cstheme="minorHAnsi"/>
          <w:color w:val="333333"/>
          <w:sz w:val="24"/>
          <w:szCs w:val="24"/>
          <w:lang w:eastAsia="en-GB"/>
        </w:rPr>
        <w:t xml:space="preserve"> 1st </w:t>
      </w:r>
      <w:proofErr w:type="spellStart"/>
      <w:r w:rsidRPr="00ED09A3">
        <w:rPr>
          <w:rFonts w:eastAsia="Times New Roman" w:cstheme="minorHAnsi"/>
          <w:color w:val="333333"/>
          <w:sz w:val="24"/>
          <w:szCs w:val="24"/>
          <w:lang w:eastAsia="en-GB"/>
        </w:rPr>
        <w:t>pbk</w:t>
      </w:r>
      <w:proofErr w:type="spellEnd"/>
      <w:r w:rsidRPr="00ED09A3">
        <w:rPr>
          <w:rFonts w:eastAsia="Times New Roman" w:cstheme="minorHAnsi"/>
          <w:color w:val="333333"/>
          <w:sz w:val="24"/>
          <w:szCs w:val="24"/>
          <w:lang w:eastAsia="en-GB"/>
        </w:rPr>
        <w:t>., Cambridge: Cambridge University Press</w:t>
      </w:r>
      <w:r>
        <w:rPr>
          <w:rFonts w:eastAsia="Times New Roman" w:cstheme="minorHAnsi"/>
          <w:color w:val="333333"/>
          <w:sz w:val="24"/>
          <w:szCs w:val="24"/>
          <w:lang w:eastAsia="en-GB"/>
        </w:rPr>
        <w:t>, Page 43</w:t>
      </w:r>
    </w:p>
    <w:p w14:paraId="08593BE5" w14:textId="625B7C35" w:rsidR="00ED09A3" w:rsidRDefault="00ED09A3" w:rsidP="00A65D86">
      <w:pPr>
        <w:shd w:val="clear" w:color="auto" w:fill="FFFFFF"/>
        <w:spacing w:after="120" w:line="288" w:lineRule="atLeast"/>
        <w:textAlignment w:val="baseline"/>
        <w:outlineLvl w:val="1"/>
        <w:rPr>
          <w:rFonts w:eastAsia="Times New Roman" w:cstheme="minorHAnsi"/>
          <w:color w:val="333333"/>
          <w:sz w:val="24"/>
          <w:szCs w:val="24"/>
          <w:lang w:eastAsia="en-GB"/>
        </w:rPr>
      </w:pPr>
    </w:p>
    <w:p w14:paraId="017CA2EA" w14:textId="3FD87C8F" w:rsidR="005A10F9" w:rsidRPr="003B3854" w:rsidRDefault="00ED09A3" w:rsidP="00A65D86">
      <w:pPr>
        <w:shd w:val="clear" w:color="auto" w:fill="FFFFFF"/>
        <w:spacing w:after="120" w:line="288" w:lineRule="atLeast"/>
        <w:textAlignment w:val="baseline"/>
        <w:outlineLvl w:val="1"/>
        <w:rPr>
          <w:rFonts w:eastAsia="Times New Roman" w:cstheme="minorHAnsi"/>
          <w:color w:val="333333"/>
          <w:sz w:val="24"/>
          <w:szCs w:val="24"/>
          <w:lang w:eastAsia="en-GB"/>
        </w:rPr>
      </w:pPr>
      <w:r w:rsidRPr="00ED09A3">
        <w:rPr>
          <w:rFonts w:eastAsia="Times New Roman" w:cstheme="minorHAnsi"/>
          <w:color w:val="333333"/>
          <w:sz w:val="24"/>
          <w:szCs w:val="24"/>
          <w:lang w:eastAsia="en-GB"/>
        </w:rPr>
        <w:lastRenderedPageBreak/>
        <w:t>Warner et al</w:t>
      </w:r>
      <w:r>
        <w:rPr>
          <w:rFonts w:eastAsia="Times New Roman" w:cstheme="minorHAnsi"/>
          <w:color w:val="333333"/>
          <w:sz w:val="24"/>
          <w:szCs w:val="24"/>
          <w:lang w:eastAsia="en-GB"/>
        </w:rPr>
        <w:t>, (</w:t>
      </w:r>
      <w:r w:rsidRPr="00ED09A3">
        <w:rPr>
          <w:rFonts w:eastAsia="Times New Roman" w:cstheme="minorHAnsi"/>
          <w:color w:val="333333"/>
          <w:sz w:val="24"/>
          <w:szCs w:val="24"/>
          <w:lang w:eastAsia="en-GB"/>
        </w:rPr>
        <w:t>1972</w:t>
      </w:r>
      <w:r>
        <w:rPr>
          <w:rFonts w:eastAsia="Times New Roman" w:cstheme="minorHAnsi"/>
          <w:color w:val="333333"/>
          <w:sz w:val="24"/>
          <w:szCs w:val="24"/>
          <w:lang w:eastAsia="en-GB"/>
        </w:rPr>
        <w:t>),</w:t>
      </w:r>
      <w:r w:rsidRPr="00ED09A3">
        <w:rPr>
          <w:rFonts w:eastAsia="Times New Roman" w:cstheme="minorHAnsi"/>
          <w:color w:val="333333"/>
          <w:sz w:val="24"/>
          <w:szCs w:val="24"/>
          <w:lang w:eastAsia="en-GB"/>
        </w:rPr>
        <w:t xml:space="preserve"> </w:t>
      </w:r>
      <w:r w:rsidRPr="00ED09A3">
        <w:rPr>
          <w:rFonts w:eastAsia="Times New Roman" w:cstheme="minorHAnsi"/>
          <w:i/>
          <w:color w:val="333333"/>
          <w:sz w:val="24"/>
          <w:szCs w:val="24"/>
          <w:lang w:eastAsia="en-GB"/>
        </w:rPr>
        <w:t>‘History of the Peloponnesian War Revised’</w:t>
      </w:r>
      <w:r>
        <w:rPr>
          <w:rFonts w:eastAsia="Times New Roman" w:cstheme="minorHAnsi"/>
          <w:color w:val="333333"/>
          <w:sz w:val="24"/>
          <w:szCs w:val="24"/>
          <w:lang w:eastAsia="en-GB"/>
        </w:rPr>
        <w:t xml:space="preserve"> </w:t>
      </w:r>
      <w:r w:rsidRPr="00ED09A3">
        <w:rPr>
          <w:rFonts w:eastAsia="Times New Roman" w:cstheme="minorHAnsi"/>
          <w:color w:val="333333"/>
          <w:sz w:val="24"/>
          <w:szCs w:val="24"/>
          <w:lang w:eastAsia="en-GB"/>
        </w:rPr>
        <w:t>[ed.], Harmondsworth: Penguin.</w:t>
      </w:r>
    </w:p>
    <w:sectPr w:rsidR="005A10F9" w:rsidRPr="003B3854" w:rsidSect="00ED54D4">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A0BF46" w14:textId="77777777" w:rsidR="00F257CB" w:rsidRDefault="00F257CB" w:rsidP="00F257CB">
      <w:pPr>
        <w:spacing w:after="0" w:line="240" w:lineRule="auto"/>
      </w:pPr>
      <w:r>
        <w:separator/>
      </w:r>
    </w:p>
  </w:endnote>
  <w:endnote w:type="continuationSeparator" w:id="0">
    <w:p w14:paraId="117E13FC" w14:textId="77777777" w:rsidR="00F257CB" w:rsidRDefault="00F257CB" w:rsidP="00F257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Segoe UI">
    <w:altName w:val="Arial"/>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607B81" w14:textId="77777777" w:rsidR="00F257CB" w:rsidRDefault="00F257CB" w:rsidP="00F257CB">
      <w:pPr>
        <w:spacing w:after="0" w:line="240" w:lineRule="auto"/>
      </w:pPr>
      <w:r>
        <w:separator/>
      </w:r>
    </w:p>
  </w:footnote>
  <w:footnote w:type="continuationSeparator" w:id="0">
    <w:p w14:paraId="3BEF3534" w14:textId="77777777" w:rsidR="00F257CB" w:rsidRDefault="00F257CB" w:rsidP="00F257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436233" w14:textId="338A310F" w:rsidR="00F257CB" w:rsidRDefault="00F257CB" w:rsidP="00F257CB">
    <w:pPr>
      <w:shd w:val="clear" w:color="auto" w:fill="FFFFFF"/>
      <w:spacing w:after="120" w:line="288" w:lineRule="atLeast"/>
      <w:textAlignment w:val="baseline"/>
      <w:outlineLvl w:val="1"/>
    </w:pPr>
    <w:r>
      <w:t xml:space="preserve">Lloyd Clements, 1902715, HPAR 4006, </w:t>
    </w:r>
    <w:r w:rsidR="00BF1A76">
      <w:t>Childe’s essay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2C418E"/>
    <w:multiLevelType w:val="multilevel"/>
    <w:tmpl w:val="2D1E1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1E0E3B"/>
    <w:multiLevelType w:val="hybridMultilevel"/>
    <w:tmpl w:val="67FA38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376D53"/>
    <w:multiLevelType w:val="hybridMultilevel"/>
    <w:tmpl w:val="D12C34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BF279D"/>
    <w:multiLevelType w:val="multilevel"/>
    <w:tmpl w:val="C39A6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proofState w:spelling="clean" w:grammar="clean"/>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57CB"/>
    <w:rsid w:val="0000087E"/>
    <w:rsid w:val="00022C4C"/>
    <w:rsid w:val="00060C3D"/>
    <w:rsid w:val="00066E68"/>
    <w:rsid w:val="00086FEB"/>
    <w:rsid w:val="00091504"/>
    <w:rsid w:val="000E0DAE"/>
    <w:rsid w:val="000E270F"/>
    <w:rsid w:val="00101132"/>
    <w:rsid w:val="001014A0"/>
    <w:rsid w:val="001313CF"/>
    <w:rsid w:val="00150482"/>
    <w:rsid w:val="001C22E8"/>
    <w:rsid w:val="001F258C"/>
    <w:rsid w:val="00240B52"/>
    <w:rsid w:val="00251A8D"/>
    <w:rsid w:val="00264AC4"/>
    <w:rsid w:val="00276EDC"/>
    <w:rsid w:val="00310B7B"/>
    <w:rsid w:val="00323941"/>
    <w:rsid w:val="00325E3C"/>
    <w:rsid w:val="00331F71"/>
    <w:rsid w:val="003629AB"/>
    <w:rsid w:val="00397998"/>
    <w:rsid w:val="003A55B6"/>
    <w:rsid w:val="003B3854"/>
    <w:rsid w:val="003D178E"/>
    <w:rsid w:val="003D690F"/>
    <w:rsid w:val="003E5FEB"/>
    <w:rsid w:val="00401D79"/>
    <w:rsid w:val="00433800"/>
    <w:rsid w:val="004750FB"/>
    <w:rsid w:val="004C0BDC"/>
    <w:rsid w:val="004C6762"/>
    <w:rsid w:val="004D23EF"/>
    <w:rsid w:val="005158EC"/>
    <w:rsid w:val="005325EA"/>
    <w:rsid w:val="00536712"/>
    <w:rsid w:val="005A10F9"/>
    <w:rsid w:val="005E4F9D"/>
    <w:rsid w:val="005F63B8"/>
    <w:rsid w:val="00623F85"/>
    <w:rsid w:val="00664FE7"/>
    <w:rsid w:val="006A7E4B"/>
    <w:rsid w:val="006C7BC5"/>
    <w:rsid w:val="006E6E1E"/>
    <w:rsid w:val="0071646E"/>
    <w:rsid w:val="007546EF"/>
    <w:rsid w:val="007D47EA"/>
    <w:rsid w:val="00815D3A"/>
    <w:rsid w:val="00831C6C"/>
    <w:rsid w:val="00854B2F"/>
    <w:rsid w:val="008A03DD"/>
    <w:rsid w:val="008B5AF2"/>
    <w:rsid w:val="008E387E"/>
    <w:rsid w:val="00907B88"/>
    <w:rsid w:val="00993867"/>
    <w:rsid w:val="00997452"/>
    <w:rsid w:val="009C6070"/>
    <w:rsid w:val="00A47934"/>
    <w:rsid w:val="00A564C2"/>
    <w:rsid w:val="00A65D86"/>
    <w:rsid w:val="00AC3D21"/>
    <w:rsid w:val="00AF244C"/>
    <w:rsid w:val="00AF6997"/>
    <w:rsid w:val="00B0799A"/>
    <w:rsid w:val="00B8134F"/>
    <w:rsid w:val="00BE33B2"/>
    <w:rsid w:val="00BF1A76"/>
    <w:rsid w:val="00BF38B9"/>
    <w:rsid w:val="00C050AE"/>
    <w:rsid w:val="00C211D2"/>
    <w:rsid w:val="00C3248A"/>
    <w:rsid w:val="00C471D5"/>
    <w:rsid w:val="00C740A3"/>
    <w:rsid w:val="00C829B3"/>
    <w:rsid w:val="00CA6A37"/>
    <w:rsid w:val="00CF791C"/>
    <w:rsid w:val="00D11559"/>
    <w:rsid w:val="00D36381"/>
    <w:rsid w:val="00D419FE"/>
    <w:rsid w:val="00D814F0"/>
    <w:rsid w:val="00D936F2"/>
    <w:rsid w:val="00D96F2F"/>
    <w:rsid w:val="00E048E4"/>
    <w:rsid w:val="00E233CD"/>
    <w:rsid w:val="00EC3E00"/>
    <w:rsid w:val="00ED09A3"/>
    <w:rsid w:val="00ED54D4"/>
    <w:rsid w:val="00EE55C8"/>
    <w:rsid w:val="00EF5306"/>
    <w:rsid w:val="00F04F0F"/>
    <w:rsid w:val="00F15467"/>
    <w:rsid w:val="00F257CB"/>
    <w:rsid w:val="00F40DBE"/>
    <w:rsid w:val="00F74553"/>
    <w:rsid w:val="00F837CC"/>
    <w:rsid w:val="00F850C2"/>
    <w:rsid w:val="00F909C6"/>
    <w:rsid w:val="00F936D7"/>
    <w:rsid w:val="00FA4BCF"/>
    <w:rsid w:val="00FB4821"/>
    <w:rsid w:val="00FC65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0E77D60B"/>
  <w14:defaultImageDpi w14:val="32767"/>
  <w15:chartTrackingRefBased/>
  <w15:docId w15:val="{C687763C-30EF-6D42-B789-BB010CBA2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257CB"/>
    <w:pPr>
      <w:spacing w:after="160" w:line="259" w:lineRule="auto"/>
    </w:pPr>
    <w:rPr>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57CB"/>
    <w:pPr>
      <w:ind w:left="720"/>
      <w:contextualSpacing/>
    </w:pPr>
  </w:style>
  <w:style w:type="paragraph" w:styleId="Header">
    <w:name w:val="header"/>
    <w:basedOn w:val="Normal"/>
    <w:link w:val="HeaderChar"/>
    <w:uiPriority w:val="99"/>
    <w:unhideWhenUsed/>
    <w:rsid w:val="00F257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57CB"/>
    <w:rPr>
      <w:sz w:val="22"/>
      <w:szCs w:val="22"/>
      <w:lang w:val="en-GB"/>
    </w:rPr>
  </w:style>
  <w:style w:type="paragraph" w:styleId="Footer">
    <w:name w:val="footer"/>
    <w:basedOn w:val="Normal"/>
    <w:link w:val="FooterChar"/>
    <w:uiPriority w:val="99"/>
    <w:unhideWhenUsed/>
    <w:rsid w:val="00F257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57CB"/>
    <w:rPr>
      <w:sz w:val="22"/>
      <w:szCs w:val="22"/>
      <w:lang w:val="en-GB"/>
    </w:rPr>
  </w:style>
  <w:style w:type="paragraph" w:styleId="NoSpacing">
    <w:name w:val="No Spacing"/>
    <w:uiPriority w:val="1"/>
    <w:qFormat/>
    <w:rsid w:val="00EF5306"/>
    <w:rPr>
      <w:sz w:val="22"/>
      <w:szCs w:val="22"/>
      <w:lang w:val="en-GB"/>
    </w:rPr>
  </w:style>
  <w:style w:type="character" w:styleId="CommentReference">
    <w:name w:val="annotation reference"/>
    <w:basedOn w:val="DefaultParagraphFont"/>
    <w:uiPriority w:val="99"/>
    <w:semiHidden/>
    <w:unhideWhenUsed/>
    <w:rsid w:val="00F15467"/>
    <w:rPr>
      <w:sz w:val="16"/>
      <w:szCs w:val="16"/>
    </w:rPr>
  </w:style>
  <w:style w:type="paragraph" w:styleId="CommentText">
    <w:name w:val="annotation text"/>
    <w:basedOn w:val="Normal"/>
    <w:link w:val="CommentTextChar"/>
    <w:uiPriority w:val="99"/>
    <w:semiHidden/>
    <w:unhideWhenUsed/>
    <w:rsid w:val="00F15467"/>
    <w:pPr>
      <w:spacing w:line="240" w:lineRule="auto"/>
    </w:pPr>
    <w:rPr>
      <w:sz w:val="20"/>
      <w:szCs w:val="20"/>
    </w:rPr>
  </w:style>
  <w:style w:type="character" w:customStyle="1" w:styleId="CommentTextChar">
    <w:name w:val="Comment Text Char"/>
    <w:basedOn w:val="DefaultParagraphFont"/>
    <w:link w:val="CommentText"/>
    <w:uiPriority w:val="99"/>
    <w:semiHidden/>
    <w:rsid w:val="00F15467"/>
    <w:rPr>
      <w:sz w:val="20"/>
      <w:szCs w:val="20"/>
      <w:lang w:val="en-GB"/>
    </w:rPr>
  </w:style>
  <w:style w:type="paragraph" w:styleId="CommentSubject">
    <w:name w:val="annotation subject"/>
    <w:basedOn w:val="CommentText"/>
    <w:next w:val="CommentText"/>
    <w:link w:val="CommentSubjectChar"/>
    <w:uiPriority w:val="99"/>
    <w:semiHidden/>
    <w:unhideWhenUsed/>
    <w:rsid w:val="00F15467"/>
    <w:rPr>
      <w:b/>
      <w:bCs/>
    </w:rPr>
  </w:style>
  <w:style w:type="character" w:customStyle="1" w:styleId="CommentSubjectChar">
    <w:name w:val="Comment Subject Char"/>
    <w:basedOn w:val="CommentTextChar"/>
    <w:link w:val="CommentSubject"/>
    <w:uiPriority w:val="99"/>
    <w:semiHidden/>
    <w:rsid w:val="00F15467"/>
    <w:rPr>
      <w:b/>
      <w:bCs/>
      <w:sz w:val="20"/>
      <w:szCs w:val="20"/>
      <w:lang w:val="en-GB"/>
    </w:rPr>
  </w:style>
  <w:style w:type="paragraph" w:styleId="BalloonText">
    <w:name w:val="Balloon Text"/>
    <w:basedOn w:val="Normal"/>
    <w:link w:val="BalloonTextChar"/>
    <w:uiPriority w:val="99"/>
    <w:semiHidden/>
    <w:unhideWhenUsed/>
    <w:rsid w:val="00F1546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5467"/>
    <w:rPr>
      <w:rFonts w:ascii="Segoe UI" w:hAnsi="Segoe UI" w:cs="Segoe UI"/>
      <w:sz w:val="18"/>
      <w:szCs w:val="18"/>
      <w:lang w:val="en-GB"/>
    </w:rPr>
  </w:style>
  <w:style w:type="character" w:styleId="Hyperlink">
    <w:name w:val="Hyperlink"/>
    <w:basedOn w:val="DefaultParagraphFont"/>
    <w:uiPriority w:val="99"/>
    <w:unhideWhenUsed/>
    <w:rsid w:val="00D814F0"/>
    <w:rPr>
      <w:color w:val="0563C1" w:themeColor="hyperlink"/>
      <w:u w:val="single"/>
    </w:rPr>
  </w:style>
  <w:style w:type="character" w:styleId="UnresolvedMention">
    <w:name w:val="Unresolved Mention"/>
    <w:basedOn w:val="DefaultParagraphFont"/>
    <w:uiPriority w:val="99"/>
    <w:semiHidden/>
    <w:unhideWhenUsed/>
    <w:rsid w:val="00D814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6397085">
      <w:bodyDiv w:val="1"/>
      <w:marLeft w:val="0"/>
      <w:marRight w:val="0"/>
      <w:marTop w:val="0"/>
      <w:marBottom w:val="0"/>
      <w:divBdr>
        <w:top w:val="none" w:sz="0" w:space="0" w:color="auto"/>
        <w:left w:val="none" w:sz="0" w:space="0" w:color="auto"/>
        <w:bottom w:val="none" w:sz="0" w:space="0" w:color="auto"/>
        <w:right w:val="none" w:sz="0" w:space="0" w:color="auto"/>
      </w:divBdr>
    </w:div>
    <w:div w:id="1787119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jstor.org/stable/430046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389</TotalTime>
  <Pages>3</Pages>
  <Words>852</Words>
  <Characters>4860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Clements (STUDENT)</dc:creator>
  <cp:keywords/>
  <dc:description/>
  <cp:lastModifiedBy>Lloyd Clements (STUDENT)</cp:lastModifiedBy>
  <cp:revision>32</cp:revision>
  <dcterms:created xsi:type="dcterms:W3CDTF">2019-10-30T18:42:00Z</dcterms:created>
  <dcterms:modified xsi:type="dcterms:W3CDTF">2019-11-14T23:15:00Z</dcterms:modified>
</cp:coreProperties>
</file>