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5249E" w14:textId="3B254DCC" w:rsidR="00FF5D4C" w:rsidRDefault="00FF5D4C" w:rsidP="00FF5D4C">
      <w:r>
        <w:t>Michelle Ferguson</w:t>
      </w:r>
      <w:r w:rsidR="005F351B">
        <w:t xml:space="preserve"> </w:t>
      </w:r>
      <w:r w:rsidR="005F351B">
        <w:t>(2206798)</w:t>
      </w:r>
    </w:p>
    <w:p w14:paraId="1A1A648B" w14:textId="77777777" w:rsidR="00FF5D4C" w:rsidRDefault="00FF5D4C" w:rsidP="00FF5D4C">
      <w:r>
        <w:t>HPHI7016 Past Peoples, Present Societies</w:t>
      </w:r>
    </w:p>
    <w:p w14:paraId="018FE33E" w14:textId="77777777" w:rsidR="00FF5D4C" w:rsidRDefault="00FF5D4C" w:rsidP="00FF5D4C">
      <w:r>
        <w:t>Harriett Webster</w:t>
      </w:r>
    </w:p>
    <w:p w14:paraId="080D8497" w14:textId="77777777" w:rsidR="00FF5D4C" w:rsidRDefault="00FF5D4C" w:rsidP="00FF5D4C">
      <w:r>
        <w:t>16/12/22</w:t>
      </w:r>
    </w:p>
    <w:p w14:paraId="09A437C7" w14:textId="77777777" w:rsidR="00FF5D4C" w:rsidRDefault="00FF5D4C" w:rsidP="00FF5D4C"/>
    <w:p w14:paraId="7BFC7EA1" w14:textId="432444BC" w:rsidR="00FF5D4C" w:rsidRDefault="00FF5D4C" w:rsidP="00FF5D4C">
      <w:pPr>
        <w:jc w:val="center"/>
      </w:pPr>
      <w:r>
        <w:t>IMAGE COMMENTARY</w:t>
      </w:r>
      <w:r w:rsidR="00C707C3">
        <w:t>: MERLIN AND VORTIGERN</w:t>
      </w:r>
    </w:p>
    <w:p w14:paraId="2092EAED" w14:textId="08A95078" w:rsidR="00FF5D4C" w:rsidRDefault="00FF5D4C" w:rsidP="00FF5D4C"/>
    <w:p w14:paraId="59FD3277" w14:textId="657E0C22" w:rsidR="00BC3D46" w:rsidRDefault="002F3A11" w:rsidP="005F351B">
      <w:pPr>
        <w:spacing w:line="480" w:lineRule="auto"/>
        <w:ind w:firstLine="720"/>
      </w:pPr>
      <w:r>
        <w:t xml:space="preserve">One of the most striking moments in Geoffrey of Monmouth’s </w:t>
      </w:r>
      <w:r>
        <w:rPr>
          <w:i/>
          <w:iCs/>
        </w:rPr>
        <w:t xml:space="preserve">Historia </w:t>
      </w:r>
      <w:proofErr w:type="spellStart"/>
      <w:r>
        <w:rPr>
          <w:i/>
          <w:iCs/>
        </w:rPr>
        <w:t>Regum</w:t>
      </w:r>
      <w:proofErr w:type="spellEnd"/>
      <w:r>
        <w:rPr>
          <w:i/>
          <w:iCs/>
        </w:rPr>
        <w:t xml:space="preserve"> Britannia</w:t>
      </w:r>
      <w:r>
        <w:t xml:space="preserve"> (</w:t>
      </w:r>
      <w:r w:rsidRPr="00A52D2D">
        <w:rPr>
          <w:i/>
          <w:iCs/>
        </w:rPr>
        <w:t>HRB</w:t>
      </w:r>
      <w:r>
        <w:t xml:space="preserve">) is the moment when the boy prophet Merlin stands </w:t>
      </w:r>
      <w:r w:rsidR="009B3E5D">
        <w:t>before</w:t>
      </w:r>
      <w:r>
        <w:t xml:space="preserve"> the weak and evil British king Vortigern and explains the existence of dragons beneath Vortigern’s construction sit</w:t>
      </w:r>
      <w:r w:rsidR="00570471">
        <w:t>e</w:t>
      </w:r>
      <w:r>
        <w:t xml:space="preserve"> </w:t>
      </w:r>
      <w:r w:rsidR="009B3E5D">
        <w:t>before</w:t>
      </w:r>
      <w:r>
        <w:t xml:space="preserve"> launch</w:t>
      </w:r>
      <w:r w:rsidR="009B3E5D">
        <w:t>ing</w:t>
      </w:r>
      <w:r>
        <w:t xml:space="preserve"> into his strange and complicated prophecy of the future.</w:t>
      </w:r>
      <w:r w:rsidR="00983CA3">
        <w:t xml:space="preserve">  Both the </w:t>
      </w:r>
      <w:proofErr w:type="spellStart"/>
      <w:r w:rsidR="00983CA3">
        <w:rPr>
          <w:i/>
          <w:iCs/>
        </w:rPr>
        <w:t>Prophetiae</w:t>
      </w:r>
      <w:proofErr w:type="spellEnd"/>
      <w:r w:rsidR="00983CA3">
        <w:rPr>
          <w:i/>
          <w:iCs/>
        </w:rPr>
        <w:t xml:space="preserve"> </w:t>
      </w:r>
      <w:proofErr w:type="spellStart"/>
      <w:r w:rsidR="00983CA3">
        <w:rPr>
          <w:i/>
          <w:iCs/>
        </w:rPr>
        <w:t>Merlini</w:t>
      </w:r>
      <w:proofErr w:type="spellEnd"/>
      <w:r w:rsidR="00983CA3">
        <w:t xml:space="preserve"> alone and the </w:t>
      </w:r>
      <w:r w:rsidR="00983CA3">
        <w:rPr>
          <w:i/>
          <w:iCs/>
        </w:rPr>
        <w:t>HRB</w:t>
      </w:r>
      <w:r w:rsidR="00983CA3">
        <w:t xml:space="preserve"> containing them were written in the 1130s and quickly became extremely popular with more than eighty copies of Merlin’s prophecies alone </w:t>
      </w:r>
      <w:r w:rsidR="009B3E5D">
        <w:t>extant.</w:t>
      </w:r>
      <w:r w:rsidR="009B3E5D">
        <w:rPr>
          <w:rStyle w:val="FootnoteReference"/>
        </w:rPr>
        <w:footnoteReference w:id="1"/>
      </w:r>
      <w:r w:rsidR="009B3E5D">
        <w:t xml:space="preserve">  </w:t>
      </w:r>
      <w:r w:rsidR="00983CA3">
        <w:t xml:space="preserve">Even so, Muriel Whitaker has noted that there are few </w:t>
      </w:r>
      <w:r w:rsidR="009B3E5D">
        <w:t xml:space="preserve">extant </w:t>
      </w:r>
      <w:r w:rsidR="00983CA3">
        <w:t>copies</w:t>
      </w:r>
      <w:r w:rsidR="009B3E5D">
        <w:t xml:space="preserve"> of </w:t>
      </w:r>
      <w:r w:rsidR="009B3E5D">
        <w:rPr>
          <w:i/>
          <w:iCs/>
        </w:rPr>
        <w:t>HRB</w:t>
      </w:r>
      <w:r w:rsidR="00983CA3">
        <w:t xml:space="preserve"> containing illustrations.</w:t>
      </w:r>
      <w:r w:rsidR="009B3E5D">
        <w:rPr>
          <w:rStyle w:val="FootnoteReference"/>
        </w:rPr>
        <w:footnoteReference w:id="2"/>
      </w:r>
      <w:r w:rsidR="00983CA3">
        <w:t xml:space="preserve">  One</w:t>
      </w:r>
      <w:r w:rsidR="009B3E5D">
        <w:t xml:space="preserve"> illustration, however, can be found in the mid-thirteenth-century manuscript, Cotton Claudius B VII.  By the middle of the thirteenth century, Merlin had developed in the romances into an older individual marked more by magic than prophecy, and yet the scribe who produced this copy chose to emphasize once again his youthful beginning by marking his text with a large and prominent picture of Merlin as he began his prophetic career.</w:t>
      </w:r>
    </w:p>
    <w:p w14:paraId="7100C50A" w14:textId="4B0C9680" w:rsidR="001B1C29" w:rsidRPr="00983CA3" w:rsidRDefault="001B1C29" w:rsidP="005F351B">
      <w:pPr>
        <w:spacing w:line="480" w:lineRule="auto"/>
        <w:ind w:firstLine="720"/>
      </w:pPr>
      <w:r>
        <w:t>All pictures have meaning, but some were created intentionally to convey meaning to the viewer</w:t>
      </w:r>
      <w:r w:rsidR="00A77623">
        <w:t xml:space="preserve">.  However, to be able to understand this meaning, it is essential that the creator of the picture and the viewer understand the same conventions </w:t>
      </w:r>
      <w:r w:rsidR="00C81A3E">
        <w:t>for</w:t>
      </w:r>
      <w:r w:rsidR="00A77623">
        <w:t xml:space="preserve"> portray</w:t>
      </w:r>
      <w:r w:rsidR="00C81A3E">
        <w:t>ing</w:t>
      </w:r>
      <w:r w:rsidR="00A77623">
        <w:t xml:space="preserve"> such ideas, and art in the Middle Ages was marked by codes that helped the viewer to interpret what was being portrayed and what moral message one should receive from it.</w:t>
      </w:r>
      <w:r w:rsidR="00A77623">
        <w:rPr>
          <w:rStyle w:val="FootnoteReference"/>
        </w:rPr>
        <w:footnoteReference w:id="3"/>
      </w:r>
      <w:r>
        <w:t xml:space="preserve">  In the case of this </w:t>
      </w:r>
      <w:r w:rsidR="00004A3F">
        <w:t>picture</w:t>
      </w:r>
      <w:r w:rsidR="00C81A3E">
        <w:t xml:space="preserve">, while there are </w:t>
      </w:r>
      <w:r w:rsidR="00C81A3E">
        <w:lastRenderedPageBreak/>
        <w:t>no clear identifying markers as often fill depictions of saints,</w:t>
      </w:r>
      <w:r>
        <w:t xml:space="preserve"> the particular characters chosen out of an array of characters from the story and their posture and position relative to each other work to convey meaning and an understanding of the passage the </w:t>
      </w:r>
      <w:r w:rsidR="00004A3F">
        <w:t>picture</w:t>
      </w:r>
      <w:r>
        <w:t xml:space="preserve"> accompanies.  As was common, the characters and their clothing and surrounding architecture reflect not the sixth century when the events of this story were supposed to have taken place but the thirteenth century when the </w:t>
      </w:r>
      <w:r w:rsidR="00004A3F">
        <w:t>illuminator</w:t>
      </w:r>
      <w:r>
        <w:t xml:space="preserve"> </w:t>
      </w:r>
      <w:r w:rsidR="00004A3F">
        <w:t>drew</w:t>
      </w:r>
      <w:r>
        <w:t xml:space="preserve"> this </w:t>
      </w:r>
      <w:r w:rsidR="00004A3F">
        <w:t>picture</w:t>
      </w:r>
      <w:r>
        <w:t>.</w:t>
      </w:r>
      <w:r>
        <w:rPr>
          <w:rStyle w:val="FootnoteReference"/>
        </w:rPr>
        <w:footnoteReference w:id="4"/>
      </w:r>
      <w:r>
        <w:t xml:space="preserve">  </w:t>
      </w:r>
      <w:r w:rsidR="00C81A3E">
        <w:t>It is all</w:t>
      </w:r>
      <w:r>
        <w:t xml:space="preserve"> of these aspects of the </w:t>
      </w:r>
      <w:r w:rsidR="00004A3F">
        <w:t>picture</w:t>
      </w:r>
      <w:r>
        <w:t xml:space="preserve"> </w:t>
      </w:r>
      <w:r w:rsidR="00C81A3E">
        <w:t xml:space="preserve">that </w:t>
      </w:r>
      <w:r>
        <w:t xml:space="preserve">reflect the time at which the </w:t>
      </w:r>
      <w:r w:rsidR="00004A3F">
        <w:t>picture</w:t>
      </w:r>
      <w:r>
        <w:t xml:space="preserve"> was made a</w:t>
      </w:r>
      <w:r w:rsidR="00C81A3E">
        <w:t>s well as</w:t>
      </w:r>
      <w:r>
        <w:t xml:space="preserve"> the thoughts, hopes, and fears of the </w:t>
      </w:r>
      <w:r w:rsidR="00004A3F">
        <w:t>illuminator</w:t>
      </w:r>
      <w:r>
        <w:t xml:space="preserve"> who made it and those of his intended readers.</w:t>
      </w:r>
    </w:p>
    <w:p w14:paraId="6390725F" w14:textId="1D84A1E6" w:rsidR="00572651" w:rsidRDefault="00AA3D29" w:rsidP="005F351B">
      <w:pPr>
        <w:spacing w:line="480" w:lineRule="auto"/>
        <w:ind w:firstLine="720"/>
      </w:pPr>
      <w:r>
        <w:t>Merlin and Vortigern are the only two individuals to appear in the picture.  There were other individuals present at the scene</w:t>
      </w:r>
      <w:r w:rsidR="001316F9">
        <w:t>—</w:t>
      </w:r>
      <w:r>
        <w:t>Merlin’s mother</w:t>
      </w:r>
      <w:r w:rsidR="00151C0D">
        <w:t xml:space="preserve"> and</w:t>
      </w:r>
      <w:r>
        <w:t xml:space="preserve"> the </w:t>
      </w:r>
      <w:r w:rsidR="00A52D2D">
        <w:t>sage</w:t>
      </w:r>
      <w:r>
        <w:t xml:space="preserve"> </w:t>
      </w:r>
      <w:proofErr w:type="spellStart"/>
      <w:r w:rsidR="00A52D2D">
        <w:t>Maugantius</w:t>
      </w:r>
      <w:proofErr w:type="spellEnd"/>
      <w:r w:rsidR="00A52D2D">
        <w:t xml:space="preserve"> as well as</w:t>
      </w:r>
      <w:r>
        <w:t xml:space="preserve"> others unmentioned but easily assumed to be present such as soldiers, </w:t>
      </w:r>
      <w:r w:rsidR="00A52D2D">
        <w:t>servants</w:t>
      </w:r>
      <w:r>
        <w:t>, and builders</w:t>
      </w:r>
      <w:r w:rsidR="001316F9">
        <w:t>—</w:t>
      </w:r>
      <w:r>
        <w:t>but none of these are important to the story.</w:t>
      </w:r>
      <w:r w:rsidR="00A52D2D">
        <w:t xml:space="preserve">  The only other important individuals in the story are the magicians who give such evil counsel to the king</w:t>
      </w:r>
      <w:r w:rsidR="00572651">
        <w:t>, but they remain invisible in the image.</w:t>
      </w:r>
      <w:r>
        <w:t xml:space="preserve">  Everything in the story revolves around the unlawful and wicked king Vortigern </w:t>
      </w:r>
      <w:r w:rsidR="00572651">
        <w:t xml:space="preserve">and his magicians </w:t>
      </w:r>
      <w:r>
        <w:t xml:space="preserve">who </w:t>
      </w:r>
      <w:r w:rsidR="00572651">
        <w:t>are</w:t>
      </w:r>
      <w:r>
        <w:t xml:space="preserve"> seeking Merlin’s blood and the young Merlin with his prophecies of Vortigern’s future</w:t>
      </w:r>
      <w:r w:rsidR="001225F4">
        <w:t xml:space="preserve"> and the future of Britain</w:t>
      </w:r>
      <w:r>
        <w:t>.</w:t>
      </w:r>
      <w:r w:rsidR="00572651">
        <w:t xml:space="preserve">  However, rather than depicting the story as a contest between the innocent and knowing Merlin and the evil and ignorant magicians, the illuminator has instead chosen to focus the contest between the boy and the king.  Perhaps the reason is as prosaic as </w:t>
      </w:r>
      <w:r w:rsidR="00151C0D">
        <w:t xml:space="preserve">the fact </w:t>
      </w:r>
      <w:r w:rsidR="00572651">
        <w:t>that Vortigern is only one individual to draw and paint, but perhaps it is because Vortigern, as king, represents ultimate authority and therefore is the ultimate enemy of Merlin.</w:t>
      </w:r>
    </w:p>
    <w:p w14:paraId="48A99D92" w14:textId="0443A5B6" w:rsidR="00AA3D29" w:rsidRDefault="008B1EB0" w:rsidP="005F351B">
      <w:pPr>
        <w:spacing w:line="480" w:lineRule="auto"/>
        <w:ind w:firstLine="720"/>
      </w:pPr>
      <w:r>
        <w:lastRenderedPageBreak/>
        <w:t>The</w:t>
      </w:r>
      <w:r w:rsidR="00572651">
        <w:t xml:space="preserve"> two figures</w:t>
      </w:r>
      <w:r>
        <w:t xml:space="preserve"> are framed by architecture that separates them and brings attention to each </w:t>
      </w:r>
      <w:r w:rsidR="00165144">
        <w:t>character</w:t>
      </w:r>
      <w:r>
        <w:t xml:space="preserve"> as separate </w:t>
      </w:r>
      <w:r w:rsidR="00165144">
        <w:t>individuals</w:t>
      </w:r>
      <w:r>
        <w:t xml:space="preserve"> whose differences in appearance, clothing, and body position can be seen all the more clearly in contrast</w:t>
      </w:r>
      <w:r w:rsidR="001225F4">
        <w:t>,</w:t>
      </w:r>
      <w:r>
        <w:t xml:space="preserve"> as if to bring out the essential differences between the two.</w:t>
      </w:r>
      <w:r w:rsidR="00AA3D29">
        <w:t xml:space="preserve">  The only other living being</w:t>
      </w:r>
      <w:r>
        <w:t>s</w:t>
      </w:r>
      <w:r w:rsidR="00AA3D29">
        <w:t xml:space="preserve"> present are the buried dragons down at the bottom of the picture, yet to be revealed by Merlin.  They too are essential because they cause the disruption in the building of Vortigern’s fortress and the fetching of Merlin, and they </w:t>
      </w:r>
      <w:r>
        <w:t>represent physically Merlin’s prophecy of two nations at war and their fates.</w:t>
      </w:r>
    </w:p>
    <w:p w14:paraId="6B82D21C" w14:textId="252F989D" w:rsidR="00165144" w:rsidRDefault="00165144" w:rsidP="005F351B">
      <w:pPr>
        <w:spacing w:line="480" w:lineRule="auto"/>
        <w:ind w:firstLine="720"/>
      </w:pPr>
      <w:r>
        <w:t>The way the two characters are depicted clearly reflects their difference in status.  Vortigern is seated on a throne with his hand held up and his finger pointing as if directing.</w:t>
      </w:r>
      <w:r w:rsidR="00C50BED">
        <w:t xml:space="preserve">  His is an authoritative pose.</w:t>
      </w:r>
      <w:r>
        <w:t xml:space="preserve">  His clothes are simple with no superfluous folds or decorative stitching or ornaments, such as rings or brooches, but still his clothes show his rank.  He wears a long garment and cloak </w:t>
      </w:r>
      <w:r w:rsidR="001316F9">
        <w:t>as well as</w:t>
      </w:r>
      <w:r>
        <w:t xml:space="preserve"> shoes fashionable in the thirteenth century, and his crown and </w:t>
      </w:r>
      <w:proofErr w:type="spellStart"/>
      <w:r>
        <w:t>sceptre</w:t>
      </w:r>
      <w:proofErr w:type="spellEnd"/>
      <w:r>
        <w:t xml:space="preserve"> mark him as a king.  Merlin, on the other hand, is standing.  Both his cotte and his cloak are short, and he wears no shoes.  He appears to be dressed as a peasant.</w:t>
      </w:r>
      <w:r w:rsidR="00511634">
        <w:rPr>
          <w:rStyle w:val="FootnoteReference"/>
        </w:rPr>
        <w:footnoteReference w:id="5"/>
      </w:r>
      <w:r>
        <w:t xml:space="preserve">  Further</w:t>
      </w:r>
      <w:r w:rsidR="001316F9">
        <w:t>,</w:t>
      </w:r>
      <w:r>
        <w:t xml:space="preserve"> the fact that he is a small boy is brought out by the fact that a seated Vortigern is still taller than he is.  The artist has made an effort to portray Vortigern as regal and impressive and to depict Merlin as someone of no apparent consequence socially</w:t>
      </w:r>
      <w:r w:rsidR="00572651">
        <w:t xml:space="preserve"> even though he was the son of a princess</w:t>
      </w:r>
      <w:r>
        <w:t>.  This is all the more significant because it is Merlin who will prove the stronger of the two characters</w:t>
      </w:r>
      <w:r w:rsidR="00511634">
        <w:t xml:space="preserve"> in this encounter.</w:t>
      </w:r>
      <w:r w:rsidR="00151C0D">
        <w:t xml:space="preserve">  It is curious that Merlin is also represented as holding an unrolled scroll from which he appears to be reading.  In </w:t>
      </w:r>
      <w:r w:rsidR="00151C0D">
        <w:rPr>
          <w:i/>
          <w:iCs/>
        </w:rPr>
        <w:t>HRB</w:t>
      </w:r>
      <w:r w:rsidR="00151C0D">
        <w:t>, the prophecies flow from Merlin’s mouth as they are given to him.  Perhaps the depiction of written prophecies is intended to give them more weight because they have become permanent.</w:t>
      </w:r>
      <w:r>
        <w:t xml:space="preserve">  The red dragon is positioned under Vortigern, and this is </w:t>
      </w:r>
      <w:r>
        <w:lastRenderedPageBreak/>
        <w:t>possibly because Merlin in his prophecy says that the red dragon represents Vortigern’s people</w:t>
      </w:r>
      <w:r w:rsidR="00511634">
        <w:t>.  The white dragon is place under Merlin, and perhaps this is because he, like Arthur, was appropriated by the Normans who were the heirs of the English.</w:t>
      </w:r>
    </w:p>
    <w:p w14:paraId="1974BC55" w14:textId="17E8E335" w:rsidR="00511634" w:rsidRDefault="00511634" w:rsidP="005F351B">
      <w:pPr>
        <w:spacing w:line="480" w:lineRule="auto"/>
        <w:ind w:firstLine="720"/>
      </w:pPr>
      <w:r>
        <w:t xml:space="preserve">The architecture depicted in the picture </w:t>
      </w:r>
      <w:r w:rsidR="00D553BB">
        <w:t xml:space="preserve">is </w:t>
      </w:r>
      <w:r>
        <w:t>Gothic with</w:t>
      </w:r>
      <w:r w:rsidR="00D553BB">
        <w:t xml:space="preserve"> Early English arches and carved</w:t>
      </w:r>
      <w:r>
        <w:t xml:space="preserve"> trefoils and quatrefoils</w:t>
      </w:r>
      <w:r w:rsidR="00D553BB">
        <w:t xml:space="preserve"> while</w:t>
      </w:r>
      <w:r>
        <w:t xml:space="preserve"> the pillar separating the two characters</w:t>
      </w:r>
      <w:r w:rsidR="00D553BB">
        <w:t xml:space="preserve"> is mounted by a Corinthian capital.</w:t>
      </w:r>
      <w:r>
        <w:rPr>
          <w:rStyle w:val="FootnoteReference"/>
        </w:rPr>
        <w:footnoteReference w:id="6"/>
      </w:r>
      <w:r w:rsidR="009E0C53">
        <w:t xml:space="preserve">  Thus the clothing and architecture in the image reflect closely the time at which this copy of </w:t>
      </w:r>
      <w:proofErr w:type="spellStart"/>
      <w:r w:rsidR="009E0C53">
        <w:rPr>
          <w:i/>
          <w:iCs/>
        </w:rPr>
        <w:t>Prophetiae</w:t>
      </w:r>
      <w:proofErr w:type="spellEnd"/>
      <w:r w:rsidR="009E0C53">
        <w:rPr>
          <w:i/>
          <w:iCs/>
        </w:rPr>
        <w:t xml:space="preserve"> </w:t>
      </w:r>
      <w:proofErr w:type="spellStart"/>
      <w:r w:rsidR="009E0C53">
        <w:rPr>
          <w:i/>
          <w:iCs/>
        </w:rPr>
        <w:t>Merlini</w:t>
      </w:r>
      <w:proofErr w:type="spellEnd"/>
      <w:r w:rsidR="009E0C53">
        <w:t xml:space="preserve"> was made.  This time period is also reflected in the way the image was executed.  It appears to have been created by using tinted drawing in which the outline of figures is made in dark ink and then </w:t>
      </w:r>
      <w:r w:rsidR="00A452D4">
        <w:t xml:space="preserve">a </w:t>
      </w:r>
      <w:proofErr w:type="spellStart"/>
      <w:r w:rsidR="009E0C53">
        <w:t>coloured</w:t>
      </w:r>
      <w:proofErr w:type="spellEnd"/>
      <w:r w:rsidR="009E0C53">
        <w:t xml:space="preserve"> wash added between the lines to add the color.  According to Michelle P. Brown, this method of creating illumination was popular</w:t>
      </w:r>
      <w:r w:rsidR="00151C0D">
        <w:t xml:space="preserve"> in England</w:t>
      </w:r>
      <w:r w:rsidR="009E0C53">
        <w:t xml:space="preserve"> before the Norman Conquest and returned again in the thirteenth century after its use by Matthew Paris.</w:t>
      </w:r>
      <w:r w:rsidR="009E0C53">
        <w:rPr>
          <w:rStyle w:val="FootnoteReference"/>
        </w:rPr>
        <w:footnoteReference w:id="7"/>
      </w:r>
    </w:p>
    <w:p w14:paraId="38B62CBF" w14:textId="01DD568B" w:rsidR="009E0C53" w:rsidRPr="00E129BA" w:rsidRDefault="00151C0D" w:rsidP="005F351B">
      <w:pPr>
        <w:spacing w:line="480" w:lineRule="auto"/>
        <w:ind w:firstLine="720"/>
      </w:pPr>
      <w:r>
        <w:t>T</w:t>
      </w:r>
      <w:r w:rsidR="009E0C53">
        <w:t>he manuscript containing this image has been dated to the middle of the thirteenth century</w:t>
      </w:r>
      <w:r>
        <w:t>, and t</w:t>
      </w:r>
      <w:r w:rsidR="009E0C53">
        <w:t>he British Library states that it cannot have been written prior to 1245.</w:t>
      </w:r>
      <w:r w:rsidR="00CF6640">
        <w:rPr>
          <w:rStyle w:val="FootnoteReference"/>
        </w:rPr>
        <w:footnoteReference w:id="8"/>
      </w:r>
      <w:r w:rsidR="00056FBE">
        <w:t xml:space="preserve">  This places the creation of the image and surrounding text during the reign of Henry III and during the growing unrest that led to the Second Barons’ War.</w:t>
      </w:r>
      <w:r w:rsidR="00E129BA">
        <w:t xml:space="preserve"> </w:t>
      </w:r>
      <w:r w:rsidR="00B927E4">
        <w:t xml:space="preserve"> Henry III was a weak</w:t>
      </w:r>
      <w:r w:rsidR="00E129BA">
        <w:t xml:space="preserve"> and often unpopular</w:t>
      </w:r>
      <w:r w:rsidR="00B927E4">
        <w:t xml:space="preserve"> king who saw repeated defeats at the hands of the French.  While Merlin’s prophecies were </w:t>
      </w:r>
      <w:r w:rsidR="00B927E4">
        <w:lastRenderedPageBreak/>
        <w:t>instantly popular in England and continued so from the moment they were written,</w:t>
      </w:r>
      <w:r w:rsidR="00CD614E">
        <w:t xml:space="preserve"> this period of uncertainty and setbacks for the English would have made such prophecies all the more comforting.  By seeing those prophecies that had been fulfilled, the reader could be assured that those that had not yet happened would also be fulfilled and could try to see current events in Merlin’s words about the future of Britain.  In this respect it is interesting to note that Wace in his translation of </w:t>
      </w:r>
      <w:r w:rsidR="00CD614E">
        <w:rPr>
          <w:i/>
          <w:iCs/>
        </w:rPr>
        <w:t>HRB</w:t>
      </w:r>
      <w:r w:rsidR="00CD614E">
        <w:t xml:space="preserve"> chose not to include Merlin’s prophecie</w:t>
      </w:r>
      <w:r w:rsidR="00E129BA">
        <w:t>s, only including those relating to Arthur and other figures</w:t>
      </w:r>
      <w:r w:rsidR="00781EA1">
        <w:t xml:space="preserve"> in</w:t>
      </w:r>
      <w:r w:rsidR="00E129BA">
        <w:t xml:space="preserve"> Geoffrey’s book</w:t>
      </w:r>
      <w:r w:rsidR="00CD614E">
        <w:t>.</w:t>
      </w:r>
      <w:r w:rsidR="0058638D">
        <w:rPr>
          <w:rStyle w:val="FootnoteReference"/>
        </w:rPr>
        <w:footnoteReference w:id="9"/>
      </w:r>
      <w:r w:rsidR="00CD614E">
        <w:t xml:space="preserve">  Stephen Knight has pointed out that Wace’s French readers would have had no use for </w:t>
      </w:r>
      <w:r w:rsidR="00E129BA">
        <w:t xml:space="preserve">political </w:t>
      </w:r>
      <w:r w:rsidR="00CD614E">
        <w:t>prophecies relating to a different nation and that this was common among other continental translations and renditions of Merlin in Arthurian</w:t>
      </w:r>
      <w:r w:rsidR="00781EA1">
        <w:t xml:space="preserve"> literature</w:t>
      </w:r>
      <w:r w:rsidR="00E129BA">
        <w:t>.  In continental version</w:t>
      </w:r>
      <w:r w:rsidR="00781EA1">
        <w:t>s</w:t>
      </w:r>
      <w:r w:rsidR="00E129BA">
        <w:t>, Merlin is more of a magician than a prophet.  However, among the English it was a different story with some English writers returning Merlin’s prophecies to their versions of Wace’s translation.</w:t>
      </w:r>
      <w:r w:rsidR="00E129BA">
        <w:rPr>
          <w:rStyle w:val="FootnoteReference"/>
        </w:rPr>
        <w:footnoteReference w:id="10"/>
      </w:r>
      <w:r w:rsidR="00E129BA">
        <w:t xml:space="preserve">  Thus, the creation of this </w:t>
      </w:r>
      <w:r w:rsidR="00004A3F">
        <w:t>picture</w:t>
      </w:r>
      <w:r w:rsidR="00E129BA">
        <w:t xml:space="preserve"> is significant.  Here is depicted not Merlin the magician, but Merlin the prophet as he is about to give his detailed prophecies of the future of Britain to Vortigern.</w:t>
      </w:r>
      <w:r w:rsidR="00BD40A4">
        <w:t xml:space="preserve">  It reflects the fact that it is an English book, and it shows just how important these prophecies were to the English writer and illuminator of this book.</w:t>
      </w:r>
    </w:p>
    <w:p w14:paraId="537F44AD" w14:textId="3238F097" w:rsidR="005F0AD5" w:rsidRDefault="00C31C3D" w:rsidP="005F351B">
      <w:pPr>
        <w:spacing w:line="480" w:lineRule="auto"/>
        <w:ind w:firstLine="720"/>
      </w:pPr>
      <w:r>
        <w:t xml:space="preserve">Muriel Whitaker has noted that </w:t>
      </w:r>
      <w:r w:rsidR="001316F9">
        <w:t xml:space="preserve">according to </w:t>
      </w:r>
      <w:r>
        <w:t>medieval ideas of literature and art</w:t>
      </w:r>
      <w:r w:rsidR="001316F9">
        <w:t>,</w:t>
      </w:r>
      <w:r>
        <w:t xml:space="preserve"> all such works </w:t>
      </w:r>
      <w:r w:rsidR="00693E0A">
        <w:t>had some kind of underlying idea: ‘Ideas are realized in images with metaphysical implications’.  This idea began with interpretations of the Bible, but it applied equally to secular works as well.</w:t>
      </w:r>
      <w:r w:rsidR="00693E0A">
        <w:rPr>
          <w:rStyle w:val="FootnoteReference"/>
        </w:rPr>
        <w:footnoteReference w:id="11"/>
      </w:r>
      <w:r w:rsidR="00693E0A">
        <w:t xml:space="preserve">  Thus, there is more to this </w:t>
      </w:r>
      <w:r w:rsidR="00004A3F">
        <w:t>picture</w:t>
      </w:r>
      <w:r w:rsidR="00693E0A">
        <w:t xml:space="preserve"> than the mere depiction of a king and boy and </w:t>
      </w:r>
      <w:r w:rsidR="00693E0A">
        <w:lastRenderedPageBreak/>
        <w:t xml:space="preserve">two dragons, and the modern viewer should try to see what message the medieval viewer would have found on looking at this </w:t>
      </w:r>
      <w:r w:rsidR="00004A3F">
        <w:t>picture</w:t>
      </w:r>
      <w:r w:rsidR="00693E0A">
        <w:t xml:space="preserve">.  In the case of this story, there is a clear use of symbolism found in the dragons, each of which represents a nation and its fortunes. </w:t>
      </w:r>
      <w:r>
        <w:t xml:space="preserve"> </w:t>
      </w:r>
      <w:r w:rsidR="00693E0A">
        <w:t>A modern method of interpretation that also seeks deeper meaning in images is the three levels of interpretation that form Erwin Panofsky’s method of interpreting an image</w:t>
      </w:r>
      <w:r w:rsidR="007B307B">
        <w:t xml:space="preserve">—what is actually depicted, what specific event it represents, and what it says about culture.  </w:t>
      </w:r>
      <w:r w:rsidR="00693E0A">
        <w:t>Peter Burke</w:t>
      </w:r>
      <w:r w:rsidR="007B307B">
        <w:t xml:space="preserve"> </w:t>
      </w:r>
      <w:r w:rsidR="00693E0A">
        <w:t>argues</w:t>
      </w:r>
      <w:r w:rsidR="007B307B">
        <w:t xml:space="preserve"> </w:t>
      </w:r>
      <w:r w:rsidR="00693E0A">
        <w:t>that</w:t>
      </w:r>
      <w:r w:rsidR="007B307B">
        <w:t xml:space="preserve"> this method, while often helpful, will often also produce inaccurate interpretations.</w:t>
      </w:r>
      <w:r w:rsidR="007B307B">
        <w:rPr>
          <w:rStyle w:val="FootnoteReference"/>
        </w:rPr>
        <w:footnoteReference w:id="12"/>
      </w:r>
      <w:r w:rsidR="007B307B">
        <w:t xml:space="preserve">  However, this </w:t>
      </w:r>
      <w:r w:rsidR="00004A3F">
        <w:t>picture</w:t>
      </w:r>
      <w:r w:rsidR="007B307B">
        <w:t xml:space="preserve"> conforms very well to Panofsky’s method of interpretation.  At the first level there are the two figures, Merlin and Vortigern, and the two dragons.  At the next level the reader/viewer knows that these are not just random dragons but that they represent two nations and their futures.  Finally, at the third level, this image reveals a concern with the future on the part of writer and illuminator and reader and viewer and a deep desire to know what the future will be and to have some assurance as to how everything will work out.</w:t>
      </w:r>
    </w:p>
    <w:p w14:paraId="4BA89115" w14:textId="737CD1A1" w:rsidR="007B307B" w:rsidRDefault="005F0AD5" w:rsidP="005F351B">
      <w:pPr>
        <w:spacing w:line="480" w:lineRule="auto"/>
        <w:ind w:firstLine="720"/>
      </w:pPr>
      <w:r>
        <w:t>It is also a reassuring image.  Vortigern is a weak and evil king faced by what appears to be an insignificant boy.  All the power appears to be on his side.  However, as Merlin tells Vortigern in the text and as the viewer would have known, it will not be long before that power is broken, and Vortigern is burned in one of his fortresses as just revenge for his evil deeds.  He is then followed by the successful reigns of Aurelius Ambrosius and Uther Pendragon and finally Arthur, all rightful heirs to the throne</w:t>
      </w:r>
      <w:r w:rsidR="00A452D4">
        <w:t xml:space="preserve"> </w:t>
      </w:r>
      <w:r w:rsidR="001225F4">
        <w:t xml:space="preserve">with </w:t>
      </w:r>
      <w:r w:rsidR="00A452D4">
        <w:t>the last</w:t>
      </w:r>
      <w:r w:rsidR="001225F4">
        <w:t xml:space="preserve"> being</w:t>
      </w:r>
      <w:r w:rsidR="00A452D4">
        <w:t xml:space="preserve"> the greatest of kings</w:t>
      </w:r>
      <w:r>
        <w:t>.  Thus the viewer can look at this picture and know that while things may seem uncertain, they can change in a moment</w:t>
      </w:r>
      <w:r w:rsidR="00802AC6">
        <w:t xml:space="preserve"> for the better</w:t>
      </w:r>
      <w:r>
        <w:t>.</w:t>
      </w:r>
    </w:p>
    <w:p w14:paraId="6BF27C11" w14:textId="5D85A2E8" w:rsidR="00C50BED" w:rsidRPr="00BC3D46" w:rsidRDefault="00C50BED" w:rsidP="005F351B">
      <w:pPr>
        <w:spacing w:line="480" w:lineRule="auto"/>
        <w:ind w:firstLine="720"/>
      </w:pPr>
      <w:r>
        <w:lastRenderedPageBreak/>
        <w:t xml:space="preserve">This </w:t>
      </w:r>
      <w:r w:rsidR="00004A3F">
        <w:t>drawing</w:t>
      </w:r>
      <w:r>
        <w:t xml:space="preserve"> of Merlin and Vortigern is a fascinating picture.  It illustrates a key </w:t>
      </w:r>
      <w:r w:rsidR="00BC3D46">
        <w:t>section</w:t>
      </w:r>
      <w:r>
        <w:t xml:space="preserve"> in the </w:t>
      </w:r>
      <w:r w:rsidR="00BC3D46">
        <w:rPr>
          <w:i/>
          <w:iCs/>
        </w:rPr>
        <w:t>HRB</w:t>
      </w:r>
      <w:r w:rsidR="00BC3D46">
        <w:t>, and the very fact that the illuminator chose to illustrate this section with so extensive a</w:t>
      </w:r>
      <w:r w:rsidR="00004A3F">
        <w:t xml:space="preserve"> picture</w:t>
      </w:r>
      <w:r w:rsidR="00BC3D46">
        <w:t xml:space="preserve"> reveals the very importance of Merlin’s prophecies.  The depiction of the characters serve to emphasize Merlin’s youth and innocence in the face of royal authority, giving assurance that his words could be trusted.  In an uncertain world, such trust in the future is indeed reassuring.</w:t>
      </w:r>
    </w:p>
    <w:p w14:paraId="59C421AB" w14:textId="68ACDBDC" w:rsidR="008B1EB0" w:rsidRPr="00221E27" w:rsidRDefault="008B1EB0" w:rsidP="002F3A11">
      <w:pPr>
        <w:ind w:firstLine="720"/>
      </w:pPr>
    </w:p>
    <w:p w14:paraId="3E97B949" w14:textId="5DABFE02" w:rsidR="00FF5D4C" w:rsidRDefault="00FF5D4C" w:rsidP="00FF5D4C"/>
    <w:p w14:paraId="2A3C806C" w14:textId="6E178613" w:rsidR="00FF5D4C" w:rsidRDefault="00FF5D4C" w:rsidP="00FF5D4C"/>
    <w:p w14:paraId="177F74C0" w14:textId="0FAEA852" w:rsidR="00FF5D4C" w:rsidRDefault="00FF5D4C" w:rsidP="00FF5D4C"/>
    <w:p w14:paraId="3A7BF89A" w14:textId="40FD093B" w:rsidR="00FF5D4C" w:rsidRDefault="00FF5D4C" w:rsidP="00FF5D4C"/>
    <w:p w14:paraId="4657FBBE" w14:textId="60722A71" w:rsidR="00FF5D4C" w:rsidRDefault="00FF5D4C" w:rsidP="00FF5D4C"/>
    <w:p w14:paraId="16D31C80" w14:textId="729BED26" w:rsidR="00CF6640" w:rsidRDefault="00CF6640" w:rsidP="00FF5D4C"/>
    <w:p w14:paraId="62E5AD7C" w14:textId="203D506E" w:rsidR="005F351B" w:rsidRDefault="005F351B" w:rsidP="00FF5D4C"/>
    <w:p w14:paraId="6B435264" w14:textId="10BCBCA5" w:rsidR="005F351B" w:rsidRDefault="005F351B" w:rsidP="00FF5D4C"/>
    <w:p w14:paraId="339DB23A" w14:textId="43CB1BF5" w:rsidR="005F351B" w:rsidRDefault="005F351B" w:rsidP="00FF5D4C"/>
    <w:p w14:paraId="61FC6B61" w14:textId="2BB05F3A" w:rsidR="005F351B" w:rsidRDefault="005F351B" w:rsidP="00FF5D4C"/>
    <w:p w14:paraId="2841F8A2" w14:textId="05EC1A0C" w:rsidR="005F351B" w:rsidRDefault="005F351B" w:rsidP="00FF5D4C"/>
    <w:p w14:paraId="4DB004DE" w14:textId="74B78F90" w:rsidR="005F351B" w:rsidRDefault="005F351B" w:rsidP="00FF5D4C"/>
    <w:p w14:paraId="410B7C20" w14:textId="70A5B85B" w:rsidR="005F351B" w:rsidRDefault="005F351B" w:rsidP="00FF5D4C"/>
    <w:p w14:paraId="209E6802" w14:textId="7808CC65" w:rsidR="005F351B" w:rsidRDefault="005F351B" w:rsidP="00FF5D4C"/>
    <w:p w14:paraId="04963D53" w14:textId="12BB4BBB" w:rsidR="005F351B" w:rsidRDefault="005F351B" w:rsidP="00FF5D4C"/>
    <w:p w14:paraId="36550FB7" w14:textId="78489D98" w:rsidR="005F351B" w:rsidRDefault="005F351B" w:rsidP="00FF5D4C"/>
    <w:p w14:paraId="14D2C050" w14:textId="74288CB5" w:rsidR="005F351B" w:rsidRDefault="005F351B" w:rsidP="00FF5D4C"/>
    <w:p w14:paraId="52AAFF2D" w14:textId="050C5245" w:rsidR="005F351B" w:rsidRDefault="005F351B" w:rsidP="00FF5D4C"/>
    <w:p w14:paraId="44BCCA47" w14:textId="19A8DBE3" w:rsidR="005F351B" w:rsidRDefault="005F351B" w:rsidP="00FF5D4C"/>
    <w:p w14:paraId="7E0861FC" w14:textId="22A40E8A" w:rsidR="005F351B" w:rsidRDefault="005F351B" w:rsidP="00FF5D4C"/>
    <w:p w14:paraId="0ACE7FB4" w14:textId="2F05DF61" w:rsidR="005F351B" w:rsidRDefault="005F351B" w:rsidP="00FF5D4C"/>
    <w:p w14:paraId="0F574E8E" w14:textId="236D478C" w:rsidR="005F351B" w:rsidRDefault="005F351B" w:rsidP="00FF5D4C"/>
    <w:p w14:paraId="325E94E9" w14:textId="71837A52" w:rsidR="005F351B" w:rsidRDefault="005F351B" w:rsidP="00FF5D4C"/>
    <w:p w14:paraId="5BF88729" w14:textId="686614F8" w:rsidR="005F351B" w:rsidRDefault="005F351B" w:rsidP="00FF5D4C"/>
    <w:p w14:paraId="2F3F6F92" w14:textId="2FA80916" w:rsidR="005F351B" w:rsidRDefault="005F351B" w:rsidP="00FF5D4C"/>
    <w:p w14:paraId="5C714AB0" w14:textId="014B1689" w:rsidR="005F351B" w:rsidRDefault="005F351B" w:rsidP="00FF5D4C"/>
    <w:p w14:paraId="38AC3C05" w14:textId="428752C6" w:rsidR="005F351B" w:rsidRDefault="005F351B" w:rsidP="00FF5D4C"/>
    <w:p w14:paraId="5C7F5BC1" w14:textId="77777777" w:rsidR="005F351B" w:rsidRDefault="005F351B" w:rsidP="00FF5D4C"/>
    <w:p w14:paraId="19B7EBE4" w14:textId="79D0349C" w:rsidR="00CF6640" w:rsidRDefault="00CF6640" w:rsidP="00FF5D4C"/>
    <w:p w14:paraId="2CDB22EE" w14:textId="6DD7E02C" w:rsidR="007F030F" w:rsidRDefault="007F030F" w:rsidP="00FF5D4C"/>
    <w:p w14:paraId="0DBFDE6A" w14:textId="77777777" w:rsidR="007F030F" w:rsidRDefault="007F030F" w:rsidP="00FF5D4C"/>
    <w:p w14:paraId="4271E30C" w14:textId="77777777" w:rsidR="00CF6640" w:rsidRDefault="00CF6640" w:rsidP="00FF5D4C"/>
    <w:p w14:paraId="1004C9DB" w14:textId="77777777" w:rsidR="00FF5D4C" w:rsidRDefault="00FF5D4C" w:rsidP="00FF5D4C"/>
    <w:p w14:paraId="6D5B36C8" w14:textId="4DACF819" w:rsidR="00FF5D4C" w:rsidRDefault="00FF5D4C" w:rsidP="00FF5D4C">
      <w:pPr>
        <w:jc w:val="center"/>
      </w:pPr>
      <w:r>
        <w:lastRenderedPageBreak/>
        <w:t>BIBLIOGRAPHY</w:t>
      </w:r>
    </w:p>
    <w:p w14:paraId="248A8186" w14:textId="77777777" w:rsidR="00FF5D4C" w:rsidRDefault="00FF5D4C" w:rsidP="00FF5D4C"/>
    <w:p w14:paraId="3F4B4EB4" w14:textId="77777777" w:rsidR="00FF5D4C" w:rsidRDefault="00FF5D4C" w:rsidP="00FF5D4C">
      <w:r>
        <w:t xml:space="preserve">Brown, Michelle P., </w:t>
      </w:r>
      <w:r>
        <w:rPr>
          <w:i/>
          <w:iCs/>
        </w:rPr>
        <w:t>Understanding Illuminated Manuscripts: A Guide to Technical Terms</w:t>
      </w:r>
      <w:r>
        <w:t xml:space="preserve">, rev. </w:t>
      </w:r>
    </w:p>
    <w:p w14:paraId="01CB76DE" w14:textId="58B8DA74" w:rsidR="009E63E7" w:rsidRDefault="00FF5D4C" w:rsidP="00FF5D4C">
      <w:pPr>
        <w:ind w:left="720"/>
      </w:pPr>
      <w:r>
        <w:t xml:space="preserve">by Elizabeth C. </w:t>
      </w:r>
      <w:proofErr w:type="spellStart"/>
      <w:r>
        <w:t>Teviotdale</w:t>
      </w:r>
      <w:proofErr w:type="spellEnd"/>
      <w:r>
        <w:t xml:space="preserve"> and Nancy K. Turner (Los Angeles: J. Paul Getty Museum, Los Angeles, 2008).</w:t>
      </w:r>
    </w:p>
    <w:p w14:paraId="46A16EA7" w14:textId="03346781" w:rsidR="00FF5D4C" w:rsidRDefault="00FF5D4C" w:rsidP="00FF5D4C"/>
    <w:p w14:paraId="410EC575" w14:textId="77777777" w:rsidR="009E0428" w:rsidRDefault="009E0428" w:rsidP="009E0428">
      <w:r>
        <w:t xml:space="preserve">Burke, Peter, </w:t>
      </w:r>
      <w:proofErr w:type="spellStart"/>
      <w:r>
        <w:rPr>
          <w:i/>
          <w:iCs/>
        </w:rPr>
        <w:t>Eyewitnessing</w:t>
      </w:r>
      <w:proofErr w:type="spellEnd"/>
      <w:r>
        <w:rPr>
          <w:i/>
          <w:iCs/>
        </w:rPr>
        <w:t>: The Uses of Images as Historical Evidence</w:t>
      </w:r>
      <w:r>
        <w:t xml:space="preserve"> (New York: Cornell </w:t>
      </w:r>
    </w:p>
    <w:p w14:paraId="6B770A17" w14:textId="1AEA4E36" w:rsidR="00FF5D4C" w:rsidRDefault="009E0428" w:rsidP="009B3E5D">
      <w:pPr>
        <w:ind w:firstLine="720"/>
      </w:pPr>
      <w:r>
        <w:t>University Press, 2001).</w:t>
      </w:r>
    </w:p>
    <w:p w14:paraId="3AE12C8E" w14:textId="1A32EB8C" w:rsidR="00FF5D4C" w:rsidRDefault="00FF5D4C" w:rsidP="00FF5D4C"/>
    <w:p w14:paraId="33C855EC" w14:textId="77777777" w:rsidR="00572651" w:rsidRDefault="00572651" w:rsidP="00572651">
      <w:r>
        <w:t xml:space="preserve">Geoffrey of Monmouth, </w:t>
      </w:r>
      <w:r>
        <w:rPr>
          <w:i/>
          <w:iCs/>
        </w:rPr>
        <w:t>The History of the Kings of Britain</w:t>
      </w:r>
      <w:r>
        <w:t xml:space="preserve">, trans. and ed. by Michael A. </w:t>
      </w:r>
      <w:proofErr w:type="spellStart"/>
      <w:r>
        <w:t>Faletra</w:t>
      </w:r>
      <w:proofErr w:type="spellEnd"/>
      <w:r>
        <w:t xml:space="preserve"> </w:t>
      </w:r>
    </w:p>
    <w:p w14:paraId="4E84EEF7" w14:textId="3CABCE0E" w:rsidR="00FF5D4C" w:rsidRDefault="00572651" w:rsidP="005F351B">
      <w:pPr>
        <w:ind w:firstLine="720"/>
      </w:pPr>
      <w:r>
        <w:t>(Plymouth, Broadview Editions, 2008).</w:t>
      </w:r>
    </w:p>
    <w:p w14:paraId="727DF42F" w14:textId="608DA7A4" w:rsidR="00FF5D4C" w:rsidRDefault="00FF5D4C" w:rsidP="00FF5D4C"/>
    <w:p w14:paraId="06E73EB0" w14:textId="18530B58" w:rsidR="002F3A11" w:rsidRDefault="002F3A11" w:rsidP="002F3A11">
      <w:r>
        <w:t xml:space="preserve">Henley, Georgia and Joshua Byron Smith, </w:t>
      </w:r>
      <w:r>
        <w:rPr>
          <w:i/>
          <w:iCs/>
        </w:rPr>
        <w:t>A Companion to Geoffrey of Monmouth</w:t>
      </w:r>
      <w:r>
        <w:t xml:space="preserve"> (Leiden: </w:t>
      </w:r>
    </w:p>
    <w:p w14:paraId="705C960A" w14:textId="44E6E8F7" w:rsidR="002F3A11" w:rsidRPr="00236F3C" w:rsidRDefault="002F3A11" w:rsidP="002F3A11">
      <w:pPr>
        <w:ind w:firstLine="720"/>
      </w:pPr>
      <w:r>
        <w:t>Brill, 2020).</w:t>
      </w:r>
    </w:p>
    <w:p w14:paraId="35653677" w14:textId="3E9B5ECE" w:rsidR="002F3A11" w:rsidRDefault="002F3A11" w:rsidP="00FF5D4C"/>
    <w:p w14:paraId="72A7C7F4" w14:textId="77777777" w:rsidR="00975190" w:rsidRPr="00303970" w:rsidRDefault="00975190" w:rsidP="00975190">
      <w:r>
        <w:t xml:space="preserve">Howells, Richard, </w:t>
      </w:r>
      <w:r>
        <w:rPr>
          <w:i/>
          <w:iCs/>
        </w:rPr>
        <w:t>Visual Culture</w:t>
      </w:r>
      <w:r>
        <w:t xml:space="preserve"> (Cambridge: Polity Press, 2003).</w:t>
      </w:r>
    </w:p>
    <w:p w14:paraId="6990CA24" w14:textId="77777777" w:rsidR="00975190" w:rsidRDefault="00975190" w:rsidP="00FF5D4C"/>
    <w:p w14:paraId="7621A51D" w14:textId="08BF1BAF" w:rsidR="00221E27" w:rsidRDefault="00221E27" w:rsidP="00221E27">
      <w:r>
        <w:t xml:space="preserve">Knight, Stephen, </w:t>
      </w:r>
      <w:r>
        <w:rPr>
          <w:i/>
          <w:iCs/>
        </w:rPr>
        <w:t>Merlin: Knowledge and Power through the Ages</w:t>
      </w:r>
      <w:r>
        <w:t xml:space="preserve"> (Ithaca: Cornell University </w:t>
      </w:r>
    </w:p>
    <w:p w14:paraId="03C83F1A" w14:textId="6B088AE5" w:rsidR="00221E27" w:rsidRPr="004D5A49" w:rsidRDefault="00221E27" w:rsidP="00221E27">
      <w:pPr>
        <w:ind w:firstLine="720"/>
      </w:pPr>
      <w:r>
        <w:t>Press, 2009).</w:t>
      </w:r>
    </w:p>
    <w:p w14:paraId="4461C725" w14:textId="77777777" w:rsidR="00221E27" w:rsidRDefault="00221E27" w:rsidP="00FF5D4C"/>
    <w:p w14:paraId="6367FFD4" w14:textId="77777777" w:rsidR="00FF5D4C" w:rsidRDefault="00FF5D4C" w:rsidP="00FF5D4C">
      <w:r>
        <w:t xml:space="preserve">Norris, Herbert, </w:t>
      </w:r>
      <w:r>
        <w:rPr>
          <w:i/>
          <w:iCs/>
        </w:rPr>
        <w:t>Medieval Costume and Fashion</w:t>
      </w:r>
      <w:r>
        <w:t xml:space="preserve"> (Mineola: Dover Publications, Inc., 1999).</w:t>
      </w:r>
    </w:p>
    <w:p w14:paraId="57AB5851" w14:textId="27CE5124" w:rsidR="00FF5D4C" w:rsidRDefault="00FF5D4C" w:rsidP="00FF5D4C"/>
    <w:p w14:paraId="1068515B" w14:textId="77777777" w:rsidR="00572651" w:rsidRDefault="0058638D" w:rsidP="00572651">
      <w:r>
        <w:t xml:space="preserve">Wace and Layamon, </w:t>
      </w:r>
      <w:r>
        <w:rPr>
          <w:i/>
          <w:iCs/>
        </w:rPr>
        <w:t>Arthurian Chronicles</w:t>
      </w:r>
      <w:r>
        <w:t xml:space="preserve">, trans. by Eugene Mason (Toronto: University of </w:t>
      </w:r>
    </w:p>
    <w:p w14:paraId="6CF8863D" w14:textId="6F41A63E" w:rsidR="00FF5D4C" w:rsidRDefault="0058638D" w:rsidP="00572651">
      <w:pPr>
        <w:ind w:firstLine="720"/>
      </w:pPr>
      <w:r>
        <w:t>Toronto Press, 1996)</w:t>
      </w:r>
      <w:r w:rsidR="009B3E5D">
        <w:t>.</w:t>
      </w:r>
    </w:p>
    <w:p w14:paraId="44937D4D" w14:textId="693AD8A6" w:rsidR="009B3E5D" w:rsidRDefault="009B3E5D" w:rsidP="009B3E5D"/>
    <w:p w14:paraId="119644CE" w14:textId="2BB19CDC" w:rsidR="009B3E5D" w:rsidRDefault="009B3E5D" w:rsidP="009B3E5D">
      <w:r>
        <w:t xml:space="preserve">Whitaker, Muriel, </w:t>
      </w:r>
      <w:r>
        <w:rPr>
          <w:i/>
          <w:iCs/>
        </w:rPr>
        <w:t>The Legends of King Arthur in Art</w:t>
      </w:r>
      <w:r>
        <w:t xml:space="preserve"> (Cambridge: D. S. Brewer, 1990).</w:t>
      </w:r>
    </w:p>
    <w:p w14:paraId="1291CDA1" w14:textId="7E8A4877" w:rsidR="00FF5D4C" w:rsidRDefault="00FF5D4C" w:rsidP="00FF5D4C"/>
    <w:p w14:paraId="1A0AF92A" w14:textId="32058485" w:rsidR="00FF5D4C" w:rsidRDefault="00FF5D4C" w:rsidP="00FF5D4C"/>
    <w:p w14:paraId="18B9A801" w14:textId="256EDEFE" w:rsidR="00FF5D4C" w:rsidRDefault="00FF5D4C" w:rsidP="00FF5D4C"/>
    <w:p w14:paraId="296D8BB2" w14:textId="6A94E1D6" w:rsidR="00FF5D4C" w:rsidRDefault="00FF5D4C" w:rsidP="00FF5D4C"/>
    <w:p w14:paraId="6CA8B518" w14:textId="1F383835" w:rsidR="00FF5D4C" w:rsidRDefault="00FF5D4C" w:rsidP="00FF5D4C"/>
    <w:p w14:paraId="4AD0FEAD" w14:textId="4EC7203E" w:rsidR="00FF5D4C" w:rsidRDefault="00FF5D4C" w:rsidP="00FF5D4C"/>
    <w:p w14:paraId="482CCBDB" w14:textId="79956885" w:rsidR="00FF5D4C" w:rsidRDefault="00FF5D4C" w:rsidP="00FF5D4C"/>
    <w:p w14:paraId="73D7BFF5" w14:textId="36EC0DC5" w:rsidR="00FF5D4C" w:rsidRDefault="00FF5D4C" w:rsidP="00FF5D4C"/>
    <w:p w14:paraId="18D90A79" w14:textId="59737782" w:rsidR="00FF5D4C" w:rsidRDefault="00FF5D4C" w:rsidP="00FF5D4C"/>
    <w:p w14:paraId="3DBC8EDE" w14:textId="05C1AFEC" w:rsidR="00FF5D4C" w:rsidRDefault="00FF5D4C" w:rsidP="00FF5D4C"/>
    <w:p w14:paraId="728698F8" w14:textId="456A8379" w:rsidR="00FF5D4C" w:rsidRDefault="00FF5D4C" w:rsidP="00FF5D4C">
      <w:r>
        <w:rPr>
          <w:noProof/>
        </w:rPr>
        <w:lastRenderedPageBreak/>
        <w:drawing>
          <wp:inline distT="0" distB="0" distL="0" distR="0" wp14:anchorId="2B626F08" wp14:editId="699CF4DC">
            <wp:extent cx="5943600" cy="75571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943600" cy="7557135"/>
                    </a:xfrm>
                    <a:prstGeom prst="rect">
                      <a:avLst/>
                    </a:prstGeom>
                  </pic:spPr>
                </pic:pic>
              </a:graphicData>
            </a:graphic>
          </wp:inline>
        </w:drawing>
      </w:r>
    </w:p>
    <w:p w14:paraId="224293D9" w14:textId="284768DA" w:rsidR="00FF5D4C" w:rsidRDefault="00FF5D4C" w:rsidP="00FF5D4C">
      <w:r w:rsidRPr="007F030F">
        <w:t>Image</w:t>
      </w:r>
      <w:r>
        <w:t xml:space="preserve"> taken from </w:t>
      </w:r>
      <w:r w:rsidR="007F030F">
        <w:t>London,</w:t>
      </w:r>
      <w:r>
        <w:t xml:space="preserve"> British Library</w:t>
      </w:r>
      <w:r w:rsidR="007F030F">
        <w:t>, Cotton MS Claudius B VII, f.224r</w:t>
      </w:r>
    </w:p>
    <w:p w14:paraId="37DF2CC7" w14:textId="4384DA1B" w:rsidR="00CF6640" w:rsidRDefault="007F030F" w:rsidP="00FF5D4C">
      <w:r>
        <w:t>&lt;</w:t>
      </w:r>
      <w:r w:rsidR="00CF6640" w:rsidRPr="00CF6640">
        <w:t>https://www.bl.uk/onlinegallery/onlineex/illmanus/cottmanucoll/m/011cotclab00007u00224000.html</w:t>
      </w:r>
      <w:r>
        <w:t>&gt;</w:t>
      </w:r>
      <w:r w:rsidR="00CF6640">
        <w:t xml:space="preserve"> </w:t>
      </w:r>
      <w:r>
        <w:t>[</w:t>
      </w:r>
      <w:r w:rsidR="00CF6640">
        <w:t>accessed 30 November, 2022</w:t>
      </w:r>
      <w:r>
        <w:t>]</w:t>
      </w:r>
    </w:p>
    <w:sectPr w:rsidR="00CF6640" w:rsidSect="0034312B">
      <w:headerReference w:type="even" r:id="rId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DDDCC" w14:textId="77777777" w:rsidR="00AA208F" w:rsidRDefault="00AA208F" w:rsidP="002F3A11">
      <w:r>
        <w:separator/>
      </w:r>
    </w:p>
  </w:endnote>
  <w:endnote w:type="continuationSeparator" w:id="0">
    <w:p w14:paraId="4A4A959A" w14:textId="77777777" w:rsidR="00AA208F" w:rsidRDefault="00AA208F" w:rsidP="002F3A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8F6D8" w14:textId="77777777" w:rsidR="00AA208F" w:rsidRDefault="00AA208F" w:rsidP="002F3A11">
      <w:r>
        <w:separator/>
      </w:r>
    </w:p>
  </w:footnote>
  <w:footnote w:type="continuationSeparator" w:id="0">
    <w:p w14:paraId="368BAB16" w14:textId="77777777" w:rsidR="00AA208F" w:rsidRDefault="00AA208F" w:rsidP="002F3A11">
      <w:r>
        <w:continuationSeparator/>
      </w:r>
    </w:p>
  </w:footnote>
  <w:footnote w:id="1">
    <w:p w14:paraId="3A3B67D8" w14:textId="77777777" w:rsidR="009B3E5D" w:rsidRPr="00165144" w:rsidRDefault="009B3E5D" w:rsidP="009B3E5D">
      <w:pPr>
        <w:rPr>
          <w:sz w:val="20"/>
          <w:szCs w:val="20"/>
        </w:rPr>
      </w:pPr>
      <w:r w:rsidRPr="00165144">
        <w:rPr>
          <w:rStyle w:val="FootnoteReference"/>
          <w:sz w:val="20"/>
          <w:szCs w:val="20"/>
        </w:rPr>
        <w:footnoteRef/>
      </w:r>
      <w:r w:rsidRPr="00165144">
        <w:rPr>
          <w:sz w:val="20"/>
          <w:szCs w:val="20"/>
        </w:rPr>
        <w:t xml:space="preserve"> Joshua Byron, ‘Introduction and Biography’ in Georgia Henley and Joshua Byron Smith, </w:t>
      </w:r>
      <w:r w:rsidRPr="00165144">
        <w:rPr>
          <w:i/>
          <w:iCs/>
          <w:sz w:val="20"/>
          <w:szCs w:val="20"/>
        </w:rPr>
        <w:t>A Companion to Geoffrey of Monmouth</w:t>
      </w:r>
      <w:r w:rsidRPr="00165144">
        <w:rPr>
          <w:sz w:val="20"/>
          <w:szCs w:val="20"/>
        </w:rPr>
        <w:t xml:space="preserve"> (Leiden: Brill, 2020), p. 1)</w:t>
      </w:r>
    </w:p>
  </w:footnote>
  <w:footnote w:id="2">
    <w:p w14:paraId="2DD9C146" w14:textId="77777777" w:rsidR="005F351B" w:rsidRDefault="005F351B">
      <w:pPr>
        <w:pStyle w:val="FootnoteText"/>
      </w:pPr>
    </w:p>
    <w:p w14:paraId="3EC7CE73" w14:textId="2F96236C" w:rsidR="009B3E5D" w:rsidRPr="009B3E5D" w:rsidRDefault="009B3E5D">
      <w:pPr>
        <w:pStyle w:val="FootnoteText"/>
      </w:pPr>
      <w:r>
        <w:rPr>
          <w:rStyle w:val="FootnoteReference"/>
        </w:rPr>
        <w:footnoteRef/>
      </w:r>
      <w:r>
        <w:t xml:space="preserve"> Muriel Whitaker, </w:t>
      </w:r>
      <w:r>
        <w:rPr>
          <w:i/>
          <w:iCs/>
        </w:rPr>
        <w:t>The Legends of King Arthur in Art</w:t>
      </w:r>
      <w:r>
        <w:t xml:space="preserve"> (Cambridge: D. S. Brewer, 1990), p. 35.</w:t>
      </w:r>
    </w:p>
  </w:footnote>
  <w:footnote w:id="3">
    <w:p w14:paraId="2A2E010B" w14:textId="77777777" w:rsidR="005F351B" w:rsidRDefault="005F351B">
      <w:pPr>
        <w:pStyle w:val="FootnoteText"/>
      </w:pPr>
    </w:p>
    <w:p w14:paraId="71EF1350" w14:textId="15D86882" w:rsidR="00A77623" w:rsidRPr="00A77623" w:rsidRDefault="00A77623">
      <w:pPr>
        <w:pStyle w:val="FootnoteText"/>
      </w:pPr>
      <w:r>
        <w:rPr>
          <w:rStyle w:val="FootnoteReference"/>
        </w:rPr>
        <w:footnoteRef/>
      </w:r>
      <w:r>
        <w:t xml:space="preserve"> Richard Howells, </w:t>
      </w:r>
      <w:r>
        <w:rPr>
          <w:i/>
          <w:iCs/>
        </w:rPr>
        <w:t>Visual Culture</w:t>
      </w:r>
      <w:r>
        <w:t xml:space="preserve"> (Cambridge: Polity Press, 2003), pp. 5</w:t>
      </w:r>
      <w:r w:rsidR="00C81A3E">
        <w:t>, 17–18.</w:t>
      </w:r>
    </w:p>
  </w:footnote>
  <w:footnote w:id="4">
    <w:p w14:paraId="694F391C" w14:textId="77777777" w:rsidR="005F351B" w:rsidRDefault="005F351B" w:rsidP="001B1C29">
      <w:pPr>
        <w:pStyle w:val="FootnoteText"/>
      </w:pPr>
    </w:p>
    <w:p w14:paraId="4F1E352A" w14:textId="41EAD737" w:rsidR="001B1C29" w:rsidRDefault="001B1C29" w:rsidP="001B1C29">
      <w:pPr>
        <w:pStyle w:val="FootnoteText"/>
      </w:pPr>
      <w:r>
        <w:rPr>
          <w:rStyle w:val="FootnoteReference"/>
        </w:rPr>
        <w:footnoteRef/>
      </w:r>
      <w:r>
        <w:t xml:space="preserve"> </w:t>
      </w:r>
      <w:r w:rsidR="00A77623">
        <w:t xml:space="preserve">Whitaker, </w:t>
      </w:r>
      <w:r w:rsidR="00A77623">
        <w:rPr>
          <w:i/>
          <w:iCs/>
        </w:rPr>
        <w:t>The Legends of King Arthur in Art</w:t>
      </w:r>
      <w:r w:rsidR="00A77623">
        <w:t>,</w:t>
      </w:r>
      <w:r w:rsidR="00A77623">
        <w:rPr>
          <w:i/>
          <w:iCs/>
        </w:rPr>
        <w:t xml:space="preserve"> </w:t>
      </w:r>
      <w:r>
        <w:t>p. 35.</w:t>
      </w:r>
    </w:p>
  </w:footnote>
  <w:footnote w:id="5">
    <w:p w14:paraId="0B38EAF7" w14:textId="3CAD4B07" w:rsidR="00511634" w:rsidRPr="00511634" w:rsidRDefault="00511634" w:rsidP="00511634">
      <w:pPr>
        <w:rPr>
          <w:sz w:val="20"/>
          <w:szCs w:val="20"/>
        </w:rPr>
      </w:pPr>
      <w:r w:rsidRPr="00511634">
        <w:rPr>
          <w:rStyle w:val="FootnoteReference"/>
          <w:sz w:val="20"/>
          <w:szCs w:val="20"/>
        </w:rPr>
        <w:footnoteRef/>
      </w:r>
      <w:r w:rsidRPr="00511634">
        <w:rPr>
          <w:sz w:val="20"/>
          <w:szCs w:val="20"/>
        </w:rPr>
        <w:t xml:space="preserve"> Herbert Norris, </w:t>
      </w:r>
      <w:r w:rsidRPr="00511634">
        <w:rPr>
          <w:i/>
          <w:iCs/>
          <w:sz w:val="20"/>
          <w:szCs w:val="20"/>
        </w:rPr>
        <w:t>Medieval Costume and Fashion</w:t>
      </w:r>
      <w:r w:rsidRPr="00511634">
        <w:rPr>
          <w:sz w:val="20"/>
          <w:szCs w:val="20"/>
        </w:rPr>
        <w:t xml:space="preserve"> (Mineola: Dover Publications, Inc., 1999), pp. 151–155, 172–173, 181–182.</w:t>
      </w:r>
    </w:p>
  </w:footnote>
  <w:footnote w:id="6">
    <w:p w14:paraId="61E5BFEA" w14:textId="5CAA4AC4" w:rsidR="00511634" w:rsidRPr="00C31C3D" w:rsidRDefault="00511634" w:rsidP="00511634">
      <w:pPr>
        <w:rPr>
          <w:sz w:val="20"/>
          <w:szCs w:val="20"/>
        </w:rPr>
      </w:pPr>
      <w:r w:rsidRPr="00511634">
        <w:rPr>
          <w:rStyle w:val="FootnoteReference"/>
          <w:sz w:val="20"/>
          <w:szCs w:val="20"/>
        </w:rPr>
        <w:footnoteRef/>
      </w:r>
      <w:r w:rsidRPr="00511634">
        <w:rPr>
          <w:sz w:val="20"/>
          <w:szCs w:val="20"/>
        </w:rPr>
        <w:t xml:space="preserve"> </w:t>
      </w:r>
      <w:r w:rsidR="00C31C3D">
        <w:rPr>
          <w:sz w:val="20"/>
          <w:szCs w:val="20"/>
        </w:rPr>
        <w:t xml:space="preserve">Whitaker, </w:t>
      </w:r>
      <w:r w:rsidR="00C31C3D">
        <w:rPr>
          <w:i/>
          <w:iCs/>
          <w:sz w:val="20"/>
          <w:szCs w:val="20"/>
        </w:rPr>
        <w:t>The Legends of King Arthur in Art</w:t>
      </w:r>
      <w:r w:rsidR="00C31C3D">
        <w:rPr>
          <w:sz w:val="20"/>
          <w:szCs w:val="20"/>
        </w:rPr>
        <w:t>, pp. 29, 35.</w:t>
      </w:r>
    </w:p>
  </w:footnote>
  <w:footnote w:id="7">
    <w:p w14:paraId="31513C93" w14:textId="77777777" w:rsidR="005F351B" w:rsidRDefault="005F351B" w:rsidP="009E0C53">
      <w:pPr>
        <w:rPr>
          <w:rFonts w:asciiTheme="majorBidi" w:hAnsiTheme="majorBidi"/>
          <w:sz w:val="20"/>
          <w:szCs w:val="20"/>
        </w:rPr>
      </w:pPr>
    </w:p>
    <w:p w14:paraId="46374C0F" w14:textId="1F4EE91A" w:rsidR="009E0C53" w:rsidRPr="00987BB4" w:rsidRDefault="009E0C53" w:rsidP="009E0C53">
      <w:pPr>
        <w:rPr>
          <w:rFonts w:asciiTheme="majorBidi" w:hAnsiTheme="majorBidi"/>
          <w:sz w:val="20"/>
          <w:szCs w:val="20"/>
        </w:rPr>
      </w:pPr>
      <w:r w:rsidRPr="00987BB4">
        <w:rPr>
          <w:rStyle w:val="FootnoteReference"/>
          <w:rFonts w:asciiTheme="majorBidi" w:hAnsiTheme="majorBidi"/>
          <w:sz w:val="20"/>
          <w:szCs w:val="20"/>
        </w:rPr>
        <w:footnoteRef/>
      </w:r>
      <w:r w:rsidRPr="00987BB4">
        <w:rPr>
          <w:rFonts w:asciiTheme="majorBidi" w:hAnsiTheme="majorBidi"/>
          <w:sz w:val="20"/>
          <w:szCs w:val="20"/>
        </w:rPr>
        <w:t xml:space="preserve"> Michelle P. Brown, </w:t>
      </w:r>
      <w:r w:rsidRPr="00987BB4">
        <w:rPr>
          <w:rFonts w:asciiTheme="majorBidi" w:hAnsiTheme="majorBidi"/>
          <w:i/>
          <w:iCs/>
          <w:sz w:val="20"/>
          <w:szCs w:val="20"/>
        </w:rPr>
        <w:t>Understanding Illuminated Manuscripts: A Guide to Technical Terms</w:t>
      </w:r>
      <w:r w:rsidRPr="00987BB4">
        <w:rPr>
          <w:rFonts w:asciiTheme="majorBidi" w:hAnsiTheme="majorBidi"/>
          <w:sz w:val="20"/>
          <w:szCs w:val="20"/>
        </w:rPr>
        <w:t xml:space="preserve">, rev. by Elizabeth C. </w:t>
      </w:r>
      <w:proofErr w:type="spellStart"/>
      <w:r w:rsidRPr="00987BB4">
        <w:rPr>
          <w:rFonts w:asciiTheme="majorBidi" w:hAnsiTheme="majorBidi"/>
          <w:sz w:val="20"/>
          <w:szCs w:val="20"/>
        </w:rPr>
        <w:t>Teviotdale</w:t>
      </w:r>
      <w:proofErr w:type="spellEnd"/>
      <w:r w:rsidRPr="00987BB4">
        <w:rPr>
          <w:rFonts w:asciiTheme="majorBidi" w:hAnsiTheme="majorBidi"/>
          <w:sz w:val="20"/>
          <w:szCs w:val="20"/>
        </w:rPr>
        <w:t xml:space="preserve"> and Nancy K. Turner (Los Angeles: J. Paul Getty Museum, Los Angeles, 2008), p. 107.</w:t>
      </w:r>
    </w:p>
  </w:footnote>
  <w:footnote w:id="8">
    <w:p w14:paraId="1775F524" w14:textId="77777777" w:rsidR="005F351B" w:rsidRDefault="005F351B" w:rsidP="00987BB4">
      <w:pPr>
        <w:pStyle w:val="Heading1"/>
        <w:spacing w:before="0" w:beforeAutospacing="0" w:after="0" w:afterAutospacing="0"/>
        <w:rPr>
          <w:rFonts w:asciiTheme="majorBidi" w:hAnsiTheme="majorBidi" w:cstheme="majorBidi"/>
          <w:b w:val="0"/>
          <w:bCs w:val="0"/>
          <w:sz w:val="20"/>
          <w:szCs w:val="20"/>
        </w:rPr>
      </w:pPr>
    </w:p>
    <w:p w14:paraId="2C9D5240" w14:textId="148D9ABD" w:rsidR="00CF6640" w:rsidRPr="00987BB4" w:rsidRDefault="00CF6640" w:rsidP="00987BB4">
      <w:pPr>
        <w:pStyle w:val="Heading1"/>
        <w:spacing w:before="0" w:beforeAutospacing="0" w:after="0" w:afterAutospacing="0"/>
        <w:rPr>
          <w:rFonts w:ascii="Arial" w:hAnsi="Arial" w:cs="Arial"/>
          <w:color w:val="32322F"/>
          <w:sz w:val="34"/>
          <w:szCs w:val="34"/>
        </w:rPr>
      </w:pPr>
      <w:r w:rsidRPr="00987BB4">
        <w:rPr>
          <w:rStyle w:val="FootnoteReference"/>
          <w:rFonts w:asciiTheme="majorBidi" w:hAnsiTheme="majorBidi" w:cstheme="majorBidi"/>
          <w:b w:val="0"/>
          <w:bCs w:val="0"/>
          <w:sz w:val="20"/>
          <w:szCs w:val="20"/>
        </w:rPr>
        <w:footnoteRef/>
      </w:r>
      <w:r w:rsidRPr="00987BB4">
        <w:rPr>
          <w:rFonts w:asciiTheme="majorBidi" w:hAnsiTheme="majorBidi" w:cstheme="majorBidi"/>
          <w:b w:val="0"/>
          <w:bCs w:val="0"/>
          <w:sz w:val="20"/>
          <w:szCs w:val="20"/>
        </w:rPr>
        <w:t xml:space="preserve"> ‘</w:t>
      </w:r>
      <w:r w:rsidR="00987BB4" w:rsidRPr="00987BB4">
        <w:rPr>
          <w:rFonts w:asciiTheme="majorBidi" w:hAnsiTheme="majorBidi" w:cstheme="majorBidi"/>
          <w:b w:val="0"/>
          <w:bCs w:val="0"/>
          <w:color w:val="32322F"/>
          <w:sz w:val="20"/>
          <w:szCs w:val="20"/>
        </w:rPr>
        <w:t xml:space="preserve">Ps.-Dares </w:t>
      </w:r>
      <w:proofErr w:type="spellStart"/>
      <w:r w:rsidR="00987BB4" w:rsidRPr="00987BB4">
        <w:rPr>
          <w:rFonts w:asciiTheme="majorBidi" w:hAnsiTheme="majorBidi" w:cstheme="majorBidi"/>
          <w:b w:val="0"/>
          <w:bCs w:val="0"/>
          <w:color w:val="32322F"/>
          <w:sz w:val="20"/>
          <w:szCs w:val="20"/>
        </w:rPr>
        <w:t>Phrygius</w:t>
      </w:r>
      <w:proofErr w:type="spellEnd"/>
      <w:r w:rsidR="00987BB4" w:rsidRPr="00987BB4">
        <w:rPr>
          <w:rFonts w:asciiTheme="majorBidi" w:hAnsiTheme="majorBidi" w:cstheme="majorBidi"/>
          <w:b w:val="0"/>
          <w:bCs w:val="0"/>
          <w:color w:val="32322F"/>
          <w:sz w:val="20"/>
          <w:szCs w:val="20"/>
        </w:rPr>
        <w:t xml:space="preserve">, De </w:t>
      </w:r>
      <w:proofErr w:type="spellStart"/>
      <w:r w:rsidR="00987BB4" w:rsidRPr="00987BB4">
        <w:rPr>
          <w:rFonts w:asciiTheme="majorBidi" w:hAnsiTheme="majorBidi" w:cstheme="majorBidi"/>
          <w:b w:val="0"/>
          <w:bCs w:val="0"/>
          <w:color w:val="32322F"/>
          <w:sz w:val="20"/>
          <w:szCs w:val="20"/>
        </w:rPr>
        <w:t>excidio</w:t>
      </w:r>
      <w:proofErr w:type="spellEnd"/>
      <w:r w:rsidR="00987BB4" w:rsidRPr="00987BB4">
        <w:rPr>
          <w:rFonts w:asciiTheme="majorBidi" w:hAnsiTheme="majorBidi" w:cstheme="majorBidi"/>
          <w:b w:val="0"/>
          <w:bCs w:val="0"/>
          <w:color w:val="32322F"/>
          <w:sz w:val="20"/>
          <w:szCs w:val="20"/>
        </w:rPr>
        <w:t xml:space="preserve"> </w:t>
      </w:r>
      <w:proofErr w:type="spellStart"/>
      <w:r w:rsidR="00987BB4" w:rsidRPr="00987BB4">
        <w:rPr>
          <w:rFonts w:asciiTheme="majorBidi" w:hAnsiTheme="majorBidi" w:cstheme="majorBidi"/>
          <w:b w:val="0"/>
          <w:bCs w:val="0"/>
          <w:color w:val="32322F"/>
          <w:sz w:val="20"/>
          <w:szCs w:val="20"/>
        </w:rPr>
        <w:t>Troie</w:t>
      </w:r>
      <w:proofErr w:type="spellEnd"/>
      <w:r w:rsidR="00987BB4" w:rsidRPr="00987BB4">
        <w:rPr>
          <w:rFonts w:asciiTheme="majorBidi" w:hAnsiTheme="majorBidi" w:cstheme="majorBidi"/>
          <w:b w:val="0"/>
          <w:bCs w:val="0"/>
          <w:color w:val="32322F"/>
          <w:sz w:val="20"/>
          <w:szCs w:val="20"/>
        </w:rPr>
        <w:t xml:space="preserve"> </w:t>
      </w:r>
      <w:proofErr w:type="spellStart"/>
      <w:r w:rsidR="00987BB4" w:rsidRPr="00987BB4">
        <w:rPr>
          <w:rFonts w:asciiTheme="majorBidi" w:hAnsiTheme="majorBidi" w:cstheme="majorBidi"/>
          <w:b w:val="0"/>
          <w:bCs w:val="0"/>
          <w:color w:val="32322F"/>
          <w:sz w:val="20"/>
          <w:szCs w:val="20"/>
        </w:rPr>
        <w:t>historia</w:t>
      </w:r>
      <w:proofErr w:type="spellEnd"/>
      <w:r w:rsidR="00987BB4" w:rsidRPr="00987BB4">
        <w:rPr>
          <w:rFonts w:asciiTheme="majorBidi" w:hAnsiTheme="majorBidi" w:cstheme="majorBidi"/>
          <w:b w:val="0"/>
          <w:bCs w:val="0"/>
          <w:color w:val="32322F"/>
          <w:sz w:val="20"/>
          <w:szCs w:val="20"/>
        </w:rPr>
        <w:t xml:space="preserve"> (217r–221v); Prophecy of the Tenth Sibyl (222r–223v); </w:t>
      </w:r>
      <w:proofErr w:type="spellStart"/>
      <w:r w:rsidR="00987BB4" w:rsidRPr="00987BB4">
        <w:rPr>
          <w:rFonts w:asciiTheme="majorBidi" w:hAnsiTheme="majorBidi" w:cstheme="majorBidi"/>
          <w:b w:val="0"/>
          <w:bCs w:val="0"/>
          <w:color w:val="32322F"/>
          <w:sz w:val="20"/>
          <w:szCs w:val="20"/>
        </w:rPr>
        <w:t>Prophetie</w:t>
      </w:r>
      <w:proofErr w:type="spellEnd"/>
      <w:r w:rsidR="00987BB4" w:rsidRPr="00987BB4">
        <w:rPr>
          <w:rFonts w:asciiTheme="majorBidi" w:hAnsiTheme="majorBidi" w:cstheme="majorBidi"/>
          <w:b w:val="0"/>
          <w:bCs w:val="0"/>
          <w:color w:val="32322F"/>
          <w:sz w:val="20"/>
          <w:szCs w:val="20"/>
        </w:rPr>
        <w:t xml:space="preserve"> </w:t>
      </w:r>
      <w:proofErr w:type="spellStart"/>
      <w:r w:rsidR="00987BB4" w:rsidRPr="00987BB4">
        <w:rPr>
          <w:rFonts w:asciiTheme="majorBidi" w:hAnsiTheme="majorBidi" w:cstheme="majorBidi"/>
          <w:b w:val="0"/>
          <w:bCs w:val="0"/>
          <w:color w:val="32322F"/>
          <w:sz w:val="20"/>
          <w:szCs w:val="20"/>
        </w:rPr>
        <w:t>Merlini</w:t>
      </w:r>
      <w:proofErr w:type="spellEnd"/>
      <w:r w:rsidR="00987BB4" w:rsidRPr="00987BB4">
        <w:rPr>
          <w:rFonts w:asciiTheme="majorBidi" w:hAnsiTheme="majorBidi" w:cstheme="majorBidi"/>
          <w:b w:val="0"/>
          <w:bCs w:val="0"/>
          <w:color w:val="32322F"/>
          <w:sz w:val="20"/>
          <w:szCs w:val="20"/>
        </w:rPr>
        <w:t xml:space="preserve"> (Geoffrey of Monmouth, Historia </w:t>
      </w:r>
      <w:proofErr w:type="spellStart"/>
      <w:r w:rsidR="00987BB4" w:rsidRPr="00987BB4">
        <w:rPr>
          <w:rFonts w:asciiTheme="majorBidi" w:hAnsiTheme="majorBidi" w:cstheme="majorBidi"/>
          <w:b w:val="0"/>
          <w:bCs w:val="0"/>
          <w:color w:val="32322F"/>
          <w:sz w:val="20"/>
          <w:szCs w:val="20"/>
        </w:rPr>
        <w:t>regum</w:t>
      </w:r>
      <w:proofErr w:type="spellEnd"/>
      <w:r w:rsidR="00987BB4" w:rsidRPr="00987BB4">
        <w:rPr>
          <w:rFonts w:asciiTheme="majorBidi" w:hAnsiTheme="majorBidi" w:cstheme="majorBidi"/>
          <w:b w:val="0"/>
          <w:bCs w:val="0"/>
          <w:color w:val="32322F"/>
          <w:sz w:val="20"/>
          <w:szCs w:val="20"/>
        </w:rPr>
        <w:t xml:space="preserve"> </w:t>
      </w:r>
      <w:proofErr w:type="spellStart"/>
      <w:r w:rsidR="00987BB4" w:rsidRPr="00987BB4">
        <w:rPr>
          <w:rFonts w:asciiTheme="majorBidi" w:hAnsiTheme="majorBidi" w:cstheme="majorBidi"/>
          <w:b w:val="0"/>
          <w:bCs w:val="0"/>
          <w:color w:val="32322F"/>
          <w:sz w:val="20"/>
          <w:szCs w:val="20"/>
        </w:rPr>
        <w:t>Britannie</w:t>
      </w:r>
      <w:proofErr w:type="spellEnd"/>
      <w:r w:rsidR="00987BB4" w:rsidRPr="00987BB4">
        <w:rPr>
          <w:rFonts w:asciiTheme="majorBidi" w:hAnsiTheme="majorBidi" w:cstheme="majorBidi"/>
          <w:b w:val="0"/>
          <w:bCs w:val="0"/>
          <w:color w:val="32322F"/>
          <w:sz w:val="20"/>
          <w:szCs w:val="20"/>
        </w:rPr>
        <w:t xml:space="preserve">, books 109–117) (223v–233v); prophecies (233v–234v); De </w:t>
      </w:r>
      <w:proofErr w:type="spellStart"/>
      <w:r w:rsidR="00987BB4" w:rsidRPr="00987BB4">
        <w:rPr>
          <w:rFonts w:asciiTheme="majorBidi" w:hAnsiTheme="majorBidi" w:cstheme="majorBidi"/>
          <w:b w:val="0"/>
          <w:bCs w:val="0"/>
          <w:color w:val="32322F"/>
          <w:sz w:val="20"/>
          <w:szCs w:val="20"/>
        </w:rPr>
        <w:t>mirabilibus</w:t>
      </w:r>
      <w:proofErr w:type="spellEnd"/>
      <w:r w:rsidR="00987BB4" w:rsidRPr="00987BB4">
        <w:rPr>
          <w:rFonts w:asciiTheme="majorBidi" w:hAnsiTheme="majorBidi" w:cstheme="majorBidi"/>
          <w:b w:val="0"/>
          <w:bCs w:val="0"/>
          <w:color w:val="32322F"/>
          <w:sz w:val="20"/>
          <w:szCs w:val="20"/>
        </w:rPr>
        <w:t xml:space="preserve"> </w:t>
      </w:r>
      <w:proofErr w:type="spellStart"/>
      <w:r w:rsidR="00987BB4" w:rsidRPr="00987BB4">
        <w:rPr>
          <w:rFonts w:asciiTheme="majorBidi" w:hAnsiTheme="majorBidi" w:cstheme="majorBidi"/>
          <w:b w:val="0"/>
          <w:bCs w:val="0"/>
          <w:color w:val="32322F"/>
          <w:sz w:val="20"/>
          <w:szCs w:val="20"/>
        </w:rPr>
        <w:t>Britannie</w:t>
      </w:r>
      <w:proofErr w:type="spellEnd"/>
      <w:r w:rsidR="00987BB4" w:rsidRPr="00987BB4">
        <w:rPr>
          <w:rFonts w:asciiTheme="majorBidi" w:hAnsiTheme="majorBidi" w:cstheme="majorBidi"/>
          <w:b w:val="0"/>
          <w:bCs w:val="0"/>
          <w:color w:val="32322F"/>
          <w:sz w:val="20"/>
          <w:szCs w:val="20"/>
        </w:rPr>
        <w:t xml:space="preserve"> (235r–v); </w:t>
      </w:r>
      <w:proofErr w:type="spellStart"/>
      <w:r w:rsidR="00987BB4" w:rsidRPr="00987BB4">
        <w:rPr>
          <w:rFonts w:asciiTheme="majorBidi" w:hAnsiTheme="majorBidi" w:cstheme="majorBidi"/>
          <w:b w:val="0"/>
          <w:bCs w:val="0"/>
          <w:color w:val="32322F"/>
          <w:sz w:val="20"/>
          <w:szCs w:val="20"/>
        </w:rPr>
        <w:t>computistical</w:t>
      </w:r>
      <w:proofErr w:type="spellEnd"/>
      <w:r w:rsidR="00987BB4" w:rsidRPr="00987BB4">
        <w:rPr>
          <w:rFonts w:asciiTheme="majorBidi" w:hAnsiTheme="majorBidi" w:cstheme="majorBidi"/>
          <w:b w:val="0"/>
          <w:bCs w:val="0"/>
          <w:color w:val="32322F"/>
          <w:sz w:val="20"/>
          <w:szCs w:val="20"/>
        </w:rPr>
        <w:t xml:space="preserve"> texts...’</w:t>
      </w:r>
      <w:r w:rsidRPr="00987BB4">
        <w:rPr>
          <w:rFonts w:asciiTheme="majorBidi" w:hAnsiTheme="majorBidi" w:cstheme="majorBidi"/>
          <w:b w:val="0"/>
          <w:bCs w:val="0"/>
          <w:sz w:val="20"/>
          <w:szCs w:val="20"/>
        </w:rPr>
        <w:t>, The British Library</w:t>
      </w:r>
      <w:r w:rsidR="00987BB4" w:rsidRPr="00987BB4">
        <w:rPr>
          <w:rFonts w:asciiTheme="majorBidi" w:hAnsiTheme="majorBidi" w:cstheme="majorBidi"/>
          <w:b w:val="0"/>
          <w:bCs w:val="0"/>
          <w:sz w:val="20"/>
          <w:szCs w:val="20"/>
        </w:rPr>
        <w:t xml:space="preserve">, </w:t>
      </w:r>
      <w:r w:rsidR="00987BB4" w:rsidRPr="00987BB4">
        <w:rPr>
          <w:rFonts w:asciiTheme="majorBidi" w:hAnsiTheme="majorBidi" w:cstheme="majorBidi"/>
          <w:b w:val="0"/>
          <w:bCs w:val="0"/>
          <w:color w:val="32322F"/>
          <w:sz w:val="20"/>
          <w:szCs w:val="20"/>
          <w:bdr w:val="none" w:sz="0" w:space="0" w:color="auto" w:frame="1"/>
        </w:rPr>
        <w:t>https://searcharchives.bl.uk/primo_library/libweb/action/display.do?tabs=detailsTab&amp;ct=display&amp;fn=search&amp;doc=IAMS041-001102483&amp;indx=3&amp;recIds=IAMS041-001102483&amp;recIdxs=2&amp;elementId=2&amp;renderMode=poppedOut&amp;displayMode=full&amp;frbrVersion=&amp;frbg=&amp;&amp;vl(1UI0)=contains&amp;dscnt=0&amp;vid=IAMS_VU2&amp;srt=rank&amp;tab=local&amp;Submit=Search&amp;vl(freeText0)=%22IAMS040-001102478%22%20OR%20%22040-00112478%22&amp;vl(2126785UI0)=toc&amp;dstmp=1669841981210,</w:t>
      </w:r>
      <w:r w:rsidR="00987BB4" w:rsidRPr="00987BB4">
        <w:rPr>
          <w:rFonts w:asciiTheme="majorBidi" w:hAnsiTheme="majorBidi" w:cstheme="majorBidi"/>
          <w:b w:val="0"/>
          <w:bCs w:val="0"/>
          <w:sz w:val="20"/>
          <w:szCs w:val="20"/>
        </w:rPr>
        <w:t xml:space="preserve"> accessed 30 November, 2022.</w:t>
      </w:r>
    </w:p>
  </w:footnote>
  <w:footnote w:id="9">
    <w:p w14:paraId="11927CCD" w14:textId="42FC23D6" w:rsidR="0058638D" w:rsidRDefault="0058638D" w:rsidP="0058638D">
      <w:r w:rsidRPr="0058638D">
        <w:rPr>
          <w:rStyle w:val="FootnoteReference"/>
          <w:sz w:val="20"/>
          <w:szCs w:val="20"/>
        </w:rPr>
        <w:footnoteRef/>
      </w:r>
      <w:r w:rsidRPr="0058638D">
        <w:rPr>
          <w:sz w:val="20"/>
          <w:szCs w:val="20"/>
        </w:rPr>
        <w:t xml:space="preserve"> Wace and Layamon, </w:t>
      </w:r>
      <w:r w:rsidRPr="0058638D">
        <w:rPr>
          <w:i/>
          <w:iCs/>
          <w:sz w:val="20"/>
          <w:szCs w:val="20"/>
        </w:rPr>
        <w:t>Arthurian Chronicles,</w:t>
      </w:r>
      <w:r w:rsidRPr="0058638D">
        <w:rPr>
          <w:sz w:val="20"/>
          <w:szCs w:val="20"/>
        </w:rPr>
        <w:t xml:space="preserve"> trans. by Eugene Mason (Toronto: University of Toronto Press, 1996), pp. 19–20.</w:t>
      </w:r>
    </w:p>
  </w:footnote>
  <w:footnote w:id="10">
    <w:p w14:paraId="6FC2ABBA" w14:textId="77777777" w:rsidR="005F351B" w:rsidRDefault="005F351B" w:rsidP="00E129BA">
      <w:pPr>
        <w:rPr>
          <w:sz w:val="20"/>
          <w:szCs w:val="20"/>
        </w:rPr>
      </w:pPr>
    </w:p>
    <w:p w14:paraId="6029ADE6" w14:textId="234A2D90" w:rsidR="00E129BA" w:rsidRPr="00E129BA" w:rsidRDefault="00E129BA" w:rsidP="00E129BA">
      <w:pPr>
        <w:rPr>
          <w:sz w:val="20"/>
          <w:szCs w:val="20"/>
        </w:rPr>
      </w:pPr>
      <w:r w:rsidRPr="00E129BA">
        <w:rPr>
          <w:rStyle w:val="FootnoteReference"/>
          <w:sz w:val="20"/>
          <w:szCs w:val="20"/>
        </w:rPr>
        <w:footnoteRef/>
      </w:r>
      <w:r w:rsidRPr="00E129BA">
        <w:rPr>
          <w:sz w:val="20"/>
          <w:szCs w:val="20"/>
        </w:rPr>
        <w:t xml:space="preserve"> Stephen Knight, </w:t>
      </w:r>
      <w:r w:rsidRPr="00E129BA">
        <w:rPr>
          <w:i/>
          <w:iCs/>
          <w:sz w:val="20"/>
          <w:szCs w:val="20"/>
        </w:rPr>
        <w:t>Merlin: Knowledge and Power through the Ages</w:t>
      </w:r>
      <w:r w:rsidRPr="00E129BA">
        <w:rPr>
          <w:sz w:val="20"/>
          <w:szCs w:val="20"/>
        </w:rPr>
        <w:t xml:space="preserve"> (Ithaca: Cornell University Press, 2009), p. 45.</w:t>
      </w:r>
    </w:p>
  </w:footnote>
  <w:footnote w:id="11">
    <w:p w14:paraId="13385184" w14:textId="77777777" w:rsidR="005F351B" w:rsidRDefault="005F351B">
      <w:pPr>
        <w:pStyle w:val="FootnoteText"/>
      </w:pPr>
    </w:p>
    <w:p w14:paraId="1AE193B4" w14:textId="1A42E42D" w:rsidR="00693E0A" w:rsidRPr="00693E0A" w:rsidRDefault="00693E0A">
      <w:pPr>
        <w:pStyle w:val="FootnoteText"/>
      </w:pPr>
      <w:r>
        <w:rPr>
          <w:rStyle w:val="FootnoteReference"/>
        </w:rPr>
        <w:footnoteRef/>
      </w:r>
      <w:r>
        <w:t xml:space="preserve"> Whitaker, </w:t>
      </w:r>
      <w:r>
        <w:rPr>
          <w:i/>
          <w:iCs/>
        </w:rPr>
        <w:t>The Legends of King Arthur in Art</w:t>
      </w:r>
      <w:r>
        <w:t>, p. 22.</w:t>
      </w:r>
    </w:p>
  </w:footnote>
  <w:footnote w:id="12">
    <w:p w14:paraId="5DC64D72" w14:textId="69878D1A" w:rsidR="007B307B" w:rsidRPr="007B307B" w:rsidRDefault="007B307B" w:rsidP="007B307B">
      <w:pPr>
        <w:rPr>
          <w:sz w:val="20"/>
          <w:szCs w:val="20"/>
        </w:rPr>
      </w:pPr>
      <w:r w:rsidRPr="007B307B">
        <w:rPr>
          <w:rStyle w:val="FootnoteReference"/>
          <w:sz w:val="20"/>
          <w:szCs w:val="20"/>
        </w:rPr>
        <w:footnoteRef/>
      </w:r>
      <w:r w:rsidRPr="007B307B">
        <w:rPr>
          <w:sz w:val="20"/>
          <w:szCs w:val="20"/>
        </w:rPr>
        <w:t xml:space="preserve"> Peter Burke, </w:t>
      </w:r>
      <w:proofErr w:type="spellStart"/>
      <w:r w:rsidRPr="007B307B">
        <w:rPr>
          <w:i/>
          <w:iCs/>
          <w:sz w:val="20"/>
          <w:szCs w:val="20"/>
        </w:rPr>
        <w:t>Eyewitnessing</w:t>
      </w:r>
      <w:proofErr w:type="spellEnd"/>
      <w:r w:rsidRPr="007B307B">
        <w:rPr>
          <w:i/>
          <w:iCs/>
          <w:sz w:val="20"/>
          <w:szCs w:val="20"/>
        </w:rPr>
        <w:t>: The Uses of Images as Historical Evidence</w:t>
      </w:r>
      <w:r w:rsidRPr="007B307B">
        <w:rPr>
          <w:sz w:val="20"/>
          <w:szCs w:val="20"/>
        </w:rPr>
        <w:t xml:space="preserve"> (New York: Cornell University Press, 2001), pp. 35–41.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5888677"/>
      <w:docPartObj>
        <w:docPartGallery w:val="Page Numbers (Top of Page)"/>
        <w:docPartUnique/>
      </w:docPartObj>
    </w:sdtPr>
    <w:sdtContent>
      <w:p w14:paraId="28EB03B4" w14:textId="54F6D9E1" w:rsidR="0034312B" w:rsidRDefault="0034312B" w:rsidP="00AA5EA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83BCB16" w14:textId="77777777" w:rsidR="0034312B" w:rsidRDefault="0034312B" w:rsidP="0034312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7601688"/>
      <w:docPartObj>
        <w:docPartGallery w:val="Page Numbers (Top of Page)"/>
        <w:docPartUnique/>
      </w:docPartObj>
    </w:sdtPr>
    <w:sdtContent>
      <w:p w14:paraId="0ACA705C" w14:textId="424DCE45" w:rsidR="0034312B" w:rsidRDefault="0034312B" w:rsidP="00AA5EA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81578DD" w14:textId="77777777" w:rsidR="0034312B" w:rsidRDefault="0034312B" w:rsidP="0034312B">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mirrorMargins/>
  <w:proofState w:spelling="clean" w:grammar="clean"/>
  <w:defaultTabStop w:val="720"/>
  <w:evenAndOddHeaders/>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D4C"/>
    <w:rsid w:val="00000CA5"/>
    <w:rsid w:val="0000115D"/>
    <w:rsid w:val="00004A3F"/>
    <w:rsid w:val="00011099"/>
    <w:rsid w:val="00016BBD"/>
    <w:rsid w:val="0003155C"/>
    <w:rsid w:val="00056FBE"/>
    <w:rsid w:val="000614BB"/>
    <w:rsid w:val="000947E7"/>
    <w:rsid w:val="000A2383"/>
    <w:rsid w:val="000F0046"/>
    <w:rsid w:val="000F7C7C"/>
    <w:rsid w:val="001031FD"/>
    <w:rsid w:val="001225F4"/>
    <w:rsid w:val="001316F9"/>
    <w:rsid w:val="0014695E"/>
    <w:rsid w:val="00151C0D"/>
    <w:rsid w:val="00165144"/>
    <w:rsid w:val="00177619"/>
    <w:rsid w:val="00186813"/>
    <w:rsid w:val="00192D13"/>
    <w:rsid w:val="00195E79"/>
    <w:rsid w:val="001A02F6"/>
    <w:rsid w:val="001A2CCB"/>
    <w:rsid w:val="001B1C29"/>
    <w:rsid w:val="001C157E"/>
    <w:rsid w:val="001E0953"/>
    <w:rsid w:val="001F720B"/>
    <w:rsid w:val="002071D6"/>
    <w:rsid w:val="00211530"/>
    <w:rsid w:val="0022194D"/>
    <w:rsid w:val="00221E27"/>
    <w:rsid w:val="00257013"/>
    <w:rsid w:val="0027632E"/>
    <w:rsid w:val="00282E22"/>
    <w:rsid w:val="002A113A"/>
    <w:rsid w:val="002B1DA3"/>
    <w:rsid w:val="002D4051"/>
    <w:rsid w:val="002E5104"/>
    <w:rsid w:val="002F35F9"/>
    <w:rsid w:val="002F3A11"/>
    <w:rsid w:val="002F3F62"/>
    <w:rsid w:val="00315A4B"/>
    <w:rsid w:val="003205A1"/>
    <w:rsid w:val="003233C1"/>
    <w:rsid w:val="00327025"/>
    <w:rsid w:val="0034312B"/>
    <w:rsid w:val="00351CEE"/>
    <w:rsid w:val="003B022B"/>
    <w:rsid w:val="003B2D94"/>
    <w:rsid w:val="003C15A7"/>
    <w:rsid w:val="003C4B90"/>
    <w:rsid w:val="003C6AE4"/>
    <w:rsid w:val="004064AA"/>
    <w:rsid w:val="00454CCD"/>
    <w:rsid w:val="00461258"/>
    <w:rsid w:val="00483715"/>
    <w:rsid w:val="004916F6"/>
    <w:rsid w:val="004A42C6"/>
    <w:rsid w:val="004A4ECF"/>
    <w:rsid w:val="004A4F1E"/>
    <w:rsid w:val="004F29BD"/>
    <w:rsid w:val="00500C4C"/>
    <w:rsid w:val="00503842"/>
    <w:rsid w:val="00505F8C"/>
    <w:rsid w:val="00511634"/>
    <w:rsid w:val="005515B9"/>
    <w:rsid w:val="00570471"/>
    <w:rsid w:val="00572651"/>
    <w:rsid w:val="0058638D"/>
    <w:rsid w:val="005B0E3C"/>
    <w:rsid w:val="005F0AD5"/>
    <w:rsid w:val="005F351B"/>
    <w:rsid w:val="006159D9"/>
    <w:rsid w:val="00615A51"/>
    <w:rsid w:val="00617CFE"/>
    <w:rsid w:val="00621DA2"/>
    <w:rsid w:val="00640787"/>
    <w:rsid w:val="00652089"/>
    <w:rsid w:val="00693739"/>
    <w:rsid w:val="00693E0A"/>
    <w:rsid w:val="006B686C"/>
    <w:rsid w:val="006C1AE2"/>
    <w:rsid w:val="006C3564"/>
    <w:rsid w:val="006D644D"/>
    <w:rsid w:val="00750C7D"/>
    <w:rsid w:val="00753700"/>
    <w:rsid w:val="00781EA1"/>
    <w:rsid w:val="007B307B"/>
    <w:rsid w:val="007F030F"/>
    <w:rsid w:val="00802AC6"/>
    <w:rsid w:val="00851DDF"/>
    <w:rsid w:val="0086331F"/>
    <w:rsid w:val="00891D70"/>
    <w:rsid w:val="0089605A"/>
    <w:rsid w:val="00896998"/>
    <w:rsid w:val="008B1EB0"/>
    <w:rsid w:val="008E4E2B"/>
    <w:rsid w:val="008E5675"/>
    <w:rsid w:val="008F1786"/>
    <w:rsid w:val="008F69C1"/>
    <w:rsid w:val="00935562"/>
    <w:rsid w:val="009401F8"/>
    <w:rsid w:val="00951512"/>
    <w:rsid w:val="00975190"/>
    <w:rsid w:val="00983CA3"/>
    <w:rsid w:val="00987BB4"/>
    <w:rsid w:val="009A6388"/>
    <w:rsid w:val="009B0142"/>
    <w:rsid w:val="009B31FC"/>
    <w:rsid w:val="009B3E5D"/>
    <w:rsid w:val="009C2B8E"/>
    <w:rsid w:val="009C6DF0"/>
    <w:rsid w:val="009C7660"/>
    <w:rsid w:val="009D213C"/>
    <w:rsid w:val="009E0428"/>
    <w:rsid w:val="009E0C53"/>
    <w:rsid w:val="00A06755"/>
    <w:rsid w:val="00A106DE"/>
    <w:rsid w:val="00A22DC1"/>
    <w:rsid w:val="00A337CB"/>
    <w:rsid w:val="00A452D4"/>
    <w:rsid w:val="00A52D2D"/>
    <w:rsid w:val="00A71079"/>
    <w:rsid w:val="00A77623"/>
    <w:rsid w:val="00A8242B"/>
    <w:rsid w:val="00A90A54"/>
    <w:rsid w:val="00A97643"/>
    <w:rsid w:val="00AA208F"/>
    <w:rsid w:val="00AA3D29"/>
    <w:rsid w:val="00B024F2"/>
    <w:rsid w:val="00B0513F"/>
    <w:rsid w:val="00B16F13"/>
    <w:rsid w:val="00B45E58"/>
    <w:rsid w:val="00B464E0"/>
    <w:rsid w:val="00B73055"/>
    <w:rsid w:val="00B927E4"/>
    <w:rsid w:val="00BA23DD"/>
    <w:rsid w:val="00BA265B"/>
    <w:rsid w:val="00BA4112"/>
    <w:rsid w:val="00BB5272"/>
    <w:rsid w:val="00BC3D46"/>
    <w:rsid w:val="00BC3E0E"/>
    <w:rsid w:val="00BD40A4"/>
    <w:rsid w:val="00BD43B6"/>
    <w:rsid w:val="00BD569C"/>
    <w:rsid w:val="00C0792B"/>
    <w:rsid w:val="00C31C3D"/>
    <w:rsid w:val="00C50BED"/>
    <w:rsid w:val="00C53138"/>
    <w:rsid w:val="00C707C3"/>
    <w:rsid w:val="00C81A3E"/>
    <w:rsid w:val="00CA07DD"/>
    <w:rsid w:val="00CA2409"/>
    <w:rsid w:val="00CD614E"/>
    <w:rsid w:val="00CE3AEE"/>
    <w:rsid w:val="00CE4293"/>
    <w:rsid w:val="00CE4F01"/>
    <w:rsid w:val="00CE6ECF"/>
    <w:rsid w:val="00CF6640"/>
    <w:rsid w:val="00D202A5"/>
    <w:rsid w:val="00D23E30"/>
    <w:rsid w:val="00D44D93"/>
    <w:rsid w:val="00D50455"/>
    <w:rsid w:val="00D546EB"/>
    <w:rsid w:val="00D553BB"/>
    <w:rsid w:val="00D77108"/>
    <w:rsid w:val="00D90500"/>
    <w:rsid w:val="00D9562F"/>
    <w:rsid w:val="00DC39D8"/>
    <w:rsid w:val="00DD24E9"/>
    <w:rsid w:val="00DF702E"/>
    <w:rsid w:val="00E129BA"/>
    <w:rsid w:val="00E346CF"/>
    <w:rsid w:val="00E86D47"/>
    <w:rsid w:val="00EB0FF9"/>
    <w:rsid w:val="00EB5A08"/>
    <w:rsid w:val="00EC7536"/>
    <w:rsid w:val="00F02188"/>
    <w:rsid w:val="00F216A1"/>
    <w:rsid w:val="00F74B5D"/>
    <w:rsid w:val="00FD46EA"/>
    <w:rsid w:val="00FE5782"/>
    <w:rsid w:val="00FF5D4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76BD17EF"/>
  <w15:chartTrackingRefBased/>
  <w15:docId w15:val="{A1ECD8A4-130F-0245-A919-BA660D53C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D4C"/>
    <w:rPr>
      <w:rFonts w:eastAsiaTheme="minorEastAsia"/>
    </w:rPr>
  </w:style>
  <w:style w:type="paragraph" w:styleId="Heading1">
    <w:name w:val="heading 1"/>
    <w:basedOn w:val="Normal"/>
    <w:link w:val="Heading1Char"/>
    <w:uiPriority w:val="9"/>
    <w:qFormat/>
    <w:rsid w:val="000F7C7C"/>
    <w:pPr>
      <w:spacing w:before="100" w:beforeAutospacing="1" w:after="100" w:afterAutospacing="1"/>
      <w:outlineLvl w:val="0"/>
    </w:pPr>
    <w:rPr>
      <w:rFonts w:eastAsia="Times New Roman" w:cs="Times New Roman"/>
      <w:b/>
      <w:bCs/>
      <w:kern w:val="36"/>
      <w:sz w:val="48"/>
      <w:szCs w:val="48"/>
      <w:lang w:bidi="he-I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C7C"/>
    <w:rPr>
      <w:rFonts w:eastAsia="Times New Roman" w:cs="Times New Roman"/>
      <w:b/>
      <w:bCs/>
      <w:kern w:val="36"/>
      <w:sz w:val="48"/>
      <w:szCs w:val="48"/>
      <w:lang w:bidi="he-IL"/>
    </w:rPr>
  </w:style>
  <w:style w:type="character" w:styleId="Strong">
    <w:name w:val="Strong"/>
    <w:basedOn w:val="DefaultParagraphFont"/>
    <w:uiPriority w:val="22"/>
    <w:qFormat/>
    <w:rsid w:val="000F7C7C"/>
    <w:rPr>
      <w:b/>
      <w:bCs/>
    </w:rPr>
  </w:style>
  <w:style w:type="character" w:styleId="Emphasis">
    <w:name w:val="Emphasis"/>
    <w:basedOn w:val="DefaultParagraphFont"/>
    <w:uiPriority w:val="20"/>
    <w:qFormat/>
    <w:rsid w:val="000F7C7C"/>
    <w:rPr>
      <w:i/>
      <w:iCs/>
    </w:rPr>
  </w:style>
  <w:style w:type="paragraph" w:styleId="FootnoteText">
    <w:name w:val="footnote text"/>
    <w:basedOn w:val="Normal"/>
    <w:link w:val="FootnoteTextChar"/>
    <w:uiPriority w:val="99"/>
    <w:semiHidden/>
    <w:unhideWhenUsed/>
    <w:rsid w:val="002F3A11"/>
    <w:rPr>
      <w:sz w:val="20"/>
      <w:szCs w:val="20"/>
    </w:rPr>
  </w:style>
  <w:style w:type="character" w:customStyle="1" w:styleId="FootnoteTextChar">
    <w:name w:val="Footnote Text Char"/>
    <w:basedOn w:val="DefaultParagraphFont"/>
    <w:link w:val="FootnoteText"/>
    <w:uiPriority w:val="99"/>
    <w:semiHidden/>
    <w:rsid w:val="002F3A11"/>
    <w:rPr>
      <w:rFonts w:eastAsiaTheme="minorEastAsia"/>
      <w:sz w:val="20"/>
      <w:szCs w:val="20"/>
    </w:rPr>
  </w:style>
  <w:style w:type="character" w:styleId="FootnoteReference">
    <w:name w:val="footnote reference"/>
    <w:basedOn w:val="DefaultParagraphFont"/>
    <w:uiPriority w:val="99"/>
    <w:semiHidden/>
    <w:unhideWhenUsed/>
    <w:rsid w:val="002F3A11"/>
    <w:rPr>
      <w:vertAlign w:val="superscript"/>
    </w:rPr>
  </w:style>
  <w:style w:type="character" w:styleId="Hyperlink">
    <w:name w:val="Hyperlink"/>
    <w:basedOn w:val="DefaultParagraphFont"/>
    <w:uiPriority w:val="99"/>
    <w:unhideWhenUsed/>
    <w:rsid w:val="00CF6640"/>
    <w:rPr>
      <w:color w:val="0563C1" w:themeColor="hyperlink"/>
      <w:u w:val="single"/>
    </w:rPr>
  </w:style>
  <w:style w:type="character" w:styleId="UnresolvedMention">
    <w:name w:val="Unresolved Mention"/>
    <w:basedOn w:val="DefaultParagraphFont"/>
    <w:uiPriority w:val="99"/>
    <w:semiHidden/>
    <w:unhideWhenUsed/>
    <w:rsid w:val="00CF6640"/>
    <w:rPr>
      <w:color w:val="605E5C"/>
      <w:shd w:val="clear" w:color="auto" w:fill="E1DFDD"/>
    </w:rPr>
  </w:style>
  <w:style w:type="paragraph" w:styleId="Header">
    <w:name w:val="header"/>
    <w:basedOn w:val="Normal"/>
    <w:link w:val="HeaderChar"/>
    <w:uiPriority w:val="99"/>
    <w:unhideWhenUsed/>
    <w:rsid w:val="0034312B"/>
    <w:pPr>
      <w:tabs>
        <w:tab w:val="center" w:pos="4680"/>
        <w:tab w:val="right" w:pos="9360"/>
      </w:tabs>
    </w:pPr>
  </w:style>
  <w:style w:type="character" w:customStyle="1" w:styleId="HeaderChar">
    <w:name w:val="Header Char"/>
    <w:basedOn w:val="DefaultParagraphFont"/>
    <w:link w:val="Header"/>
    <w:uiPriority w:val="99"/>
    <w:rsid w:val="0034312B"/>
    <w:rPr>
      <w:rFonts w:eastAsiaTheme="minorEastAsia"/>
    </w:rPr>
  </w:style>
  <w:style w:type="character" w:styleId="PageNumber">
    <w:name w:val="page number"/>
    <w:basedOn w:val="DefaultParagraphFont"/>
    <w:uiPriority w:val="99"/>
    <w:semiHidden/>
    <w:unhideWhenUsed/>
    <w:rsid w:val="00343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286</TotalTime>
  <Pages>9</Pages>
  <Words>2670</Words>
  <Characters>9908</Characters>
  <Application>Microsoft Office Word</Application>
  <DocSecurity>0</DocSecurity>
  <Lines>381</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Ferguson</dc:creator>
  <cp:keywords/>
  <dc:description/>
  <cp:lastModifiedBy>Michelle Ferguson</cp:lastModifiedBy>
  <cp:revision>31</cp:revision>
  <cp:lastPrinted>2022-12-06T02:04:00Z</cp:lastPrinted>
  <dcterms:created xsi:type="dcterms:W3CDTF">2022-11-29T17:11:00Z</dcterms:created>
  <dcterms:modified xsi:type="dcterms:W3CDTF">2022-12-15T16:14:00Z</dcterms:modified>
</cp:coreProperties>
</file>