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25F2B3" w14:textId="33DCB031" w:rsidR="000B2BCC" w:rsidRDefault="000B2BCC" w:rsidP="00C06BB5">
      <w:pPr>
        <w:rPr>
          <w:b/>
          <w:sz w:val="24"/>
          <w:szCs w:val="24"/>
          <w:u w:val="single"/>
          <w:lang w:val="en-US"/>
        </w:rPr>
      </w:pPr>
      <w:r w:rsidRPr="000B2BCC">
        <w:rPr>
          <w:b/>
          <w:sz w:val="24"/>
          <w:szCs w:val="24"/>
          <w:u w:val="single"/>
          <w:lang w:val="en-US"/>
        </w:rPr>
        <w:t>Making use of funerary evidence associated with one individual pre-Roman Iron Age site of your choice, discuss how the evidence can be used to identify changes in social status display during the 5th-1st century BC.</w:t>
      </w:r>
    </w:p>
    <w:p w14:paraId="346028AF" w14:textId="5877C1E4" w:rsidR="000B2BCC" w:rsidRDefault="003A30B0" w:rsidP="003A30B0">
      <w:pPr>
        <w:jc w:val="center"/>
        <w:rPr>
          <w:b/>
          <w:sz w:val="24"/>
          <w:szCs w:val="24"/>
          <w:u w:val="single"/>
          <w:lang w:val="en-US"/>
        </w:rPr>
      </w:pPr>
      <w:proofErr w:type="spellStart"/>
      <w:r>
        <w:rPr>
          <w:b/>
          <w:sz w:val="24"/>
          <w:szCs w:val="24"/>
          <w:u w:val="single"/>
          <w:lang w:val="en-US"/>
        </w:rPr>
        <w:t>Wetwang</w:t>
      </w:r>
      <w:proofErr w:type="spellEnd"/>
      <w:r>
        <w:rPr>
          <w:b/>
          <w:sz w:val="24"/>
          <w:szCs w:val="24"/>
          <w:u w:val="single"/>
          <w:lang w:val="en-US"/>
        </w:rPr>
        <w:t xml:space="preserve"> Slack</w:t>
      </w:r>
    </w:p>
    <w:p w14:paraId="19F5544F" w14:textId="21005D3B" w:rsidR="00A369AB" w:rsidRDefault="007F1C05" w:rsidP="00C06BB5">
      <w:pPr>
        <w:rPr>
          <w:sz w:val="24"/>
          <w:szCs w:val="24"/>
          <w:lang w:val="en-US"/>
        </w:rPr>
      </w:pPr>
      <w:proofErr w:type="spellStart"/>
      <w:r>
        <w:rPr>
          <w:sz w:val="24"/>
          <w:szCs w:val="24"/>
          <w:lang w:val="en-US"/>
        </w:rPr>
        <w:t>Wetwang</w:t>
      </w:r>
      <w:proofErr w:type="spellEnd"/>
      <w:r>
        <w:rPr>
          <w:sz w:val="24"/>
          <w:szCs w:val="24"/>
          <w:lang w:val="en-US"/>
        </w:rPr>
        <w:t xml:space="preserve"> Slack is an important</w:t>
      </w:r>
      <w:r w:rsidR="005105A8">
        <w:rPr>
          <w:sz w:val="24"/>
          <w:szCs w:val="24"/>
          <w:lang w:val="en-US"/>
        </w:rPr>
        <w:t xml:space="preserve"> burial site in eastern Yorkshire</w:t>
      </w:r>
      <w:r w:rsidR="005105A8">
        <w:rPr>
          <w:rStyle w:val="FootnoteReference"/>
          <w:sz w:val="24"/>
          <w:szCs w:val="24"/>
          <w:lang w:val="en-US"/>
        </w:rPr>
        <w:footnoteReference w:id="1"/>
      </w:r>
      <w:r w:rsidR="00EE613F">
        <w:rPr>
          <w:sz w:val="24"/>
          <w:szCs w:val="24"/>
          <w:lang w:val="en-US"/>
        </w:rPr>
        <w:t xml:space="preserve"> and is assumed to have been a Burial site of the </w:t>
      </w:r>
      <w:proofErr w:type="spellStart"/>
      <w:r w:rsidR="00EE613F">
        <w:rPr>
          <w:sz w:val="24"/>
          <w:szCs w:val="24"/>
          <w:lang w:val="en-US"/>
        </w:rPr>
        <w:t>Parisi</w:t>
      </w:r>
      <w:proofErr w:type="spellEnd"/>
      <w:r w:rsidR="00EE613F">
        <w:rPr>
          <w:sz w:val="24"/>
          <w:szCs w:val="24"/>
          <w:lang w:val="en-US"/>
        </w:rPr>
        <w:t>, a people who according to Ptolemy inhabited the south east of Yorkshire</w:t>
      </w:r>
      <w:r w:rsidR="00EE613F">
        <w:rPr>
          <w:rStyle w:val="FootnoteReference"/>
          <w:sz w:val="24"/>
          <w:szCs w:val="24"/>
          <w:lang w:val="en-US"/>
        </w:rPr>
        <w:footnoteReference w:id="2"/>
      </w:r>
      <w:r w:rsidR="00A82961">
        <w:rPr>
          <w:sz w:val="24"/>
          <w:szCs w:val="24"/>
          <w:lang w:val="en-US"/>
        </w:rPr>
        <w:t xml:space="preserve">. </w:t>
      </w:r>
      <w:r w:rsidR="00F15A01">
        <w:rPr>
          <w:sz w:val="24"/>
          <w:szCs w:val="24"/>
          <w:lang w:val="en-US"/>
        </w:rPr>
        <w:t xml:space="preserve">Excavations began on the site of </w:t>
      </w:r>
      <w:proofErr w:type="spellStart"/>
      <w:r w:rsidR="00F15A01">
        <w:rPr>
          <w:sz w:val="24"/>
          <w:szCs w:val="24"/>
          <w:lang w:val="en-US"/>
        </w:rPr>
        <w:t>Wetwang</w:t>
      </w:r>
      <w:proofErr w:type="spellEnd"/>
      <w:r w:rsidR="00F15A01">
        <w:rPr>
          <w:sz w:val="24"/>
          <w:szCs w:val="24"/>
          <w:lang w:val="en-US"/>
        </w:rPr>
        <w:t xml:space="preserve"> Slack in 1975</w:t>
      </w:r>
      <w:r w:rsidR="00F15A01">
        <w:rPr>
          <w:rStyle w:val="FootnoteReference"/>
          <w:sz w:val="24"/>
          <w:szCs w:val="24"/>
          <w:lang w:val="en-US"/>
        </w:rPr>
        <w:footnoteReference w:id="3"/>
      </w:r>
      <w:r w:rsidR="00F15A01">
        <w:rPr>
          <w:sz w:val="24"/>
          <w:szCs w:val="24"/>
          <w:lang w:val="en-US"/>
        </w:rPr>
        <w:t xml:space="preserve"> and it</w:t>
      </w:r>
      <w:r w:rsidR="00A369AB">
        <w:rPr>
          <w:sz w:val="24"/>
          <w:szCs w:val="24"/>
          <w:lang w:val="en-US"/>
        </w:rPr>
        <w:t xml:space="preserve"> is the largest </w:t>
      </w:r>
      <w:r w:rsidR="00323CFB">
        <w:rPr>
          <w:sz w:val="24"/>
          <w:szCs w:val="24"/>
          <w:lang w:val="en-US"/>
        </w:rPr>
        <w:t>I</w:t>
      </w:r>
      <w:r w:rsidR="009E69E3">
        <w:rPr>
          <w:sz w:val="24"/>
          <w:szCs w:val="24"/>
          <w:lang w:val="en-US"/>
        </w:rPr>
        <w:t xml:space="preserve">ron </w:t>
      </w:r>
      <w:r w:rsidR="00323CFB">
        <w:rPr>
          <w:sz w:val="24"/>
          <w:szCs w:val="24"/>
          <w:lang w:val="en-US"/>
        </w:rPr>
        <w:t>A</w:t>
      </w:r>
      <w:r w:rsidR="009E69E3">
        <w:rPr>
          <w:sz w:val="24"/>
          <w:szCs w:val="24"/>
          <w:lang w:val="en-US"/>
        </w:rPr>
        <w:t xml:space="preserve">ge </w:t>
      </w:r>
      <w:r w:rsidR="00F15A01">
        <w:rPr>
          <w:sz w:val="24"/>
          <w:szCs w:val="24"/>
          <w:lang w:val="en-US"/>
        </w:rPr>
        <w:t>inhumation</w:t>
      </w:r>
      <w:r w:rsidR="00A369AB">
        <w:rPr>
          <w:sz w:val="24"/>
          <w:szCs w:val="24"/>
          <w:lang w:val="en-US"/>
        </w:rPr>
        <w:t xml:space="preserve"> site in </w:t>
      </w:r>
      <w:r w:rsidR="002B5372">
        <w:rPr>
          <w:sz w:val="24"/>
          <w:szCs w:val="24"/>
          <w:lang w:val="en-US"/>
        </w:rPr>
        <w:t>Britain</w:t>
      </w:r>
      <w:r w:rsidR="00323CFB">
        <w:rPr>
          <w:sz w:val="24"/>
          <w:szCs w:val="24"/>
          <w:lang w:val="en-US"/>
        </w:rPr>
        <w:t>,</w:t>
      </w:r>
      <w:r w:rsidR="002B5372">
        <w:rPr>
          <w:sz w:val="24"/>
          <w:szCs w:val="24"/>
          <w:lang w:val="en-US"/>
        </w:rPr>
        <w:t xml:space="preserve"> </w:t>
      </w:r>
      <w:r w:rsidR="00A369AB">
        <w:rPr>
          <w:sz w:val="24"/>
          <w:szCs w:val="24"/>
          <w:lang w:val="en-US"/>
        </w:rPr>
        <w:t>containing 446 burials</w:t>
      </w:r>
      <w:r w:rsidR="00A369AB">
        <w:rPr>
          <w:rStyle w:val="FootnoteReference"/>
          <w:sz w:val="24"/>
          <w:szCs w:val="24"/>
          <w:lang w:val="en-US"/>
        </w:rPr>
        <w:footnoteReference w:id="4"/>
      </w:r>
      <w:r w:rsidR="00A369AB">
        <w:rPr>
          <w:sz w:val="24"/>
          <w:szCs w:val="24"/>
          <w:lang w:val="en-US"/>
        </w:rPr>
        <w:t xml:space="preserve"> including 3 chariot burials. </w:t>
      </w:r>
      <w:proofErr w:type="spellStart"/>
      <w:r w:rsidR="00F15A01">
        <w:rPr>
          <w:sz w:val="24"/>
          <w:szCs w:val="24"/>
          <w:lang w:val="en-US"/>
        </w:rPr>
        <w:t>Wetwang</w:t>
      </w:r>
      <w:proofErr w:type="spellEnd"/>
      <w:r w:rsidR="00F15A01">
        <w:rPr>
          <w:sz w:val="24"/>
          <w:szCs w:val="24"/>
          <w:lang w:val="en-US"/>
        </w:rPr>
        <w:t xml:space="preserve"> is just the largest of </w:t>
      </w:r>
      <w:r w:rsidR="009E69E3">
        <w:rPr>
          <w:sz w:val="24"/>
          <w:szCs w:val="24"/>
          <w:lang w:val="en-US"/>
        </w:rPr>
        <w:t>several</w:t>
      </w:r>
      <w:r w:rsidR="00F15A01">
        <w:rPr>
          <w:sz w:val="24"/>
          <w:szCs w:val="24"/>
          <w:lang w:val="en-US"/>
        </w:rPr>
        <w:t xml:space="preserve"> burial sites in the Yorkshire </w:t>
      </w:r>
      <w:r w:rsidR="00323CFB">
        <w:rPr>
          <w:sz w:val="24"/>
          <w:szCs w:val="24"/>
          <w:lang w:val="en-US"/>
        </w:rPr>
        <w:t>W</w:t>
      </w:r>
      <w:r w:rsidR="00F15A01">
        <w:rPr>
          <w:sz w:val="24"/>
          <w:szCs w:val="24"/>
          <w:lang w:val="en-US"/>
        </w:rPr>
        <w:t>olds</w:t>
      </w:r>
      <w:r w:rsidR="00323CFB">
        <w:rPr>
          <w:sz w:val="24"/>
          <w:szCs w:val="24"/>
          <w:lang w:val="en-US"/>
        </w:rPr>
        <w:t>,</w:t>
      </w:r>
      <w:r w:rsidR="00F15A01">
        <w:rPr>
          <w:sz w:val="24"/>
          <w:szCs w:val="24"/>
          <w:lang w:val="en-US"/>
        </w:rPr>
        <w:t xml:space="preserve"> with Garton Slack being </w:t>
      </w:r>
      <w:r w:rsidR="00323CFB">
        <w:rPr>
          <w:sz w:val="24"/>
          <w:szCs w:val="24"/>
          <w:lang w:val="en-US"/>
        </w:rPr>
        <w:t>very nearby</w:t>
      </w:r>
      <w:r w:rsidR="00F15A01">
        <w:rPr>
          <w:sz w:val="24"/>
          <w:szCs w:val="24"/>
          <w:lang w:val="en-US"/>
        </w:rPr>
        <w:t xml:space="preserve"> </w:t>
      </w:r>
      <w:r w:rsidR="009E69E3">
        <w:rPr>
          <w:sz w:val="24"/>
          <w:szCs w:val="24"/>
          <w:lang w:val="en-US"/>
        </w:rPr>
        <w:t>as well as the famous site of Arras,</w:t>
      </w:r>
      <w:r w:rsidR="00323CFB">
        <w:rPr>
          <w:sz w:val="24"/>
          <w:szCs w:val="24"/>
          <w:lang w:val="en-US"/>
        </w:rPr>
        <w:t xml:space="preserve"> </w:t>
      </w:r>
      <w:r w:rsidR="009E69E3">
        <w:rPr>
          <w:sz w:val="24"/>
          <w:szCs w:val="24"/>
          <w:lang w:val="en-US"/>
        </w:rPr>
        <w:t>which the Arras culture (as the culture of the peoples living in east Yorkshire is known) is named</w:t>
      </w:r>
      <w:r w:rsidR="00323CFB">
        <w:rPr>
          <w:sz w:val="24"/>
          <w:szCs w:val="24"/>
          <w:lang w:val="en-US"/>
        </w:rPr>
        <w:t xml:space="preserve"> after.</w:t>
      </w:r>
      <w:r w:rsidR="009E69E3">
        <w:rPr>
          <w:sz w:val="24"/>
          <w:szCs w:val="24"/>
          <w:lang w:val="en-US"/>
        </w:rPr>
        <w:t xml:space="preserve"> </w:t>
      </w:r>
      <w:r w:rsidR="00323CFB">
        <w:rPr>
          <w:sz w:val="24"/>
          <w:szCs w:val="24"/>
          <w:lang w:val="en-US"/>
        </w:rPr>
        <w:t>T</w:t>
      </w:r>
      <w:r w:rsidR="009E69E3">
        <w:rPr>
          <w:sz w:val="24"/>
          <w:szCs w:val="24"/>
          <w:lang w:val="en-US"/>
        </w:rPr>
        <w:t>hese sites in Yorkshire are the only sites found in Britain to contain chariot burials</w:t>
      </w:r>
      <w:r w:rsidR="00323CFB">
        <w:rPr>
          <w:sz w:val="24"/>
          <w:szCs w:val="24"/>
          <w:lang w:val="en-US"/>
        </w:rPr>
        <w:t>,</w:t>
      </w:r>
      <w:r w:rsidR="009E69E3">
        <w:rPr>
          <w:sz w:val="24"/>
          <w:szCs w:val="24"/>
          <w:lang w:val="en-US"/>
        </w:rPr>
        <w:t xml:space="preserve"> and as a result have generated much interest from the public and a lot of research from academics such as John Dent and Mandy Jay</w:t>
      </w:r>
      <w:r w:rsidR="00323CFB">
        <w:rPr>
          <w:sz w:val="24"/>
          <w:szCs w:val="24"/>
          <w:lang w:val="en-US"/>
        </w:rPr>
        <w:t xml:space="preserve">. </w:t>
      </w:r>
      <w:r w:rsidR="00A82961">
        <w:rPr>
          <w:sz w:val="24"/>
          <w:szCs w:val="24"/>
          <w:lang w:val="en-US"/>
        </w:rPr>
        <w:t xml:space="preserve">This report focuses on the burials at </w:t>
      </w:r>
      <w:proofErr w:type="spellStart"/>
      <w:r w:rsidR="00A82961">
        <w:rPr>
          <w:sz w:val="24"/>
          <w:szCs w:val="24"/>
          <w:lang w:val="en-US"/>
        </w:rPr>
        <w:t>Wetwang</w:t>
      </w:r>
      <w:proofErr w:type="spellEnd"/>
      <w:r w:rsidR="00A82961">
        <w:rPr>
          <w:sz w:val="24"/>
          <w:szCs w:val="24"/>
          <w:lang w:val="en-US"/>
        </w:rPr>
        <w:t xml:space="preserve"> Slack and how we can use the funerary evidence found there to see changing social status display. </w:t>
      </w:r>
    </w:p>
    <w:p w14:paraId="690F5197" w14:textId="47C597A6" w:rsidR="00672201" w:rsidRDefault="00A369AB" w:rsidP="00C06BB5">
      <w:pPr>
        <w:rPr>
          <w:sz w:val="24"/>
          <w:szCs w:val="24"/>
          <w:lang w:val="en-US"/>
        </w:rPr>
      </w:pPr>
      <w:r>
        <w:rPr>
          <w:sz w:val="24"/>
          <w:szCs w:val="24"/>
          <w:lang w:val="en-US"/>
        </w:rPr>
        <w:t>T</w:t>
      </w:r>
      <w:r w:rsidR="00A82961">
        <w:rPr>
          <w:sz w:val="24"/>
          <w:szCs w:val="24"/>
          <w:lang w:val="en-US"/>
        </w:rPr>
        <w:t xml:space="preserve">here are some issues with this site and using funerary evidence to establish social status display. One </w:t>
      </w:r>
      <w:r w:rsidR="00323CFB">
        <w:rPr>
          <w:sz w:val="24"/>
          <w:szCs w:val="24"/>
          <w:lang w:val="en-US"/>
        </w:rPr>
        <w:t>problem</w:t>
      </w:r>
      <w:r w:rsidR="00A82961">
        <w:rPr>
          <w:sz w:val="24"/>
          <w:szCs w:val="24"/>
          <w:lang w:val="en-US"/>
        </w:rPr>
        <w:t xml:space="preserve"> is that less than a quarter of the burials have been found </w:t>
      </w:r>
      <w:r w:rsidR="00323CFB">
        <w:rPr>
          <w:sz w:val="24"/>
          <w:szCs w:val="24"/>
          <w:lang w:val="en-US"/>
        </w:rPr>
        <w:t xml:space="preserve">to </w:t>
      </w:r>
      <w:r w:rsidR="00A82961">
        <w:rPr>
          <w:sz w:val="24"/>
          <w:szCs w:val="24"/>
          <w:lang w:val="en-US"/>
        </w:rPr>
        <w:t>contain</w:t>
      </w:r>
      <w:r w:rsidR="00323CFB">
        <w:rPr>
          <w:sz w:val="24"/>
          <w:szCs w:val="24"/>
          <w:lang w:val="en-US"/>
        </w:rPr>
        <w:t xml:space="preserve"> </w:t>
      </w:r>
      <w:r w:rsidR="00A82961">
        <w:rPr>
          <w:sz w:val="24"/>
          <w:szCs w:val="24"/>
          <w:lang w:val="en-US"/>
        </w:rPr>
        <w:t>artifacts</w:t>
      </w:r>
      <w:r w:rsidR="00A82961">
        <w:rPr>
          <w:rStyle w:val="FootnoteReference"/>
          <w:sz w:val="24"/>
          <w:szCs w:val="24"/>
          <w:lang w:val="en-US"/>
        </w:rPr>
        <w:footnoteReference w:id="5"/>
      </w:r>
      <w:r w:rsidR="00A82961">
        <w:rPr>
          <w:sz w:val="24"/>
          <w:szCs w:val="24"/>
          <w:lang w:val="en-US"/>
        </w:rPr>
        <w:t xml:space="preserve"> which have survived</w:t>
      </w:r>
      <w:r w:rsidR="00323CFB">
        <w:rPr>
          <w:sz w:val="24"/>
          <w:szCs w:val="24"/>
          <w:lang w:val="en-US"/>
        </w:rPr>
        <w:t>,</w:t>
      </w:r>
      <w:r w:rsidR="00A82961">
        <w:rPr>
          <w:sz w:val="24"/>
          <w:szCs w:val="24"/>
          <w:lang w:val="en-US"/>
        </w:rPr>
        <w:t xml:space="preserve"> this means that in </w:t>
      </w:r>
      <w:proofErr w:type="gramStart"/>
      <w:r w:rsidR="00E27B0C">
        <w:rPr>
          <w:sz w:val="24"/>
          <w:szCs w:val="24"/>
          <w:lang w:val="en-US"/>
        </w:rPr>
        <w:t xml:space="preserve">the </w:t>
      </w:r>
      <w:r w:rsidR="00A82961">
        <w:rPr>
          <w:sz w:val="24"/>
          <w:szCs w:val="24"/>
          <w:lang w:val="en-US"/>
        </w:rPr>
        <w:t>vast majority of</w:t>
      </w:r>
      <w:proofErr w:type="gramEnd"/>
      <w:r w:rsidR="00A82961">
        <w:rPr>
          <w:sz w:val="24"/>
          <w:szCs w:val="24"/>
          <w:lang w:val="en-US"/>
        </w:rPr>
        <w:t xml:space="preserve"> cases we are clueless about how they displayed their status</w:t>
      </w:r>
      <w:r w:rsidR="00E27B0C">
        <w:rPr>
          <w:sz w:val="24"/>
          <w:szCs w:val="24"/>
          <w:lang w:val="en-US"/>
        </w:rPr>
        <w:t>,</w:t>
      </w:r>
      <w:r w:rsidR="00A82961">
        <w:rPr>
          <w:sz w:val="24"/>
          <w:szCs w:val="24"/>
          <w:lang w:val="en-US"/>
        </w:rPr>
        <w:t xml:space="preserve"> as the graves were either looted or were only buried with perishable items such as wood and cloth</w:t>
      </w:r>
      <w:r w:rsidR="00E27B0C">
        <w:rPr>
          <w:sz w:val="24"/>
          <w:szCs w:val="24"/>
          <w:lang w:val="en-US"/>
        </w:rPr>
        <w:t>.</w:t>
      </w:r>
      <w:r w:rsidR="00A82961">
        <w:rPr>
          <w:sz w:val="24"/>
          <w:szCs w:val="24"/>
          <w:lang w:val="en-US"/>
        </w:rPr>
        <w:t xml:space="preserve"> </w:t>
      </w:r>
      <w:r w:rsidR="00E27B0C">
        <w:rPr>
          <w:sz w:val="24"/>
          <w:szCs w:val="24"/>
          <w:lang w:val="en-US"/>
        </w:rPr>
        <w:t>I</w:t>
      </w:r>
      <w:r w:rsidR="00A82961">
        <w:rPr>
          <w:sz w:val="24"/>
          <w:szCs w:val="24"/>
          <w:lang w:val="en-US"/>
        </w:rPr>
        <w:t>t is also possible that the</w:t>
      </w:r>
      <w:r w:rsidR="00E27B0C">
        <w:rPr>
          <w:sz w:val="24"/>
          <w:szCs w:val="24"/>
          <w:lang w:val="en-US"/>
        </w:rPr>
        <w:t>se</w:t>
      </w:r>
      <w:r w:rsidR="00A82961">
        <w:rPr>
          <w:sz w:val="24"/>
          <w:szCs w:val="24"/>
          <w:lang w:val="en-US"/>
        </w:rPr>
        <w:t xml:space="preserve"> </w:t>
      </w:r>
      <w:r w:rsidR="00E27B0C">
        <w:rPr>
          <w:sz w:val="24"/>
          <w:szCs w:val="24"/>
          <w:lang w:val="en-US"/>
        </w:rPr>
        <w:t>bodies</w:t>
      </w:r>
      <w:r w:rsidR="00A82961">
        <w:rPr>
          <w:sz w:val="24"/>
          <w:szCs w:val="24"/>
          <w:lang w:val="en-US"/>
        </w:rPr>
        <w:t xml:space="preserve"> were</w:t>
      </w:r>
      <w:r w:rsidR="00E27B0C">
        <w:rPr>
          <w:sz w:val="24"/>
          <w:szCs w:val="24"/>
          <w:lang w:val="en-US"/>
        </w:rPr>
        <w:t xml:space="preserve"> originally</w:t>
      </w:r>
      <w:r w:rsidR="00A82961">
        <w:rPr>
          <w:sz w:val="24"/>
          <w:szCs w:val="24"/>
          <w:lang w:val="en-US"/>
        </w:rPr>
        <w:t xml:space="preserve"> buried without any artifacts</w:t>
      </w:r>
      <w:r w:rsidR="00E27B0C">
        <w:rPr>
          <w:sz w:val="24"/>
          <w:szCs w:val="24"/>
          <w:lang w:val="en-US"/>
        </w:rPr>
        <w:t>,</w:t>
      </w:r>
      <w:r w:rsidR="00A82961">
        <w:rPr>
          <w:sz w:val="24"/>
          <w:szCs w:val="24"/>
          <w:lang w:val="en-US"/>
        </w:rPr>
        <w:t xml:space="preserve"> but this is very unlikely as </w:t>
      </w:r>
      <w:r w:rsidR="00E27B0C">
        <w:rPr>
          <w:sz w:val="24"/>
          <w:szCs w:val="24"/>
          <w:lang w:val="en-US"/>
        </w:rPr>
        <w:t>it</w:t>
      </w:r>
      <w:r w:rsidR="00A82961">
        <w:rPr>
          <w:sz w:val="24"/>
          <w:szCs w:val="24"/>
          <w:lang w:val="en-US"/>
        </w:rPr>
        <w:t xml:space="preserve"> would</w:t>
      </w:r>
      <w:r w:rsidR="00E27B0C">
        <w:rPr>
          <w:sz w:val="24"/>
          <w:szCs w:val="24"/>
          <w:lang w:val="en-US"/>
        </w:rPr>
        <w:t xml:space="preserve"> be</w:t>
      </w:r>
      <w:r w:rsidR="00A82961">
        <w:rPr>
          <w:sz w:val="24"/>
          <w:szCs w:val="24"/>
          <w:lang w:val="en-US"/>
        </w:rPr>
        <w:t xml:space="preserve"> expect</w:t>
      </w:r>
      <w:r w:rsidR="00E27B0C">
        <w:rPr>
          <w:sz w:val="24"/>
          <w:szCs w:val="24"/>
          <w:lang w:val="en-US"/>
        </w:rPr>
        <w:t>ed</w:t>
      </w:r>
      <w:r w:rsidR="00A82961">
        <w:rPr>
          <w:sz w:val="24"/>
          <w:szCs w:val="24"/>
          <w:lang w:val="en-US"/>
        </w:rPr>
        <w:t xml:space="preserve"> that the occupants of the graves would most likely have at least been wearing clothes. A further issue is that there is much debate about the dating of the graves, for example Dent argues that, based on artifacts found in the graves, the burial site was in use from the 4</w:t>
      </w:r>
      <w:r w:rsidR="00A82961" w:rsidRPr="00A82961">
        <w:rPr>
          <w:sz w:val="24"/>
          <w:szCs w:val="24"/>
          <w:vertAlign w:val="superscript"/>
          <w:lang w:val="en-US"/>
        </w:rPr>
        <w:t>th</w:t>
      </w:r>
      <w:r w:rsidR="00A82961">
        <w:rPr>
          <w:sz w:val="24"/>
          <w:szCs w:val="24"/>
          <w:lang w:val="en-US"/>
        </w:rPr>
        <w:t xml:space="preserve"> to the 1</w:t>
      </w:r>
      <w:r w:rsidR="00A82961" w:rsidRPr="00A82961">
        <w:rPr>
          <w:sz w:val="24"/>
          <w:szCs w:val="24"/>
          <w:vertAlign w:val="superscript"/>
          <w:lang w:val="en-US"/>
        </w:rPr>
        <w:t>st</w:t>
      </w:r>
      <w:r w:rsidR="00A82961">
        <w:rPr>
          <w:sz w:val="24"/>
          <w:szCs w:val="24"/>
          <w:lang w:val="en-US"/>
        </w:rPr>
        <w:t xml:space="preserve"> century BC</w:t>
      </w:r>
      <w:r w:rsidR="00E27B0C">
        <w:rPr>
          <w:sz w:val="24"/>
          <w:szCs w:val="24"/>
          <w:lang w:val="en-US"/>
        </w:rPr>
        <w:t>;</w:t>
      </w:r>
      <w:r w:rsidR="00A82961">
        <w:rPr>
          <w:sz w:val="24"/>
          <w:szCs w:val="24"/>
          <w:lang w:val="en-US"/>
        </w:rPr>
        <w:t xml:space="preserve"> however other authors have argued for a much shorter time period, for example Ja</w:t>
      </w:r>
      <w:r w:rsidR="00E27B0C">
        <w:rPr>
          <w:sz w:val="24"/>
          <w:szCs w:val="24"/>
          <w:lang w:val="en-US"/>
        </w:rPr>
        <w:t>y</w:t>
      </w:r>
      <w:r w:rsidR="00791AA4">
        <w:rPr>
          <w:sz w:val="24"/>
          <w:szCs w:val="24"/>
          <w:lang w:val="en-US"/>
        </w:rPr>
        <w:t xml:space="preserve"> et al</w:t>
      </w:r>
      <w:r w:rsidR="00A82961">
        <w:rPr>
          <w:sz w:val="24"/>
          <w:szCs w:val="24"/>
          <w:lang w:val="en-US"/>
        </w:rPr>
        <w:t xml:space="preserve"> argue that the burial site was only in use for about 130 years</w:t>
      </w:r>
      <w:r w:rsidR="00A82961">
        <w:rPr>
          <w:rStyle w:val="FootnoteReference"/>
          <w:sz w:val="24"/>
          <w:szCs w:val="24"/>
          <w:lang w:val="en-US"/>
        </w:rPr>
        <w:footnoteReference w:id="6"/>
      </w:r>
      <w:r w:rsidR="00791AA4">
        <w:rPr>
          <w:sz w:val="24"/>
          <w:szCs w:val="24"/>
          <w:lang w:val="en-US"/>
        </w:rPr>
        <w:t xml:space="preserve">. It is worth pointing out that although Jay et al </w:t>
      </w:r>
      <w:r w:rsidR="00E27B0C">
        <w:rPr>
          <w:sz w:val="24"/>
          <w:szCs w:val="24"/>
          <w:lang w:val="en-US"/>
        </w:rPr>
        <w:t>are</w:t>
      </w:r>
      <w:r w:rsidR="00791AA4">
        <w:rPr>
          <w:sz w:val="24"/>
          <w:szCs w:val="24"/>
          <w:lang w:val="en-US"/>
        </w:rPr>
        <w:t xml:space="preserve"> using much more modern dating techniques (with the use of AMS dating)</w:t>
      </w:r>
      <w:r w:rsidR="00565C3C">
        <w:rPr>
          <w:sz w:val="24"/>
          <w:szCs w:val="24"/>
          <w:lang w:val="en-US"/>
        </w:rPr>
        <w:t xml:space="preserve"> only 22 Radiocarbon results from </w:t>
      </w:r>
      <w:proofErr w:type="spellStart"/>
      <w:r w:rsidR="00565C3C">
        <w:rPr>
          <w:sz w:val="24"/>
          <w:szCs w:val="24"/>
          <w:lang w:val="en-US"/>
        </w:rPr>
        <w:t>Wetwang</w:t>
      </w:r>
      <w:proofErr w:type="spellEnd"/>
      <w:r w:rsidR="00565C3C">
        <w:rPr>
          <w:sz w:val="24"/>
          <w:szCs w:val="24"/>
          <w:lang w:val="en-US"/>
        </w:rPr>
        <w:t xml:space="preserve"> were examined</w:t>
      </w:r>
      <w:r w:rsidR="00E27B0C">
        <w:rPr>
          <w:sz w:val="24"/>
          <w:szCs w:val="24"/>
          <w:lang w:val="en-US"/>
        </w:rPr>
        <w:t>,</w:t>
      </w:r>
      <w:r w:rsidR="00565C3C">
        <w:rPr>
          <w:sz w:val="24"/>
          <w:szCs w:val="24"/>
          <w:lang w:val="en-US"/>
        </w:rPr>
        <w:t xml:space="preserve"> which does not seem </w:t>
      </w:r>
      <w:proofErr w:type="gramStart"/>
      <w:r w:rsidR="00565C3C">
        <w:rPr>
          <w:sz w:val="24"/>
          <w:szCs w:val="24"/>
          <w:lang w:val="en-US"/>
        </w:rPr>
        <w:t>sufficient</w:t>
      </w:r>
      <w:proofErr w:type="gramEnd"/>
      <w:r w:rsidR="00565C3C">
        <w:rPr>
          <w:sz w:val="24"/>
          <w:szCs w:val="24"/>
          <w:lang w:val="en-US"/>
        </w:rPr>
        <w:t xml:space="preserve"> for a site containing 446 inhumations</w:t>
      </w:r>
      <w:r w:rsidR="00565C3C">
        <w:rPr>
          <w:rStyle w:val="FootnoteReference"/>
          <w:sz w:val="24"/>
          <w:szCs w:val="24"/>
          <w:lang w:val="en-US"/>
        </w:rPr>
        <w:footnoteReference w:id="7"/>
      </w:r>
      <w:r w:rsidR="001A09C8">
        <w:rPr>
          <w:sz w:val="24"/>
          <w:szCs w:val="24"/>
          <w:lang w:val="en-US"/>
        </w:rPr>
        <w:t xml:space="preserve"> and this calls into question the </w:t>
      </w:r>
      <w:r w:rsidR="00E27B0C">
        <w:rPr>
          <w:sz w:val="24"/>
          <w:szCs w:val="24"/>
          <w:lang w:val="en-US"/>
        </w:rPr>
        <w:t>accuracy</w:t>
      </w:r>
      <w:r w:rsidR="001A09C8">
        <w:rPr>
          <w:sz w:val="24"/>
          <w:szCs w:val="24"/>
          <w:lang w:val="en-US"/>
        </w:rPr>
        <w:t xml:space="preserve"> of the</w:t>
      </w:r>
      <w:r w:rsidR="00E27B0C">
        <w:rPr>
          <w:sz w:val="24"/>
          <w:szCs w:val="24"/>
          <w:lang w:val="en-US"/>
        </w:rPr>
        <w:t xml:space="preserve"> timespan which they argue for</w:t>
      </w:r>
      <w:r w:rsidR="001A09C8">
        <w:rPr>
          <w:sz w:val="24"/>
          <w:szCs w:val="24"/>
          <w:lang w:val="en-US"/>
        </w:rPr>
        <w:t>. Without reliable dates for the burials it is very difficult to reconstruct an accurate chronology</w:t>
      </w:r>
      <w:r w:rsidR="00E27B0C">
        <w:rPr>
          <w:sz w:val="24"/>
          <w:szCs w:val="24"/>
          <w:lang w:val="en-US"/>
        </w:rPr>
        <w:t>,</w:t>
      </w:r>
      <w:r w:rsidR="001A09C8">
        <w:rPr>
          <w:sz w:val="24"/>
          <w:szCs w:val="24"/>
          <w:lang w:val="en-US"/>
        </w:rPr>
        <w:t xml:space="preserve"> which in turn causes </w:t>
      </w:r>
      <w:r w:rsidR="00E27B0C">
        <w:rPr>
          <w:sz w:val="24"/>
          <w:szCs w:val="24"/>
          <w:lang w:val="en-US"/>
        </w:rPr>
        <w:t>problems</w:t>
      </w:r>
      <w:r w:rsidR="001A09C8">
        <w:rPr>
          <w:sz w:val="24"/>
          <w:szCs w:val="24"/>
          <w:lang w:val="en-US"/>
        </w:rPr>
        <w:t xml:space="preserve"> with examining </w:t>
      </w:r>
      <w:r w:rsidR="00597577">
        <w:rPr>
          <w:sz w:val="24"/>
          <w:szCs w:val="24"/>
          <w:lang w:val="en-US"/>
        </w:rPr>
        <w:t xml:space="preserve">the way social status </w:t>
      </w:r>
      <w:r w:rsidR="0039181D">
        <w:rPr>
          <w:sz w:val="24"/>
          <w:szCs w:val="24"/>
          <w:lang w:val="en-US"/>
        </w:rPr>
        <w:t>display changes over time</w:t>
      </w:r>
      <w:r w:rsidR="00597577">
        <w:rPr>
          <w:sz w:val="24"/>
          <w:szCs w:val="24"/>
          <w:lang w:val="en-US"/>
        </w:rPr>
        <w:t>.</w:t>
      </w:r>
      <w:r w:rsidR="001A09C8">
        <w:rPr>
          <w:sz w:val="24"/>
          <w:szCs w:val="24"/>
          <w:lang w:val="en-US"/>
        </w:rPr>
        <w:t xml:space="preserve"> </w:t>
      </w:r>
      <w:r w:rsidR="002916AB">
        <w:rPr>
          <w:sz w:val="24"/>
          <w:szCs w:val="24"/>
          <w:lang w:val="en-US"/>
        </w:rPr>
        <w:t>However, d</w:t>
      </w:r>
      <w:r w:rsidR="0039181D">
        <w:rPr>
          <w:sz w:val="24"/>
          <w:szCs w:val="24"/>
          <w:lang w:val="en-US"/>
        </w:rPr>
        <w:t xml:space="preserve">espite the setbacks which prevent us from getting a clear </w:t>
      </w:r>
      <w:r w:rsidR="00672201">
        <w:rPr>
          <w:sz w:val="24"/>
          <w:szCs w:val="24"/>
          <w:lang w:val="en-US"/>
        </w:rPr>
        <w:t xml:space="preserve">and holistic view on changes in social status display there are certain things which we can infer from the chariot burials and </w:t>
      </w:r>
      <w:r w:rsidR="002916AB">
        <w:rPr>
          <w:sz w:val="24"/>
          <w:szCs w:val="24"/>
          <w:lang w:val="en-US"/>
        </w:rPr>
        <w:t xml:space="preserve">other artifacts found in the graves at </w:t>
      </w:r>
      <w:proofErr w:type="spellStart"/>
      <w:r w:rsidR="002916AB">
        <w:rPr>
          <w:sz w:val="24"/>
          <w:szCs w:val="24"/>
          <w:lang w:val="en-US"/>
        </w:rPr>
        <w:t>Wetwang</w:t>
      </w:r>
      <w:proofErr w:type="spellEnd"/>
      <w:r w:rsidR="002916AB">
        <w:rPr>
          <w:sz w:val="24"/>
          <w:szCs w:val="24"/>
          <w:lang w:val="en-US"/>
        </w:rPr>
        <w:t xml:space="preserve"> Slack.</w:t>
      </w:r>
    </w:p>
    <w:p w14:paraId="3840CEEE" w14:textId="35DA464D" w:rsidR="006D0140" w:rsidRDefault="002916AB" w:rsidP="00C06BB5">
      <w:pPr>
        <w:rPr>
          <w:sz w:val="24"/>
          <w:szCs w:val="24"/>
          <w:lang w:val="en-US"/>
        </w:rPr>
      </w:pPr>
      <w:r>
        <w:rPr>
          <w:sz w:val="24"/>
          <w:szCs w:val="24"/>
          <w:lang w:val="en-US"/>
        </w:rPr>
        <w:lastRenderedPageBreak/>
        <w:t>The three chariot burials found a</w:t>
      </w:r>
      <w:r w:rsidR="006D0140">
        <w:rPr>
          <w:sz w:val="24"/>
          <w:szCs w:val="24"/>
          <w:lang w:val="en-US"/>
        </w:rPr>
        <w:t xml:space="preserve">t </w:t>
      </w:r>
      <w:proofErr w:type="spellStart"/>
      <w:r w:rsidR="006D0140">
        <w:rPr>
          <w:sz w:val="24"/>
          <w:szCs w:val="24"/>
          <w:lang w:val="en-US"/>
        </w:rPr>
        <w:t>Wetwang</w:t>
      </w:r>
      <w:proofErr w:type="spellEnd"/>
      <w:r w:rsidR="006D0140">
        <w:rPr>
          <w:sz w:val="24"/>
          <w:szCs w:val="24"/>
          <w:lang w:val="en-US"/>
        </w:rPr>
        <w:t xml:space="preserve"> Sla</w:t>
      </w:r>
      <w:r>
        <w:rPr>
          <w:sz w:val="24"/>
          <w:szCs w:val="24"/>
          <w:lang w:val="en-US"/>
        </w:rPr>
        <w:t>ck</w:t>
      </w:r>
      <w:r w:rsidR="006D0140">
        <w:rPr>
          <w:sz w:val="24"/>
          <w:szCs w:val="24"/>
          <w:lang w:val="en-US"/>
        </w:rPr>
        <w:t xml:space="preserve"> </w:t>
      </w:r>
      <w:r>
        <w:rPr>
          <w:sz w:val="24"/>
          <w:szCs w:val="24"/>
          <w:lang w:val="en-US"/>
        </w:rPr>
        <w:t xml:space="preserve">are the remains of </w:t>
      </w:r>
      <w:r w:rsidR="006D0140">
        <w:rPr>
          <w:sz w:val="24"/>
          <w:szCs w:val="24"/>
          <w:lang w:val="en-US"/>
        </w:rPr>
        <w:t>two male</w:t>
      </w:r>
      <w:r>
        <w:rPr>
          <w:sz w:val="24"/>
          <w:szCs w:val="24"/>
          <w:lang w:val="en-US"/>
        </w:rPr>
        <w:t>s</w:t>
      </w:r>
      <w:r w:rsidR="006D0140">
        <w:rPr>
          <w:sz w:val="24"/>
          <w:szCs w:val="24"/>
          <w:lang w:val="en-US"/>
        </w:rPr>
        <w:t xml:space="preserve"> and </w:t>
      </w:r>
      <w:r>
        <w:rPr>
          <w:sz w:val="24"/>
          <w:szCs w:val="24"/>
          <w:lang w:val="en-US"/>
        </w:rPr>
        <w:t>another</w:t>
      </w:r>
      <w:r w:rsidR="006D0140">
        <w:rPr>
          <w:sz w:val="24"/>
          <w:szCs w:val="24"/>
          <w:lang w:val="en-US"/>
        </w:rPr>
        <w:t xml:space="preserve"> which is assumed to be </w:t>
      </w:r>
      <w:r>
        <w:rPr>
          <w:sz w:val="24"/>
          <w:szCs w:val="24"/>
          <w:lang w:val="en-US"/>
        </w:rPr>
        <w:t xml:space="preserve">a </w:t>
      </w:r>
      <w:r w:rsidR="006D0140">
        <w:rPr>
          <w:sz w:val="24"/>
          <w:szCs w:val="24"/>
          <w:lang w:val="en-US"/>
        </w:rPr>
        <w:t>female</w:t>
      </w:r>
      <w:r>
        <w:rPr>
          <w:sz w:val="24"/>
          <w:szCs w:val="24"/>
          <w:lang w:val="en-US"/>
        </w:rPr>
        <w:t>.</w:t>
      </w:r>
      <w:r w:rsidR="006D0140">
        <w:rPr>
          <w:rStyle w:val="FootnoteReference"/>
          <w:sz w:val="24"/>
          <w:szCs w:val="24"/>
          <w:lang w:val="en-US"/>
        </w:rPr>
        <w:footnoteReference w:id="8"/>
      </w:r>
      <w:r w:rsidR="00722075">
        <w:rPr>
          <w:sz w:val="24"/>
          <w:szCs w:val="24"/>
          <w:lang w:val="en-US"/>
        </w:rPr>
        <w:t xml:space="preserve"> </w:t>
      </w:r>
      <w:r>
        <w:rPr>
          <w:sz w:val="24"/>
          <w:szCs w:val="24"/>
          <w:lang w:val="en-US"/>
        </w:rPr>
        <w:t>F</w:t>
      </w:r>
      <w:r w:rsidR="00722075">
        <w:rPr>
          <w:sz w:val="24"/>
          <w:szCs w:val="24"/>
          <w:lang w:val="en-US"/>
        </w:rPr>
        <w:t xml:space="preserve">or this report I shall be using the identifications from </w:t>
      </w:r>
      <w:proofErr w:type="spellStart"/>
      <w:r w:rsidR="00722075">
        <w:rPr>
          <w:sz w:val="24"/>
          <w:szCs w:val="24"/>
          <w:lang w:val="en-US"/>
        </w:rPr>
        <w:t>Halkon</w:t>
      </w:r>
      <w:r>
        <w:rPr>
          <w:sz w:val="24"/>
          <w:szCs w:val="24"/>
          <w:lang w:val="en-US"/>
        </w:rPr>
        <w:t>’</w:t>
      </w:r>
      <w:r w:rsidR="00722075">
        <w:rPr>
          <w:sz w:val="24"/>
          <w:szCs w:val="24"/>
          <w:lang w:val="en-US"/>
        </w:rPr>
        <w:t>s</w:t>
      </w:r>
      <w:proofErr w:type="spellEnd"/>
      <w:r w:rsidR="00722075">
        <w:rPr>
          <w:sz w:val="24"/>
          <w:szCs w:val="24"/>
          <w:lang w:val="en-US"/>
        </w:rPr>
        <w:t xml:space="preserve"> book </w:t>
      </w:r>
      <w:r>
        <w:rPr>
          <w:i/>
          <w:sz w:val="24"/>
          <w:szCs w:val="24"/>
          <w:lang w:val="en-US"/>
        </w:rPr>
        <w:t xml:space="preserve">The </w:t>
      </w:r>
      <w:proofErr w:type="spellStart"/>
      <w:r>
        <w:rPr>
          <w:i/>
          <w:sz w:val="24"/>
          <w:szCs w:val="24"/>
          <w:lang w:val="en-US"/>
        </w:rPr>
        <w:t>Parisi</w:t>
      </w:r>
      <w:proofErr w:type="spellEnd"/>
      <w:r>
        <w:rPr>
          <w:i/>
          <w:sz w:val="24"/>
          <w:szCs w:val="24"/>
          <w:lang w:val="en-US"/>
        </w:rPr>
        <w:t xml:space="preserve"> Britons and Romans in Eastern Yorkshire </w:t>
      </w:r>
      <w:r>
        <w:rPr>
          <w:sz w:val="24"/>
          <w:szCs w:val="24"/>
          <w:lang w:val="en-US"/>
        </w:rPr>
        <w:t>which states that</w:t>
      </w:r>
      <w:r w:rsidR="00722075">
        <w:rPr>
          <w:sz w:val="24"/>
          <w:szCs w:val="24"/>
          <w:lang w:val="en-US"/>
        </w:rPr>
        <w:t xml:space="preserve"> Chariot 1 and 3 are both male </w:t>
      </w:r>
      <w:r w:rsidR="00C47F91">
        <w:rPr>
          <w:sz w:val="24"/>
          <w:szCs w:val="24"/>
          <w:lang w:val="en-US"/>
        </w:rPr>
        <w:t>26-35-year</w:t>
      </w:r>
      <w:r w:rsidR="00722075">
        <w:rPr>
          <w:sz w:val="24"/>
          <w:szCs w:val="24"/>
          <w:lang w:val="en-US"/>
        </w:rPr>
        <w:t xml:space="preserve"> </w:t>
      </w:r>
      <w:proofErr w:type="spellStart"/>
      <w:r w:rsidR="00722075">
        <w:rPr>
          <w:sz w:val="24"/>
          <w:szCs w:val="24"/>
          <w:lang w:val="en-US"/>
        </w:rPr>
        <w:t>olds</w:t>
      </w:r>
      <w:proofErr w:type="spellEnd"/>
      <w:r>
        <w:rPr>
          <w:sz w:val="24"/>
          <w:szCs w:val="24"/>
          <w:lang w:val="en-US"/>
        </w:rPr>
        <w:t>,</w:t>
      </w:r>
      <w:r w:rsidR="00722075">
        <w:rPr>
          <w:sz w:val="24"/>
          <w:szCs w:val="24"/>
          <w:lang w:val="en-US"/>
        </w:rPr>
        <w:t xml:space="preserve"> and Chariot 2 is the one containing a </w:t>
      </w:r>
      <w:r w:rsidR="004E6D14">
        <w:rPr>
          <w:sz w:val="24"/>
          <w:szCs w:val="24"/>
          <w:lang w:val="en-US"/>
        </w:rPr>
        <w:t>woman</w:t>
      </w:r>
      <w:r w:rsidR="00722075">
        <w:rPr>
          <w:sz w:val="24"/>
          <w:szCs w:val="24"/>
          <w:lang w:val="en-US"/>
        </w:rPr>
        <w:t xml:space="preserve"> aged over 45 years old</w:t>
      </w:r>
      <w:r w:rsidR="00C53468">
        <w:rPr>
          <w:sz w:val="24"/>
          <w:szCs w:val="24"/>
          <w:lang w:val="en-US"/>
        </w:rPr>
        <w:t xml:space="preserve">. The first thing to note is that in Jay’s article all three of the </w:t>
      </w:r>
      <w:proofErr w:type="spellStart"/>
      <w:r w:rsidR="00C53468">
        <w:rPr>
          <w:sz w:val="24"/>
          <w:szCs w:val="24"/>
          <w:lang w:val="en-US"/>
        </w:rPr>
        <w:t>Wetwang</w:t>
      </w:r>
      <w:proofErr w:type="spellEnd"/>
      <w:r w:rsidR="00C53468">
        <w:rPr>
          <w:sz w:val="24"/>
          <w:szCs w:val="24"/>
          <w:lang w:val="en-US"/>
        </w:rPr>
        <w:t xml:space="preserve"> chariots are carbon dated and </w:t>
      </w:r>
      <w:r w:rsidR="00722075">
        <w:rPr>
          <w:sz w:val="24"/>
          <w:szCs w:val="24"/>
          <w:lang w:val="en-US"/>
        </w:rPr>
        <w:t>Chariot 1</w:t>
      </w:r>
      <w:r w:rsidR="00C53468">
        <w:rPr>
          <w:sz w:val="24"/>
          <w:szCs w:val="24"/>
          <w:lang w:val="en-US"/>
        </w:rPr>
        <w:t xml:space="preserve"> is dated to c360 BC whilst the other two are dated to c390 BC.</w:t>
      </w:r>
      <w:r w:rsidR="00C53468">
        <w:rPr>
          <w:rStyle w:val="FootnoteReference"/>
          <w:sz w:val="24"/>
          <w:szCs w:val="24"/>
          <w:lang w:val="en-US"/>
        </w:rPr>
        <w:footnoteReference w:id="9"/>
      </w:r>
      <w:r w:rsidR="00077D18">
        <w:rPr>
          <w:sz w:val="24"/>
          <w:szCs w:val="24"/>
          <w:lang w:val="en-US"/>
        </w:rPr>
        <w:t xml:space="preserve"> </w:t>
      </w:r>
      <w:r w:rsidR="00DA5514">
        <w:rPr>
          <w:sz w:val="24"/>
          <w:szCs w:val="24"/>
          <w:lang w:val="en-US"/>
        </w:rPr>
        <w:t>The dating of these chariots is significant as all three are from a very short period of time</w:t>
      </w:r>
      <w:r w:rsidR="006B2971">
        <w:rPr>
          <w:sz w:val="24"/>
          <w:szCs w:val="24"/>
          <w:lang w:val="en-US"/>
        </w:rPr>
        <w:t xml:space="preserve"> and are thought to be some of the earliest burials</w:t>
      </w:r>
      <w:r>
        <w:rPr>
          <w:sz w:val="24"/>
          <w:szCs w:val="24"/>
          <w:lang w:val="en-US"/>
        </w:rPr>
        <w:t xml:space="preserve"> at the site,</w:t>
      </w:r>
      <w:r w:rsidR="006B2971">
        <w:rPr>
          <w:sz w:val="24"/>
          <w:szCs w:val="24"/>
          <w:lang w:val="en-US"/>
        </w:rPr>
        <w:t xml:space="preserve"> meaning that we can use these to examine social status display in the earlier period</w:t>
      </w:r>
      <w:r w:rsidR="00DA5514">
        <w:rPr>
          <w:sz w:val="24"/>
          <w:szCs w:val="24"/>
          <w:lang w:val="en-US"/>
        </w:rPr>
        <w:t xml:space="preserve">. </w:t>
      </w:r>
      <w:r w:rsidR="006B2971">
        <w:rPr>
          <w:sz w:val="24"/>
          <w:szCs w:val="24"/>
          <w:lang w:val="en-US"/>
        </w:rPr>
        <w:t xml:space="preserve">The fact that they had a chariot burial is a clear show of status as there have been only three found at the site showing that </w:t>
      </w:r>
      <w:r>
        <w:rPr>
          <w:sz w:val="24"/>
          <w:szCs w:val="24"/>
          <w:lang w:val="en-US"/>
        </w:rPr>
        <w:t>the occupants</w:t>
      </w:r>
      <w:r w:rsidR="006B2971">
        <w:rPr>
          <w:sz w:val="24"/>
          <w:szCs w:val="24"/>
          <w:lang w:val="en-US"/>
        </w:rPr>
        <w:t xml:space="preserve"> </w:t>
      </w:r>
      <w:r>
        <w:rPr>
          <w:sz w:val="24"/>
          <w:szCs w:val="24"/>
          <w:lang w:val="en-US"/>
        </w:rPr>
        <w:t xml:space="preserve">of the graves </w:t>
      </w:r>
      <w:r w:rsidR="006B2971">
        <w:rPr>
          <w:sz w:val="24"/>
          <w:szCs w:val="24"/>
          <w:lang w:val="en-US"/>
        </w:rPr>
        <w:t xml:space="preserve">had to be very </w:t>
      </w:r>
      <w:r w:rsidR="00C01BA4">
        <w:rPr>
          <w:sz w:val="24"/>
          <w:szCs w:val="24"/>
          <w:lang w:val="en-US"/>
        </w:rPr>
        <w:t>high-status</w:t>
      </w:r>
      <w:r w:rsidR="006B2971">
        <w:rPr>
          <w:sz w:val="24"/>
          <w:szCs w:val="24"/>
          <w:lang w:val="en-US"/>
        </w:rPr>
        <w:t xml:space="preserve"> individual</w:t>
      </w:r>
      <w:r>
        <w:rPr>
          <w:sz w:val="24"/>
          <w:szCs w:val="24"/>
          <w:lang w:val="en-US"/>
        </w:rPr>
        <w:t>s</w:t>
      </w:r>
      <w:r w:rsidR="006B2971">
        <w:rPr>
          <w:sz w:val="24"/>
          <w:szCs w:val="24"/>
          <w:lang w:val="en-US"/>
        </w:rPr>
        <w:t xml:space="preserve"> to be buried in this manner</w:t>
      </w:r>
      <w:r>
        <w:rPr>
          <w:sz w:val="24"/>
          <w:szCs w:val="24"/>
          <w:lang w:val="en-US"/>
        </w:rPr>
        <w:t>;</w:t>
      </w:r>
      <w:r w:rsidR="006B2971">
        <w:rPr>
          <w:sz w:val="24"/>
          <w:szCs w:val="24"/>
          <w:lang w:val="en-US"/>
        </w:rPr>
        <w:t xml:space="preserve"> potentially a ruler or </w:t>
      </w:r>
      <w:r w:rsidR="00EC5190">
        <w:rPr>
          <w:sz w:val="24"/>
          <w:szCs w:val="24"/>
          <w:lang w:val="en-US"/>
        </w:rPr>
        <w:t>‘</w:t>
      </w:r>
      <w:r w:rsidR="006B2971">
        <w:rPr>
          <w:sz w:val="24"/>
          <w:szCs w:val="24"/>
          <w:lang w:val="en-US"/>
        </w:rPr>
        <w:t>tribal</w:t>
      </w:r>
      <w:r w:rsidR="00EC5190">
        <w:rPr>
          <w:sz w:val="24"/>
          <w:szCs w:val="24"/>
          <w:lang w:val="en-US"/>
        </w:rPr>
        <w:t>’</w:t>
      </w:r>
      <w:r w:rsidR="006B2971">
        <w:rPr>
          <w:sz w:val="24"/>
          <w:szCs w:val="24"/>
          <w:lang w:val="en-US"/>
        </w:rPr>
        <w:t xml:space="preserve"> leader</w:t>
      </w:r>
      <w:r w:rsidR="00EC5190">
        <w:rPr>
          <w:sz w:val="24"/>
          <w:szCs w:val="24"/>
          <w:lang w:val="en-US"/>
        </w:rPr>
        <w:t>,</w:t>
      </w:r>
      <w:r w:rsidR="00210F9B">
        <w:rPr>
          <w:sz w:val="24"/>
          <w:szCs w:val="24"/>
          <w:lang w:val="en-US"/>
        </w:rPr>
        <w:t xml:space="preserve"> as Hellier suggests that chariot burials from this area are</w:t>
      </w:r>
      <w:r w:rsidR="00EC5190">
        <w:rPr>
          <w:sz w:val="24"/>
          <w:szCs w:val="24"/>
          <w:lang w:val="en-US"/>
        </w:rPr>
        <w:t xml:space="preserve"> associated with “very Important” individuals</w:t>
      </w:r>
      <w:r w:rsidR="00210F9B">
        <w:rPr>
          <w:rStyle w:val="FootnoteReference"/>
          <w:sz w:val="24"/>
          <w:szCs w:val="24"/>
          <w:lang w:val="en-US"/>
        </w:rPr>
        <w:footnoteReference w:id="10"/>
      </w:r>
      <w:r w:rsidR="006B2971">
        <w:rPr>
          <w:sz w:val="24"/>
          <w:szCs w:val="24"/>
          <w:lang w:val="en-US"/>
        </w:rPr>
        <w:t xml:space="preserve">. </w:t>
      </w:r>
      <w:r w:rsidR="00C01BA4">
        <w:rPr>
          <w:sz w:val="24"/>
          <w:szCs w:val="24"/>
          <w:lang w:val="en-US"/>
        </w:rPr>
        <w:t>The two male burials are also both buried with weapons</w:t>
      </w:r>
      <w:r w:rsidR="00EC5190">
        <w:rPr>
          <w:sz w:val="24"/>
          <w:szCs w:val="24"/>
          <w:lang w:val="en-US"/>
        </w:rPr>
        <w:t>:</w:t>
      </w:r>
      <w:r w:rsidR="00C01BA4">
        <w:rPr>
          <w:rStyle w:val="FootnoteReference"/>
          <w:sz w:val="24"/>
          <w:szCs w:val="24"/>
          <w:lang w:val="en-US"/>
        </w:rPr>
        <w:footnoteReference w:id="11"/>
      </w:r>
      <w:r w:rsidR="009F42C2">
        <w:rPr>
          <w:sz w:val="24"/>
          <w:szCs w:val="24"/>
          <w:lang w:val="en-US"/>
        </w:rPr>
        <w:t xml:space="preserve"> </w:t>
      </w:r>
      <w:r w:rsidR="00F52F6A" w:rsidRPr="00E76910">
        <w:rPr>
          <w:sz w:val="24"/>
          <w:szCs w:val="24"/>
          <w:lang w:val="en-US"/>
        </w:rPr>
        <w:t xml:space="preserve">Chariot 1 being found with a </w:t>
      </w:r>
      <w:r w:rsidR="00EC5190" w:rsidRPr="00E76910">
        <w:rPr>
          <w:sz w:val="24"/>
          <w:szCs w:val="24"/>
          <w:lang w:val="en-US"/>
        </w:rPr>
        <w:t>s</w:t>
      </w:r>
      <w:r w:rsidR="00F52F6A" w:rsidRPr="00E76910">
        <w:rPr>
          <w:sz w:val="24"/>
          <w:szCs w:val="24"/>
          <w:lang w:val="en-US"/>
        </w:rPr>
        <w:t xml:space="preserve">word and </w:t>
      </w:r>
      <w:r w:rsidR="00EC5190" w:rsidRPr="00E76910">
        <w:rPr>
          <w:sz w:val="24"/>
          <w:szCs w:val="24"/>
          <w:lang w:val="en-US"/>
        </w:rPr>
        <w:t>s</w:t>
      </w:r>
      <w:r w:rsidR="00F52F6A" w:rsidRPr="00E76910">
        <w:rPr>
          <w:sz w:val="24"/>
          <w:szCs w:val="24"/>
          <w:lang w:val="en-US"/>
        </w:rPr>
        <w:t xml:space="preserve">hield and Chariot 3 having a sword and </w:t>
      </w:r>
      <w:r w:rsidR="00EC5190" w:rsidRPr="00E76910">
        <w:rPr>
          <w:sz w:val="24"/>
          <w:szCs w:val="24"/>
          <w:lang w:val="en-US"/>
        </w:rPr>
        <w:t>s</w:t>
      </w:r>
      <w:r w:rsidR="00F52F6A" w:rsidRPr="00E76910">
        <w:rPr>
          <w:sz w:val="24"/>
          <w:szCs w:val="24"/>
          <w:lang w:val="en-US"/>
        </w:rPr>
        <w:t>hield as well as 7 spears. This is another way that we can learn about social status display in the funerary context.</w:t>
      </w:r>
      <w:r w:rsidR="00922944">
        <w:rPr>
          <w:sz w:val="24"/>
          <w:szCs w:val="24"/>
          <w:lang w:val="en-US"/>
        </w:rPr>
        <w:t xml:space="preserve"> Swords are </w:t>
      </w:r>
      <w:r w:rsidR="00CC7B81">
        <w:rPr>
          <w:sz w:val="24"/>
          <w:szCs w:val="24"/>
          <w:lang w:val="en-US"/>
        </w:rPr>
        <w:t>often a status symbol and Joy states that elaborate decoration features commonly on swords from east Yorkshire</w:t>
      </w:r>
      <w:r w:rsidR="00CC7B81">
        <w:rPr>
          <w:rStyle w:val="FootnoteReference"/>
          <w:sz w:val="24"/>
          <w:szCs w:val="24"/>
          <w:lang w:val="en-US"/>
        </w:rPr>
        <w:footnoteReference w:id="12"/>
      </w:r>
      <w:r w:rsidR="00CC7B81">
        <w:rPr>
          <w:sz w:val="24"/>
          <w:szCs w:val="24"/>
          <w:lang w:val="en-US"/>
        </w:rPr>
        <w:t xml:space="preserve"> and this is almost definitely a show of status. Joy also goes on to say that these elaborately decorated swords are not very common elsewhere in Britain</w:t>
      </w:r>
      <w:r w:rsidR="00CC7B81">
        <w:rPr>
          <w:rStyle w:val="FootnoteReference"/>
          <w:sz w:val="24"/>
          <w:szCs w:val="24"/>
          <w:lang w:val="en-US"/>
        </w:rPr>
        <w:footnoteReference w:id="13"/>
      </w:r>
      <w:r w:rsidR="00CC7B81">
        <w:rPr>
          <w:sz w:val="24"/>
          <w:szCs w:val="24"/>
          <w:lang w:val="en-US"/>
        </w:rPr>
        <w:t xml:space="preserve"> suggesting that this status display is unique to the area and a result of influences from mainland Europe like the use of chariot burials.</w:t>
      </w:r>
      <w:bookmarkStart w:id="0" w:name="_GoBack"/>
      <w:bookmarkEnd w:id="0"/>
      <w:r w:rsidR="00201B6A">
        <w:rPr>
          <w:sz w:val="24"/>
          <w:szCs w:val="24"/>
          <w:lang w:val="en-US"/>
        </w:rPr>
        <w:t xml:space="preserve"> The female burial contained no weapons but did contain a mirror</w:t>
      </w:r>
      <w:r w:rsidR="00922944">
        <w:rPr>
          <w:sz w:val="24"/>
          <w:szCs w:val="24"/>
          <w:lang w:val="en-US"/>
        </w:rPr>
        <w:t xml:space="preserve"> and Joy argues that mirrors in iron age Britain are only found in lavishly decorated graves</w:t>
      </w:r>
      <w:r w:rsidR="00922944">
        <w:rPr>
          <w:rStyle w:val="FootnoteReference"/>
          <w:sz w:val="24"/>
          <w:szCs w:val="24"/>
          <w:lang w:val="en-US"/>
        </w:rPr>
        <w:footnoteReference w:id="14"/>
      </w:r>
      <w:r w:rsidR="00922944">
        <w:rPr>
          <w:sz w:val="24"/>
          <w:szCs w:val="24"/>
          <w:lang w:val="en-US"/>
        </w:rPr>
        <w:t xml:space="preserve"> which would suggest that in a wider Brittonic culture mirrors were a status symbol and the discovery of one in the grave of this female suggests that she is displaying her high status. </w:t>
      </w:r>
      <w:proofErr w:type="gramStart"/>
      <w:r w:rsidR="00922944">
        <w:rPr>
          <w:sz w:val="24"/>
          <w:szCs w:val="24"/>
          <w:lang w:val="en-US"/>
        </w:rPr>
        <w:t>H</w:t>
      </w:r>
      <w:r w:rsidR="00D403C3">
        <w:rPr>
          <w:sz w:val="24"/>
          <w:szCs w:val="24"/>
          <w:lang w:val="en-US"/>
        </w:rPr>
        <w:t>owever</w:t>
      </w:r>
      <w:proofErr w:type="gramEnd"/>
      <w:r w:rsidR="00D403C3">
        <w:rPr>
          <w:sz w:val="24"/>
          <w:szCs w:val="24"/>
          <w:lang w:val="en-US"/>
        </w:rPr>
        <w:t xml:space="preserve"> with very few other female chariot burials found in east Yorkshire we have no way of </w:t>
      </w:r>
      <w:r w:rsidR="00EC5190">
        <w:rPr>
          <w:sz w:val="24"/>
          <w:szCs w:val="24"/>
          <w:lang w:val="en-US"/>
        </w:rPr>
        <w:t>understanding</w:t>
      </w:r>
      <w:r w:rsidR="00D403C3">
        <w:rPr>
          <w:sz w:val="24"/>
          <w:szCs w:val="24"/>
          <w:lang w:val="en-US"/>
        </w:rPr>
        <w:t xml:space="preserve"> if this was common practice </w:t>
      </w:r>
      <w:r w:rsidR="00922944">
        <w:rPr>
          <w:sz w:val="24"/>
          <w:szCs w:val="24"/>
          <w:lang w:val="en-US"/>
        </w:rPr>
        <w:t xml:space="preserve">for the </w:t>
      </w:r>
      <w:proofErr w:type="spellStart"/>
      <w:r w:rsidR="00922944">
        <w:rPr>
          <w:sz w:val="24"/>
          <w:szCs w:val="24"/>
          <w:lang w:val="en-US"/>
        </w:rPr>
        <w:t>Parisi</w:t>
      </w:r>
      <w:proofErr w:type="spellEnd"/>
      <w:r w:rsidR="00922944">
        <w:rPr>
          <w:sz w:val="24"/>
          <w:szCs w:val="24"/>
          <w:lang w:val="en-US"/>
        </w:rPr>
        <w:t xml:space="preserve"> </w:t>
      </w:r>
      <w:r w:rsidR="00D403C3">
        <w:rPr>
          <w:sz w:val="24"/>
          <w:szCs w:val="24"/>
          <w:lang w:val="en-US"/>
        </w:rPr>
        <w:t>or just a one off that this specific woman was buried with a mirror.</w:t>
      </w:r>
    </w:p>
    <w:p w14:paraId="17F9B483" w14:textId="77777777" w:rsidR="007313C8" w:rsidRDefault="00CA31C2" w:rsidP="00C06BB5">
      <w:pPr>
        <w:rPr>
          <w:sz w:val="24"/>
          <w:szCs w:val="24"/>
          <w:lang w:val="en-US"/>
        </w:rPr>
      </w:pPr>
      <w:r>
        <w:rPr>
          <w:sz w:val="24"/>
          <w:szCs w:val="24"/>
          <w:lang w:val="en-US"/>
        </w:rPr>
        <w:t xml:space="preserve">As has already been mentioned </w:t>
      </w:r>
      <w:r w:rsidR="00111379">
        <w:rPr>
          <w:sz w:val="24"/>
          <w:szCs w:val="24"/>
          <w:lang w:val="en-US"/>
        </w:rPr>
        <w:t xml:space="preserve">the </w:t>
      </w:r>
      <w:r w:rsidR="002F44B6">
        <w:rPr>
          <w:sz w:val="24"/>
          <w:szCs w:val="24"/>
          <w:lang w:val="en-US"/>
        </w:rPr>
        <w:t>three</w:t>
      </w:r>
      <w:r w:rsidR="00111379">
        <w:rPr>
          <w:sz w:val="24"/>
          <w:szCs w:val="24"/>
          <w:lang w:val="en-US"/>
        </w:rPr>
        <w:t xml:space="preserve"> chariot burials which have been discovered at </w:t>
      </w:r>
      <w:proofErr w:type="spellStart"/>
      <w:r w:rsidR="00111379">
        <w:rPr>
          <w:sz w:val="24"/>
          <w:szCs w:val="24"/>
          <w:lang w:val="en-US"/>
        </w:rPr>
        <w:t>Wetwang</w:t>
      </w:r>
      <w:proofErr w:type="spellEnd"/>
      <w:r w:rsidR="00111379">
        <w:rPr>
          <w:sz w:val="24"/>
          <w:szCs w:val="24"/>
          <w:lang w:val="en-US"/>
        </w:rPr>
        <w:t xml:space="preserve"> Slack are all from a relatively short time period (</w:t>
      </w:r>
      <w:r w:rsidR="00EB7F82">
        <w:rPr>
          <w:sz w:val="24"/>
          <w:szCs w:val="24"/>
          <w:lang w:val="en-US"/>
        </w:rPr>
        <w:t>a</w:t>
      </w:r>
      <w:r w:rsidR="00111379">
        <w:rPr>
          <w:sz w:val="24"/>
          <w:szCs w:val="24"/>
          <w:lang w:val="en-US"/>
        </w:rPr>
        <w:t xml:space="preserve">pproximately 30 years) and given the low number of </w:t>
      </w:r>
      <w:r w:rsidR="00EB7F82">
        <w:rPr>
          <w:sz w:val="24"/>
          <w:szCs w:val="24"/>
          <w:lang w:val="en-US"/>
        </w:rPr>
        <w:t>these discoveries</w:t>
      </w:r>
      <w:r w:rsidR="00111379">
        <w:rPr>
          <w:sz w:val="24"/>
          <w:szCs w:val="24"/>
          <w:lang w:val="en-US"/>
        </w:rPr>
        <w:t xml:space="preserve"> we can assume that these burials were of the elite. </w:t>
      </w:r>
      <w:proofErr w:type="gramStart"/>
      <w:r w:rsidR="00111379">
        <w:rPr>
          <w:sz w:val="24"/>
          <w:szCs w:val="24"/>
          <w:lang w:val="en-US"/>
        </w:rPr>
        <w:t>However</w:t>
      </w:r>
      <w:proofErr w:type="gramEnd"/>
      <w:r w:rsidR="00111379">
        <w:rPr>
          <w:sz w:val="24"/>
          <w:szCs w:val="24"/>
          <w:lang w:val="en-US"/>
        </w:rPr>
        <w:t xml:space="preserve"> the </w:t>
      </w:r>
      <w:r w:rsidR="00483A2A">
        <w:rPr>
          <w:sz w:val="24"/>
          <w:szCs w:val="24"/>
          <w:lang w:val="en-US"/>
        </w:rPr>
        <w:t xml:space="preserve">practice of </w:t>
      </w:r>
      <w:r w:rsidR="00111379">
        <w:rPr>
          <w:sz w:val="24"/>
          <w:szCs w:val="24"/>
          <w:lang w:val="en-US"/>
        </w:rPr>
        <w:t xml:space="preserve">chariot </w:t>
      </w:r>
      <w:r w:rsidR="00EB7F82">
        <w:rPr>
          <w:sz w:val="24"/>
          <w:szCs w:val="24"/>
          <w:lang w:val="en-US"/>
        </w:rPr>
        <w:t>b</w:t>
      </w:r>
      <w:r w:rsidR="00111379">
        <w:rPr>
          <w:sz w:val="24"/>
          <w:szCs w:val="24"/>
          <w:lang w:val="en-US"/>
        </w:rPr>
        <w:t xml:space="preserve">urials seem </w:t>
      </w:r>
      <w:r w:rsidR="00483A2A">
        <w:rPr>
          <w:sz w:val="24"/>
          <w:szCs w:val="24"/>
          <w:lang w:val="en-US"/>
        </w:rPr>
        <w:t xml:space="preserve">to not </w:t>
      </w:r>
      <w:r w:rsidR="00EB7F82">
        <w:rPr>
          <w:sz w:val="24"/>
          <w:szCs w:val="24"/>
          <w:lang w:val="en-US"/>
        </w:rPr>
        <w:t xml:space="preserve">have </w:t>
      </w:r>
      <w:r w:rsidR="00483A2A">
        <w:rPr>
          <w:sz w:val="24"/>
          <w:szCs w:val="24"/>
          <w:lang w:val="en-US"/>
        </w:rPr>
        <w:t>survive</w:t>
      </w:r>
      <w:r w:rsidR="00EB7F82">
        <w:rPr>
          <w:sz w:val="24"/>
          <w:szCs w:val="24"/>
          <w:lang w:val="en-US"/>
        </w:rPr>
        <w:t>d</w:t>
      </w:r>
      <w:r w:rsidR="00483A2A">
        <w:rPr>
          <w:sz w:val="24"/>
          <w:szCs w:val="24"/>
          <w:lang w:val="en-US"/>
        </w:rPr>
        <w:t xml:space="preserve"> in</w:t>
      </w:r>
      <w:r w:rsidR="00EB7F82">
        <w:rPr>
          <w:sz w:val="24"/>
          <w:szCs w:val="24"/>
          <w:lang w:val="en-US"/>
        </w:rPr>
        <w:t>to</w:t>
      </w:r>
      <w:r w:rsidR="00483A2A">
        <w:rPr>
          <w:sz w:val="24"/>
          <w:szCs w:val="24"/>
          <w:lang w:val="en-US"/>
        </w:rPr>
        <w:t xml:space="preserve"> the late 4</w:t>
      </w:r>
      <w:r w:rsidR="00483A2A" w:rsidRPr="00483A2A">
        <w:rPr>
          <w:sz w:val="24"/>
          <w:szCs w:val="24"/>
          <w:vertAlign w:val="superscript"/>
          <w:lang w:val="en-US"/>
        </w:rPr>
        <w:t>th</w:t>
      </w:r>
      <w:r w:rsidR="00483A2A">
        <w:rPr>
          <w:sz w:val="24"/>
          <w:szCs w:val="24"/>
          <w:lang w:val="en-US"/>
        </w:rPr>
        <w:t xml:space="preserve"> century BC which indicates a </w:t>
      </w:r>
      <w:r w:rsidR="00EB7F82">
        <w:rPr>
          <w:sz w:val="24"/>
          <w:szCs w:val="24"/>
          <w:lang w:val="en-US"/>
        </w:rPr>
        <w:t xml:space="preserve">possible </w:t>
      </w:r>
      <w:r w:rsidR="00483A2A">
        <w:rPr>
          <w:sz w:val="24"/>
          <w:szCs w:val="24"/>
          <w:lang w:val="en-US"/>
        </w:rPr>
        <w:t xml:space="preserve">change in how the elite </w:t>
      </w:r>
      <w:r w:rsidR="00EB7F82">
        <w:rPr>
          <w:sz w:val="24"/>
          <w:szCs w:val="24"/>
          <w:lang w:val="en-US"/>
        </w:rPr>
        <w:t>were</w:t>
      </w:r>
      <w:r w:rsidR="00483A2A">
        <w:rPr>
          <w:sz w:val="24"/>
          <w:szCs w:val="24"/>
          <w:lang w:val="en-US"/>
        </w:rPr>
        <w:t xml:space="preserve"> showing their social status in their burials</w:t>
      </w:r>
      <w:r w:rsidR="007313C8">
        <w:rPr>
          <w:sz w:val="24"/>
          <w:szCs w:val="24"/>
          <w:lang w:val="en-US"/>
        </w:rPr>
        <w:t>.</w:t>
      </w:r>
      <w:r w:rsidR="002F44B6">
        <w:rPr>
          <w:sz w:val="24"/>
          <w:szCs w:val="24"/>
          <w:lang w:val="en-US"/>
        </w:rPr>
        <w:t xml:space="preserve"> </w:t>
      </w:r>
      <w:r w:rsidR="007313C8">
        <w:rPr>
          <w:sz w:val="24"/>
          <w:szCs w:val="24"/>
          <w:lang w:val="en-US"/>
        </w:rPr>
        <w:t>T</w:t>
      </w:r>
      <w:r w:rsidR="002F44B6">
        <w:rPr>
          <w:sz w:val="24"/>
          <w:szCs w:val="24"/>
          <w:lang w:val="en-US"/>
        </w:rPr>
        <w:t xml:space="preserve">his appears to also have been the case at many other sites in the area traditionally associated with the </w:t>
      </w:r>
      <w:proofErr w:type="spellStart"/>
      <w:r w:rsidR="002F44B6">
        <w:rPr>
          <w:sz w:val="24"/>
          <w:szCs w:val="24"/>
          <w:lang w:val="en-US"/>
        </w:rPr>
        <w:t>Parisi</w:t>
      </w:r>
      <w:proofErr w:type="spellEnd"/>
      <w:r w:rsidR="006D3E3A">
        <w:rPr>
          <w:rStyle w:val="FootnoteReference"/>
          <w:sz w:val="24"/>
          <w:szCs w:val="24"/>
          <w:lang w:val="en-US"/>
        </w:rPr>
        <w:footnoteReference w:id="15"/>
      </w:r>
      <w:r w:rsidR="002F44B6">
        <w:rPr>
          <w:sz w:val="24"/>
          <w:szCs w:val="24"/>
          <w:lang w:val="en-US"/>
        </w:rPr>
        <w:t xml:space="preserve"> indicating that this is a much wider shift in social status display than just the one </w:t>
      </w:r>
      <w:r w:rsidR="006D3E3A">
        <w:rPr>
          <w:sz w:val="24"/>
          <w:szCs w:val="24"/>
          <w:lang w:val="en-US"/>
        </w:rPr>
        <w:t>cemetery</w:t>
      </w:r>
      <w:r w:rsidR="002F44B6">
        <w:rPr>
          <w:sz w:val="24"/>
          <w:szCs w:val="24"/>
          <w:lang w:val="en-US"/>
        </w:rPr>
        <w:t xml:space="preserve">. </w:t>
      </w:r>
    </w:p>
    <w:p w14:paraId="7AF3963C" w14:textId="7AE56209" w:rsidR="00A82961" w:rsidRDefault="002F44B6" w:rsidP="00C06BB5">
      <w:pPr>
        <w:rPr>
          <w:sz w:val="24"/>
          <w:szCs w:val="24"/>
          <w:lang w:val="en-US"/>
        </w:rPr>
      </w:pPr>
      <w:r>
        <w:rPr>
          <w:sz w:val="24"/>
          <w:szCs w:val="24"/>
          <w:lang w:val="en-US"/>
        </w:rPr>
        <w:lastRenderedPageBreak/>
        <w:t xml:space="preserve">Dealing with non-chariot burials at </w:t>
      </w:r>
      <w:proofErr w:type="spellStart"/>
      <w:r>
        <w:rPr>
          <w:sz w:val="24"/>
          <w:szCs w:val="24"/>
          <w:lang w:val="en-US"/>
        </w:rPr>
        <w:t>Wetwang</w:t>
      </w:r>
      <w:proofErr w:type="spellEnd"/>
      <w:r>
        <w:rPr>
          <w:sz w:val="24"/>
          <w:szCs w:val="24"/>
          <w:lang w:val="en-US"/>
        </w:rPr>
        <w:t xml:space="preserve"> Slack is problematic as there has been very little research done or literature written on them as </w:t>
      </w:r>
      <w:proofErr w:type="gramStart"/>
      <w:r>
        <w:rPr>
          <w:sz w:val="24"/>
          <w:szCs w:val="24"/>
          <w:lang w:val="en-US"/>
        </w:rPr>
        <w:t>the majority of</w:t>
      </w:r>
      <w:proofErr w:type="gramEnd"/>
      <w:r>
        <w:rPr>
          <w:sz w:val="24"/>
          <w:szCs w:val="24"/>
          <w:lang w:val="en-US"/>
        </w:rPr>
        <w:t xml:space="preserve"> interest in the site has been focused on the three chariots.</w:t>
      </w:r>
      <w:r w:rsidR="002E5E62">
        <w:rPr>
          <w:sz w:val="24"/>
          <w:szCs w:val="24"/>
          <w:lang w:val="en-US"/>
        </w:rPr>
        <w:t xml:space="preserve"> </w:t>
      </w:r>
      <w:r w:rsidR="001040EF">
        <w:rPr>
          <w:sz w:val="24"/>
          <w:szCs w:val="24"/>
          <w:lang w:val="en-US"/>
        </w:rPr>
        <w:t xml:space="preserve">Although dating becomes </w:t>
      </w:r>
      <w:r w:rsidR="00C47F91">
        <w:rPr>
          <w:sz w:val="24"/>
          <w:szCs w:val="24"/>
          <w:lang w:val="en-US"/>
        </w:rPr>
        <w:t>problematic,</w:t>
      </w:r>
      <w:r w:rsidR="001040EF">
        <w:rPr>
          <w:sz w:val="24"/>
          <w:szCs w:val="24"/>
          <w:lang w:val="en-US"/>
        </w:rPr>
        <w:t xml:space="preserve"> we can see that less than a quarter of burials at </w:t>
      </w:r>
      <w:proofErr w:type="spellStart"/>
      <w:r w:rsidR="001040EF">
        <w:rPr>
          <w:sz w:val="24"/>
          <w:szCs w:val="24"/>
          <w:lang w:val="en-US"/>
        </w:rPr>
        <w:t>Wetwang</w:t>
      </w:r>
      <w:proofErr w:type="spellEnd"/>
      <w:r w:rsidR="001040EF">
        <w:rPr>
          <w:sz w:val="24"/>
          <w:szCs w:val="24"/>
          <w:lang w:val="en-US"/>
        </w:rPr>
        <w:t xml:space="preserve"> contained grave goods</w:t>
      </w:r>
      <w:r w:rsidR="007313C8">
        <w:rPr>
          <w:sz w:val="24"/>
          <w:szCs w:val="24"/>
          <w:lang w:val="en-US"/>
        </w:rPr>
        <w:t>.</w:t>
      </w:r>
      <w:r w:rsidR="009B262F">
        <w:rPr>
          <w:rStyle w:val="FootnoteReference"/>
          <w:sz w:val="24"/>
          <w:szCs w:val="24"/>
          <w:lang w:val="en-US"/>
        </w:rPr>
        <w:footnoteReference w:id="16"/>
      </w:r>
      <w:r w:rsidR="009B262F">
        <w:rPr>
          <w:sz w:val="24"/>
          <w:szCs w:val="24"/>
          <w:lang w:val="en-US"/>
        </w:rPr>
        <w:t xml:space="preserve"> </w:t>
      </w:r>
      <w:r w:rsidR="007313C8">
        <w:rPr>
          <w:sz w:val="24"/>
          <w:szCs w:val="24"/>
          <w:lang w:val="en-US"/>
        </w:rPr>
        <w:t>T</w:t>
      </w:r>
      <w:r w:rsidR="00915940">
        <w:rPr>
          <w:sz w:val="24"/>
          <w:szCs w:val="24"/>
          <w:lang w:val="en-US"/>
        </w:rPr>
        <w:t xml:space="preserve">his could suggest that only some people were buried with grave goods or more likely that only the </w:t>
      </w:r>
      <w:r w:rsidR="00655AB6">
        <w:rPr>
          <w:sz w:val="24"/>
          <w:szCs w:val="24"/>
          <w:lang w:val="en-US"/>
        </w:rPr>
        <w:t>wealthier</w:t>
      </w:r>
      <w:r w:rsidR="00915940">
        <w:rPr>
          <w:sz w:val="24"/>
          <w:szCs w:val="24"/>
          <w:lang w:val="en-US"/>
        </w:rPr>
        <w:t xml:space="preserve"> members of society were buried with </w:t>
      </w:r>
      <w:r w:rsidR="00C47F91">
        <w:rPr>
          <w:sz w:val="24"/>
          <w:szCs w:val="24"/>
          <w:lang w:val="en-US"/>
        </w:rPr>
        <w:t>non-perishable metal items. Certain individuals of a warrior class were buried with weapons</w:t>
      </w:r>
      <w:r w:rsidR="003A30B0">
        <w:rPr>
          <w:rStyle w:val="FootnoteReference"/>
          <w:sz w:val="24"/>
          <w:szCs w:val="24"/>
          <w:lang w:val="en-US"/>
        </w:rPr>
        <w:footnoteReference w:id="17"/>
      </w:r>
      <w:r w:rsidR="00C47F91">
        <w:rPr>
          <w:sz w:val="24"/>
          <w:szCs w:val="24"/>
          <w:lang w:val="en-US"/>
        </w:rPr>
        <w:t xml:space="preserve">  </w:t>
      </w:r>
      <w:r w:rsidR="00B600A0">
        <w:rPr>
          <w:sz w:val="24"/>
          <w:szCs w:val="24"/>
          <w:lang w:val="en-US"/>
        </w:rPr>
        <w:t>however these a</w:t>
      </w:r>
      <w:r w:rsidR="007313C8">
        <w:rPr>
          <w:sz w:val="24"/>
          <w:szCs w:val="24"/>
          <w:lang w:val="en-US"/>
        </w:rPr>
        <w:t>ppear to be</w:t>
      </w:r>
      <w:r w:rsidR="00B600A0">
        <w:rPr>
          <w:sz w:val="24"/>
          <w:szCs w:val="24"/>
          <w:lang w:val="en-US"/>
        </w:rPr>
        <w:t xml:space="preserve"> few and far between</w:t>
      </w:r>
      <w:r w:rsidR="00205B27">
        <w:rPr>
          <w:sz w:val="24"/>
          <w:szCs w:val="24"/>
          <w:lang w:val="en-US"/>
        </w:rPr>
        <w:t xml:space="preserve">. Most of the time when grave goods are found at </w:t>
      </w:r>
      <w:proofErr w:type="spellStart"/>
      <w:r w:rsidR="00205B27">
        <w:rPr>
          <w:sz w:val="24"/>
          <w:szCs w:val="24"/>
          <w:lang w:val="en-US"/>
        </w:rPr>
        <w:t>Wetwang</w:t>
      </w:r>
      <w:proofErr w:type="spellEnd"/>
      <w:r w:rsidR="00205B27">
        <w:rPr>
          <w:sz w:val="24"/>
          <w:szCs w:val="24"/>
          <w:lang w:val="en-US"/>
        </w:rPr>
        <w:t xml:space="preserve"> it tends to be bro</w:t>
      </w:r>
      <w:r w:rsidR="007313C8">
        <w:rPr>
          <w:sz w:val="24"/>
          <w:szCs w:val="24"/>
          <w:lang w:val="en-US"/>
        </w:rPr>
        <w:t>o</w:t>
      </w:r>
      <w:r w:rsidR="00205B27">
        <w:rPr>
          <w:sz w:val="24"/>
          <w:szCs w:val="24"/>
          <w:lang w:val="en-US"/>
        </w:rPr>
        <w:t>ches or other items associated with clothing</w:t>
      </w:r>
      <w:r w:rsidR="007313C8">
        <w:rPr>
          <w:sz w:val="24"/>
          <w:szCs w:val="24"/>
          <w:lang w:val="en-US"/>
        </w:rPr>
        <w:t>,</w:t>
      </w:r>
      <w:r w:rsidR="00205B27">
        <w:rPr>
          <w:rStyle w:val="FootnoteReference"/>
          <w:sz w:val="24"/>
          <w:szCs w:val="24"/>
          <w:lang w:val="en-US"/>
        </w:rPr>
        <w:footnoteReference w:id="18"/>
      </w:r>
      <w:r w:rsidR="00205B27">
        <w:rPr>
          <w:sz w:val="24"/>
          <w:szCs w:val="24"/>
          <w:lang w:val="en-US"/>
        </w:rPr>
        <w:t xml:space="preserve"> and given the small percentage of graves found with any goods in we can assume that either being buried in clothes was </w:t>
      </w:r>
      <w:r w:rsidR="00655AB6">
        <w:rPr>
          <w:sz w:val="24"/>
          <w:szCs w:val="24"/>
          <w:lang w:val="en-US"/>
        </w:rPr>
        <w:t>only for higher status people or, in my opinion</w:t>
      </w:r>
      <w:r w:rsidR="007313C8">
        <w:rPr>
          <w:sz w:val="24"/>
          <w:szCs w:val="24"/>
          <w:lang w:val="en-US"/>
        </w:rPr>
        <w:t>,</w:t>
      </w:r>
      <w:r w:rsidR="00655AB6">
        <w:rPr>
          <w:sz w:val="24"/>
          <w:szCs w:val="24"/>
          <w:lang w:val="en-US"/>
        </w:rPr>
        <w:t xml:space="preserve"> </w:t>
      </w:r>
      <w:r w:rsidR="007313C8">
        <w:rPr>
          <w:sz w:val="24"/>
          <w:szCs w:val="24"/>
          <w:lang w:val="en-US"/>
        </w:rPr>
        <w:t xml:space="preserve">it is </w:t>
      </w:r>
      <w:r w:rsidR="00655AB6">
        <w:rPr>
          <w:sz w:val="24"/>
          <w:szCs w:val="24"/>
          <w:lang w:val="en-US"/>
        </w:rPr>
        <w:t>more likely that the poorer people in society would wear wooden fastenings and bro</w:t>
      </w:r>
      <w:r w:rsidR="007313C8">
        <w:rPr>
          <w:sz w:val="24"/>
          <w:szCs w:val="24"/>
          <w:lang w:val="en-US"/>
        </w:rPr>
        <w:t>o</w:t>
      </w:r>
      <w:r w:rsidR="00655AB6">
        <w:rPr>
          <w:sz w:val="24"/>
          <w:szCs w:val="24"/>
          <w:lang w:val="en-US"/>
        </w:rPr>
        <w:t>ches which would not be evident in burials when they were excavated later.</w:t>
      </w:r>
      <w:r w:rsidR="00205B27">
        <w:rPr>
          <w:sz w:val="24"/>
          <w:szCs w:val="24"/>
          <w:lang w:val="en-US"/>
        </w:rPr>
        <w:t xml:space="preserve"> </w:t>
      </w:r>
      <w:r w:rsidR="00655AB6">
        <w:rPr>
          <w:sz w:val="24"/>
          <w:szCs w:val="24"/>
          <w:lang w:val="en-US"/>
        </w:rPr>
        <w:t>However, the fundamental issue with looking at the grave goods to examine changes in social status display is that the graves are almost all not reliably dated</w:t>
      </w:r>
      <w:r w:rsidR="007313C8">
        <w:rPr>
          <w:sz w:val="24"/>
          <w:szCs w:val="24"/>
          <w:lang w:val="en-US"/>
        </w:rPr>
        <w:t>,</w:t>
      </w:r>
      <w:r w:rsidR="00655AB6">
        <w:rPr>
          <w:sz w:val="24"/>
          <w:szCs w:val="24"/>
          <w:lang w:val="en-US"/>
        </w:rPr>
        <w:t xml:space="preserve"> therefore we cannot determine which grave goods came before others reliably enough to ascertain changes in status display.</w:t>
      </w:r>
      <w:r w:rsidR="004E6D14">
        <w:rPr>
          <w:sz w:val="24"/>
          <w:szCs w:val="24"/>
          <w:lang w:val="en-US"/>
        </w:rPr>
        <w:t xml:space="preserve"> </w:t>
      </w:r>
      <w:proofErr w:type="gramStart"/>
      <w:r w:rsidR="004E6D14">
        <w:rPr>
          <w:sz w:val="24"/>
          <w:szCs w:val="24"/>
          <w:lang w:val="en-US"/>
        </w:rPr>
        <w:t>However</w:t>
      </w:r>
      <w:proofErr w:type="gramEnd"/>
      <w:r w:rsidR="004E6D14">
        <w:rPr>
          <w:sz w:val="24"/>
          <w:szCs w:val="24"/>
          <w:lang w:val="en-US"/>
        </w:rPr>
        <w:t xml:space="preserve"> what we can see is that without chariots there is very little status displayed in the burials </w:t>
      </w:r>
      <w:r w:rsidR="007313C8">
        <w:rPr>
          <w:sz w:val="24"/>
          <w:szCs w:val="24"/>
          <w:lang w:val="en-US"/>
        </w:rPr>
        <w:t>which</w:t>
      </w:r>
      <w:r w:rsidR="004E6D14">
        <w:rPr>
          <w:sz w:val="24"/>
          <w:szCs w:val="24"/>
          <w:lang w:val="en-US"/>
        </w:rPr>
        <w:t xml:space="preserve"> could suggest that after the chariot burials in the earlier period the society in </w:t>
      </w:r>
      <w:proofErr w:type="spellStart"/>
      <w:r w:rsidR="004E6D14">
        <w:rPr>
          <w:sz w:val="24"/>
          <w:szCs w:val="24"/>
          <w:lang w:val="en-US"/>
        </w:rPr>
        <w:t>Wetwang</w:t>
      </w:r>
      <w:proofErr w:type="spellEnd"/>
      <w:r w:rsidR="004E6D14">
        <w:rPr>
          <w:sz w:val="24"/>
          <w:szCs w:val="24"/>
          <w:lang w:val="en-US"/>
        </w:rPr>
        <w:t xml:space="preserve"> bec</w:t>
      </w:r>
      <w:r w:rsidR="007313C8">
        <w:rPr>
          <w:sz w:val="24"/>
          <w:szCs w:val="24"/>
          <w:lang w:val="en-US"/>
        </w:rPr>
        <w:t>ame</w:t>
      </w:r>
      <w:r w:rsidR="004E6D14">
        <w:rPr>
          <w:sz w:val="24"/>
          <w:szCs w:val="24"/>
          <w:lang w:val="en-US"/>
        </w:rPr>
        <w:t xml:space="preserve"> </w:t>
      </w:r>
      <w:r w:rsidR="007313C8">
        <w:rPr>
          <w:sz w:val="24"/>
          <w:szCs w:val="24"/>
          <w:lang w:val="en-US"/>
        </w:rPr>
        <w:t xml:space="preserve">more </w:t>
      </w:r>
      <w:r w:rsidR="004E6D14">
        <w:rPr>
          <w:sz w:val="24"/>
          <w:szCs w:val="24"/>
          <w:lang w:val="en-US"/>
        </w:rPr>
        <w:t>egalitarian</w:t>
      </w:r>
      <w:r w:rsidR="007313C8">
        <w:rPr>
          <w:sz w:val="24"/>
          <w:szCs w:val="24"/>
          <w:lang w:val="en-US"/>
        </w:rPr>
        <w:t>,</w:t>
      </w:r>
      <w:r w:rsidR="004E6D14">
        <w:rPr>
          <w:sz w:val="24"/>
          <w:szCs w:val="24"/>
          <w:lang w:val="en-US"/>
        </w:rPr>
        <w:t xml:space="preserve"> with one person not being powerful enough to have such a burial</w:t>
      </w:r>
      <w:r w:rsidR="007313C8">
        <w:rPr>
          <w:sz w:val="24"/>
          <w:szCs w:val="24"/>
          <w:lang w:val="en-US"/>
        </w:rPr>
        <w:t>.</w:t>
      </w:r>
      <w:r w:rsidR="004E6D14">
        <w:rPr>
          <w:sz w:val="24"/>
          <w:szCs w:val="24"/>
          <w:lang w:val="en-US"/>
        </w:rPr>
        <w:t xml:space="preserve"> </w:t>
      </w:r>
      <w:proofErr w:type="gramStart"/>
      <w:r w:rsidR="007313C8">
        <w:rPr>
          <w:sz w:val="24"/>
          <w:szCs w:val="24"/>
          <w:lang w:val="en-US"/>
        </w:rPr>
        <w:t>A</w:t>
      </w:r>
      <w:r w:rsidR="004E6D14">
        <w:rPr>
          <w:sz w:val="24"/>
          <w:szCs w:val="24"/>
          <w:lang w:val="en-US"/>
        </w:rPr>
        <w:t>lternatively</w:t>
      </w:r>
      <w:proofErr w:type="gramEnd"/>
      <w:r w:rsidR="004E6D14">
        <w:rPr>
          <w:sz w:val="24"/>
          <w:szCs w:val="24"/>
          <w:lang w:val="en-US"/>
        </w:rPr>
        <w:t xml:space="preserve"> there could have been economic decline in the area and people could no longer afford lavish graves</w:t>
      </w:r>
      <w:r w:rsidR="007313C8">
        <w:rPr>
          <w:sz w:val="24"/>
          <w:szCs w:val="24"/>
          <w:lang w:val="en-US"/>
        </w:rPr>
        <w:t>,</w:t>
      </w:r>
      <w:r w:rsidR="004E6D14">
        <w:rPr>
          <w:sz w:val="24"/>
          <w:szCs w:val="24"/>
          <w:lang w:val="en-US"/>
        </w:rPr>
        <w:t xml:space="preserve"> or </w:t>
      </w:r>
      <w:r w:rsidR="007313C8">
        <w:rPr>
          <w:sz w:val="24"/>
          <w:szCs w:val="24"/>
          <w:lang w:val="en-US"/>
        </w:rPr>
        <w:t xml:space="preserve">the disappearance of chariots </w:t>
      </w:r>
      <w:r w:rsidR="004E6D14">
        <w:rPr>
          <w:sz w:val="24"/>
          <w:szCs w:val="24"/>
          <w:lang w:val="en-US"/>
        </w:rPr>
        <w:t>just</w:t>
      </w:r>
      <w:r w:rsidR="007313C8">
        <w:rPr>
          <w:sz w:val="24"/>
          <w:szCs w:val="24"/>
          <w:lang w:val="en-US"/>
        </w:rPr>
        <w:t xml:space="preserve"> indicates</w:t>
      </w:r>
      <w:r w:rsidR="004E6D14">
        <w:rPr>
          <w:sz w:val="24"/>
          <w:szCs w:val="24"/>
          <w:lang w:val="en-US"/>
        </w:rPr>
        <w:t xml:space="preserve"> a change in burial customs</w:t>
      </w:r>
      <w:r w:rsidR="007313C8">
        <w:rPr>
          <w:sz w:val="24"/>
          <w:szCs w:val="24"/>
          <w:lang w:val="en-US"/>
        </w:rPr>
        <w:t>.</w:t>
      </w:r>
      <w:r w:rsidR="004E6D14">
        <w:rPr>
          <w:sz w:val="24"/>
          <w:szCs w:val="24"/>
          <w:lang w:val="en-US"/>
        </w:rPr>
        <w:t xml:space="preserve"> </w:t>
      </w:r>
      <w:r w:rsidR="007313C8">
        <w:rPr>
          <w:sz w:val="24"/>
          <w:szCs w:val="24"/>
          <w:lang w:val="en-US"/>
        </w:rPr>
        <w:t>Ultimately</w:t>
      </w:r>
      <w:r w:rsidR="004E6D14">
        <w:rPr>
          <w:sz w:val="24"/>
          <w:szCs w:val="24"/>
          <w:lang w:val="en-US"/>
        </w:rPr>
        <w:t xml:space="preserve"> is impossible to tell exactly what caused the</w:t>
      </w:r>
      <w:r w:rsidR="007313C8">
        <w:rPr>
          <w:sz w:val="24"/>
          <w:szCs w:val="24"/>
          <w:lang w:val="en-US"/>
        </w:rPr>
        <w:t xml:space="preserve"> iron age inhabitants of the Yorkshire Wolds</w:t>
      </w:r>
      <w:r w:rsidR="004E6D14">
        <w:rPr>
          <w:sz w:val="24"/>
          <w:szCs w:val="24"/>
          <w:lang w:val="en-US"/>
        </w:rPr>
        <w:t xml:space="preserve"> to abandon the practice of Chariot burials.</w:t>
      </w:r>
    </w:p>
    <w:p w14:paraId="4490632A" w14:textId="4D2974B9" w:rsidR="004E6D14" w:rsidRDefault="004E6D14" w:rsidP="00C06BB5">
      <w:pPr>
        <w:rPr>
          <w:sz w:val="24"/>
          <w:szCs w:val="24"/>
          <w:lang w:val="en-US"/>
        </w:rPr>
      </w:pPr>
      <w:r>
        <w:rPr>
          <w:sz w:val="24"/>
          <w:szCs w:val="24"/>
          <w:lang w:val="en-US"/>
        </w:rPr>
        <w:t xml:space="preserve">In conclusion, </w:t>
      </w:r>
      <w:proofErr w:type="spellStart"/>
      <w:r>
        <w:rPr>
          <w:sz w:val="24"/>
          <w:szCs w:val="24"/>
          <w:lang w:val="en-US"/>
        </w:rPr>
        <w:t>Wetwang</w:t>
      </w:r>
      <w:proofErr w:type="spellEnd"/>
      <w:r>
        <w:rPr>
          <w:sz w:val="24"/>
          <w:szCs w:val="24"/>
          <w:lang w:val="en-US"/>
        </w:rPr>
        <w:t xml:space="preserve"> is a large site in eastern Yorkshire which is renowned for its chariot burials, however the funerary practice of Chariot burials is short lived in the period and due to both a lack of evidence and a lack of research into what evidence we do have from other graves at the site it is very difficult to ascertain changes in social display over time. What we can tell</w:t>
      </w:r>
      <w:r w:rsidR="0041479A">
        <w:rPr>
          <w:sz w:val="24"/>
          <w:szCs w:val="24"/>
          <w:lang w:val="en-US"/>
        </w:rPr>
        <w:t>,</w:t>
      </w:r>
      <w:r>
        <w:rPr>
          <w:sz w:val="24"/>
          <w:szCs w:val="24"/>
          <w:lang w:val="en-US"/>
        </w:rPr>
        <w:t xml:space="preserve"> </w:t>
      </w:r>
      <w:r w:rsidR="0041479A">
        <w:rPr>
          <w:sz w:val="24"/>
          <w:szCs w:val="24"/>
          <w:lang w:val="en-US"/>
        </w:rPr>
        <w:t>however</w:t>
      </w:r>
      <w:r w:rsidR="00BD4475">
        <w:rPr>
          <w:sz w:val="24"/>
          <w:szCs w:val="24"/>
          <w:lang w:val="en-US"/>
        </w:rPr>
        <w:t>,</w:t>
      </w:r>
      <w:r>
        <w:rPr>
          <w:sz w:val="24"/>
          <w:szCs w:val="24"/>
          <w:lang w:val="en-US"/>
        </w:rPr>
        <w:t xml:space="preserve"> is that some of the elite were being buried in Chariots and displaying their status in this way across the whole area associated with the </w:t>
      </w:r>
      <w:proofErr w:type="spellStart"/>
      <w:r>
        <w:rPr>
          <w:sz w:val="24"/>
          <w:szCs w:val="24"/>
          <w:lang w:val="en-US"/>
        </w:rPr>
        <w:t>Parisi</w:t>
      </w:r>
      <w:proofErr w:type="spellEnd"/>
      <w:r w:rsidR="00874B7A">
        <w:rPr>
          <w:sz w:val="24"/>
          <w:szCs w:val="24"/>
          <w:lang w:val="en-US"/>
        </w:rPr>
        <w:t xml:space="preserve">, and not just in </w:t>
      </w:r>
      <w:proofErr w:type="spellStart"/>
      <w:r w:rsidR="00874B7A">
        <w:rPr>
          <w:sz w:val="24"/>
          <w:szCs w:val="24"/>
          <w:lang w:val="en-US"/>
        </w:rPr>
        <w:t>Wetwang</w:t>
      </w:r>
      <w:proofErr w:type="spellEnd"/>
      <w:r w:rsidR="00BD4475">
        <w:rPr>
          <w:sz w:val="24"/>
          <w:szCs w:val="24"/>
          <w:lang w:val="en-US"/>
        </w:rPr>
        <w:t xml:space="preserve"> until</w:t>
      </w:r>
      <w:r w:rsidR="00874B7A">
        <w:rPr>
          <w:sz w:val="24"/>
          <w:szCs w:val="24"/>
          <w:lang w:val="en-US"/>
        </w:rPr>
        <w:t xml:space="preserve"> this practice die</w:t>
      </w:r>
      <w:r w:rsidR="00BD4475">
        <w:rPr>
          <w:sz w:val="24"/>
          <w:szCs w:val="24"/>
          <w:lang w:val="en-US"/>
        </w:rPr>
        <w:t>d</w:t>
      </w:r>
      <w:r w:rsidR="00874B7A">
        <w:rPr>
          <w:sz w:val="24"/>
          <w:szCs w:val="24"/>
          <w:lang w:val="en-US"/>
        </w:rPr>
        <w:t xml:space="preserve"> out in the </w:t>
      </w:r>
      <w:r w:rsidR="00BD4475">
        <w:rPr>
          <w:sz w:val="24"/>
          <w:szCs w:val="24"/>
          <w:lang w:val="en-US"/>
        </w:rPr>
        <w:t>second</w:t>
      </w:r>
      <w:r w:rsidR="00874B7A">
        <w:rPr>
          <w:sz w:val="24"/>
          <w:szCs w:val="24"/>
          <w:lang w:val="en-US"/>
        </w:rPr>
        <w:t xml:space="preserve"> half of the 4</w:t>
      </w:r>
      <w:r w:rsidR="00874B7A" w:rsidRPr="00874B7A">
        <w:rPr>
          <w:sz w:val="24"/>
          <w:szCs w:val="24"/>
          <w:vertAlign w:val="superscript"/>
          <w:lang w:val="en-US"/>
        </w:rPr>
        <w:t>th</w:t>
      </w:r>
      <w:r w:rsidR="00874B7A">
        <w:rPr>
          <w:sz w:val="24"/>
          <w:szCs w:val="24"/>
          <w:lang w:val="en-US"/>
        </w:rPr>
        <w:t xml:space="preserve"> century BC</w:t>
      </w:r>
      <w:r w:rsidR="00BD4475">
        <w:rPr>
          <w:sz w:val="24"/>
          <w:szCs w:val="24"/>
          <w:lang w:val="en-US"/>
        </w:rPr>
        <w:t>.</w:t>
      </w:r>
      <w:r w:rsidR="00874B7A">
        <w:rPr>
          <w:sz w:val="24"/>
          <w:szCs w:val="24"/>
          <w:lang w:val="en-US"/>
        </w:rPr>
        <w:t xml:space="preserve"> </w:t>
      </w:r>
      <w:r w:rsidR="00BD4475">
        <w:rPr>
          <w:sz w:val="24"/>
          <w:szCs w:val="24"/>
          <w:lang w:val="en-US"/>
        </w:rPr>
        <w:t>T</w:t>
      </w:r>
      <w:r w:rsidR="00874B7A">
        <w:rPr>
          <w:sz w:val="24"/>
          <w:szCs w:val="24"/>
          <w:lang w:val="en-US"/>
        </w:rPr>
        <w:t>he graves which seem to be later are comparably bare and much less well documented therefore much harder to research</w:t>
      </w:r>
      <w:r w:rsidR="00BD4475">
        <w:rPr>
          <w:sz w:val="24"/>
          <w:szCs w:val="24"/>
          <w:lang w:val="en-US"/>
        </w:rPr>
        <w:t>,</w:t>
      </w:r>
      <w:r w:rsidR="00ED5755">
        <w:rPr>
          <w:sz w:val="24"/>
          <w:szCs w:val="24"/>
          <w:lang w:val="en-US"/>
        </w:rPr>
        <w:t xml:space="preserve"> however we can see that status display after death seems to have been less of an important issue to the people living there. </w:t>
      </w:r>
      <w:r w:rsidR="00BD4475">
        <w:rPr>
          <w:sz w:val="24"/>
          <w:szCs w:val="24"/>
          <w:lang w:val="en-US"/>
        </w:rPr>
        <w:t>W</w:t>
      </w:r>
      <w:r w:rsidR="00ED5755">
        <w:rPr>
          <w:sz w:val="24"/>
          <w:szCs w:val="24"/>
          <w:lang w:val="en-US"/>
        </w:rPr>
        <w:t>ith no contemporary written sources describing the people of northern Britain in detail</w:t>
      </w:r>
      <w:r w:rsidR="00BD4475">
        <w:rPr>
          <w:sz w:val="24"/>
          <w:szCs w:val="24"/>
          <w:lang w:val="en-US"/>
        </w:rPr>
        <w:t>,</w:t>
      </w:r>
      <w:r w:rsidR="00ED5755">
        <w:rPr>
          <w:sz w:val="24"/>
          <w:szCs w:val="24"/>
          <w:lang w:val="en-US"/>
        </w:rPr>
        <w:t xml:space="preserve"> and with any wooden or fabric that was buried with the deceased now untraceable added to the difficulties when it comes to dating these burials, we can only get a small glimpse into life, death and status through the funerary evidence and cannot get a holistic picture.</w:t>
      </w:r>
    </w:p>
    <w:p w14:paraId="0861F44E" w14:textId="19CA00B6" w:rsidR="004E6D14" w:rsidRPr="004E6D14" w:rsidRDefault="004E6D14" w:rsidP="00C06BB5">
      <w:pPr>
        <w:rPr>
          <w:sz w:val="24"/>
          <w:szCs w:val="24"/>
          <w:u w:val="single"/>
          <w:lang w:val="en-US"/>
        </w:rPr>
      </w:pPr>
    </w:p>
    <w:p w14:paraId="62769023" w14:textId="28DE0086" w:rsidR="00C06BB5" w:rsidRDefault="00C06BB5" w:rsidP="00C06BB5">
      <w:pPr>
        <w:rPr>
          <w:b/>
          <w:sz w:val="24"/>
          <w:szCs w:val="24"/>
          <w:u w:val="single"/>
          <w:lang w:val="en-US"/>
        </w:rPr>
      </w:pPr>
      <w:r>
        <w:rPr>
          <w:b/>
          <w:sz w:val="24"/>
          <w:szCs w:val="24"/>
          <w:u w:val="single"/>
          <w:lang w:val="en-US"/>
        </w:rPr>
        <w:lastRenderedPageBreak/>
        <w:t>Bibliography</w:t>
      </w:r>
    </w:p>
    <w:p w14:paraId="3CD59263" w14:textId="59710241" w:rsidR="00C06BB5" w:rsidRDefault="00C06BB5" w:rsidP="00C06BB5">
      <w:pPr>
        <w:rPr>
          <w:sz w:val="24"/>
          <w:szCs w:val="24"/>
          <w:lang w:val="en-US"/>
        </w:rPr>
      </w:pPr>
      <w:proofErr w:type="spellStart"/>
      <w:r>
        <w:rPr>
          <w:sz w:val="24"/>
          <w:szCs w:val="24"/>
          <w:lang w:val="en-US"/>
        </w:rPr>
        <w:t>Halkon</w:t>
      </w:r>
      <w:proofErr w:type="spellEnd"/>
      <w:r>
        <w:rPr>
          <w:sz w:val="24"/>
          <w:szCs w:val="24"/>
          <w:lang w:val="en-US"/>
        </w:rPr>
        <w:t xml:space="preserve">, P. 2013, </w:t>
      </w:r>
      <w:r>
        <w:rPr>
          <w:i/>
          <w:sz w:val="24"/>
          <w:szCs w:val="24"/>
          <w:lang w:val="en-US"/>
        </w:rPr>
        <w:t xml:space="preserve">The </w:t>
      </w:r>
      <w:proofErr w:type="spellStart"/>
      <w:r>
        <w:rPr>
          <w:i/>
          <w:sz w:val="24"/>
          <w:szCs w:val="24"/>
          <w:lang w:val="en-US"/>
        </w:rPr>
        <w:t>Parisi</w:t>
      </w:r>
      <w:proofErr w:type="spellEnd"/>
      <w:r>
        <w:rPr>
          <w:i/>
          <w:sz w:val="24"/>
          <w:szCs w:val="24"/>
          <w:lang w:val="en-US"/>
        </w:rPr>
        <w:t xml:space="preserve"> Britons and Romans in Eastern Yorkshire</w:t>
      </w:r>
      <w:r w:rsidR="00655AB6">
        <w:rPr>
          <w:i/>
          <w:sz w:val="24"/>
          <w:szCs w:val="24"/>
          <w:lang w:val="en-US"/>
        </w:rPr>
        <w:t>,</w:t>
      </w:r>
      <w:r>
        <w:rPr>
          <w:i/>
          <w:sz w:val="24"/>
          <w:szCs w:val="24"/>
          <w:lang w:val="en-US"/>
        </w:rPr>
        <w:t xml:space="preserve"> </w:t>
      </w:r>
      <w:proofErr w:type="spellStart"/>
      <w:r w:rsidR="007D0959">
        <w:rPr>
          <w:sz w:val="24"/>
          <w:szCs w:val="24"/>
          <w:lang w:val="en-US"/>
        </w:rPr>
        <w:t>Brimscombe</w:t>
      </w:r>
      <w:proofErr w:type="spellEnd"/>
      <w:r w:rsidR="007D0959">
        <w:rPr>
          <w:sz w:val="24"/>
          <w:szCs w:val="24"/>
          <w:lang w:val="en-US"/>
        </w:rPr>
        <w:t>, The History Press.</w:t>
      </w:r>
    </w:p>
    <w:p w14:paraId="5F706BFA" w14:textId="3811923F" w:rsidR="00210F9B" w:rsidRDefault="00210F9B" w:rsidP="00C06BB5">
      <w:pPr>
        <w:rPr>
          <w:sz w:val="24"/>
          <w:szCs w:val="24"/>
          <w:lang w:val="en-US"/>
        </w:rPr>
      </w:pPr>
      <w:r w:rsidRPr="00210F9B">
        <w:rPr>
          <w:sz w:val="24"/>
          <w:szCs w:val="24"/>
          <w:lang w:val="en-US"/>
        </w:rPr>
        <w:t xml:space="preserve">Hellier, Chris. (2001). </w:t>
      </w:r>
      <w:r w:rsidRPr="00210F9B">
        <w:rPr>
          <w:i/>
          <w:sz w:val="24"/>
          <w:szCs w:val="24"/>
          <w:lang w:val="en-US"/>
        </w:rPr>
        <w:t>Chariots of the Celts</w:t>
      </w:r>
      <w:r w:rsidRPr="00210F9B">
        <w:rPr>
          <w:sz w:val="24"/>
          <w:szCs w:val="24"/>
          <w:lang w:val="en-US"/>
        </w:rPr>
        <w:t>. Archaeology, 54(4), 14-15.</w:t>
      </w:r>
    </w:p>
    <w:p w14:paraId="1335F297" w14:textId="4E901739" w:rsidR="00922944" w:rsidRPr="00922944" w:rsidRDefault="0039181D" w:rsidP="00922944">
      <w:pPr>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 xml:space="preserve">Jay, M., </w:t>
      </w:r>
      <w:proofErr w:type="spellStart"/>
      <w:r>
        <w:rPr>
          <w:rFonts w:ascii="Source Sans Pro" w:hAnsi="Source Sans Pro"/>
          <w:color w:val="3A3A3A"/>
          <w:sz w:val="23"/>
          <w:szCs w:val="23"/>
          <w:shd w:val="clear" w:color="auto" w:fill="FFFFFF"/>
        </w:rPr>
        <w:t>Haselgrove</w:t>
      </w:r>
      <w:proofErr w:type="spellEnd"/>
      <w:r>
        <w:rPr>
          <w:rFonts w:ascii="Source Sans Pro" w:hAnsi="Source Sans Pro"/>
          <w:color w:val="3A3A3A"/>
          <w:sz w:val="23"/>
          <w:szCs w:val="23"/>
          <w:shd w:val="clear" w:color="auto" w:fill="FFFFFF"/>
        </w:rPr>
        <w:t xml:space="preserve">, C., Hamilton, D., Hill, J., &amp; Dent, J. (2012). </w:t>
      </w:r>
      <w:r w:rsidRPr="00205B27">
        <w:rPr>
          <w:rFonts w:ascii="Source Sans Pro" w:hAnsi="Source Sans Pro"/>
          <w:i/>
          <w:color w:val="3A3A3A"/>
          <w:sz w:val="23"/>
          <w:szCs w:val="23"/>
          <w:shd w:val="clear" w:color="auto" w:fill="FFFFFF"/>
        </w:rPr>
        <w:t>CHARIOTS AND CONTEXT: NEW RADIOCARBON DATES FROM WETWANG AND THE CHRONOLOGY OF IRON AGE BURIALS AND BROOCHES IN EAST YORKSHIRE</w:t>
      </w:r>
      <w:r>
        <w:rPr>
          <w:rFonts w:ascii="Source Sans Pro" w:hAnsi="Source Sans Pro"/>
          <w:color w:val="3A3A3A"/>
          <w:sz w:val="23"/>
          <w:szCs w:val="23"/>
          <w:shd w:val="clear" w:color="auto" w:fill="FFFFFF"/>
        </w:rPr>
        <w:t>. </w:t>
      </w:r>
      <w:r>
        <w:rPr>
          <w:rFonts w:ascii="Source Sans Pro" w:hAnsi="Source Sans Pro"/>
          <w:i/>
          <w:iCs/>
          <w:color w:val="3A3A3A"/>
          <w:sz w:val="23"/>
          <w:szCs w:val="23"/>
          <w:shd w:val="clear" w:color="auto" w:fill="FFFFFF"/>
        </w:rPr>
        <w:t>Oxford Journal of Archaeology,</w:t>
      </w:r>
      <w:r>
        <w:rPr>
          <w:rFonts w:ascii="Source Sans Pro" w:hAnsi="Source Sans Pro"/>
          <w:color w:val="3A3A3A"/>
          <w:sz w:val="23"/>
          <w:szCs w:val="23"/>
          <w:shd w:val="clear" w:color="auto" w:fill="FFFFFF"/>
        </w:rPr>
        <w:t> </w:t>
      </w:r>
      <w:r>
        <w:rPr>
          <w:rFonts w:ascii="Source Sans Pro" w:hAnsi="Source Sans Pro"/>
          <w:i/>
          <w:iCs/>
          <w:color w:val="3A3A3A"/>
          <w:sz w:val="23"/>
          <w:szCs w:val="23"/>
          <w:shd w:val="clear" w:color="auto" w:fill="FFFFFF"/>
        </w:rPr>
        <w:t>31</w:t>
      </w:r>
      <w:r>
        <w:rPr>
          <w:rFonts w:ascii="Source Sans Pro" w:hAnsi="Source Sans Pro"/>
          <w:color w:val="3A3A3A"/>
          <w:sz w:val="23"/>
          <w:szCs w:val="23"/>
          <w:shd w:val="clear" w:color="auto" w:fill="FFFFFF"/>
        </w:rPr>
        <w:t>(2), 161-189.</w:t>
      </w:r>
    </w:p>
    <w:p w14:paraId="17A84E25" w14:textId="77777777" w:rsidR="00922944" w:rsidRPr="00922944" w:rsidRDefault="00922944" w:rsidP="00922944">
      <w:pPr>
        <w:rPr>
          <w:sz w:val="24"/>
          <w:szCs w:val="24"/>
          <w:lang w:val="en-US"/>
        </w:rPr>
      </w:pPr>
    </w:p>
    <w:p w14:paraId="7EC785DA" w14:textId="2ECA9944" w:rsidR="00922944" w:rsidRPr="007D0959" w:rsidRDefault="00922944" w:rsidP="00922944">
      <w:pPr>
        <w:rPr>
          <w:sz w:val="24"/>
          <w:szCs w:val="24"/>
          <w:lang w:val="en-US"/>
        </w:rPr>
      </w:pPr>
      <w:r w:rsidRPr="00922944">
        <w:rPr>
          <w:sz w:val="24"/>
          <w:szCs w:val="24"/>
          <w:lang w:val="en-US"/>
        </w:rPr>
        <w:t xml:space="preserve">Joy, J. (2011). </w:t>
      </w:r>
      <w:r w:rsidRPr="00922944">
        <w:rPr>
          <w:i/>
          <w:sz w:val="24"/>
          <w:szCs w:val="24"/>
          <w:lang w:val="en-US"/>
        </w:rPr>
        <w:t>‘Fancy Objects’ in the British Iron Age: Why Decorate?</w:t>
      </w:r>
      <w:r w:rsidRPr="00922944">
        <w:rPr>
          <w:sz w:val="24"/>
          <w:szCs w:val="24"/>
          <w:lang w:val="en-US"/>
        </w:rPr>
        <w:t xml:space="preserve"> Proceedings of the Prehistoric Society, 77, 205-229</w:t>
      </w:r>
    </w:p>
    <w:p w14:paraId="6D2BACD0" w14:textId="324FB1AA" w:rsidR="007F1C05" w:rsidRPr="007F1C05" w:rsidRDefault="007F1C05" w:rsidP="00C06BB5">
      <w:pPr>
        <w:rPr>
          <w:sz w:val="24"/>
          <w:szCs w:val="24"/>
          <w:lang w:val="en-US"/>
        </w:rPr>
      </w:pPr>
      <w:r>
        <w:rPr>
          <w:sz w:val="24"/>
          <w:szCs w:val="24"/>
          <w:lang w:val="en-US"/>
        </w:rPr>
        <w:t>Dent, J. 1987 W</w:t>
      </w:r>
      <w:r w:rsidRPr="007F1C05">
        <w:rPr>
          <w:i/>
        </w:rPr>
        <w:t>ETWANG SLACK: An Iron Age cemetery on the Yorkshire Wolds</w:t>
      </w:r>
    </w:p>
    <w:p w14:paraId="7CE9FE49" w14:textId="08FF6C8D" w:rsidR="0039181D" w:rsidRPr="007D0959" w:rsidRDefault="0039181D">
      <w:pPr>
        <w:rPr>
          <w:sz w:val="24"/>
          <w:szCs w:val="24"/>
          <w:lang w:val="en-US"/>
        </w:rPr>
      </w:pPr>
    </w:p>
    <w:sectPr w:rsidR="0039181D" w:rsidRPr="007D0959">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23D91C" w14:textId="77777777" w:rsidR="00EC7A99" w:rsidRDefault="00EC7A99" w:rsidP="005105A8">
      <w:pPr>
        <w:spacing w:after="0" w:line="240" w:lineRule="auto"/>
      </w:pPr>
      <w:r>
        <w:separator/>
      </w:r>
    </w:p>
  </w:endnote>
  <w:endnote w:type="continuationSeparator" w:id="0">
    <w:p w14:paraId="34D4D624" w14:textId="77777777" w:rsidR="00EC7A99" w:rsidRDefault="00EC7A99" w:rsidP="005105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ource Sans Pro">
    <w:altName w:val="Source Sans Pro"/>
    <w:charset w:val="00"/>
    <w:family w:val="swiss"/>
    <w:pitch w:val="variable"/>
    <w:sig w:usb0="600002F7" w:usb1="02000001"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34CD08" w14:textId="77777777" w:rsidR="00EC7A99" w:rsidRDefault="00EC7A99" w:rsidP="005105A8">
      <w:pPr>
        <w:spacing w:after="0" w:line="240" w:lineRule="auto"/>
      </w:pPr>
      <w:r>
        <w:separator/>
      </w:r>
    </w:p>
  </w:footnote>
  <w:footnote w:type="continuationSeparator" w:id="0">
    <w:p w14:paraId="023F8E1B" w14:textId="77777777" w:rsidR="00EC7A99" w:rsidRDefault="00EC7A99" w:rsidP="005105A8">
      <w:pPr>
        <w:spacing w:after="0" w:line="240" w:lineRule="auto"/>
      </w:pPr>
      <w:r>
        <w:continuationSeparator/>
      </w:r>
    </w:p>
  </w:footnote>
  <w:footnote w:id="1">
    <w:p w14:paraId="54542941" w14:textId="37DA846A" w:rsidR="005105A8" w:rsidRPr="005105A8" w:rsidRDefault="005105A8">
      <w:pPr>
        <w:pStyle w:val="FootnoteText"/>
        <w:rPr>
          <w:lang w:val="en-US"/>
        </w:rPr>
      </w:pPr>
      <w:r>
        <w:rPr>
          <w:rStyle w:val="FootnoteReference"/>
        </w:rPr>
        <w:footnoteRef/>
      </w:r>
      <w:r>
        <w:t xml:space="preserve"> </w:t>
      </w:r>
      <w:proofErr w:type="spellStart"/>
      <w:r>
        <w:rPr>
          <w:lang w:val="en-US"/>
        </w:rPr>
        <w:t>Halkon</w:t>
      </w:r>
      <w:proofErr w:type="spellEnd"/>
      <w:r>
        <w:rPr>
          <w:lang w:val="en-US"/>
        </w:rPr>
        <w:t xml:space="preserve"> (2013</w:t>
      </w:r>
      <w:proofErr w:type="gramStart"/>
      <w:r>
        <w:rPr>
          <w:lang w:val="en-US"/>
        </w:rPr>
        <w:t xml:space="preserve">) </w:t>
      </w:r>
      <w:r w:rsidR="00EE613F">
        <w:rPr>
          <w:lang w:val="en-US"/>
        </w:rPr>
        <w:t>:</w:t>
      </w:r>
      <w:proofErr w:type="gramEnd"/>
      <w:r w:rsidR="00EE613F">
        <w:rPr>
          <w:lang w:val="en-US"/>
        </w:rPr>
        <w:t xml:space="preserve"> 21</w:t>
      </w:r>
    </w:p>
  </w:footnote>
  <w:footnote w:id="2">
    <w:p w14:paraId="5F1408B0" w14:textId="0CF33EF0" w:rsidR="00EE613F" w:rsidRPr="00EE613F" w:rsidRDefault="00EE613F">
      <w:pPr>
        <w:pStyle w:val="FootnoteText"/>
        <w:rPr>
          <w:lang w:val="en-US"/>
        </w:rPr>
      </w:pPr>
      <w:r>
        <w:rPr>
          <w:rStyle w:val="FootnoteReference"/>
        </w:rPr>
        <w:footnoteRef/>
      </w:r>
      <w:r>
        <w:t xml:space="preserve"> </w:t>
      </w:r>
      <w:proofErr w:type="spellStart"/>
      <w:r>
        <w:rPr>
          <w:lang w:val="en-US"/>
        </w:rPr>
        <w:t>Ptol</w:t>
      </w:r>
      <w:proofErr w:type="spellEnd"/>
      <w:r>
        <w:rPr>
          <w:lang w:val="en-US"/>
        </w:rPr>
        <w:t xml:space="preserve"> </w:t>
      </w:r>
      <w:proofErr w:type="spellStart"/>
      <w:r>
        <w:rPr>
          <w:i/>
          <w:lang w:val="en-US"/>
        </w:rPr>
        <w:t>Geog</w:t>
      </w:r>
      <w:proofErr w:type="spellEnd"/>
      <w:r>
        <w:rPr>
          <w:lang w:val="en-US"/>
        </w:rPr>
        <w:t xml:space="preserve"> 2.3.7</w:t>
      </w:r>
    </w:p>
  </w:footnote>
  <w:footnote w:id="3">
    <w:p w14:paraId="79BC16DC" w14:textId="5185954D" w:rsidR="00F15A01" w:rsidRPr="00F15A01" w:rsidRDefault="00F15A01">
      <w:pPr>
        <w:pStyle w:val="FootnoteText"/>
        <w:rPr>
          <w:lang w:val="en-US"/>
        </w:rPr>
      </w:pPr>
      <w:r>
        <w:rPr>
          <w:rStyle w:val="FootnoteReference"/>
        </w:rPr>
        <w:footnoteRef/>
      </w:r>
      <w:r>
        <w:t xml:space="preserve"> Dent (1984): 13</w:t>
      </w:r>
    </w:p>
  </w:footnote>
  <w:footnote w:id="4">
    <w:p w14:paraId="2B9B796B" w14:textId="250B9A42" w:rsidR="00A369AB" w:rsidRPr="00A369AB" w:rsidRDefault="00A369AB">
      <w:pPr>
        <w:pStyle w:val="FootnoteText"/>
        <w:rPr>
          <w:lang w:val="en-US"/>
        </w:rPr>
      </w:pPr>
      <w:r>
        <w:rPr>
          <w:rStyle w:val="FootnoteReference"/>
        </w:rPr>
        <w:footnoteRef/>
      </w:r>
      <w:r>
        <w:t xml:space="preserve"> </w:t>
      </w:r>
      <w:r>
        <w:rPr>
          <w:lang w:val="en-US"/>
        </w:rPr>
        <w:t>Jay et al (2012): 1</w:t>
      </w:r>
      <w:r w:rsidR="00874B7A">
        <w:rPr>
          <w:lang w:val="en-US"/>
        </w:rPr>
        <w:t>61</w:t>
      </w:r>
    </w:p>
  </w:footnote>
  <w:footnote w:id="5">
    <w:p w14:paraId="7DC557E2" w14:textId="0F937F1B" w:rsidR="00A82961" w:rsidRPr="00A82961" w:rsidRDefault="00A82961">
      <w:pPr>
        <w:pStyle w:val="FootnoteText"/>
        <w:rPr>
          <w:lang w:val="en-US"/>
        </w:rPr>
      </w:pPr>
      <w:r>
        <w:rPr>
          <w:rStyle w:val="FootnoteReference"/>
        </w:rPr>
        <w:footnoteRef/>
      </w:r>
      <w:r>
        <w:t xml:space="preserve"> Dent (198</w:t>
      </w:r>
      <w:r w:rsidR="00672201">
        <w:t>4</w:t>
      </w:r>
      <w:r>
        <w:t>): 26</w:t>
      </w:r>
    </w:p>
  </w:footnote>
  <w:footnote w:id="6">
    <w:p w14:paraId="7D17C58D" w14:textId="78747A21" w:rsidR="00A82961" w:rsidRPr="00A82961" w:rsidRDefault="00A82961">
      <w:pPr>
        <w:pStyle w:val="FootnoteText"/>
        <w:rPr>
          <w:lang w:val="en-US"/>
        </w:rPr>
      </w:pPr>
      <w:r>
        <w:rPr>
          <w:rStyle w:val="FootnoteReference"/>
        </w:rPr>
        <w:footnoteRef/>
      </w:r>
      <w:r>
        <w:t xml:space="preserve"> </w:t>
      </w:r>
      <w:r>
        <w:rPr>
          <w:lang w:val="en-US"/>
        </w:rPr>
        <w:t>Jay et al (2012):180</w:t>
      </w:r>
    </w:p>
  </w:footnote>
  <w:footnote w:id="7">
    <w:p w14:paraId="3FD3831E" w14:textId="0CBD8A5D" w:rsidR="00565C3C" w:rsidRPr="00565C3C" w:rsidRDefault="00565C3C">
      <w:pPr>
        <w:pStyle w:val="FootnoteText"/>
        <w:rPr>
          <w:lang w:val="en-US"/>
        </w:rPr>
      </w:pPr>
      <w:r>
        <w:rPr>
          <w:rStyle w:val="FootnoteReference"/>
        </w:rPr>
        <w:footnoteRef/>
      </w:r>
      <w:r>
        <w:t xml:space="preserve"> </w:t>
      </w:r>
      <w:r>
        <w:rPr>
          <w:lang w:val="en-US"/>
        </w:rPr>
        <w:t>Dent (198</w:t>
      </w:r>
      <w:r w:rsidR="00672201">
        <w:rPr>
          <w:lang w:val="en-US"/>
        </w:rPr>
        <w:t>4</w:t>
      </w:r>
      <w:r>
        <w:rPr>
          <w:lang w:val="en-US"/>
        </w:rPr>
        <w:t>): 10</w:t>
      </w:r>
    </w:p>
  </w:footnote>
  <w:footnote w:id="8">
    <w:p w14:paraId="4AD743D1" w14:textId="150EC110" w:rsidR="006D0140" w:rsidRPr="006D0140" w:rsidRDefault="006D0140">
      <w:pPr>
        <w:pStyle w:val="FootnoteText"/>
        <w:rPr>
          <w:lang w:val="en-US"/>
        </w:rPr>
      </w:pPr>
      <w:r>
        <w:rPr>
          <w:rStyle w:val="FootnoteReference"/>
        </w:rPr>
        <w:footnoteRef/>
      </w:r>
      <w:r>
        <w:t xml:space="preserve"> </w:t>
      </w:r>
      <w:proofErr w:type="spellStart"/>
      <w:r>
        <w:rPr>
          <w:lang w:val="en-US"/>
        </w:rPr>
        <w:t>Halkon</w:t>
      </w:r>
      <w:proofErr w:type="spellEnd"/>
      <w:r>
        <w:rPr>
          <w:lang w:val="en-US"/>
        </w:rPr>
        <w:t xml:space="preserve"> (2013</w:t>
      </w:r>
      <w:r w:rsidR="00F05A89">
        <w:rPr>
          <w:lang w:val="en-US"/>
        </w:rPr>
        <w:t>)</w:t>
      </w:r>
      <w:r>
        <w:rPr>
          <w:lang w:val="en-US"/>
        </w:rPr>
        <w:t>: 78</w:t>
      </w:r>
    </w:p>
  </w:footnote>
  <w:footnote w:id="9">
    <w:p w14:paraId="589BF665" w14:textId="4B2F3C66" w:rsidR="00C53468" w:rsidRPr="00C53468" w:rsidRDefault="00C53468">
      <w:pPr>
        <w:pStyle w:val="FootnoteText"/>
        <w:rPr>
          <w:lang w:val="en-US"/>
        </w:rPr>
      </w:pPr>
      <w:r>
        <w:rPr>
          <w:rStyle w:val="FootnoteReference"/>
        </w:rPr>
        <w:footnoteRef/>
      </w:r>
      <w:r>
        <w:t xml:space="preserve"> Jay et al (2012): 170</w:t>
      </w:r>
    </w:p>
  </w:footnote>
  <w:footnote w:id="10">
    <w:p w14:paraId="26F371A0" w14:textId="41F32AEF" w:rsidR="00210F9B" w:rsidRPr="00210F9B" w:rsidRDefault="00210F9B">
      <w:pPr>
        <w:pStyle w:val="FootnoteText"/>
        <w:rPr>
          <w:lang w:val="en-US"/>
        </w:rPr>
      </w:pPr>
      <w:r>
        <w:rPr>
          <w:rStyle w:val="FootnoteReference"/>
        </w:rPr>
        <w:footnoteRef/>
      </w:r>
      <w:r>
        <w:t xml:space="preserve"> </w:t>
      </w:r>
      <w:r>
        <w:rPr>
          <w:lang w:val="en-US"/>
        </w:rPr>
        <w:t xml:space="preserve">Hellier (2001): </w:t>
      </w:r>
    </w:p>
  </w:footnote>
  <w:footnote w:id="11">
    <w:p w14:paraId="6390FB17" w14:textId="5A87509E" w:rsidR="00C01BA4" w:rsidRPr="00C01BA4" w:rsidRDefault="00C01BA4">
      <w:pPr>
        <w:pStyle w:val="FootnoteText"/>
        <w:rPr>
          <w:lang w:val="en-US"/>
        </w:rPr>
      </w:pPr>
      <w:r>
        <w:rPr>
          <w:rStyle w:val="FootnoteReference"/>
        </w:rPr>
        <w:footnoteRef/>
      </w:r>
      <w:r>
        <w:t xml:space="preserve"> </w:t>
      </w:r>
      <w:proofErr w:type="spellStart"/>
      <w:r>
        <w:rPr>
          <w:lang w:val="en-US"/>
        </w:rPr>
        <w:t>Halkon</w:t>
      </w:r>
      <w:proofErr w:type="spellEnd"/>
      <w:r>
        <w:rPr>
          <w:lang w:val="en-US"/>
        </w:rPr>
        <w:t xml:space="preserve"> (2013):78</w:t>
      </w:r>
    </w:p>
  </w:footnote>
  <w:footnote w:id="12">
    <w:p w14:paraId="0C55156D" w14:textId="6AA4D1D3" w:rsidR="00CC7B81" w:rsidRPr="00CC7B81" w:rsidRDefault="00CC7B81">
      <w:pPr>
        <w:pStyle w:val="FootnoteText"/>
        <w:rPr>
          <w:lang w:val="en-US"/>
        </w:rPr>
      </w:pPr>
      <w:r>
        <w:rPr>
          <w:rStyle w:val="FootnoteReference"/>
        </w:rPr>
        <w:footnoteRef/>
      </w:r>
      <w:r>
        <w:t xml:space="preserve"> </w:t>
      </w:r>
      <w:r>
        <w:rPr>
          <w:lang w:val="en-US"/>
        </w:rPr>
        <w:t>Joy (2011) 213</w:t>
      </w:r>
    </w:p>
  </w:footnote>
  <w:footnote w:id="13">
    <w:p w14:paraId="6B95851A" w14:textId="7FAFA117" w:rsidR="00CC7B81" w:rsidRPr="00CC7B81" w:rsidRDefault="00CC7B81">
      <w:pPr>
        <w:pStyle w:val="FootnoteText"/>
        <w:rPr>
          <w:lang w:val="en-US"/>
        </w:rPr>
      </w:pPr>
      <w:r>
        <w:rPr>
          <w:rStyle w:val="FootnoteReference"/>
        </w:rPr>
        <w:footnoteRef/>
      </w:r>
      <w:r>
        <w:rPr>
          <w:lang w:val="en-US"/>
        </w:rPr>
        <w:t xml:space="preserve"> </w:t>
      </w:r>
      <w:r>
        <w:rPr>
          <w:lang w:val="en-US"/>
        </w:rPr>
        <w:t>Joy (2011) 213</w:t>
      </w:r>
    </w:p>
  </w:footnote>
  <w:footnote w:id="14">
    <w:p w14:paraId="34569C27" w14:textId="576B3ACC" w:rsidR="00922944" w:rsidRPr="00922944" w:rsidRDefault="00922944">
      <w:pPr>
        <w:pStyle w:val="FootnoteText"/>
        <w:rPr>
          <w:lang w:val="en-US"/>
        </w:rPr>
      </w:pPr>
      <w:r>
        <w:rPr>
          <w:rStyle w:val="FootnoteReference"/>
        </w:rPr>
        <w:footnoteRef/>
      </w:r>
      <w:r>
        <w:t xml:space="preserve"> </w:t>
      </w:r>
      <w:r>
        <w:rPr>
          <w:lang w:val="en-US"/>
        </w:rPr>
        <w:t>Joy (2011): 216</w:t>
      </w:r>
    </w:p>
  </w:footnote>
  <w:footnote w:id="15">
    <w:p w14:paraId="413BE0BF" w14:textId="2E2D56C3" w:rsidR="006D3E3A" w:rsidRPr="006D3E3A" w:rsidRDefault="006D3E3A">
      <w:pPr>
        <w:pStyle w:val="FootnoteText"/>
        <w:rPr>
          <w:lang w:val="en-US"/>
        </w:rPr>
      </w:pPr>
      <w:r>
        <w:rPr>
          <w:rStyle w:val="FootnoteReference"/>
        </w:rPr>
        <w:footnoteRef/>
      </w:r>
      <w:r>
        <w:t xml:space="preserve"> Jay et al (2012): 170</w:t>
      </w:r>
    </w:p>
  </w:footnote>
  <w:footnote w:id="16">
    <w:p w14:paraId="1251910C" w14:textId="0CEFC845" w:rsidR="009B262F" w:rsidRPr="009B262F" w:rsidRDefault="009B262F">
      <w:pPr>
        <w:pStyle w:val="FootnoteText"/>
        <w:rPr>
          <w:lang w:val="en-US"/>
        </w:rPr>
      </w:pPr>
      <w:r>
        <w:rPr>
          <w:rStyle w:val="FootnoteReference"/>
        </w:rPr>
        <w:footnoteRef/>
      </w:r>
      <w:r>
        <w:t xml:space="preserve"> Dent (1984): 26</w:t>
      </w:r>
    </w:p>
  </w:footnote>
  <w:footnote w:id="17">
    <w:p w14:paraId="2BDED964" w14:textId="444197AB" w:rsidR="003A30B0" w:rsidRPr="003A30B0" w:rsidRDefault="003A30B0">
      <w:pPr>
        <w:pStyle w:val="FootnoteText"/>
        <w:rPr>
          <w:lang w:val="en-US"/>
        </w:rPr>
      </w:pPr>
      <w:r>
        <w:rPr>
          <w:rStyle w:val="FootnoteReference"/>
        </w:rPr>
        <w:footnoteRef/>
      </w:r>
      <w:r w:rsidR="00205B27">
        <w:t xml:space="preserve"> Dent (1984): 26</w:t>
      </w:r>
    </w:p>
  </w:footnote>
  <w:footnote w:id="18">
    <w:p w14:paraId="156C6EC6" w14:textId="23645D5B" w:rsidR="00205B27" w:rsidRPr="00205B27" w:rsidRDefault="00205B27">
      <w:pPr>
        <w:pStyle w:val="FootnoteText"/>
        <w:rPr>
          <w:lang w:val="en-US"/>
        </w:rPr>
      </w:pPr>
      <w:r>
        <w:rPr>
          <w:rStyle w:val="FootnoteReference"/>
        </w:rPr>
        <w:footnoteRef/>
      </w:r>
      <w:r>
        <w:t xml:space="preserve"> Dent (1984): 26</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6BB5"/>
    <w:rsid w:val="00077D18"/>
    <w:rsid w:val="000B2BCC"/>
    <w:rsid w:val="001040EF"/>
    <w:rsid w:val="00111379"/>
    <w:rsid w:val="001A09C8"/>
    <w:rsid w:val="00201B6A"/>
    <w:rsid w:val="00205B27"/>
    <w:rsid w:val="00210F9B"/>
    <w:rsid w:val="002916AB"/>
    <w:rsid w:val="002B5372"/>
    <w:rsid w:val="002E5E62"/>
    <w:rsid w:val="002F44B6"/>
    <w:rsid w:val="00323CFB"/>
    <w:rsid w:val="0039181D"/>
    <w:rsid w:val="003A30B0"/>
    <w:rsid w:val="0041479A"/>
    <w:rsid w:val="00483A2A"/>
    <w:rsid w:val="004E6D14"/>
    <w:rsid w:val="005105A8"/>
    <w:rsid w:val="00565C3C"/>
    <w:rsid w:val="00597577"/>
    <w:rsid w:val="005D7E30"/>
    <w:rsid w:val="00655AB6"/>
    <w:rsid w:val="00672201"/>
    <w:rsid w:val="006B2971"/>
    <w:rsid w:val="006D0140"/>
    <w:rsid w:val="006D3E3A"/>
    <w:rsid w:val="006E4A04"/>
    <w:rsid w:val="007140B3"/>
    <w:rsid w:val="00722075"/>
    <w:rsid w:val="007313C8"/>
    <w:rsid w:val="00791AA4"/>
    <w:rsid w:val="007D0959"/>
    <w:rsid w:val="007F1C05"/>
    <w:rsid w:val="008273D1"/>
    <w:rsid w:val="008334B5"/>
    <w:rsid w:val="00874B7A"/>
    <w:rsid w:val="00915940"/>
    <w:rsid w:val="00922944"/>
    <w:rsid w:val="00972163"/>
    <w:rsid w:val="00986A12"/>
    <w:rsid w:val="009B262F"/>
    <w:rsid w:val="009E69E3"/>
    <w:rsid w:val="009F42C2"/>
    <w:rsid w:val="00A369AB"/>
    <w:rsid w:val="00A82961"/>
    <w:rsid w:val="00AC27AC"/>
    <w:rsid w:val="00B5337D"/>
    <w:rsid w:val="00B600A0"/>
    <w:rsid w:val="00BD4475"/>
    <w:rsid w:val="00C01BA4"/>
    <w:rsid w:val="00C06BB5"/>
    <w:rsid w:val="00C47F91"/>
    <w:rsid w:val="00C53468"/>
    <w:rsid w:val="00CA31C2"/>
    <w:rsid w:val="00CC7B81"/>
    <w:rsid w:val="00D403C3"/>
    <w:rsid w:val="00DA5514"/>
    <w:rsid w:val="00E27B0C"/>
    <w:rsid w:val="00E76910"/>
    <w:rsid w:val="00E76F2D"/>
    <w:rsid w:val="00EA2F75"/>
    <w:rsid w:val="00EB7F82"/>
    <w:rsid w:val="00EC5190"/>
    <w:rsid w:val="00EC7A99"/>
    <w:rsid w:val="00ED5755"/>
    <w:rsid w:val="00EE613F"/>
    <w:rsid w:val="00F0439E"/>
    <w:rsid w:val="00F05A89"/>
    <w:rsid w:val="00F15A01"/>
    <w:rsid w:val="00F52F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72981D"/>
  <w15:chartTrackingRefBased/>
  <w15:docId w15:val="{9D949BC0-55DC-4D0B-87D8-BF0F5BA673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5105A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105A8"/>
    <w:rPr>
      <w:sz w:val="20"/>
      <w:szCs w:val="20"/>
    </w:rPr>
  </w:style>
  <w:style w:type="character" w:styleId="FootnoteReference">
    <w:name w:val="footnote reference"/>
    <w:basedOn w:val="DefaultParagraphFont"/>
    <w:uiPriority w:val="99"/>
    <w:semiHidden/>
    <w:unhideWhenUsed/>
    <w:rsid w:val="005105A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3365515">
      <w:bodyDiv w:val="1"/>
      <w:marLeft w:val="0"/>
      <w:marRight w:val="0"/>
      <w:marTop w:val="0"/>
      <w:marBottom w:val="0"/>
      <w:divBdr>
        <w:top w:val="none" w:sz="0" w:space="0" w:color="auto"/>
        <w:left w:val="none" w:sz="0" w:space="0" w:color="auto"/>
        <w:bottom w:val="none" w:sz="0" w:space="0" w:color="auto"/>
        <w:right w:val="none" w:sz="0" w:space="0" w:color="auto"/>
      </w:divBdr>
      <w:divsChild>
        <w:div w:id="1220170331">
          <w:marLeft w:val="0"/>
          <w:marRight w:val="0"/>
          <w:marTop w:val="0"/>
          <w:marBottom w:val="0"/>
          <w:divBdr>
            <w:top w:val="none" w:sz="0" w:space="0" w:color="auto"/>
            <w:left w:val="none" w:sz="0" w:space="0" w:color="auto"/>
            <w:bottom w:val="none" w:sz="0" w:space="0" w:color="auto"/>
            <w:right w:val="none" w:sz="0" w:space="0" w:color="auto"/>
          </w:divBdr>
          <w:divsChild>
            <w:div w:id="1211957400">
              <w:marLeft w:val="0"/>
              <w:marRight w:val="0"/>
              <w:marTop w:val="0"/>
              <w:marBottom w:val="0"/>
              <w:divBdr>
                <w:top w:val="none" w:sz="0" w:space="0" w:color="auto"/>
                <w:left w:val="none" w:sz="0" w:space="0" w:color="auto"/>
                <w:bottom w:val="none" w:sz="0" w:space="0" w:color="auto"/>
                <w:right w:val="none" w:sz="0" w:space="0" w:color="auto"/>
              </w:divBdr>
              <w:divsChild>
                <w:div w:id="1069382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4556694">
          <w:marLeft w:val="0"/>
          <w:marRight w:val="0"/>
          <w:marTop w:val="0"/>
          <w:marBottom w:val="0"/>
          <w:divBdr>
            <w:top w:val="none" w:sz="0" w:space="0" w:color="auto"/>
            <w:left w:val="none" w:sz="0" w:space="0" w:color="auto"/>
            <w:bottom w:val="none" w:sz="0" w:space="0" w:color="auto"/>
            <w:right w:val="none" w:sz="0" w:space="0" w:color="auto"/>
          </w:divBdr>
          <w:divsChild>
            <w:div w:id="979117971">
              <w:marLeft w:val="0"/>
              <w:marRight w:val="0"/>
              <w:marTop w:val="0"/>
              <w:marBottom w:val="0"/>
              <w:divBdr>
                <w:top w:val="none" w:sz="0" w:space="0" w:color="auto"/>
                <w:left w:val="none" w:sz="0" w:space="0" w:color="auto"/>
                <w:bottom w:val="none" w:sz="0" w:space="0" w:color="auto"/>
                <w:right w:val="none" w:sz="0" w:space="0" w:color="auto"/>
              </w:divBdr>
              <w:divsChild>
                <w:div w:id="1806775271">
                  <w:marLeft w:val="0"/>
                  <w:marRight w:val="0"/>
                  <w:marTop w:val="0"/>
                  <w:marBottom w:val="0"/>
                  <w:divBdr>
                    <w:top w:val="single" w:sz="18" w:space="4" w:color="0072CF"/>
                    <w:left w:val="single" w:sz="18" w:space="4" w:color="0072CF"/>
                    <w:bottom w:val="single" w:sz="18" w:space="4" w:color="0072CF"/>
                    <w:right w:val="single" w:sz="18" w:space="4" w:color="0072CF"/>
                  </w:divBdr>
                  <w:divsChild>
                    <w:div w:id="941376603">
                      <w:marLeft w:val="0"/>
                      <w:marRight w:val="0"/>
                      <w:marTop w:val="0"/>
                      <w:marBottom w:val="0"/>
                      <w:divBdr>
                        <w:top w:val="none" w:sz="0" w:space="0" w:color="auto"/>
                        <w:left w:val="none" w:sz="0" w:space="0" w:color="auto"/>
                        <w:bottom w:val="none" w:sz="0" w:space="0" w:color="auto"/>
                        <w:right w:val="none" w:sz="0" w:space="0" w:color="auto"/>
                      </w:divBdr>
                      <w:divsChild>
                        <w:div w:id="376441841">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3D22F0-85A4-4EEF-B7DE-A1F232F820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1878</TotalTime>
  <Pages>4</Pages>
  <Words>1480</Words>
  <Characters>8438</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Garters</dc:creator>
  <cp:keywords/>
  <dc:description/>
  <cp:lastModifiedBy>Peter Garters</cp:lastModifiedBy>
  <cp:revision>28</cp:revision>
  <dcterms:created xsi:type="dcterms:W3CDTF">2019-01-14T17:45:00Z</dcterms:created>
  <dcterms:modified xsi:type="dcterms:W3CDTF">2019-01-18T16:59:00Z</dcterms:modified>
</cp:coreProperties>
</file>