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D5BC7" w14:textId="77777777" w:rsidR="003F4E8F" w:rsidRPr="003227C7" w:rsidRDefault="003F4E8F" w:rsidP="003F4E8F">
      <w:pPr>
        <w:spacing w:line="360" w:lineRule="auto"/>
        <w:rPr>
          <w:rFonts w:ascii="Arial" w:hAnsi="Arial" w:cs="Arial"/>
          <w:sz w:val="24"/>
          <w:szCs w:val="24"/>
        </w:rPr>
      </w:pPr>
      <w:r w:rsidRPr="003227C7">
        <w:rPr>
          <w:rFonts w:ascii="Arial" w:hAnsi="Arial" w:cs="Arial"/>
          <w:noProof/>
          <w:sz w:val="24"/>
          <w:szCs w:val="24"/>
          <w:lang w:val="en-US"/>
        </w:rPr>
        <w:drawing>
          <wp:anchor distT="0" distB="0" distL="114300" distR="114300" simplePos="0" relativeHeight="251659264" behindDoc="0" locked="0" layoutInCell="1" allowOverlap="1" wp14:anchorId="74275672" wp14:editId="242C3FC3">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2286BB36" w14:textId="77777777" w:rsidR="003F4E8F" w:rsidRPr="003227C7" w:rsidRDefault="003F4E8F" w:rsidP="003F4E8F">
      <w:pPr>
        <w:spacing w:line="360" w:lineRule="auto"/>
        <w:jc w:val="center"/>
        <w:rPr>
          <w:rFonts w:ascii="Arial" w:hAnsi="Arial" w:cs="Arial"/>
          <w:b/>
          <w:bCs/>
          <w:sz w:val="28"/>
          <w:szCs w:val="24"/>
        </w:rPr>
      </w:pPr>
      <w:r w:rsidRPr="003227C7">
        <w:rPr>
          <w:rFonts w:ascii="Arial" w:hAnsi="Arial" w:cs="Arial"/>
          <w:b/>
          <w:bCs/>
          <w:sz w:val="28"/>
          <w:szCs w:val="24"/>
        </w:rPr>
        <w:t>Master of Business Administration</w:t>
      </w:r>
    </w:p>
    <w:p w14:paraId="25C8B8E5" w14:textId="0F42FC57" w:rsidR="003F4E8F" w:rsidRPr="003227C7" w:rsidRDefault="003F4E8F" w:rsidP="003F4E8F">
      <w:pPr>
        <w:spacing w:line="360" w:lineRule="auto"/>
        <w:jc w:val="center"/>
        <w:rPr>
          <w:rFonts w:ascii="Arial" w:hAnsi="Arial" w:cs="Arial"/>
          <w:b/>
          <w:bCs/>
          <w:sz w:val="28"/>
          <w:szCs w:val="24"/>
        </w:rPr>
      </w:pPr>
      <w:r w:rsidRPr="003227C7">
        <w:rPr>
          <w:rFonts w:ascii="Arial" w:hAnsi="Arial" w:cs="Arial"/>
          <w:b/>
          <w:bCs/>
          <w:sz w:val="28"/>
          <w:szCs w:val="24"/>
        </w:rPr>
        <w:t>Student Name:</w:t>
      </w:r>
      <w:r>
        <w:rPr>
          <w:rFonts w:ascii="Arial" w:hAnsi="Arial" w:cs="Arial"/>
          <w:sz w:val="28"/>
          <w:szCs w:val="24"/>
        </w:rPr>
        <w:t xml:space="preserve"> </w:t>
      </w:r>
      <w:proofErr w:type="spellStart"/>
      <w:r w:rsidR="00DF3835" w:rsidRPr="00DF3835">
        <w:rPr>
          <w:rFonts w:ascii="Arial" w:hAnsi="Arial" w:cs="Arial"/>
          <w:b/>
          <w:bCs/>
          <w:sz w:val="28"/>
          <w:szCs w:val="24"/>
        </w:rPr>
        <w:t>Shaikhul</w:t>
      </w:r>
      <w:proofErr w:type="spellEnd"/>
      <w:r w:rsidR="00DF3835" w:rsidRPr="00DF3835">
        <w:rPr>
          <w:rFonts w:ascii="Arial" w:hAnsi="Arial" w:cs="Arial"/>
          <w:b/>
          <w:bCs/>
          <w:sz w:val="28"/>
          <w:szCs w:val="24"/>
        </w:rPr>
        <w:t xml:space="preserve"> Alam </w:t>
      </w:r>
      <w:proofErr w:type="spellStart"/>
      <w:r w:rsidR="00DF3835" w:rsidRPr="00DF3835">
        <w:rPr>
          <w:rFonts w:ascii="Arial" w:hAnsi="Arial" w:cs="Arial"/>
          <w:b/>
          <w:bCs/>
          <w:sz w:val="28"/>
          <w:szCs w:val="24"/>
        </w:rPr>
        <w:t>Shanto</w:t>
      </w:r>
      <w:proofErr w:type="spellEnd"/>
    </w:p>
    <w:p w14:paraId="2069FE76" w14:textId="6FED9753" w:rsidR="003F4E8F" w:rsidRPr="003227C7" w:rsidRDefault="003F4E8F" w:rsidP="003F4E8F">
      <w:pPr>
        <w:spacing w:line="360" w:lineRule="auto"/>
        <w:jc w:val="center"/>
        <w:rPr>
          <w:rFonts w:ascii="Arial" w:hAnsi="Arial" w:cs="Arial"/>
          <w:sz w:val="28"/>
          <w:szCs w:val="24"/>
        </w:rPr>
      </w:pPr>
      <w:r w:rsidRPr="003227C7">
        <w:rPr>
          <w:rFonts w:ascii="Arial" w:hAnsi="Arial" w:cs="Arial"/>
          <w:b/>
          <w:bCs/>
          <w:sz w:val="28"/>
          <w:szCs w:val="24"/>
        </w:rPr>
        <w:t>Student Number:</w:t>
      </w:r>
      <w:r>
        <w:rPr>
          <w:rFonts w:ascii="Arial" w:hAnsi="Arial" w:cs="Arial"/>
          <w:sz w:val="28"/>
          <w:szCs w:val="24"/>
        </w:rPr>
        <w:t xml:space="preserve"> </w:t>
      </w:r>
      <w:r w:rsidR="00DF3835" w:rsidRPr="00DF3835">
        <w:rPr>
          <w:rFonts w:ascii="Arial" w:hAnsi="Arial" w:cs="Arial"/>
          <w:b/>
          <w:bCs/>
          <w:sz w:val="28"/>
          <w:szCs w:val="24"/>
        </w:rPr>
        <w:t>2504527</w:t>
      </w:r>
      <w:r w:rsidR="00DF3835">
        <w:rPr>
          <w:rFonts w:ascii="Arial" w:hAnsi="Arial" w:cs="Arial"/>
          <w:sz w:val="28"/>
          <w:szCs w:val="24"/>
        </w:rPr>
        <w:t xml:space="preserve"> </w:t>
      </w:r>
    </w:p>
    <w:p w14:paraId="1D53C378" w14:textId="77777777" w:rsidR="003F4E8F" w:rsidRPr="003227C7" w:rsidRDefault="003F4E8F" w:rsidP="003F4E8F">
      <w:pPr>
        <w:spacing w:line="360" w:lineRule="auto"/>
        <w:jc w:val="center"/>
        <w:rPr>
          <w:rFonts w:ascii="Arial" w:hAnsi="Arial" w:cs="Arial"/>
          <w:b/>
          <w:bCs/>
          <w:sz w:val="28"/>
          <w:szCs w:val="24"/>
        </w:rPr>
      </w:pPr>
      <w:r w:rsidRPr="003227C7">
        <w:rPr>
          <w:rFonts w:ascii="Arial" w:hAnsi="Arial" w:cs="Arial"/>
          <w:b/>
          <w:bCs/>
          <w:sz w:val="28"/>
          <w:szCs w:val="24"/>
        </w:rPr>
        <w:t xml:space="preserve">Module code: </w:t>
      </w:r>
      <w:r w:rsidRPr="00400BF4">
        <w:rPr>
          <w:rFonts w:ascii="Arial" w:hAnsi="Arial" w:cs="Arial"/>
          <w:b/>
          <w:bCs/>
          <w:sz w:val="28"/>
          <w:szCs w:val="24"/>
        </w:rPr>
        <w:t>LCMB7002</w:t>
      </w:r>
    </w:p>
    <w:p w14:paraId="317E9AD3" w14:textId="77777777" w:rsidR="003F4E8F" w:rsidRPr="003227C7" w:rsidRDefault="003F4E8F" w:rsidP="003F4E8F">
      <w:pPr>
        <w:spacing w:line="360" w:lineRule="auto"/>
        <w:jc w:val="center"/>
        <w:rPr>
          <w:rFonts w:ascii="Arial" w:hAnsi="Arial" w:cs="Arial"/>
          <w:b/>
          <w:bCs/>
          <w:sz w:val="28"/>
          <w:szCs w:val="24"/>
        </w:rPr>
      </w:pPr>
      <w:r w:rsidRPr="003227C7">
        <w:rPr>
          <w:rFonts w:ascii="Arial" w:hAnsi="Arial" w:cs="Arial"/>
          <w:b/>
          <w:bCs/>
          <w:sz w:val="28"/>
          <w:szCs w:val="24"/>
        </w:rPr>
        <w:t>Assessment: Individual report</w:t>
      </w:r>
    </w:p>
    <w:p w14:paraId="61066E63" w14:textId="77777777" w:rsidR="003F4E8F" w:rsidRPr="003227C7" w:rsidRDefault="003F4E8F" w:rsidP="003F4E8F">
      <w:pPr>
        <w:spacing w:line="360" w:lineRule="auto"/>
        <w:jc w:val="center"/>
        <w:rPr>
          <w:rFonts w:ascii="Arial" w:hAnsi="Arial" w:cs="Arial"/>
          <w:b/>
          <w:bCs/>
          <w:sz w:val="28"/>
          <w:szCs w:val="24"/>
        </w:rPr>
      </w:pPr>
      <w:r w:rsidRPr="003227C7">
        <w:rPr>
          <w:rFonts w:ascii="Arial" w:hAnsi="Arial" w:cs="Arial"/>
          <w:b/>
          <w:bCs/>
          <w:sz w:val="28"/>
          <w:szCs w:val="24"/>
        </w:rPr>
        <w:t xml:space="preserve">Course Name: </w:t>
      </w:r>
      <w:r w:rsidRPr="004019A6">
        <w:rPr>
          <w:rFonts w:ascii="Arial" w:hAnsi="Arial" w:cs="Arial"/>
          <w:b/>
          <w:bCs/>
          <w:sz w:val="28"/>
          <w:szCs w:val="24"/>
        </w:rPr>
        <w:t>Financial Management</w:t>
      </w:r>
    </w:p>
    <w:p w14:paraId="4EC5AEB8" w14:textId="69BF934F" w:rsidR="003F4E8F" w:rsidRPr="003227C7" w:rsidRDefault="003F4E8F" w:rsidP="003F4E8F">
      <w:pPr>
        <w:spacing w:line="360" w:lineRule="auto"/>
        <w:jc w:val="center"/>
        <w:rPr>
          <w:rFonts w:ascii="Arial" w:hAnsi="Arial" w:cs="Arial"/>
          <w:b/>
          <w:bCs/>
          <w:sz w:val="28"/>
          <w:szCs w:val="24"/>
        </w:rPr>
      </w:pPr>
      <w:r w:rsidRPr="003227C7">
        <w:rPr>
          <w:rFonts w:ascii="Arial" w:hAnsi="Arial" w:cs="Arial"/>
          <w:b/>
          <w:bCs/>
          <w:sz w:val="28"/>
          <w:szCs w:val="24"/>
        </w:rPr>
        <w:t xml:space="preserve">Lecturer: </w:t>
      </w:r>
      <w:r w:rsidR="00FD4482">
        <w:rPr>
          <w:rFonts w:ascii="Arial" w:hAnsi="Arial" w:cs="Arial"/>
          <w:b/>
          <w:bCs/>
          <w:sz w:val="28"/>
          <w:szCs w:val="24"/>
        </w:rPr>
        <w:t>Md. Kalam</w:t>
      </w:r>
    </w:p>
    <w:p w14:paraId="10CCB21F" w14:textId="0BF19EA5" w:rsidR="003F4E8F" w:rsidRPr="003227C7" w:rsidRDefault="003F4E8F" w:rsidP="003F4E8F">
      <w:pPr>
        <w:spacing w:line="360" w:lineRule="auto"/>
        <w:jc w:val="center"/>
        <w:rPr>
          <w:rFonts w:ascii="Arial" w:hAnsi="Arial" w:cs="Arial"/>
          <w:b/>
          <w:bCs/>
          <w:i/>
          <w:iCs/>
          <w:sz w:val="28"/>
          <w:szCs w:val="24"/>
        </w:rPr>
      </w:pPr>
      <w:r w:rsidRPr="003227C7">
        <w:rPr>
          <w:rFonts w:ascii="Arial" w:hAnsi="Arial" w:cs="Arial"/>
          <w:b/>
          <w:bCs/>
          <w:sz w:val="28"/>
          <w:szCs w:val="24"/>
        </w:rPr>
        <w:t xml:space="preserve">Word Count: </w:t>
      </w:r>
      <w:r w:rsidR="00B25E18">
        <w:rPr>
          <w:rFonts w:ascii="Arial" w:hAnsi="Arial" w:cs="Arial"/>
          <w:b/>
          <w:bCs/>
          <w:sz w:val="28"/>
          <w:szCs w:val="24"/>
        </w:rPr>
        <w:t>5193</w:t>
      </w:r>
    </w:p>
    <w:p w14:paraId="17DA0A9C" w14:textId="77777777" w:rsidR="003F4E8F" w:rsidRPr="003227C7" w:rsidRDefault="003F4E8F" w:rsidP="003F4E8F">
      <w:pPr>
        <w:spacing w:line="360" w:lineRule="auto"/>
        <w:jc w:val="center"/>
        <w:rPr>
          <w:rFonts w:ascii="Arial" w:hAnsi="Arial" w:cs="Arial"/>
          <w:b/>
          <w:bCs/>
          <w:sz w:val="28"/>
          <w:szCs w:val="24"/>
        </w:rPr>
      </w:pPr>
      <w:r w:rsidRPr="003227C7">
        <w:rPr>
          <w:rFonts w:ascii="Arial" w:hAnsi="Arial" w:cs="Arial"/>
          <w:b/>
          <w:bCs/>
          <w:sz w:val="28"/>
          <w:szCs w:val="24"/>
        </w:rPr>
        <w:t xml:space="preserve">Submission Deadline: </w:t>
      </w:r>
      <w:r w:rsidRPr="00E46589">
        <w:rPr>
          <w:rFonts w:ascii="Arial" w:hAnsi="Arial" w:cs="Arial"/>
          <w:b/>
          <w:sz w:val="28"/>
          <w:szCs w:val="28"/>
        </w:rPr>
        <w:t>22</w:t>
      </w:r>
      <w:r w:rsidRPr="00E46589">
        <w:rPr>
          <w:rFonts w:ascii="Arial" w:hAnsi="Arial" w:cs="Arial"/>
          <w:b/>
          <w:sz w:val="28"/>
          <w:szCs w:val="28"/>
          <w:vertAlign w:val="superscript"/>
        </w:rPr>
        <w:t>nd</w:t>
      </w:r>
      <w:r w:rsidRPr="00E46589">
        <w:rPr>
          <w:rFonts w:ascii="Arial" w:hAnsi="Arial" w:cs="Arial"/>
          <w:b/>
          <w:sz w:val="28"/>
          <w:szCs w:val="28"/>
        </w:rPr>
        <w:t xml:space="preserve"> December 2025</w:t>
      </w:r>
    </w:p>
    <w:p w14:paraId="22D5B0C1" w14:textId="77777777" w:rsidR="003F4E8F" w:rsidRPr="003227C7" w:rsidRDefault="003F4E8F" w:rsidP="003F4E8F">
      <w:pPr>
        <w:pStyle w:val="NoSpacing"/>
        <w:spacing w:before="1540" w:after="240" w:line="360" w:lineRule="auto"/>
        <w:jc w:val="center"/>
        <w:rPr>
          <w:rFonts w:ascii="Arial" w:hAnsi="Arial" w:cs="Arial"/>
          <w:sz w:val="24"/>
          <w:szCs w:val="24"/>
          <w:lang w:val="en-GB"/>
        </w:rPr>
      </w:pPr>
      <w:r w:rsidRPr="003227C7">
        <w:rPr>
          <w:rFonts w:ascii="Arial" w:hAnsi="Arial" w:cs="Arial"/>
          <w:sz w:val="24"/>
          <w:szCs w:val="24"/>
          <w:lang w:val="en-GB"/>
        </w:rPr>
        <w:br w:type="page"/>
      </w:r>
    </w:p>
    <w:sdt>
      <w:sdtPr>
        <w:rPr>
          <w:rFonts w:asciiTheme="minorHAnsi" w:eastAsiaTheme="minorHAnsi" w:hAnsiTheme="minorHAnsi" w:cs="Arial"/>
          <w:b/>
          <w:bCs w:val="0"/>
          <w:color w:val="auto"/>
          <w:sz w:val="24"/>
          <w:szCs w:val="24"/>
          <w:lang w:eastAsia="en-US"/>
        </w:rPr>
        <w:id w:val="-798766249"/>
        <w:docPartObj>
          <w:docPartGallery w:val="Table of Contents"/>
          <w:docPartUnique/>
        </w:docPartObj>
      </w:sdtPr>
      <w:sdtEndPr>
        <w:rPr>
          <w:b w:val="0"/>
          <w:noProof/>
          <w:sz w:val="22"/>
          <w:szCs w:val="22"/>
        </w:rPr>
      </w:sdtEndPr>
      <w:sdtContent>
        <w:p w14:paraId="7AEAAAC9" w14:textId="77777777" w:rsidR="003F4E8F" w:rsidRPr="002B2DD2" w:rsidRDefault="003F4E8F" w:rsidP="003F4E8F">
          <w:pPr>
            <w:pStyle w:val="TOCHeading"/>
            <w:spacing w:line="360" w:lineRule="auto"/>
            <w:jc w:val="center"/>
            <w:rPr>
              <w:rFonts w:cs="Arial"/>
              <w:b/>
              <w:iCs/>
              <w:color w:val="auto"/>
              <w:sz w:val="32"/>
              <w:szCs w:val="32"/>
              <w:u w:val="single"/>
            </w:rPr>
          </w:pPr>
          <w:r w:rsidRPr="002B2DD2">
            <w:rPr>
              <w:rFonts w:cs="Arial"/>
              <w:iCs/>
              <w:color w:val="auto"/>
              <w:sz w:val="32"/>
              <w:szCs w:val="32"/>
              <w:u w:val="single"/>
            </w:rPr>
            <w:t>Table of Contents</w:t>
          </w:r>
        </w:p>
        <w:p w14:paraId="588DD562" w14:textId="2AB45B13" w:rsidR="002B2DD2" w:rsidRPr="002B2DD2" w:rsidRDefault="003F4E8F">
          <w:pPr>
            <w:pStyle w:val="TOC1"/>
            <w:tabs>
              <w:tab w:val="right" w:leader="dot" w:pos="9016"/>
            </w:tabs>
            <w:rPr>
              <w:rFonts w:ascii="Arial" w:eastAsiaTheme="minorEastAsia" w:hAnsi="Arial" w:cs="Arial"/>
              <w:noProof/>
              <w:kern w:val="2"/>
              <w:sz w:val="24"/>
              <w:szCs w:val="24"/>
              <w:lang w:val="en-US"/>
              <w14:ligatures w14:val="standardContextual"/>
            </w:rPr>
          </w:pPr>
          <w:r w:rsidRPr="002B2DD2">
            <w:rPr>
              <w:rFonts w:ascii="Arial" w:hAnsi="Arial" w:cs="Arial"/>
              <w:b/>
              <w:bCs/>
              <w:noProof/>
            </w:rPr>
            <w:fldChar w:fldCharType="begin"/>
          </w:r>
          <w:r w:rsidRPr="002B2DD2">
            <w:rPr>
              <w:rFonts w:ascii="Arial" w:hAnsi="Arial" w:cs="Arial"/>
              <w:b/>
              <w:bCs/>
              <w:noProof/>
            </w:rPr>
            <w:instrText xml:space="preserve"> TOC \o "1-3" \h \z \u </w:instrText>
          </w:r>
          <w:r w:rsidRPr="002B2DD2">
            <w:rPr>
              <w:rFonts w:ascii="Arial" w:hAnsi="Arial" w:cs="Arial"/>
              <w:b/>
              <w:bCs/>
              <w:noProof/>
            </w:rPr>
            <w:fldChar w:fldCharType="separate"/>
          </w:r>
          <w:hyperlink w:anchor="_Toc217246299" w:history="1">
            <w:r w:rsidR="002B2DD2" w:rsidRPr="002B2DD2">
              <w:rPr>
                <w:rStyle w:val="Hyperlink"/>
                <w:rFonts w:ascii="Arial" w:hAnsi="Arial" w:cs="Arial"/>
                <w:noProof/>
              </w:rPr>
              <w:t>Introduction</w:t>
            </w:r>
            <w:r w:rsidR="002B2DD2" w:rsidRPr="002B2DD2">
              <w:rPr>
                <w:rFonts w:ascii="Arial" w:hAnsi="Arial" w:cs="Arial"/>
                <w:noProof/>
                <w:webHidden/>
              </w:rPr>
              <w:tab/>
            </w:r>
            <w:r w:rsidR="002B2DD2" w:rsidRPr="002B2DD2">
              <w:rPr>
                <w:rFonts w:ascii="Arial" w:hAnsi="Arial" w:cs="Arial"/>
                <w:noProof/>
                <w:webHidden/>
              </w:rPr>
              <w:fldChar w:fldCharType="begin"/>
            </w:r>
            <w:r w:rsidR="002B2DD2" w:rsidRPr="002B2DD2">
              <w:rPr>
                <w:rFonts w:ascii="Arial" w:hAnsi="Arial" w:cs="Arial"/>
                <w:noProof/>
                <w:webHidden/>
              </w:rPr>
              <w:instrText xml:space="preserve"> PAGEREF _Toc217246299 \h </w:instrText>
            </w:r>
            <w:r w:rsidR="002B2DD2" w:rsidRPr="002B2DD2">
              <w:rPr>
                <w:rFonts w:ascii="Arial" w:hAnsi="Arial" w:cs="Arial"/>
                <w:noProof/>
                <w:webHidden/>
              </w:rPr>
            </w:r>
            <w:r w:rsidR="002B2DD2" w:rsidRPr="002B2DD2">
              <w:rPr>
                <w:rFonts w:ascii="Arial" w:hAnsi="Arial" w:cs="Arial"/>
                <w:noProof/>
                <w:webHidden/>
              </w:rPr>
              <w:fldChar w:fldCharType="separate"/>
            </w:r>
            <w:r w:rsidR="002B2DD2" w:rsidRPr="002B2DD2">
              <w:rPr>
                <w:rFonts w:ascii="Arial" w:hAnsi="Arial" w:cs="Arial"/>
                <w:noProof/>
                <w:webHidden/>
              </w:rPr>
              <w:t>1</w:t>
            </w:r>
            <w:r w:rsidR="002B2DD2" w:rsidRPr="002B2DD2">
              <w:rPr>
                <w:rFonts w:ascii="Arial" w:hAnsi="Arial" w:cs="Arial"/>
                <w:noProof/>
                <w:webHidden/>
              </w:rPr>
              <w:fldChar w:fldCharType="end"/>
            </w:r>
          </w:hyperlink>
        </w:p>
        <w:p w14:paraId="543FF06F" w14:textId="5475D156" w:rsidR="002B2DD2" w:rsidRPr="002B2DD2" w:rsidRDefault="002B2DD2">
          <w:pPr>
            <w:pStyle w:val="TOC1"/>
            <w:tabs>
              <w:tab w:val="right" w:leader="dot" w:pos="9016"/>
            </w:tabs>
            <w:rPr>
              <w:rFonts w:ascii="Arial" w:eastAsiaTheme="minorEastAsia" w:hAnsi="Arial" w:cs="Arial"/>
              <w:noProof/>
              <w:kern w:val="2"/>
              <w:sz w:val="24"/>
              <w:szCs w:val="24"/>
              <w:lang w:val="en-US"/>
              <w14:ligatures w14:val="standardContextual"/>
            </w:rPr>
          </w:pPr>
          <w:hyperlink w:anchor="_Toc217246300" w:history="1">
            <w:r w:rsidRPr="002B2DD2">
              <w:rPr>
                <w:rStyle w:val="Hyperlink"/>
                <w:rFonts w:ascii="Arial" w:hAnsi="Arial" w:cs="Arial"/>
                <w:noProof/>
              </w:rPr>
              <w:t>1. General Electronics: A Five-Year Financial Health Audit</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_Toc217246300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2</w:t>
            </w:r>
            <w:r w:rsidRPr="002B2DD2">
              <w:rPr>
                <w:rFonts w:ascii="Arial" w:hAnsi="Arial" w:cs="Arial"/>
                <w:noProof/>
                <w:webHidden/>
              </w:rPr>
              <w:fldChar w:fldCharType="end"/>
            </w:r>
          </w:hyperlink>
        </w:p>
        <w:p w14:paraId="33F7B861" w14:textId="03989306"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01" w:history="1">
            <w:r w:rsidRPr="002B2DD2">
              <w:rPr>
                <w:rStyle w:val="Hyperlink"/>
                <w:rFonts w:ascii="Arial" w:hAnsi="Arial" w:cs="Arial"/>
                <w:noProof/>
                <w:lang w:val="en-US"/>
              </w:rPr>
              <w:t>1.1 Consolidated Financial Performance Data</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_Toc217246301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2</w:t>
            </w:r>
            <w:r w:rsidRPr="002B2DD2">
              <w:rPr>
                <w:rFonts w:ascii="Arial" w:hAnsi="Arial" w:cs="Arial"/>
                <w:noProof/>
                <w:webHidden/>
              </w:rPr>
              <w:fldChar w:fldCharType="end"/>
            </w:r>
          </w:hyperlink>
        </w:p>
        <w:p w14:paraId="416923DA" w14:textId="1938B208"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02" w:history="1">
            <w:r w:rsidRPr="002B2DD2">
              <w:rPr>
                <w:rStyle w:val="Hyperlink"/>
                <w:rFonts w:ascii="Arial" w:hAnsi="Arial" w:cs="Arial"/>
                <w:noProof/>
                <w:lang w:val="en-US"/>
              </w:rPr>
              <w:t>1.2 Comprehensive Ratio Analysis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_Toc217246302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2</w:t>
            </w:r>
            <w:r w:rsidRPr="002B2DD2">
              <w:rPr>
                <w:rFonts w:ascii="Arial" w:hAnsi="Arial" w:cs="Arial"/>
                <w:noProof/>
                <w:webHidden/>
              </w:rPr>
              <w:fldChar w:fldCharType="end"/>
            </w:r>
          </w:hyperlink>
        </w:p>
        <w:p w14:paraId="79912806" w14:textId="78E032C0"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03" w:history="1">
            <w:r w:rsidRPr="002B2DD2">
              <w:rPr>
                <w:rStyle w:val="Hyperlink"/>
                <w:rFonts w:ascii="Arial" w:hAnsi="Arial" w:cs="Arial"/>
                <w:noProof/>
                <w:lang w:val="en-US"/>
              </w:rPr>
              <w:t>1.3 Strengths, Trend Analysis, and Threats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_Toc217246303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3</w:t>
            </w:r>
            <w:r w:rsidRPr="002B2DD2">
              <w:rPr>
                <w:rFonts w:ascii="Arial" w:hAnsi="Arial" w:cs="Arial"/>
                <w:noProof/>
                <w:webHidden/>
              </w:rPr>
              <w:fldChar w:fldCharType="end"/>
            </w:r>
          </w:hyperlink>
        </w:p>
        <w:p w14:paraId="50B97978" w14:textId="65768D71"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04" w:history="1">
            <w:r w:rsidRPr="002B2DD2">
              <w:rPr>
                <w:rStyle w:val="Hyperlink"/>
                <w:rFonts w:ascii="Arial" w:hAnsi="Arial" w:cs="Arial"/>
                <w:noProof/>
                <w:lang w:val="en-US"/>
              </w:rPr>
              <w:t>1.3.1 Performance Trends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_Toc217246304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3</w:t>
            </w:r>
            <w:r w:rsidRPr="002B2DD2">
              <w:rPr>
                <w:rFonts w:ascii="Arial" w:hAnsi="Arial" w:cs="Arial"/>
                <w:noProof/>
                <w:webHidden/>
              </w:rPr>
              <w:fldChar w:fldCharType="end"/>
            </w:r>
          </w:hyperlink>
        </w:p>
        <w:p w14:paraId="7675E435" w14:textId="44BBAF8B"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05" w:history="1">
            <w:r w:rsidRPr="002B2DD2">
              <w:rPr>
                <w:rStyle w:val="Hyperlink"/>
                <w:rFonts w:ascii="Arial" w:hAnsi="Arial" w:cs="Arial"/>
                <w:noProof/>
                <w:lang w:val="en-US"/>
              </w:rPr>
              <w:t>1.3.2 Strengths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_Toc217246305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4</w:t>
            </w:r>
            <w:r w:rsidRPr="002B2DD2">
              <w:rPr>
                <w:rFonts w:ascii="Arial" w:hAnsi="Arial" w:cs="Arial"/>
                <w:noProof/>
                <w:webHidden/>
              </w:rPr>
              <w:fldChar w:fldCharType="end"/>
            </w:r>
          </w:hyperlink>
        </w:p>
        <w:p w14:paraId="23C0A983" w14:textId="0D1884AB"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06" w:history="1">
            <w:r w:rsidRPr="002B2DD2">
              <w:rPr>
                <w:rStyle w:val="Hyperlink"/>
                <w:rFonts w:ascii="Arial" w:hAnsi="Arial" w:cs="Arial"/>
                <w:noProof/>
                <w:lang w:val="en-US"/>
              </w:rPr>
              <w:t>1.3.3 Threats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_Toc217246306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4</w:t>
            </w:r>
            <w:r w:rsidRPr="002B2DD2">
              <w:rPr>
                <w:rFonts w:ascii="Arial" w:hAnsi="Arial" w:cs="Arial"/>
                <w:noProof/>
                <w:webHidden/>
              </w:rPr>
              <w:fldChar w:fldCharType="end"/>
            </w:r>
          </w:hyperlink>
        </w:p>
        <w:p w14:paraId="3133BB91" w14:textId="095724C1"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07" w:history="1">
            <w:r w:rsidRPr="002B2DD2">
              <w:rPr>
                <w:rStyle w:val="Hyperlink"/>
                <w:rFonts w:ascii="Arial" w:hAnsi="Arial" w:cs="Arial"/>
                <w:noProof/>
                <w:lang w:val="en-US"/>
              </w:rPr>
              <w:t>1.4 Corporate Failure Prediction Altman Z-Score</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_Toc217246307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4</w:t>
            </w:r>
            <w:r w:rsidRPr="002B2DD2">
              <w:rPr>
                <w:rFonts w:ascii="Arial" w:hAnsi="Arial" w:cs="Arial"/>
                <w:noProof/>
                <w:webHidden/>
              </w:rPr>
              <w:fldChar w:fldCharType="end"/>
            </w:r>
          </w:hyperlink>
        </w:p>
        <w:p w14:paraId="28AF6D43" w14:textId="2CEA0FE5"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08" w:history="1">
            <w:r w:rsidRPr="002B2DD2">
              <w:rPr>
                <w:rStyle w:val="Hyperlink"/>
                <w:rFonts w:ascii="Arial" w:hAnsi="Arial" w:cs="Arial"/>
                <w:noProof/>
                <w:lang w:val="en-US"/>
              </w:rPr>
              <w:t>1.5 Strategic Analysis and Industry Environment</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_Toc217246308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5</w:t>
            </w:r>
            <w:r w:rsidRPr="002B2DD2">
              <w:rPr>
                <w:rFonts w:ascii="Arial" w:hAnsi="Arial" w:cs="Arial"/>
                <w:noProof/>
                <w:webHidden/>
              </w:rPr>
              <w:fldChar w:fldCharType="end"/>
            </w:r>
          </w:hyperlink>
        </w:p>
        <w:p w14:paraId="6CFF7708" w14:textId="39F052AB" w:rsidR="002B2DD2" w:rsidRPr="002B2DD2" w:rsidRDefault="002B2DD2">
          <w:pPr>
            <w:pStyle w:val="TOC1"/>
            <w:tabs>
              <w:tab w:val="right" w:leader="dot" w:pos="9016"/>
            </w:tabs>
            <w:rPr>
              <w:rFonts w:ascii="Arial" w:eastAsiaTheme="minorEastAsia" w:hAnsi="Arial" w:cs="Arial"/>
              <w:noProof/>
              <w:kern w:val="2"/>
              <w:sz w:val="24"/>
              <w:szCs w:val="24"/>
              <w:lang w:val="en-US"/>
              <w14:ligatures w14:val="standardContextual"/>
            </w:rPr>
          </w:pPr>
          <w:hyperlink w:anchor="_Toc217246309" w:history="1">
            <w:r w:rsidRPr="002B2DD2">
              <w:rPr>
                <w:rStyle w:val="Hyperlink"/>
                <w:rFonts w:ascii="Arial" w:hAnsi="Arial" w:cs="Arial"/>
                <w:noProof/>
              </w:rPr>
              <w:t>2. Liquidity Under Pressure: Working Capital Management Analysis of General Electronics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_Toc217246309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6</w:t>
            </w:r>
            <w:r w:rsidRPr="002B2DD2">
              <w:rPr>
                <w:rFonts w:ascii="Arial" w:hAnsi="Arial" w:cs="Arial"/>
                <w:noProof/>
                <w:webHidden/>
              </w:rPr>
              <w:fldChar w:fldCharType="end"/>
            </w:r>
          </w:hyperlink>
        </w:p>
        <w:p w14:paraId="1F8669FD" w14:textId="480572E6"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10" w:history="1">
            <w:r w:rsidRPr="002B2DD2">
              <w:rPr>
                <w:rStyle w:val="Hyperlink"/>
                <w:rFonts w:ascii="Arial" w:hAnsi="Arial" w:cs="Arial"/>
                <w:noProof/>
                <w:lang w:val="en-US"/>
              </w:rPr>
              <w:t>2.1 Evaluation of Cash Operating Cycle (CCC).</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_Toc217246310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6</w:t>
            </w:r>
            <w:r w:rsidRPr="002B2DD2">
              <w:rPr>
                <w:rFonts w:ascii="Arial" w:hAnsi="Arial" w:cs="Arial"/>
                <w:noProof/>
                <w:webHidden/>
              </w:rPr>
              <w:fldChar w:fldCharType="end"/>
            </w:r>
          </w:hyperlink>
        </w:p>
        <w:p w14:paraId="029CE0F6" w14:textId="21471D6B"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11" w:history="1">
            <w:r w:rsidRPr="002B2DD2">
              <w:rPr>
                <w:rStyle w:val="Hyperlink"/>
                <w:rFonts w:ascii="Arial" w:hAnsi="Arial" w:cs="Arial"/>
                <w:noProof/>
                <w:lang w:val="en-US"/>
              </w:rPr>
              <w:t>2.1.1 Component Analysis (2024 vs. 2020)</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_Toc217246311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6</w:t>
            </w:r>
            <w:r w:rsidRPr="002B2DD2">
              <w:rPr>
                <w:rFonts w:ascii="Arial" w:hAnsi="Arial" w:cs="Arial"/>
                <w:noProof/>
                <w:webHidden/>
              </w:rPr>
              <w:fldChar w:fldCharType="end"/>
            </w:r>
          </w:hyperlink>
        </w:p>
        <w:p w14:paraId="576EECDF" w14:textId="7CF635E6"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12" w:history="1">
            <w:r w:rsidRPr="002B2DD2">
              <w:rPr>
                <w:rStyle w:val="Hyperlink"/>
                <w:rFonts w:ascii="Arial" w:hAnsi="Arial" w:cs="Arial"/>
                <w:noProof/>
                <w:lang w:val="en-US"/>
              </w:rPr>
              <w:t>2.1.2 Critical Findings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_Toc217246312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7</w:t>
            </w:r>
            <w:r w:rsidRPr="002B2DD2">
              <w:rPr>
                <w:rFonts w:ascii="Arial" w:hAnsi="Arial" w:cs="Arial"/>
                <w:noProof/>
                <w:webHidden/>
              </w:rPr>
              <w:fldChar w:fldCharType="end"/>
            </w:r>
          </w:hyperlink>
        </w:p>
        <w:p w14:paraId="558206FF" w14:textId="711EA347"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13" w:history="1">
            <w:r w:rsidRPr="002B2DD2">
              <w:rPr>
                <w:rStyle w:val="Hyperlink"/>
                <w:rFonts w:ascii="Arial" w:hAnsi="Arial" w:cs="Arial"/>
                <w:noProof/>
                <w:lang w:val="en-US"/>
              </w:rPr>
              <w:t>2.2 Working Capital Reform Strategic Recommendations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_Toc217246313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8</w:t>
            </w:r>
            <w:r w:rsidRPr="002B2DD2">
              <w:rPr>
                <w:rFonts w:ascii="Arial" w:hAnsi="Arial" w:cs="Arial"/>
                <w:noProof/>
                <w:webHidden/>
              </w:rPr>
              <w:fldChar w:fldCharType="end"/>
            </w:r>
          </w:hyperlink>
        </w:p>
        <w:p w14:paraId="78534943" w14:textId="7F24340A"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14" w:history="1">
            <w:r w:rsidRPr="002B2DD2">
              <w:rPr>
                <w:rStyle w:val="Hyperlink"/>
                <w:rFonts w:ascii="Arial" w:hAnsi="Arial" w:cs="Arial"/>
                <w:noProof/>
                <w:lang w:val="en-US"/>
              </w:rPr>
              <w:t>2.2.1 Inventory Optimisation: Not Just-in-Case but Just-in-Time.</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_Toc217246314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8</w:t>
            </w:r>
            <w:r w:rsidRPr="002B2DD2">
              <w:rPr>
                <w:rFonts w:ascii="Arial" w:hAnsi="Arial" w:cs="Arial"/>
                <w:noProof/>
                <w:webHidden/>
              </w:rPr>
              <w:fldChar w:fldCharType="end"/>
            </w:r>
          </w:hyperlink>
        </w:p>
        <w:p w14:paraId="2E2E8D5F" w14:textId="72356261"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15" w:history="1">
            <w:r w:rsidRPr="002B2DD2">
              <w:rPr>
                <w:rStyle w:val="Hyperlink"/>
                <w:rFonts w:ascii="Arial" w:hAnsi="Arial" w:cs="Arial"/>
                <w:noProof/>
                <w:lang w:val="en-US"/>
              </w:rPr>
              <w:t>2.2.2 Receivable Management: Accelerated Collections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_Toc217246315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8</w:t>
            </w:r>
            <w:r w:rsidRPr="002B2DD2">
              <w:rPr>
                <w:rFonts w:ascii="Arial" w:hAnsi="Arial" w:cs="Arial"/>
                <w:noProof/>
                <w:webHidden/>
              </w:rPr>
              <w:fldChar w:fldCharType="end"/>
            </w:r>
          </w:hyperlink>
        </w:p>
        <w:p w14:paraId="4AF23D11" w14:textId="397CC8A1"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16" w:history="1">
            <w:r w:rsidRPr="002B2DD2">
              <w:rPr>
                <w:rStyle w:val="Hyperlink"/>
                <w:rFonts w:ascii="Arial" w:hAnsi="Arial" w:cs="Arial"/>
                <w:noProof/>
                <w:lang w:val="en-US"/>
              </w:rPr>
              <w:t>2.2.3 Payable Strategy: Strategic Supplier Partnerships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_Toc217246316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9</w:t>
            </w:r>
            <w:r w:rsidRPr="002B2DD2">
              <w:rPr>
                <w:rFonts w:ascii="Arial" w:hAnsi="Arial" w:cs="Arial"/>
                <w:noProof/>
                <w:webHidden/>
              </w:rPr>
              <w:fldChar w:fldCharType="end"/>
            </w:r>
          </w:hyperlink>
        </w:p>
        <w:p w14:paraId="4A1DA0EC" w14:textId="6E67EC25"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17" w:history="1">
            <w:r w:rsidRPr="002B2DD2">
              <w:rPr>
                <w:rStyle w:val="Hyperlink"/>
                <w:rFonts w:ascii="Arial" w:hAnsi="Arial" w:cs="Arial"/>
                <w:noProof/>
                <w:lang w:val="en-US"/>
              </w:rPr>
              <w:t>2.3 Comparison of Financing Alternatives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_Toc217246317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9</w:t>
            </w:r>
            <w:r w:rsidRPr="002B2DD2">
              <w:rPr>
                <w:rFonts w:ascii="Arial" w:hAnsi="Arial" w:cs="Arial"/>
                <w:noProof/>
                <w:webHidden/>
              </w:rPr>
              <w:fldChar w:fldCharType="end"/>
            </w:r>
          </w:hyperlink>
        </w:p>
        <w:p w14:paraId="6DB35F37" w14:textId="2A16FEB5"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18" w:history="1">
            <w:r w:rsidRPr="002B2DD2">
              <w:rPr>
                <w:rStyle w:val="Hyperlink"/>
                <w:rFonts w:ascii="Arial" w:hAnsi="Arial" w:cs="Arial"/>
                <w:noProof/>
                <w:lang w:val="en-US"/>
              </w:rPr>
              <w:t>2.3.1 Evaluation of GE's Current position</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_Toc217246318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10</w:t>
            </w:r>
            <w:r w:rsidRPr="002B2DD2">
              <w:rPr>
                <w:rFonts w:ascii="Arial" w:hAnsi="Arial" w:cs="Arial"/>
                <w:noProof/>
                <w:webHidden/>
              </w:rPr>
              <w:fldChar w:fldCharType="end"/>
            </w:r>
          </w:hyperlink>
        </w:p>
        <w:p w14:paraId="1558A6E3" w14:textId="6D2A334C"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19" w:history="1">
            <w:r w:rsidRPr="002B2DD2">
              <w:rPr>
                <w:rStyle w:val="Hyperlink"/>
                <w:rFonts w:ascii="Arial" w:hAnsi="Arial" w:cs="Arial"/>
                <w:noProof/>
                <w:lang w:val="en-US"/>
              </w:rPr>
              <w:t>2.4 Synthesis and Industry Prospectus.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_Toc217246319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10</w:t>
            </w:r>
            <w:r w:rsidRPr="002B2DD2">
              <w:rPr>
                <w:rFonts w:ascii="Arial" w:hAnsi="Arial" w:cs="Arial"/>
                <w:noProof/>
                <w:webHidden/>
              </w:rPr>
              <w:fldChar w:fldCharType="end"/>
            </w:r>
          </w:hyperlink>
        </w:p>
        <w:p w14:paraId="05070725" w14:textId="793E84DD" w:rsidR="002B2DD2" w:rsidRPr="002B2DD2" w:rsidRDefault="002B2DD2">
          <w:pPr>
            <w:pStyle w:val="TOC1"/>
            <w:tabs>
              <w:tab w:val="right" w:leader="dot" w:pos="9016"/>
            </w:tabs>
            <w:rPr>
              <w:rFonts w:ascii="Arial" w:eastAsiaTheme="minorEastAsia" w:hAnsi="Arial" w:cs="Arial"/>
              <w:noProof/>
              <w:kern w:val="2"/>
              <w:sz w:val="24"/>
              <w:szCs w:val="24"/>
              <w:lang w:val="en-US"/>
              <w14:ligatures w14:val="standardContextual"/>
            </w:rPr>
          </w:pPr>
          <w:hyperlink w:anchor="_Toc217246320" w:history="1">
            <w:r w:rsidRPr="002B2DD2">
              <w:rPr>
                <w:rStyle w:val="Hyperlink"/>
                <w:rFonts w:ascii="Arial" w:hAnsi="Arial" w:cs="Arial"/>
                <w:noProof/>
              </w:rPr>
              <w:t xml:space="preserve">3. </w:t>
            </w:r>
            <w:r w:rsidRPr="002B2DD2">
              <w:rPr>
                <w:rStyle w:val="Hyperlink"/>
                <w:rFonts w:ascii="Arial" w:hAnsi="Arial" w:cs="Arial"/>
                <w:noProof/>
                <w:lang w:val="en-US"/>
              </w:rPr>
              <w:t>Strategic Financial Restructuring: A "Phoenix" Plan for General Electronics (2025-2030)</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_Toc217246320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11</w:t>
            </w:r>
            <w:r w:rsidRPr="002B2DD2">
              <w:rPr>
                <w:rFonts w:ascii="Arial" w:hAnsi="Arial" w:cs="Arial"/>
                <w:noProof/>
                <w:webHidden/>
              </w:rPr>
              <w:fldChar w:fldCharType="end"/>
            </w:r>
          </w:hyperlink>
        </w:p>
        <w:p w14:paraId="79A9BE26" w14:textId="2A4B26CF"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21" w:history="1">
            <w:r w:rsidRPr="002B2DD2">
              <w:rPr>
                <w:rStyle w:val="Hyperlink"/>
                <w:rFonts w:ascii="Arial" w:hAnsi="Arial" w:cs="Arial"/>
                <w:noProof/>
                <w:lang w:val="en-US"/>
              </w:rPr>
              <w:t>3.1 Recommended Financial Restructuring Alternatives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_Toc217246321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11</w:t>
            </w:r>
            <w:r w:rsidRPr="002B2DD2">
              <w:rPr>
                <w:rFonts w:ascii="Arial" w:hAnsi="Arial" w:cs="Arial"/>
                <w:noProof/>
                <w:webHidden/>
              </w:rPr>
              <w:fldChar w:fldCharType="end"/>
            </w:r>
          </w:hyperlink>
        </w:p>
        <w:p w14:paraId="7FF0C258" w14:textId="057DBD73"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22" w:history="1">
            <w:r w:rsidRPr="002B2DD2">
              <w:rPr>
                <w:rStyle w:val="Hyperlink"/>
                <w:rFonts w:ascii="Arial" w:hAnsi="Arial" w:cs="Arial"/>
                <w:noProof/>
                <w:lang w:val="en-US"/>
              </w:rPr>
              <w:t>3.1.1 Strategic Divestiture: The "Spin-Off" of Legacy Hardware</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_Toc217246322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11</w:t>
            </w:r>
            <w:r w:rsidRPr="002B2DD2">
              <w:rPr>
                <w:rFonts w:ascii="Arial" w:hAnsi="Arial" w:cs="Arial"/>
                <w:noProof/>
                <w:webHidden/>
              </w:rPr>
              <w:fldChar w:fldCharType="end"/>
            </w:r>
          </w:hyperlink>
        </w:p>
        <w:p w14:paraId="525CA4A0" w14:textId="0D0C0ECA"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23" w:history="1">
            <w:r w:rsidRPr="002B2DD2">
              <w:rPr>
                <w:rStyle w:val="Hyperlink"/>
                <w:rFonts w:ascii="Arial" w:hAnsi="Arial" w:cs="Arial"/>
                <w:noProof/>
                <w:lang w:val="en-US"/>
              </w:rPr>
              <w:t>3.1.2 Equity Injection: Reusing Treasury Stock</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_Toc217246323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11</w:t>
            </w:r>
            <w:r w:rsidRPr="002B2DD2">
              <w:rPr>
                <w:rFonts w:ascii="Arial" w:hAnsi="Arial" w:cs="Arial"/>
                <w:noProof/>
                <w:webHidden/>
              </w:rPr>
              <w:fldChar w:fldCharType="end"/>
            </w:r>
          </w:hyperlink>
        </w:p>
        <w:p w14:paraId="4724754D" w14:textId="72A8D11B"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24" w:history="1">
            <w:r w:rsidRPr="002B2DD2">
              <w:rPr>
                <w:rStyle w:val="Hyperlink"/>
                <w:rFonts w:ascii="Arial" w:hAnsi="Arial" w:cs="Arial"/>
                <w:noProof/>
                <w:lang w:val="en-US"/>
              </w:rPr>
              <w:t>3.1.3 Strategic Merger/Alliance for Artificial Intelligence Integration</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_Toc217246324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12</w:t>
            </w:r>
            <w:r w:rsidRPr="002B2DD2">
              <w:rPr>
                <w:rFonts w:ascii="Arial" w:hAnsi="Arial" w:cs="Arial"/>
                <w:noProof/>
                <w:webHidden/>
              </w:rPr>
              <w:fldChar w:fldCharType="end"/>
            </w:r>
          </w:hyperlink>
        </w:p>
        <w:p w14:paraId="5CB4E962" w14:textId="0FA07CAF"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25" w:history="1">
            <w:r w:rsidRPr="002B2DD2">
              <w:rPr>
                <w:rStyle w:val="Hyperlink"/>
                <w:rFonts w:ascii="Arial" w:hAnsi="Arial" w:cs="Arial"/>
                <w:noProof/>
                <w:lang w:val="en-US"/>
              </w:rPr>
              <w:t>3.2 Evaluation of Impact: Value, Debt and Flexibility</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_Toc217246325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12</w:t>
            </w:r>
            <w:r w:rsidRPr="002B2DD2">
              <w:rPr>
                <w:rFonts w:ascii="Arial" w:hAnsi="Arial" w:cs="Arial"/>
                <w:noProof/>
                <w:webHidden/>
              </w:rPr>
              <w:fldChar w:fldCharType="end"/>
            </w:r>
          </w:hyperlink>
        </w:p>
        <w:p w14:paraId="236A2959" w14:textId="06FEF618"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26" w:history="1">
            <w:r w:rsidRPr="002B2DD2">
              <w:rPr>
                <w:rStyle w:val="Hyperlink"/>
                <w:rFonts w:ascii="Arial" w:hAnsi="Arial" w:cs="Arial"/>
                <w:noProof/>
                <w:lang w:val="en-US"/>
              </w:rPr>
              <w:t>3.2.1 Impact on Shareholder Value</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_Toc217246326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12</w:t>
            </w:r>
            <w:r w:rsidRPr="002B2DD2">
              <w:rPr>
                <w:rFonts w:ascii="Arial" w:hAnsi="Arial" w:cs="Arial"/>
                <w:noProof/>
                <w:webHidden/>
              </w:rPr>
              <w:fldChar w:fldCharType="end"/>
            </w:r>
          </w:hyperlink>
        </w:p>
        <w:p w14:paraId="3AC0FF84" w14:textId="1D23C836"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27" w:history="1">
            <w:r w:rsidRPr="002B2DD2">
              <w:rPr>
                <w:rStyle w:val="Hyperlink"/>
                <w:rFonts w:ascii="Arial" w:hAnsi="Arial" w:cs="Arial"/>
                <w:noProof/>
                <w:lang w:val="en-US"/>
              </w:rPr>
              <w:t>3.2.2 Impact on Debt Structure</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_Toc217246327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13</w:t>
            </w:r>
            <w:r w:rsidRPr="002B2DD2">
              <w:rPr>
                <w:rFonts w:ascii="Arial" w:hAnsi="Arial" w:cs="Arial"/>
                <w:noProof/>
                <w:webHidden/>
              </w:rPr>
              <w:fldChar w:fldCharType="end"/>
            </w:r>
          </w:hyperlink>
        </w:p>
        <w:p w14:paraId="19175009" w14:textId="0ECD4B5F"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28" w:history="1">
            <w:r w:rsidRPr="002B2DD2">
              <w:rPr>
                <w:rStyle w:val="Hyperlink"/>
                <w:rFonts w:ascii="Arial" w:hAnsi="Arial" w:cs="Arial"/>
                <w:noProof/>
                <w:lang w:val="en-US"/>
              </w:rPr>
              <w:t>3.2.3 Effects on Operational Flexibility</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_Toc217246328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13</w:t>
            </w:r>
            <w:r w:rsidRPr="002B2DD2">
              <w:rPr>
                <w:rFonts w:ascii="Arial" w:hAnsi="Arial" w:cs="Arial"/>
                <w:noProof/>
                <w:webHidden/>
              </w:rPr>
              <w:fldChar w:fldCharType="end"/>
            </w:r>
          </w:hyperlink>
        </w:p>
        <w:p w14:paraId="2E661E05" w14:textId="1A5A6230"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29" w:history="1">
            <w:r w:rsidRPr="002B2DD2">
              <w:rPr>
                <w:rStyle w:val="Hyperlink"/>
                <w:rFonts w:ascii="Arial" w:hAnsi="Arial" w:cs="Arial"/>
                <w:noProof/>
                <w:lang w:val="en-US"/>
              </w:rPr>
              <w:t>3.3 International and Ethical Issues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_Toc217246329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13</w:t>
            </w:r>
            <w:r w:rsidRPr="002B2DD2">
              <w:rPr>
                <w:rFonts w:ascii="Arial" w:hAnsi="Arial" w:cs="Arial"/>
                <w:noProof/>
                <w:webHidden/>
              </w:rPr>
              <w:fldChar w:fldCharType="end"/>
            </w:r>
          </w:hyperlink>
        </w:p>
        <w:p w14:paraId="1E9A7ADD" w14:textId="6EBAE6DE"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30" w:history="1">
            <w:r w:rsidRPr="002B2DD2">
              <w:rPr>
                <w:rStyle w:val="Hyperlink"/>
                <w:rFonts w:ascii="Arial" w:hAnsi="Arial" w:cs="Arial"/>
                <w:noProof/>
                <w:lang w:val="en-US"/>
              </w:rPr>
              <w:t>3.3.1 International taxation and Transfer Pricing</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_Toc217246330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13</w:t>
            </w:r>
            <w:r w:rsidRPr="002B2DD2">
              <w:rPr>
                <w:rFonts w:ascii="Arial" w:hAnsi="Arial" w:cs="Arial"/>
                <w:noProof/>
                <w:webHidden/>
              </w:rPr>
              <w:fldChar w:fldCharType="end"/>
            </w:r>
          </w:hyperlink>
        </w:p>
        <w:p w14:paraId="276829FB" w14:textId="5CA9E915"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31" w:history="1">
            <w:r w:rsidRPr="002B2DD2">
              <w:rPr>
                <w:rStyle w:val="Hyperlink"/>
                <w:rFonts w:ascii="Arial" w:hAnsi="Arial" w:cs="Arial"/>
                <w:noProof/>
                <w:lang w:val="en-US"/>
              </w:rPr>
              <w:t>3.3.2 Currency Risk and Inflation</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_Toc217246331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14</w:t>
            </w:r>
            <w:r w:rsidRPr="002B2DD2">
              <w:rPr>
                <w:rFonts w:ascii="Arial" w:hAnsi="Arial" w:cs="Arial"/>
                <w:noProof/>
                <w:webHidden/>
              </w:rPr>
              <w:fldChar w:fldCharType="end"/>
            </w:r>
          </w:hyperlink>
        </w:p>
        <w:p w14:paraId="621F56C7" w14:textId="5C405E38"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32" w:history="1">
            <w:r w:rsidRPr="002B2DD2">
              <w:rPr>
                <w:rStyle w:val="Hyperlink"/>
                <w:rFonts w:ascii="Arial" w:hAnsi="Arial" w:cs="Arial"/>
                <w:noProof/>
                <w:lang w:val="en-US"/>
              </w:rPr>
              <w:t>3.3.3 Ethical Issues and CSR</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_Toc217246332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14</w:t>
            </w:r>
            <w:r w:rsidRPr="002B2DD2">
              <w:rPr>
                <w:rFonts w:ascii="Arial" w:hAnsi="Arial" w:cs="Arial"/>
                <w:noProof/>
                <w:webHidden/>
              </w:rPr>
              <w:fldChar w:fldCharType="end"/>
            </w:r>
          </w:hyperlink>
        </w:p>
        <w:p w14:paraId="6750ECE7" w14:textId="2E3CF8C4"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33" w:history="1">
            <w:r w:rsidRPr="002B2DD2">
              <w:rPr>
                <w:rStyle w:val="Hyperlink"/>
                <w:rFonts w:ascii="Arial" w:hAnsi="Arial" w:cs="Arial"/>
                <w:noProof/>
                <w:lang w:val="en-US"/>
              </w:rPr>
              <w:t>3.4 Production: The Remodelled Future</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_Toc217246333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15</w:t>
            </w:r>
            <w:r w:rsidRPr="002B2DD2">
              <w:rPr>
                <w:rFonts w:ascii="Arial" w:hAnsi="Arial" w:cs="Arial"/>
                <w:noProof/>
                <w:webHidden/>
              </w:rPr>
              <w:fldChar w:fldCharType="end"/>
            </w:r>
          </w:hyperlink>
        </w:p>
        <w:p w14:paraId="269D473D" w14:textId="14CC7BF3" w:rsidR="002B2DD2" w:rsidRPr="002B2DD2" w:rsidRDefault="002B2DD2">
          <w:pPr>
            <w:pStyle w:val="TOC1"/>
            <w:tabs>
              <w:tab w:val="right" w:leader="dot" w:pos="9016"/>
            </w:tabs>
            <w:rPr>
              <w:rFonts w:ascii="Arial" w:eastAsiaTheme="minorEastAsia" w:hAnsi="Arial" w:cs="Arial"/>
              <w:noProof/>
              <w:kern w:val="2"/>
              <w:sz w:val="24"/>
              <w:szCs w:val="24"/>
              <w:lang w:val="en-US"/>
              <w14:ligatures w14:val="standardContextual"/>
            </w:rPr>
          </w:pPr>
          <w:hyperlink w:anchor="_Toc217246334" w:history="1">
            <w:r w:rsidRPr="002B2DD2">
              <w:rPr>
                <w:rStyle w:val="Hyperlink"/>
                <w:rFonts w:ascii="Arial" w:hAnsi="Arial" w:cs="Arial"/>
                <w:noProof/>
              </w:rPr>
              <w:t xml:space="preserve">4. </w:t>
            </w:r>
            <w:r w:rsidRPr="002B2DD2">
              <w:rPr>
                <w:rStyle w:val="Hyperlink"/>
                <w:rFonts w:ascii="Arial" w:hAnsi="Arial" w:cs="Arial"/>
                <w:noProof/>
                <w:lang w:val="en-US"/>
              </w:rPr>
              <w:t>Value Creation Under Constraint: Investment Appraisal and Capital Budgeting of General Electronics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_Toc217246334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15</w:t>
            </w:r>
            <w:r w:rsidRPr="002B2DD2">
              <w:rPr>
                <w:rFonts w:ascii="Arial" w:hAnsi="Arial" w:cs="Arial"/>
                <w:noProof/>
                <w:webHidden/>
              </w:rPr>
              <w:fldChar w:fldCharType="end"/>
            </w:r>
          </w:hyperlink>
        </w:p>
        <w:p w14:paraId="7AC2C985" w14:textId="588DC40F"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35" w:history="1">
            <w:r w:rsidRPr="002B2DD2">
              <w:rPr>
                <w:rStyle w:val="Hyperlink"/>
                <w:rFonts w:ascii="Arial" w:hAnsi="Arial" w:cs="Arial"/>
                <w:noProof/>
                <w:lang w:val="en-US"/>
              </w:rPr>
              <w:t>4.1 Investment Appraisal Simple Table</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_Toc217246335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16</w:t>
            </w:r>
            <w:r w:rsidRPr="002B2DD2">
              <w:rPr>
                <w:rFonts w:ascii="Arial" w:hAnsi="Arial" w:cs="Arial"/>
                <w:noProof/>
                <w:webHidden/>
              </w:rPr>
              <w:fldChar w:fldCharType="end"/>
            </w:r>
          </w:hyperlink>
        </w:p>
        <w:p w14:paraId="1DB9F5C5" w14:textId="19F6A570"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36" w:history="1">
            <w:r w:rsidRPr="002B2DD2">
              <w:rPr>
                <w:rStyle w:val="Hyperlink"/>
                <w:rFonts w:ascii="Arial" w:hAnsi="Arial" w:cs="Arial"/>
                <w:noProof/>
                <w:lang w:val="en-US"/>
              </w:rPr>
              <w:t>4.2 Critical Appraisal Methodology</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_Toc217246336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17</w:t>
            </w:r>
            <w:r w:rsidRPr="002B2DD2">
              <w:rPr>
                <w:rFonts w:ascii="Arial" w:hAnsi="Arial" w:cs="Arial"/>
                <w:noProof/>
                <w:webHidden/>
              </w:rPr>
              <w:fldChar w:fldCharType="end"/>
            </w:r>
          </w:hyperlink>
        </w:p>
        <w:p w14:paraId="02164330" w14:textId="6BE027F6"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37" w:history="1">
            <w:r w:rsidRPr="002B2DD2">
              <w:rPr>
                <w:rStyle w:val="Hyperlink"/>
                <w:rFonts w:ascii="Arial" w:hAnsi="Arial" w:cs="Arial"/>
                <w:noProof/>
                <w:lang w:val="en-US"/>
              </w:rPr>
              <w:t>4.2.1 Non-Discount Techniques: PBP and ARR</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_Toc217246337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17</w:t>
            </w:r>
            <w:r w:rsidRPr="002B2DD2">
              <w:rPr>
                <w:rFonts w:ascii="Arial" w:hAnsi="Arial" w:cs="Arial"/>
                <w:noProof/>
                <w:webHidden/>
              </w:rPr>
              <w:fldChar w:fldCharType="end"/>
            </w:r>
          </w:hyperlink>
        </w:p>
        <w:p w14:paraId="2B1C39E4" w14:textId="28510365"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38" w:history="1">
            <w:r w:rsidRPr="002B2DD2">
              <w:rPr>
                <w:rStyle w:val="Hyperlink"/>
                <w:rFonts w:ascii="Arial" w:hAnsi="Arial" w:cs="Arial"/>
                <w:noProof/>
                <w:lang w:val="en-US"/>
              </w:rPr>
              <w:t>4.2.2 Discounted Techniques: NPV, PI, and IRR</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_Toc217246338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18</w:t>
            </w:r>
            <w:r w:rsidRPr="002B2DD2">
              <w:rPr>
                <w:rFonts w:ascii="Arial" w:hAnsi="Arial" w:cs="Arial"/>
                <w:noProof/>
                <w:webHidden/>
              </w:rPr>
              <w:fldChar w:fldCharType="end"/>
            </w:r>
          </w:hyperlink>
        </w:p>
        <w:p w14:paraId="74E5B52C" w14:textId="4EF380AC"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39" w:history="1">
            <w:r w:rsidRPr="002B2DD2">
              <w:rPr>
                <w:rStyle w:val="Hyperlink"/>
                <w:rFonts w:ascii="Arial" w:hAnsi="Arial" w:cs="Arial"/>
                <w:noProof/>
                <w:lang w:val="en-US"/>
              </w:rPr>
              <w:t>4.3 Relative Analysis and Risk Evaluation</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_Toc217246339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20</w:t>
            </w:r>
            <w:r w:rsidRPr="002B2DD2">
              <w:rPr>
                <w:rFonts w:ascii="Arial" w:hAnsi="Arial" w:cs="Arial"/>
                <w:noProof/>
                <w:webHidden/>
              </w:rPr>
              <w:fldChar w:fldCharType="end"/>
            </w:r>
          </w:hyperlink>
        </w:p>
        <w:p w14:paraId="2B64458F" w14:textId="793FE2EA"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40" w:history="1">
            <w:r w:rsidRPr="002B2DD2">
              <w:rPr>
                <w:rStyle w:val="Hyperlink"/>
                <w:rFonts w:ascii="Arial" w:hAnsi="Arial" w:cs="Arial"/>
                <w:noProof/>
                <w:lang w:val="en-US"/>
              </w:rPr>
              <w:t>4.3.1 Project B: The Immediate Rejection</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_Toc217246340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20</w:t>
            </w:r>
            <w:r w:rsidRPr="002B2DD2">
              <w:rPr>
                <w:rFonts w:ascii="Arial" w:hAnsi="Arial" w:cs="Arial"/>
                <w:noProof/>
                <w:webHidden/>
              </w:rPr>
              <w:fldChar w:fldCharType="end"/>
            </w:r>
          </w:hyperlink>
        </w:p>
        <w:p w14:paraId="40CD3A11" w14:textId="152575A2" w:rsidR="002B2DD2" w:rsidRPr="002B2DD2" w:rsidRDefault="002B2DD2">
          <w:pPr>
            <w:pStyle w:val="TOC3"/>
            <w:tabs>
              <w:tab w:val="right" w:leader="dot" w:pos="9016"/>
            </w:tabs>
            <w:rPr>
              <w:rFonts w:ascii="Arial" w:eastAsiaTheme="minorEastAsia" w:hAnsi="Arial" w:cs="Arial"/>
              <w:noProof/>
              <w:kern w:val="2"/>
              <w:sz w:val="24"/>
              <w:szCs w:val="24"/>
              <w:lang w:val="en-US"/>
              <w14:ligatures w14:val="standardContextual"/>
            </w:rPr>
          </w:pPr>
          <w:hyperlink w:anchor="_Toc217246341" w:history="1">
            <w:r w:rsidRPr="002B2DD2">
              <w:rPr>
                <w:rStyle w:val="Hyperlink"/>
                <w:rFonts w:ascii="Arial" w:hAnsi="Arial" w:cs="Arial"/>
                <w:noProof/>
                <w:lang w:val="en-US"/>
              </w:rPr>
              <w:t>4.3.2 Project A and Project C: The Turnaround Dilemma</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_Toc217246341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20</w:t>
            </w:r>
            <w:r w:rsidRPr="002B2DD2">
              <w:rPr>
                <w:rFonts w:ascii="Arial" w:hAnsi="Arial" w:cs="Arial"/>
                <w:noProof/>
                <w:webHidden/>
              </w:rPr>
              <w:fldChar w:fldCharType="end"/>
            </w:r>
          </w:hyperlink>
        </w:p>
        <w:p w14:paraId="1C398415" w14:textId="00180695"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42" w:history="1">
            <w:r w:rsidRPr="002B2DD2">
              <w:rPr>
                <w:rStyle w:val="Hyperlink"/>
                <w:rFonts w:ascii="Arial" w:hAnsi="Arial" w:cs="Arial"/>
                <w:noProof/>
                <w:lang w:val="en-US"/>
              </w:rPr>
              <w:t>4.4 Capital Rationing and Final Recommendation</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_Toc217246342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21</w:t>
            </w:r>
            <w:r w:rsidRPr="002B2DD2">
              <w:rPr>
                <w:rFonts w:ascii="Arial" w:hAnsi="Arial" w:cs="Arial"/>
                <w:noProof/>
                <w:webHidden/>
              </w:rPr>
              <w:fldChar w:fldCharType="end"/>
            </w:r>
          </w:hyperlink>
        </w:p>
        <w:p w14:paraId="658CCE4D" w14:textId="71E1FC1C"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43" w:history="1">
            <w:r w:rsidRPr="002B2DD2">
              <w:rPr>
                <w:rStyle w:val="Hyperlink"/>
                <w:rFonts w:ascii="Arial" w:hAnsi="Arial" w:cs="Arial"/>
                <w:noProof/>
                <w:lang w:val="en-US"/>
              </w:rPr>
              <w:t>4.5 Decision Summary</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_Toc217246343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21</w:t>
            </w:r>
            <w:r w:rsidRPr="002B2DD2">
              <w:rPr>
                <w:rFonts w:ascii="Arial" w:hAnsi="Arial" w:cs="Arial"/>
                <w:noProof/>
                <w:webHidden/>
              </w:rPr>
              <w:fldChar w:fldCharType="end"/>
            </w:r>
          </w:hyperlink>
        </w:p>
        <w:p w14:paraId="65D35469" w14:textId="42BFE084" w:rsidR="002B2DD2" w:rsidRPr="002B2DD2" w:rsidRDefault="002B2DD2">
          <w:pPr>
            <w:pStyle w:val="TOC1"/>
            <w:tabs>
              <w:tab w:val="right" w:leader="dot" w:pos="9016"/>
            </w:tabs>
            <w:rPr>
              <w:rFonts w:ascii="Arial" w:eastAsiaTheme="minorEastAsia" w:hAnsi="Arial" w:cs="Arial"/>
              <w:noProof/>
              <w:kern w:val="2"/>
              <w:sz w:val="24"/>
              <w:szCs w:val="24"/>
              <w:lang w:val="en-US"/>
              <w14:ligatures w14:val="standardContextual"/>
            </w:rPr>
          </w:pPr>
          <w:hyperlink w:anchor="_Toc217246344" w:history="1">
            <w:r w:rsidRPr="002B2DD2">
              <w:rPr>
                <w:rStyle w:val="Hyperlink"/>
                <w:rFonts w:ascii="Arial" w:hAnsi="Arial" w:cs="Arial"/>
                <w:noProof/>
              </w:rPr>
              <w:t>Conclusion</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_Toc217246344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23</w:t>
            </w:r>
            <w:r w:rsidRPr="002B2DD2">
              <w:rPr>
                <w:rFonts w:ascii="Arial" w:hAnsi="Arial" w:cs="Arial"/>
                <w:noProof/>
                <w:webHidden/>
              </w:rPr>
              <w:fldChar w:fldCharType="end"/>
            </w:r>
          </w:hyperlink>
        </w:p>
        <w:p w14:paraId="775A2452" w14:textId="0003AE23" w:rsidR="002B2DD2" w:rsidRPr="002B2DD2" w:rsidRDefault="002B2DD2">
          <w:pPr>
            <w:pStyle w:val="TOC1"/>
            <w:tabs>
              <w:tab w:val="right" w:leader="dot" w:pos="9016"/>
            </w:tabs>
            <w:rPr>
              <w:rFonts w:ascii="Arial" w:eastAsiaTheme="minorEastAsia" w:hAnsi="Arial" w:cs="Arial"/>
              <w:noProof/>
              <w:kern w:val="2"/>
              <w:sz w:val="24"/>
              <w:szCs w:val="24"/>
              <w:lang w:val="en-US"/>
              <w14:ligatures w14:val="standardContextual"/>
            </w:rPr>
          </w:pPr>
          <w:hyperlink w:anchor="_Toc217246345" w:history="1">
            <w:r w:rsidRPr="002B2DD2">
              <w:rPr>
                <w:rStyle w:val="Hyperlink"/>
                <w:rFonts w:ascii="Arial" w:hAnsi="Arial" w:cs="Arial"/>
                <w:noProof/>
              </w:rPr>
              <w:t>Reference</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_Toc217246345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24</w:t>
            </w:r>
            <w:r w:rsidRPr="002B2DD2">
              <w:rPr>
                <w:rFonts w:ascii="Arial" w:hAnsi="Arial" w:cs="Arial"/>
                <w:noProof/>
                <w:webHidden/>
              </w:rPr>
              <w:fldChar w:fldCharType="end"/>
            </w:r>
          </w:hyperlink>
        </w:p>
        <w:p w14:paraId="5830585F" w14:textId="259F9FD5" w:rsidR="002B2DD2" w:rsidRPr="002B2DD2" w:rsidRDefault="002B2DD2">
          <w:pPr>
            <w:pStyle w:val="TOC1"/>
            <w:tabs>
              <w:tab w:val="right" w:leader="dot" w:pos="9016"/>
            </w:tabs>
            <w:rPr>
              <w:rFonts w:ascii="Arial" w:eastAsiaTheme="minorEastAsia" w:hAnsi="Arial" w:cs="Arial"/>
              <w:noProof/>
              <w:kern w:val="2"/>
              <w:sz w:val="24"/>
              <w:szCs w:val="24"/>
              <w:lang w:val="en-US"/>
              <w14:ligatures w14:val="standardContextual"/>
            </w:rPr>
          </w:pPr>
          <w:hyperlink w:anchor="_Toc217246346" w:history="1">
            <w:r w:rsidRPr="002B2DD2">
              <w:rPr>
                <w:rStyle w:val="Hyperlink"/>
                <w:rFonts w:ascii="Arial" w:hAnsi="Arial" w:cs="Arial"/>
                <w:noProof/>
                <w:lang w:val="en-US"/>
              </w:rPr>
              <w:t>Appendices: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_Toc217246346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28</w:t>
            </w:r>
            <w:r w:rsidRPr="002B2DD2">
              <w:rPr>
                <w:rFonts w:ascii="Arial" w:hAnsi="Arial" w:cs="Arial"/>
                <w:noProof/>
                <w:webHidden/>
              </w:rPr>
              <w:fldChar w:fldCharType="end"/>
            </w:r>
          </w:hyperlink>
        </w:p>
        <w:p w14:paraId="51BB14A5" w14:textId="1F1EDE31"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47" w:history="1">
            <w:r w:rsidRPr="002B2DD2">
              <w:rPr>
                <w:rStyle w:val="Hyperlink"/>
                <w:rFonts w:ascii="Arial" w:hAnsi="Arial" w:cs="Arial"/>
                <w:noProof/>
              </w:rPr>
              <w:t>Appendix A: Financial Ratio Tables:</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_Toc217246347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28</w:t>
            </w:r>
            <w:r w:rsidRPr="002B2DD2">
              <w:rPr>
                <w:rFonts w:ascii="Arial" w:hAnsi="Arial" w:cs="Arial"/>
                <w:noProof/>
                <w:webHidden/>
              </w:rPr>
              <w:fldChar w:fldCharType="end"/>
            </w:r>
          </w:hyperlink>
        </w:p>
        <w:p w14:paraId="1113D982" w14:textId="49096119" w:rsidR="002B2DD2" w:rsidRPr="002B2DD2" w:rsidRDefault="002B2DD2">
          <w:pPr>
            <w:pStyle w:val="TOC2"/>
            <w:tabs>
              <w:tab w:val="right" w:leader="dot" w:pos="9016"/>
            </w:tabs>
            <w:rPr>
              <w:rFonts w:ascii="Arial" w:eastAsiaTheme="minorEastAsia" w:hAnsi="Arial" w:cs="Arial"/>
              <w:noProof/>
              <w:kern w:val="2"/>
              <w:sz w:val="24"/>
              <w:szCs w:val="24"/>
              <w:lang w:val="en-US"/>
              <w14:ligatures w14:val="standardContextual"/>
            </w:rPr>
          </w:pPr>
          <w:hyperlink w:anchor="_Toc217246348" w:history="1">
            <w:r w:rsidRPr="002B2DD2">
              <w:rPr>
                <w:rStyle w:val="Hyperlink"/>
                <w:rFonts w:ascii="Arial" w:hAnsi="Arial" w:cs="Arial"/>
                <w:noProof/>
                <w:lang w:val="en-US"/>
              </w:rPr>
              <w:t>Appendix B: Investment Appraisal</w:t>
            </w:r>
            <w:r w:rsidRPr="002B2DD2">
              <w:rPr>
                <w:rFonts w:ascii="Arial" w:hAnsi="Arial" w:cs="Arial"/>
                <w:noProof/>
                <w:webHidden/>
              </w:rPr>
              <w:tab/>
            </w:r>
            <w:r w:rsidRPr="002B2DD2">
              <w:rPr>
                <w:rFonts w:ascii="Arial" w:hAnsi="Arial" w:cs="Arial"/>
                <w:noProof/>
                <w:webHidden/>
              </w:rPr>
              <w:fldChar w:fldCharType="begin"/>
            </w:r>
            <w:r w:rsidRPr="002B2DD2">
              <w:rPr>
                <w:rFonts w:ascii="Arial" w:hAnsi="Arial" w:cs="Arial"/>
                <w:noProof/>
                <w:webHidden/>
              </w:rPr>
              <w:instrText xml:space="preserve"> PAGEREF _Toc217246348 \h </w:instrText>
            </w:r>
            <w:r w:rsidRPr="002B2DD2">
              <w:rPr>
                <w:rFonts w:ascii="Arial" w:hAnsi="Arial" w:cs="Arial"/>
                <w:noProof/>
                <w:webHidden/>
              </w:rPr>
            </w:r>
            <w:r w:rsidRPr="002B2DD2">
              <w:rPr>
                <w:rFonts w:ascii="Arial" w:hAnsi="Arial" w:cs="Arial"/>
                <w:noProof/>
                <w:webHidden/>
              </w:rPr>
              <w:fldChar w:fldCharType="separate"/>
            </w:r>
            <w:r w:rsidRPr="002B2DD2">
              <w:rPr>
                <w:rFonts w:ascii="Arial" w:hAnsi="Arial" w:cs="Arial"/>
                <w:noProof/>
                <w:webHidden/>
              </w:rPr>
              <w:t>31</w:t>
            </w:r>
            <w:r w:rsidRPr="002B2DD2">
              <w:rPr>
                <w:rFonts w:ascii="Arial" w:hAnsi="Arial" w:cs="Arial"/>
                <w:noProof/>
                <w:webHidden/>
              </w:rPr>
              <w:fldChar w:fldCharType="end"/>
            </w:r>
          </w:hyperlink>
        </w:p>
        <w:p w14:paraId="70720B28" w14:textId="418C025B" w:rsidR="003F4E8F" w:rsidRPr="00122BCF" w:rsidRDefault="003F4E8F" w:rsidP="003F4E8F">
          <w:pPr>
            <w:spacing w:line="360" w:lineRule="auto"/>
            <w:rPr>
              <w:rFonts w:ascii="Arial" w:hAnsi="Arial" w:cs="Arial"/>
            </w:rPr>
          </w:pPr>
          <w:r w:rsidRPr="002B2DD2">
            <w:rPr>
              <w:rFonts w:ascii="Arial" w:hAnsi="Arial" w:cs="Arial"/>
              <w:b/>
              <w:bCs/>
              <w:noProof/>
            </w:rPr>
            <w:fldChar w:fldCharType="end"/>
          </w:r>
        </w:p>
      </w:sdtContent>
    </w:sdt>
    <w:p w14:paraId="4A51403F" w14:textId="77777777" w:rsidR="003F4E8F" w:rsidRPr="00122BCF" w:rsidRDefault="003F4E8F" w:rsidP="003F4E8F">
      <w:pPr>
        <w:spacing w:line="360" w:lineRule="auto"/>
        <w:jc w:val="center"/>
        <w:rPr>
          <w:rFonts w:ascii="Arial" w:hAnsi="Arial" w:cs="Arial"/>
          <w:b/>
          <w:bCs/>
          <w:sz w:val="24"/>
          <w:szCs w:val="24"/>
          <w:u w:val="single"/>
        </w:rPr>
      </w:pPr>
    </w:p>
    <w:p w14:paraId="2A1AA028" w14:textId="77777777" w:rsidR="003F4E8F" w:rsidRPr="00122BCF" w:rsidRDefault="003F4E8F" w:rsidP="003F4E8F">
      <w:pPr>
        <w:spacing w:line="360" w:lineRule="auto"/>
        <w:jc w:val="center"/>
        <w:rPr>
          <w:rFonts w:ascii="Arial" w:hAnsi="Arial" w:cs="Arial"/>
          <w:b/>
          <w:bCs/>
          <w:sz w:val="24"/>
          <w:szCs w:val="24"/>
          <w:u w:val="single"/>
        </w:rPr>
      </w:pPr>
      <w:r w:rsidRPr="00122BCF">
        <w:rPr>
          <w:rFonts w:ascii="Arial" w:hAnsi="Arial" w:cs="Arial"/>
          <w:b/>
          <w:bCs/>
          <w:sz w:val="24"/>
          <w:szCs w:val="24"/>
          <w:u w:val="single"/>
        </w:rPr>
        <w:t>Contents of Table</w:t>
      </w:r>
    </w:p>
    <w:p w14:paraId="61C93D01" w14:textId="7A071ECE" w:rsidR="00122BCF" w:rsidRPr="00122BCF" w:rsidRDefault="003F4E8F">
      <w:pPr>
        <w:pStyle w:val="TableofFigures"/>
        <w:tabs>
          <w:tab w:val="right" w:leader="dot" w:pos="9016"/>
        </w:tabs>
        <w:rPr>
          <w:rFonts w:ascii="Arial" w:eastAsiaTheme="minorEastAsia" w:hAnsi="Arial" w:cs="Arial"/>
          <w:noProof/>
          <w:kern w:val="2"/>
          <w:sz w:val="24"/>
          <w:szCs w:val="24"/>
          <w:lang w:val="en-US"/>
          <w14:ligatures w14:val="standardContextual"/>
        </w:rPr>
      </w:pPr>
      <w:r w:rsidRPr="00122BCF">
        <w:rPr>
          <w:rFonts w:ascii="Arial" w:hAnsi="Arial" w:cs="Arial"/>
          <w:b/>
          <w:bCs/>
          <w:sz w:val="24"/>
          <w:szCs w:val="24"/>
          <w:u w:val="single"/>
        </w:rPr>
        <w:fldChar w:fldCharType="begin"/>
      </w:r>
      <w:r w:rsidRPr="00122BCF">
        <w:rPr>
          <w:rFonts w:ascii="Arial" w:hAnsi="Arial" w:cs="Arial"/>
          <w:b/>
          <w:bCs/>
          <w:sz w:val="24"/>
          <w:szCs w:val="24"/>
          <w:u w:val="single"/>
        </w:rPr>
        <w:instrText xml:space="preserve"> TOC \h \z \c "Table" </w:instrText>
      </w:r>
      <w:r w:rsidRPr="00122BCF">
        <w:rPr>
          <w:rFonts w:ascii="Arial" w:hAnsi="Arial" w:cs="Arial"/>
          <w:b/>
          <w:bCs/>
          <w:sz w:val="24"/>
          <w:szCs w:val="24"/>
          <w:u w:val="single"/>
        </w:rPr>
        <w:fldChar w:fldCharType="separate"/>
      </w:r>
      <w:hyperlink w:anchor="_Toc217221012" w:history="1">
        <w:r w:rsidR="00122BCF" w:rsidRPr="00122BCF">
          <w:rPr>
            <w:rStyle w:val="Hyperlink"/>
            <w:rFonts w:ascii="Arial" w:hAnsi="Arial" w:cs="Arial"/>
            <w:noProof/>
          </w:rPr>
          <w:t>Table 1:Five-Year Consolidated Financial Summary (£m)</w:t>
        </w:r>
        <w:r w:rsidR="00122BCF" w:rsidRPr="00122BCF">
          <w:rPr>
            <w:rFonts w:ascii="Arial" w:hAnsi="Arial" w:cs="Arial"/>
            <w:noProof/>
            <w:webHidden/>
          </w:rPr>
          <w:tab/>
        </w:r>
        <w:r w:rsidR="00122BCF" w:rsidRPr="00122BCF">
          <w:rPr>
            <w:rFonts w:ascii="Arial" w:hAnsi="Arial" w:cs="Arial"/>
            <w:noProof/>
            <w:webHidden/>
          </w:rPr>
          <w:fldChar w:fldCharType="begin"/>
        </w:r>
        <w:r w:rsidR="00122BCF" w:rsidRPr="00122BCF">
          <w:rPr>
            <w:rFonts w:ascii="Arial" w:hAnsi="Arial" w:cs="Arial"/>
            <w:noProof/>
            <w:webHidden/>
          </w:rPr>
          <w:instrText xml:space="preserve"> PAGEREF _Toc217221012 \h </w:instrText>
        </w:r>
        <w:r w:rsidR="00122BCF" w:rsidRPr="00122BCF">
          <w:rPr>
            <w:rFonts w:ascii="Arial" w:hAnsi="Arial" w:cs="Arial"/>
            <w:noProof/>
            <w:webHidden/>
          </w:rPr>
        </w:r>
        <w:r w:rsidR="00122BCF" w:rsidRPr="00122BCF">
          <w:rPr>
            <w:rFonts w:ascii="Arial" w:hAnsi="Arial" w:cs="Arial"/>
            <w:noProof/>
            <w:webHidden/>
          </w:rPr>
          <w:fldChar w:fldCharType="separate"/>
        </w:r>
        <w:r w:rsidR="00B25E18">
          <w:rPr>
            <w:rFonts w:ascii="Arial" w:hAnsi="Arial" w:cs="Arial"/>
            <w:noProof/>
            <w:webHidden/>
          </w:rPr>
          <w:t>2</w:t>
        </w:r>
        <w:r w:rsidR="00122BCF" w:rsidRPr="00122BCF">
          <w:rPr>
            <w:rFonts w:ascii="Arial" w:hAnsi="Arial" w:cs="Arial"/>
            <w:noProof/>
            <w:webHidden/>
          </w:rPr>
          <w:fldChar w:fldCharType="end"/>
        </w:r>
      </w:hyperlink>
    </w:p>
    <w:p w14:paraId="00363725" w14:textId="5171C728" w:rsidR="00122BCF" w:rsidRPr="00122BCF" w:rsidRDefault="00122BC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221013" w:history="1">
        <w:r w:rsidRPr="00122BCF">
          <w:rPr>
            <w:rStyle w:val="Hyperlink"/>
            <w:rFonts w:ascii="Arial" w:hAnsi="Arial" w:cs="Arial"/>
            <w:noProof/>
          </w:rPr>
          <w:t>Table 2: Key Financial Ratios (2020–2024)</w:t>
        </w:r>
        <w:r w:rsidRPr="00122BCF">
          <w:rPr>
            <w:rFonts w:ascii="Arial" w:hAnsi="Arial" w:cs="Arial"/>
            <w:noProof/>
            <w:webHidden/>
          </w:rPr>
          <w:tab/>
        </w:r>
        <w:r w:rsidRPr="00122BCF">
          <w:rPr>
            <w:rFonts w:ascii="Arial" w:hAnsi="Arial" w:cs="Arial"/>
            <w:noProof/>
            <w:webHidden/>
          </w:rPr>
          <w:fldChar w:fldCharType="begin"/>
        </w:r>
        <w:r w:rsidRPr="00122BCF">
          <w:rPr>
            <w:rFonts w:ascii="Arial" w:hAnsi="Arial" w:cs="Arial"/>
            <w:noProof/>
            <w:webHidden/>
          </w:rPr>
          <w:instrText xml:space="preserve"> PAGEREF _Toc217221013 \h </w:instrText>
        </w:r>
        <w:r w:rsidRPr="00122BCF">
          <w:rPr>
            <w:rFonts w:ascii="Arial" w:hAnsi="Arial" w:cs="Arial"/>
            <w:noProof/>
            <w:webHidden/>
          </w:rPr>
        </w:r>
        <w:r w:rsidRPr="00122BCF">
          <w:rPr>
            <w:rFonts w:ascii="Arial" w:hAnsi="Arial" w:cs="Arial"/>
            <w:noProof/>
            <w:webHidden/>
          </w:rPr>
          <w:fldChar w:fldCharType="separate"/>
        </w:r>
        <w:r w:rsidR="00B25E18">
          <w:rPr>
            <w:rFonts w:ascii="Arial" w:hAnsi="Arial" w:cs="Arial"/>
            <w:noProof/>
            <w:webHidden/>
          </w:rPr>
          <w:t>3</w:t>
        </w:r>
        <w:r w:rsidRPr="00122BCF">
          <w:rPr>
            <w:rFonts w:ascii="Arial" w:hAnsi="Arial" w:cs="Arial"/>
            <w:noProof/>
            <w:webHidden/>
          </w:rPr>
          <w:fldChar w:fldCharType="end"/>
        </w:r>
      </w:hyperlink>
    </w:p>
    <w:p w14:paraId="3AEE2982" w14:textId="186095DC" w:rsidR="00122BCF" w:rsidRPr="00122BCF" w:rsidRDefault="00122BC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221014" w:history="1">
        <w:r w:rsidRPr="00122BCF">
          <w:rPr>
            <w:rStyle w:val="Hyperlink"/>
            <w:rFonts w:ascii="Arial" w:hAnsi="Arial" w:cs="Arial"/>
            <w:noProof/>
          </w:rPr>
          <w:t>Table 3: Cash Conversion Cycle Metrics</w:t>
        </w:r>
        <w:r w:rsidRPr="00122BCF">
          <w:rPr>
            <w:rFonts w:ascii="Arial" w:hAnsi="Arial" w:cs="Arial"/>
            <w:noProof/>
            <w:webHidden/>
          </w:rPr>
          <w:tab/>
        </w:r>
        <w:r w:rsidRPr="00122BCF">
          <w:rPr>
            <w:rFonts w:ascii="Arial" w:hAnsi="Arial" w:cs="Arial"/>
            <w:noProof/>
            <w:webHidden/>
          </w:rPr>
          <w:fldChar w:fldCharType="begin"/>
        </w:r>
        <w:r w:rsidRPr="00122BCF">
          <w:rPr>
            <w:rFonts w:ascii="Arial" w:hAnsi="Arial" w:cs="Arial"/>
            <w:noProof/>
            <w:webHidden/>
          </w:rPr>
          <w:instrText xml:space="preserve"> PAGEREF _Toc217221014 \h </w:instrText>
        </w:r>
        <w:r w:rsidRPr="00122BCF">
          <w:rPr>
            <w:rFonts w:ascii="Arial" w:hAnsi="Arial" w:cs="Arial"/>
            <w:noProof/>
            <w:webHidden/>
          </w:rPr>
        </w:r>
        <w:r w:rsidRPr="00122BCF">
          <w:rPr>
            <w:rFonts w:ascii="Arial" w:hAnsi="Arial" w:cs="Arial"/>
            <w:noProof/>
            <w:webHidden/>
          </w:rPr>
          <w:fldChar w:fldCharType="separate"/>
        </w:r>
        <w:r w:rsidR="00B25E18">
          <w:rPr>
            <w:rFonts w:ascii="Arial" w:hAnsi="Arial" w:cs="Arial"/>
            <w:noProof/>
            <w:webHidden/>
          </w:rPr>
          <w:t>7</w:t>
        </w:r>
        <w:r w:rsidRPr="00122BCF">
          <w:rPr>
            <w:rFonts w:ascii="Arial" w:hAnsi="Arial" w:cs="Arial"/>
            <w:noProof/>
            <w:webHidden/>
          </w:rPr>
          <w:fldChar w:fldCharType="end"/>
        </w:r>
      </w:hyperlink>
    </w:p>
    <w:p w14:paraId="5DBB3A5E" w14:textId="14CEC2BD" w:rsidR="00122BCF" w:rsidRPr="00122BCF" w:rsidRDefault="00122BC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221015" w:history="1">
        <w:r w:rsidRPr="00122BCF">
          <w:rPr>
            <w:rStyle w:val="Hyperlink"/>
            <w:rFonts w:ascii="Arial" w:hAnsi="Arial" w:cs="Arial"/>
            <w:noProof/>
          </w:rPr>
          <w:t>Table 4: Short-Term vs. Long-Term Financing for General Electronics</w:t>
        </w:r>
        <w:r w:rsidRPr="00122BCF">
          <w:rPr>
            <w:rFonts w:ascii="Arial" w:hAnsi="Arial" w:cs="Arial"/>
            <w:noProof/>
            <w:webHidden/>
          </w:rPr>
          <w:tab/>
        </w:r>
        <w:r w:rsidRPr="00122BCF">
          <w:rPr>
            <w:rFonts w:ascii="Arial" w:hAnsi="Arial" w:cs="Arial"/>
            <w:noProof/>
            <w:webHidden/>
          </w:rPr>
          <w:fldChar w:fldCharType="begin"/>
        </w:r>
        <w:r w:rsidRPr="00122BCF">
          <w:rPr>
            <w:rFonts w:ascii="Arial" w:hAnsi="Arial" w:cs="Arial"/>
            <w:noProof/>
            <w:webHidden/>
          </w:rPr>
          <w:instrText xml:space="preserve"> PAGEREF _Toc217221015 \h </w:instrText>
        </w:r>
        <w:r w:rsidRPr="00122BCF">
          <w:rPr>
            <w:rFonts w:ascii="Arial" w:hAnsi="Arial" w:cs="Arial"/>
            <w:noProof/>
            <w:webHidden/>
          </w:rPr>
        </w:r>
        <w:r w:rsidRPr="00122BCF">
          <w:rPr>
            <w:rFonts w:ascii="Arial" w:hAnsi="Arial" w:cs="Arial"/>
            <w:noProof/>
            <w:webHidden/>
          </w:rPr>
          <w:fldChar w:fldCharType="separate"/>
        </w:r>
        <w:r w:rsidR="00B25E18">
          <w:rPr>
            <w:rFonts w:ascii="Arial" w:hAnsi="Arial" w:cs="Arial"/>
            <w:noProof/>
            <w:webHidden/>
          </w:rPr>
          <w:t>9</w:t>
        </w:r>
        <w:r w:rsidRPr="00122BCF">
          <w:rPr>
            <w:rFonts w:ascii="Arial" w:hAnsi="Arial" w:cs="Arial"/>
            <w:noProof/>
            <w:webHidden/>
          </w:rPr>
          <w:fldChar w:fldCharType="end"/>
        </w:r>
      </w:hyperlink>
    </w:p>
    <w:p w14:paraId="72BAFDB7" w14:textId="30A12E3D" w:rsidR="00122BCF" w:rsidRPr="00122BCF" w:rsidRDefault="00122BC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221016" w:history="1">
        <w:r w:rsidRPr="00122BCF">
          <w:rPr>
            <w:rStyle w:val="Hyperlink"/>
            <w:rFonts w:ascii="Arial" w:hAnsi="Arial" w:cs="Arial"/>
            <w:noProof/>
          </w:rPr>
          <w:t>Table 5: Remodelled Future</w:t>
        </w:r>
        <w:r w:rsidRPr="00122BCF">
          <w:rPr>
            <w:rFonts w:ascii="Arial" w:hAnsi="Arial" w:cs="Arial"/>
            <w:noProof/>
            <w:webHidden/>
          </w:rPr>
          <w:tab/>
        </w:r>
        <w:r w:rsidRPr="00122BCF">
          <w:rPr>
            <w:rFonts w:ascii="Arial" w:hAnsi="Arial" w:cs="Arial"/>
            <w:noProof/>
            <w:webHidden/>
          </w:rPr>
          <w:fldChar w:fldCharType="begin"/>
        </w:r>
        <w:r w:rsidRPr="00122BCF">
          <w:rPr>
            <w:rFonts w:ascii="Arial" w:hAnsi="Arial" w:cs="Arial"/>
            <w:noProof/>
            <w:webHidden/>
          </w:rPr>
          <w:instrText xml:space="preserve"> PAGEREF _Toc217221016 \h </w:instrText>
        </w:r>
        <w:r w:rsidRPr="00122BCF">
          <w:rPr>
            <w:rFonts w:ascii="Arial" w:hAnsi="Arial" w:cs="Arial"/>
            <w:noProof/>
            <w:webHidden/>
          </w:rPr>
        </w:r>
        <w:r w:rsidRPr="00122BCF">
          <w:rPr>
            <w:rFonts w:ascii="Arial" w:hAnsi="Arial" w:cs="Arial"/>
            <w:noProof/>
            <w:webHidden/>
          </w:rPr>
          <w:fldChar w:fldCharType="separate"/>
        </w:r>
        <w:r w:rsidR="00B25E18">
          <w:rPr>
            <w:rFonts w:ascii="Arial" w:hAnsi="Arial" w:cs="Arial"/>
            <w:noProof/>
            <w:webHidden/>
          </w:rPr>
          <w:t>15</w:t>
        </w:r>
        <w:r w:rsidRPr="00122BCF">
          <w:rPr>
            <w:rFonts w:ascii="Arial" w:hAnsi="Arial" w:cs="Arial"/>
            <w:noProof/>
            <w:webHidden/>
          </w:rPr>
          <w:fldChar w:fldCharType="end"/>
        </w:r>
      </w:hyperlink>
    </w:p>
    <w:p w14:paraId="0AA43FF5" w14:textId="6D40F36F" w:rsidR="00122BCF" w:rsidRPr="00122BCF" w:rsidRDefault="00122BC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221017" w:history="1">
        <w:r w:rsidRPr="00122BCF">
          <w:rPr>
            <w:rStyle w:val="Hyperlink"/>
            <w:rFonts w:ascii="Arial" w:hAnsi="Arial" w:cs="Arial"/>
            <w:noProof/>
          </w:rPr>
          <w:t>Table 6: Financial Evaluation of Proposed Projects (£m unless stated)</w:t>
        </w:r>
        <w:r w:rsidRPr="00122BCF">
          <w:rPr>
            <w:rFonts w:ascii="Arial" w:hAnsi="Arial" w:cs="Arial"/>
            <w:noProof/>
            <w:webHidden/>
          </w:rPr>
          <w:tab/>
        </w:r>
        <w:r w:rsidRPr="00122BCF">
          <w:rPr>
            <w:rFonts w:ascii="Arial" w:hAnsi="Arial" w:cs="Arial"/>
            <w:noProof/>
            <w:webHidden/>
          </w:rPr>
          <w:fldChar w:fldCharType="begin"/>
        </w:r>
        <w:r w:rsidRPr="00122BCF">
          <w:rPr>
            <w:rFonts w:ascii="Arial" w:hAnsi="Arial" w:cs="Arial"/>
            <w:noProof/>
            <w:webHidden/>
          </w:rPr>
          <w:instrText xml:space="preserve"> PAGEREF _Toc217221017 \h </w:instrText>
        </w:r>
        <w:r w:rsidRPr="00122BCF">
          <w:rPr>
            <w:rFonts w:ascii="Arial" w:hAnsi="Arial" w:cs="Arial"/>
            <w:noProof/>
            <w:webHidden/>
          </w:rPr>
        </w:r>
        <w:r w:rsidRPr="00122BCF">
          <w:rPr>
            <w:rFonts w:ascii="Arial" w:hAnsi="Arial" w:cs="Arial"/>
            <w:noProof/>
            <w:webHidden/>
          </w:rPr>
          <w:fldChar w:fldCharType="separate"/>
        </w:r>
        <w:r w:rsidR="00B25E18">
          <w:rPr>
            <w:rFonts w:ascii="Arial" w:hAnsi="Arial" w:cs="Arial"/>
            <w:noProof/>
            <w:webHidden/>
          </w:rPr>
          <w:t>16</w:t>
        </w:r>
        <w:r w:rsidRPr="00122BCF">
          <w:rPr>
            <w:rFonts w:ascii="Arial" w:hAnsi="Arial" w:cs="Arial"/>
            <w:noProof/>
            <w:webHidden/>
          </w:rPr>
          <w:fldChar w:fldCharType="end"/>
        </w:r>
      </w:hyperlink>
    </w:p>
    <w:p w14:paraId="5A3651D3" w14:textId="44EAB3C8" w:rsidR="00122BCF" w:rsidRPr="00122BCF" w:rsidRDefault="00122BC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221018" w:history="1">
        <w:r w:rsidRPr="00122BCF">
          <w:rPr>
            <w:rStyle w:val="Hyperlink"/>
            <w:rFonts w:ascii="Arial" w:hAnsi="Arial" w:cs="Arial"/>
            <w:noProof/>
          </w:rPr>
          <w:t>Table 7: Payback Period (PBP) Calculation</w:t>
        </w:r>
        <w:r w:rsidRPr="00122BCF">
          <w:rPr>
            <w:rFonts w:ascii="Arial" w:hAnsi="Arial" w:cs="Arial"/>
            <w:noProof/>
            <w:webHidden/>
          </w:rPr>
          <w:tab/>
        </w:r>
        <w:r w:rsidRPr="00122BCF">
          <w:rPr>
            <w:rFonts w:ascii="Arial" w:hAnsi="Arial" w:cs="Arial"/>
            <w:noProof/>
            <w:webHidden/>
          </w:rPr>
          <w:fldChar w:fldCharType="begin"/>
        </w:r>
        <w:r w:rsidRPr="00122BCF">
          <w:rPr>
            <w:rFonts w:ascii="Arial" w:hAnsi="Arial" w:cs="Arial"/>
            <w:noProof/>
            <w:webHidden/>
          </w:rPr>
          <w:instrText xml:space="preserve"> PAGEREF _Toc217221018 \h </w:instrText>
        </w:r>
        <w:r w:rsidRPr="00122BCF">
          <w:rPr>
            <w:rFonts w:ascii="Arial" w:hAnsi="Arial" w:cs="Arial"/>
            <w:noProof/>
            <w:webHidden/>
          </w:rPr>
        </w:r>
        <w:r w:rsidRPr="00122BCF">
          <w:rPr>
            <w:rFonts w:ascii="Arial" w:hAnsi="Arial" w:cs="Arial"/>
            <w:noProof/>
            <w:webHidden/>
          </w:rPr>
          <w:fldChar w:fldCharType="separate"/>
        </w:r>
        <w:r w:rsidR="00B25E18">
          <w:rPr>
            <w:rFonts w:ascii="Arial" w:hAnsi="Arial" w:cs="Arial"/>
            <w:noProof/>
            <w:webHidden/>
          </w:rPr>
          <w:t>17</w:t>
        </w:r>
        <w:r w:rsidRPr="00122BCF">
          <w:rPr>
            <w:rFonts w:ascii="Arial" w:hAnsi="Arial" w:cs="Arial"/>
            <w:noProof/>
            <w:webHidden/>
          </w:rPr>
          <w:fldChar w:fldCharType="end"/>
        </w:r>
      </w:hyperlink>
    </w:p>
    <w:p w14:paraId="70EDF1DA" w14:textId="5970CB60" w:rsidR="00122BCF" w:rsidRPr="00122BCF" w:rsidRDefault="00122BC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221019" w:history="1">
        <w:r w:rsidRPr="00122BCF">
          <w:rPr>
            <w:rStyle w:val="Hyperlink"/>
            <w:rFonts w:ascii="Arial" w:hAnsi="Arial" w:cs="Arial"/>
            <w:noProof/>
          </w:rPr>
          <w:t>Table 8: Accounting Rate of Return (ARR) Calculation</w:t>
        </w:r>
        <w:r w:rsidRPr="00122BCF">
          <w:rPr>
            <w:rFonts w:ascii="Arial" w:hAnsi="Arial" w:cs="Arial"/>
            <w:noProof/>
            <w:webHidden/>
          </w:rPr>
          <w:tab/>
        </w:r>
        <w:r w:rsidRPr="00122BCF">
          <w:rPr>
            <w:rFonts w:ascii="Arial" w:hAnsi="Arial" w:cs="Arial"/>
            <w:noProof/>
            <w:webHidden/>
          </w:rPr>
          <w:fldChar w:fldCharType="begin"/>
        </w:r>
        <w:r w:rsidRPr="00122BCF">
          <w:rPr>
            <w:rFonts w:ascii="Arial" w:hAnsi="Arial" w:cs="Arial"/>
            <w:noProof/>
            <w:webHidden/>
          </w:rPr>
          <w:instrText xml:space="preserve"> PAGEREF _Toc217221019 \h </w:instrText>
        </w:r>
        <w:r w:rsidRPr="00122BCF">
          <w:rPr>
            <w:rFonts w:ascii="Arial" w:hAnsi="Arial" w:cs="Arial"/>
            <w:noProof/>
            <w:webHidden/>
          </w:rPr>
        </w:r>
        <w:r w:rsidRPr="00122BCF">
          <w:rPr>
            <w:rFonts w:ascii="Arial" w:hAnsi="Arial" w:cs="Arial"/>
            <w:noProof/>
            <w:webHidden/>
          </w:rPr>
          <w:fldChar w:fldCharType="separate"/>
        </w:r>
        <w:r w:rsidR="00B25E18">
          <w:rPr>
            <w:rFonts w:ascii="Arial" w:hAnsi="Arial" w:cs="Arial"/>
            <w:noProof/>
            <w:webHidden/>
          </w:rPr>
          <w:t>18</w:t>
        </w:r>
        <w:r w:rsidRPr="00122BCF">
          <w:rPr>
            <w:rFonts w:ascii="Arial" w:hAnsi="Arial" w:cs="Arial"/>
            <w:noProof/>
            <w:webHidden/>
          </w:rPr>
          <w:fldChar w:fldCharType="end"/>
        </w:r>
      </w:hyperlink>
    </w:p>
    <w:p w14:paraId="73642F1B" w14:textId="57378AD2" w:rsidR="00122BCF" w:rsidRPr="00122BCF" w:rsidRDefault="00122BC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221020" w:history="1">
        <w:r w:rsidRPr="00122BCF">
          <w:rPr>
            <w:rStyle w:val="Hyperlink"/>
            <w:rFonts w:ascii="Arial" w:hAnsi="Arial" w:cs="Arial"/>
            <w:noProof/>
          </w:rPr>
          <w:t>Table 9: Net Present Value (NPV) &amp; Profitability Index (PI)</w:t>
        </w:r>
        <w:r w:rsidRPr="00122BCF">
          <w:rPr>
            <w:rFonts w:ascii="Arial" w:hAnsi="Arial" w:cs="Arial"/>
            <w:noProof/>
            <w:webHidden/>
          </w:rPr>
          <w:tab/>
        </w:r>
        <w:r w:rsidRPr="00122BCF">
          <w:rPr>
            <w:rFonts w:ascii="Arial" w:hAnsi="Arial" w:cs="Arial"/>
            <w:noProof/>
            <w:webHidden/>
          </w:rPr>
          <w:fldChar w:fldCharType="begin"/>
        </w:r>
        <w:r w:rsidRPr="00122BCF">
          <w:rPr>
            <w:rFonts w:ascii="Arial" w:hAnsi="Arial" w:cs="Arial"/>
            <w:noProof/>
            <w:webHidden/>
          </w:rPr>
          <w:instrText xml:space="preserve"> PAGEREF _Toc217221020 \h </w:instrText>
        </w:r>
        <w:r w:rsidRPr="00122BCF">
          <w:rPr>
            <w:rFonts w:ascii="Arial" w:hAnsi="Arial" w:cs="Arial"/>
            <w:noProof/>
            <w:webHidden/>
          </w:rPr>
        </w:r>
        <w:r w:rsidRPr="00122BCF">
          <w:rPr>
            <w:rFonts w:ascii="Arial" w:hAnsi="Arial" w:cs="Arial"/>
            <w:noProof/>
            <w:webHidden/>
          </w:rPr>
          <w:fldChar w:fldCharType="separate"/>
        </w:r>
        <w:r w:rsidR="00B25E18">
          <w:rPr>
            <w:rFonts w:ascii="Arial" w:hAnsi="Arial" w:cs="Arial"/>
            <w:noProof/>
            <w:webHidden/>
          </w:rPr>
          <w:t>19</w:t>
        </w:r>
        <w:r w:rsidRPr="00122BCF">
          <w:rPr>
            <w:rFonts w:ascii="Arial" w:hAnsi="Arial" w:cs="Arial"/>
            <w:noProof/>
            <w:webHidden/>
          </w:rPr>
          <w:fldChar w:fldCharType="end"/>
        </w:r>
      </w:hyperlink>
    </w:p>
    <w:p w14:paraId="657002D6" w14:textId="5B595539" w:rsidR="00122BCF" w:rsidRPr="00122BCF" w:rsidRDefault="00122BC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221021" w:history="1">
        <w:r w:rsidRPr="00122BCF">
          <w:rPr>
            <w:rStyle w:val="Hyperlink"/>
            <w:rFonts w:ascii="Arial" w:hAnsi="Arial" w:cs="Arial"/>
            <w:noProof/>
          </w:rPr>
          <w:t>Table 10: Internal Rate of Return (IRR) Calculation</w:t>
        </w:r>
        <w:r w:rsidRPr="00122BCF">
          <w:rPr>
            <w:rFonts w:ascii="Arial" w:hAnsi="Arial" w:cs="Arial"/>
            <w:noProof/>
            <w:webHidden/>
          </w:rPr>
          <w:tab/>
        </w:r>
        <w:r w:rsidRPr="00122BCF">
          <w:rPr>
            <w:rFonts w:ascii="Arial" w:hAnsi="Arial" w:cs="Arial"/>
            <w:noProof/>
            <w:webHidden/>
          </w:rPr>
          <w:fldChar w:fldCharType="begin"/>
        </w:r>
        <w:r w:rsidRPr="00122BCF">
          <w:rPr>
            <w:rFonts w:ascii="Arial" w:hAnsi="Arial" w:cs="Arial"/>
            <w:noProof/>
            <w:webHidden/>
          </w:rPr>
          <w:instrText xml:space="preserve"> PAGEREF _Toc217221021 \h </w:instrText>
        </w:r>
        <w:r w:rsidRPr="00122BCF">
          <w:rPr>
            <w:rFonts w:ascii="Arial" w:hAnsi="Arial" w:cs="Arial"/>
            <w:noProof/>
            <w:webHidden/>
          </w:rPr>
        </w:r>
        <w:r w:rsidRPr="00122BCF">
          <w:rPr>
            <w:rFonts w:ascii="Arial" w:hAnsi="Arial" w:cs="Arial"/>
            <w:noProof/>
            <w:webHidden/>
          </w:rPr>
          <w:fldChar w:fldCharType="separate"/>
        </w:r>
        <w:r w:rsidR="00B25E18">
          <w:rPr>
            <w:rFonts w:ascii="Arial" w:hAnsi="Arial" w:cs="Arial"/>
            <w:noProof/>
            <w:webHidden/>
          </w:rPr>
          <w:t>19</w:t>
        </w:r>
        <w:r w:rsidRPr="00122BCF">
          <w:rPr>
            <w:rFonts w:ascii="Arial" w:hAnsi="Arial" w:cs="Arial"/>
            <w:noProof/>
            <w:webHidden/>
          </w:rPr>
          <w:fldChar w:fldCharType="end"/>
        </w:r>
      </w:hyperlink>
    </w:p>
    <w:p w14:paraId="1529B877" w14:textId="08500D38" w:rsidR="00122BCF" w:rsidRPr="00122BCF" w:rsidRDefault="00122BC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221022" w:history="1">
        <w:r w:rsidRPr="00122BCF">
          <w:rPr>
            <w:rStyle w:val="Hyperlink"/>
            <w:rFonts w:ascii="Arial" w:hAnsi="Arial" w:cs="Arial"/>
            <w:noProof/>
          </w:rPr>
          <w:t>Table 11: Final Consolidated</w:t>
        </w:r>
        <w:r w:rsidRPr="00122BCF">
          <w:rPr>
            <w:rFonts w:ascii="Arial" w:hAnsi="Arial" w:cs="Arial"/>
            <w:noProof/>
            <w:webHidden/>
          </w:rPr>
          <w:tab/>
        </w:r>
        <w:r w:rsidRPr="00122BCF">
          <w:rPr>
            <w:rFonts w:ascii="Arial" w:hAnsi="Arial" w:cs="Arial"/>
            <w:noProof/>
            <w:webHidden/>
          </w:rPr>
          <w:fldChar w:fldCharType="begin"/>
        </w:r>
        <w:r w:rsidRPr="00122BCF">
          <w:rPr>
            <w:rFonts w:ascii="Arial" w:hAnsi="Arial" w:cs="Arial"/>
            <w:noProof/>
            <w:webHidden/>
          </w:rPr>
          <w:instrText xml:space="preserve"> PAGEREF _Toc217221022 \h </w:instrText>
        </w:r>
        <w:r w:rsidRPr="00122BCF">
          <w:rPr>
            <w:rFonts w:ascii="Arial" w:hAnsi="Arial" w:cs="Arial"/>
            <w:noProof/>
            <w:webHidden/>
          </w:rPr>
        </w:r>
        <w:r w:rsidRPr="00122BCF">
          <w:rPr>
            <w:rFonts w:ascii="Arial" w:hAnsi="Arial" w:cs="Arial"/>
            <w:noProof/>
            <w:webHidden/>
          </w:rPr>
          <w:fldChar w:fldCharType="separate"/>
        </w:r>
        <w:r w:rsidR="00B25E18">
          <w:rPr>
            <w:rFonts w:ascii="Arial" w:hAnsi="Arial" w:cs="Arial"/>
            <w:noProof/>
            <w:webHidden/>
          </w:rPr>
          <w:t>20</w:t>
        </w:r>
        <w:r w:rsidRPr="00122BCF">
          <w:rPr>
            <w:rFonts w:ascii="Arial" w:hAnsi="Arial" w:cs="Arial"/>
            <w:noProof/>
            <w:webHidden/>
          </w:rPr>
          <w:fldChar w:fldCharType="end"/>
        </w:r>
      </w:hyperlink>
    </w:p>
    <w:p w14:paraId="001FD68E" w14:textId="7C967635" w:rsidR="003F4E8F" w:rsidRPr="003227C7" w:rsidRDefault="003F4E8F" w:rsidP="003F4E8F">
      <w:pPr>
        <w:tabs>
          <w:tab w:val="left" w:pos="1640"/>
        </w:tabs>
        <w:spacing w:line="360" w:lineRule="auto"/>
        <w:jc w:val="both"/>
        <w:rPr>
          <w:rFonts w:ascii="Arial" w:hAnsi="Arial" w:cs="Arial"/>
          <w:sz w:val="24"/>
          <w:szCs w:val="24"/>
        </w:rPr>
        <w:sectPr w:rsidR="003F4E8F" w:rsidRPr="003227C7" w:rsidSect="003F4E8F">
          <w:pgSz w:w="11906" w:h="16838"/>
          <w:pgMar w:top="1440" w:right="1440" w:bottom="1440" w:left="1440" w:header="720" w:footer="720" w:gutter="0"/>
          <w:pgNumType w:start="0"/>
          <w:cols w:space="720"/>
          <w:titlePg/>
          <w:docGrid w:linePitch="299"/>
        </w:sectPr>
      </w:pPr>
      <w:r w:rsidRPr="00122BCF">
        <w:rPr>
          <w:rFonts w:ascii="Arial" w:hAnsi="Arial" w:cs="Arial"/>
          <w:b/>
          <w:bCs/>
          <w:sz w:val="24"/>
          <w:szCs w:val="24"/>
          <w:u w:val="single"/>
        </w:rPr>
        <w:fldChar w:fldCharType="end"/>
      </w:r>
    </w:p>
    <w:p w14:paraId="6076A787" w14:textId="77777777" w:rsidR="003F4E8F" w:rsidRPr="003227C7" w:rsidRDefault="003F4E8F" w:rsidP="003F4E8F">
      <w:pPr>
        <w:pStyle w:val="Heading1"/>
      </w:pPr>
      <w:bookmarkStart w:id="0" w:name="_Toc217246299"/>
      <w:r w:rsidRPr="003227C7">
        <w:lastRenderedPageBreak/>
        <w:t>Introduction</w:t>
      </w:r>
      <w:bookmarkEnd w:id="0"/>
    </w:p>
    <w:p w14:paraId="3FA9F0A3" w14:textId="0FBACF58" w:rsidR="003F4E8F" w:rsidRPr="00D8673D" w:rsidRDefault="00271F08" w:rsidP="003F4E8F">
      <w:pPr>
        <w:spacing w:line="360" w:lineRule="auto"/>
        <w:jc w:val="both"/>
        <w:rPr>
          <w:rFonts w:ascii="Arial" w:hAnsi="Arial" w:cs="Arial"/>
          <w:sz w:val="24"/>
          <w:szCs w:val="24"/>
          <w:lang w:val="en-US"/>
        </w:rPr>
      </w:pPr>
      <w:r w:rsidRPr="00271F08">
        <w:rPr>
          <w:rFonts w:ascii="Arial" w:hAnsi="Arial" w:cs="Arial"/>
          <w:sz w:val="24"/>
          <w:szCs w:val="24"/>
          <w:lang w:val="en-US"/>
        </w:rPr>
        <w:t xml:space="preserve">This report is a critical financial and strategic analysis of General Electronics (GE) after it had lost major performance in 2020-24. By conducting a scrupulous audit on the financial health of the firm, it establishes a Technological Crisis in the form of the loss of revenues and a liquidity constraint. This analysis suggests a holistic turnaround </w:t>
      </w:r>
      <w:proofErr w:type="spellStart"/>
      <w:r w:rsidRPr="00271F08">
        <w:rPr>
          <w:rFonts w:ascii="Arial" w:hAnsi="Arial" w:cs="Arial"/>
          <w:sz w:val="24"/>
          <w:szCs w:val="24"/>
          <w:lang w:val="en-US"/>
        </w:rPr>
        <w:t>programme</w:t>
      </w:r>
      <w:proofErr w:type="spellEnd"/>
      <w:r w:rsidRPr="00271F08">
        <w:rPr>
          <w:rFonts w:ascii="Arial" w:hAnsi="Arial" w:cs="Arial"/>
          <w:sz w:val="24"/>
          <w:szCs w:val="24"/>
          <w:lang w:val="en-US"/>
        </w:rPr>
        <w:t xml:space="preserve"> dubbed 'Phoenix' through the application of mastery in the working capital management approach and investment appraisal using ratios like NPV and IRR. The strategy promotes a light </w:t>
      </w:r>
      <w:proofErr w:type="spellStart"/>
      <w:r w:rsidRPr="00271F08">
        <w:rPr>
          <w:rFonts w:ascii="Arial" w:hAnsi="Arial" w:cs="Arial"/>
          <w:sz w:val="24"/>
          <w:szCs w:val="24"/>
          <w:lang w:val="en-US"/>
        </w:rPr>
        <w:t>reorganisation</w:t>
      </w:r>
      <w:proofErr w:type="spellEnd"/>
      <w:r w:rsidRPr="00271F08">
        <w:rPr>
          <w:rFonts w:ascii="Arial" w:hAnsi="Arial" w:cs="Arial"/>
          <w:sz w:val="24"/>
          <w:szCs w:val="24"/>
          <w:lang w:val="en-US"/>
        </w:rPr>
        <w:t xml:space="preserve"> and a transition to AI innovation with a high margin of profit so that the future development can be economically sustainable, ethically responsible, and strategically orientated to the changes in the consumer market.</w:t>
      </w:r>
    </w:p>
    <w:p w14:paraId="0363064F" w14:textId="77777777" w:rsidR="00271F08" w:rsidRDefault="00271F08">
      <w:pPr>
        <w:spacing w:after="160" w:line="278" w:lineRule="auto"/>
        <w:rPr>
          <w:rFonts w:ascii="Arial" w:eastAsiaTheme="majorEastAsia" w:hAnsi="Arial" w:cstheme="majorBidi"/>
          <w:b/>
          <w:color w:val="000000" w:themeColor="text1"/>
          <w:sz w:val="32"/>
          <w:szCs w:val="40"/>
        </w:rPr>
      </w:pPr>
      <w:r>
        <w:br w:type="page"/>
      </w:r>
    </w:p>
    <w:p w14:paraId="7581636B" w14:textId="0CB12848" w:rsidR="003F4E8F" w:rsidRPr="003227C7" w:rsidRDefault="003F4E8F" w:rsidP="003F4E8F">
      <w:pPr>
        <w:pStyle w:val="Heading1"/>
      </w:pPr>
      <w:bookmarkStart w:id="1" w:name="_Toc217246300"/>
      <w:r w:rsidRPr="00D610AE">
        <w:lastRenderedPageBreak/>
        <w:t>1.</w:t>
      </w:r>
      <w:r>
        <w:t xml:space="preserve"> </w:t>
      </w:r>
      <w:r w:rsidR="005F2B5B" w:rsidRPr="005F2B5B">
        <w:t>General Electronics: A Five-Year Financial Health Audit</w:t>
      </w:r>
      <w:bookmarkEnd w:id="1"/>
    </w:p>
    <w:p w14:paraId="09746DBB" w14:textId="55C3C26B" w:rsidR="00255B1C" w:rsidRPr="00255B1C" w:rsidRDefault="00C4576D" w:rsidP="00255B1C">
      <w:pPr>
        <w:spacing w:line="360" w:lineRule="auto"/>
        <w:jc w:val="both"/>
        <w:rPr>
          <w:rFonts w:ascii="Arial" w:hAnsi="Arial" w:cs="Arial"/>
          <w:sz w:val="24"/>
          <w:szCs w:val="24"/>
          <w:lang w:val="en-US"/>
        </w:rPr>
      </w:pPr>
      <w:r w:rsidRPr="00C4576D">
        <w:rPr>
          <w:rFonts w:ascii="Arial" w:hAnsi="Arial" w:cs="Arial"/>
          <w:sz w:val="24"/>
          <w:szCs w:val="24"/>
          <w:lang w:val="en-US"/>
        </w:rPr>
        <w:t>General Electronics (GE), a major producer of consumer electronics, is the subject of this research, which includes a comprehensive accounting analysis of the company's financial situation. By the year 2024, General Electric had fallen from its position of market supremacy to a state of tremendous financial crisis. For the purpose of determining the firm's viability and the likelihood of default, this presentation is based on the consolidated financial statements that were provided as well as the industry norms.</w:t>
      </w:r>
    </w:p>
    <w:p w14:paraId="52A249F1" w14:textId="31350377" w:rsidR="00255B1C" w:rsidRPr="00255B1C" w:rsidRDefault="00255B1C" w:rsidP="00255B1C">
      <w:pPr>
        <w:pStyle w:val="Heading2"/>
        <w:rPr>
          <w:lang w:val="en-US"/>
        </w:rPr>
      </w:pPr>
      <w:bookmarkStart w:id="2" w:name="_Toc217246301"/>
      <w:r w:rsidRPr="00255B1C">
        <w:rPr>
          <w:lang w:val="en-US"/>
        </w:rPr>
        <w:t>1.</w:t>
      </w:r>
      <w:r>
        <w:rPr>
          <w:lang w:val="en-US"/>
        </w:rPr>
        <w:t>1</w:t>
      </w:r>
      <w:r w:rsidRPr="00255B1C">
        <w:rPr>
          <w:lang w:val="en-US"/>
        </w:rPr>
        <w:t xml:space="preserve"> Consolidated Financial Performance Data</w:t>
      </w:r>
      <w:bookmarkEnd w:id="2"/>
    </w:p>
    <w:p w14:paraId="36FB866E" w14:textId="77777777" w:rsid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The table below will summarize the financial situation and income performance of General Electronics. We use this information as the foundation for our ratio analysis later on.</w:t>
      </w:r>
    </w:p>
    <w:tbl>
      <w:tblPr>
        <w:tblStyle w:val="TableGrid"/>
        <w:tblW w:w="0" w:type="auto"/>
        <w:tblLook w:val="04A0" w:firstRow="1" w:lastRow="0" w:firstColumn="1" w:lastColumn="0" w:noHBand="0" w:noVBand="1"/>
      </w:tblPr>
      <w:tblGrid>
        <w:gridCol w:w="3247"/>
        <w:gridCol w:w="1110"/>
        <w:gridCol w:w="1110"/>
        <w:gridCol w:w="1084"/>
        <w:gridCol w:w="1084"/>
        <w:gridCol w:w="1084"/>
      </w:tblGrid>
      <w:tr w:rsidR="00255B1C" w:rsidRPr="00255B1C" w14:paraId="4F24C813" w14:textId="77777777" w:rsidTr="00255B1C">
        <w:tc>
          <w:tcPr>
            <w:tcW w:w="0" w:type="auto"/>
            <w:hideMark/>
          </w:tcPr>
          <w:p w14:paraId="0D02A1FB"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Metric</w:t>
            </w:r>
          </w:p>
        </w:tc>
        <w:tc>
          <w:tcPr>
            <w:tcW w:w="0" w:type="auto"/>
            <w:hideMark/>
          </w:tcPr>
          <w:p w14:paraId="390CC92A"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2024</w:t>
            </w:r>
          </w:p>
        </w:tc>
        <w:tc>
          <w:tcPr>
            <w:tcW w:w="0" w:type="auto"/>
            <w:hideMark/>
          </w:tcPr>
          <w:p w14:paraId="3A8E25D4"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2023</w:t>
            </w:r>
          </w:p>
        </w:tc>
        <w:tc>
          <w:tcPr>
            <w:tcW w:w="0" w:type="auto"/>
            <w:hideMark/>
          </w:tcPr>
          <w:p w14:paraId="7A4DFA1F"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2022</w:t>
            </w:r>
          </w:p>
        </w:tc>
        <w:tc>
          <w:tcPr>
            <w:tcW w:w="0" w:type="auto"/>
            <w:hideMark/>
          </w:tcPr>
          <w:p w14:paraId="1C817BBD"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2021</w:t>
            </w:r>
          </w:p>
        </w:tc>
        <w:tc>
          <w:tcPr>
            <w:tcW w:w="0" w:type="auto"/>
            <w:hideMark/>
          </w:tcPr>
          <w:p w14:paraId="2E74BA88"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2020</w:t>
            </w:r>
          </w:p>
        </w:tc>
      </w:tr>
      <w:tr w:rsidR="00255B1C" w:rsidRPr="00255B1C" w14:paraId="2E94B8C0" w14:textId="77777777" w:rsidTr="00255B1C">
        <w:tc>
          <w:tcPr>
            <w:tcW w:w="0" w:type="auto"/>
            <w:hideMark/>
          </w:tcPr>
          <w:p w14:paraId="511C647B"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Net Sales</w:t>
            </w:r>
          </w:p>
        </w:tc>
        <w:tc>
          <w:tcPr>
            <w:tcW w:w="0" w:type="auto"/>
            <w:hideMark/>
          </w:tcPr>
          <w:p w14:paraId="4947ABE2"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394,879</w:t>
            </w:r>
          </w:p>
        </w:tc>
        <w:tc>
          <w:tcPr>
            <w:tcW w:w="0" w:type="auto"/>
            <w:hideMark/>
          </w:tcPr>
          <w:p w14:paraId="5D99D7D7"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420,457</w:t>
            </w:r>
          </w:p>
        </w:tc>
        <w:tc>
          <w:tcPr>
            <w:tcW w:w="0" w:type="auto"/>
            <w:hideMark/>
          </w:tcPr>
          <w:p w14:paraId="71FA2BAB"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542,751</w:t>
            </w:r>
          </w:p>
        </w:tc>
        <w:tc>
          <w:tcPr>
            <w:tcW w:w="0" w:type="auto"/>
            <w:hideMark/>
          </w:tcPr>
          <w:p w14:paraId="256A33C9"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601,602</w:t>
            </w:r>
          </w:p>
        </w:tc>
        <w:tc>
          <w:tcPr>
            <w:tcW w:w="0" w:type="auto"/>
            <w:hideMark/>
          </w:tcPr>
          <w:p w14:paraId="765178D0"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614,680</w:t>
            </w:r>
          </w:p>
        </w:tc>
      </w:tr>
      <w:tr w:rsidR="00255B1C" w:rsidRPr="00255B1C" w14:paraId="40904CBC" w14:textId="77777777" w:rsidTr="00255B1C">
        <w:tc>
          <w:tcPr>
            <w:tcW w:w="0" w:type="auto"/>
            <w:hideMark/>
          </w:tcPr>
          <w:p w14:paraId="1A807AE3"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Gross Profit</w:t>
            </w:r>
          </w:p>
        </w:tc>
        <w:tc>
          <w:tcPr>
            <w:tcW w:w="0" w:type="auto"/>
            <w:hideMark/>
          </w:tcPr>
          <w:p w14:paraId="4DF727D6"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113,994</w:t>
            </w:r>
          </w:p>
        </w:tc>
        <w:tc>
          <w:tcPr>
            <w:tcW w:w="0" w:type="auto"/>
            <w:hideMark/>
          </w:tcPr>
          <w:p w14:paraId="1DC020A0"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97,560</w:t>
            </w:r>
          </w:p>
        </w:tc>
        <w:tc>
          <w:tcPr>
            <w:tcW w:w="0" w:type="auto"/>
            <w:hideMark/>
          </w:tcPr>
          <w:p w14:paraId="6EB05278"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152,292</w:t>
            </w:r>
          </w:p>
        </w:tc>
        <w:tc>
          <w:tcPr>
            <w:tcW w:w="0" w:type="auto"/>
            <w:hideMark/>
          </w:tcPr>
          <w:p w14:paraId="7D58B63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173,016</w:t>
            </w:r>
          </w:p>
        </w:tc>
        <w:tc>
          <w:tcPr>
            <w:tcW w:w="0" w:type="auto"/>
            <w:hideMark/>
          </w:tcPr>
          <w:p w14:paraId="4F530FC1"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176,256</w:t>
            </w:r>
          </w:p>
        </w:tc>
      </w:tr>
      <w:tr w:rsidR="00255B1C" w:rsidRPr="00255B1C" w14:paraId="276FA0B2" w14:textId="77777777" w:rsidTr="00255B1C">
        <w:tc>
          <w:tcPr>
            <w:tcW w:w="0" w:type="auto"/>
            <w:hideMark/>
          </w:tcPr>
          <w:p w14:paraId="7ADC982B"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Operating Income (Loss)</w:t>
            </w:r>
          </w:p>
        </w:tc>
        <w:tc>
          <w:tcPr>
            <w:tcW w:w="0" w:type="auto"/>
            <w:hideMark/>
          </w:tcPr>
          <w:p w14:paraId="7BC69B9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(15,297)</w:t>
            </w:r>
          </w:p>
        </w:tc>
        <w:tc>
          <w:tcPr>
            <w:tcW w:w="0" w:type="auto"/>
            <w:hideMark/>
          </w:tcPr>
          <w:p w14:paraId="0D4BADF9"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(85,301)</w:t>
            </w:r>
          </w:p>
        </w:tc>
        <w:tc>
          <w:tcPr>
            <w:tcW w:w="0" w:type="auto"/>
            <w:hideMark/>
          </w:tcPr>
          <w:p w14:paraId="2B5DF343"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14,548</w:t>
            </w:r>
          </w:p>
        </w:tc>
        <w:tc>
          <w:tcPr>
            <w:tcW w:w="0" w:type="auto"/>
            <w:hideMark/>
          </w:tcPr>
          <w:p w14:paraId="4E4A27F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23,253</w:t>
            </w:r>
          </w:p>
        </w:tc>
        <w:tc>
          <w:tcPr>
            <w:tcW w:w="0" w:type="auto"/>
            <w:hideMark/>
          </w:tcPr>
          <w:p w14:paraId="0DEBBAF2"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37,267</w:t>
            </w:r>
          </w:p>
        </w:tc>
      </w:tr>
      <w:tr w:rsidR="00255B1C" w:rsidRPr="00255B1C" w14:paraId="21CDC8A0" w14:textId="77777777" w:rsidTr="00255B1C">
        <w:tc>
          <w:tcPr>
            <w:tcW w:w="0" w:type="auto"/>
            <w:hideMark/>
          </w:tcPr>
          <w:p w14:paraId="00748AC9"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Net Income (Loss)</w:t>
            </w:r>
          </w:p>
        </w:tc>
        <w:tc>
          <w:tcPr>
            <w:tcW w:w="0" w:type="auto"/>
            <w:hideMark/>
          </w:tcPr>
          <w:p w14:paraId="11FCE464"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(24,029)</w:t>
            </w:r>
          </w:p>
        </w:tc>
        <w:tc>
          <w:tcPr>
            <w:tcW w:w="0" w:type="auto"/>
            <w:hideMark/>
          </w:tcPr>
          <w:p w14:paraId="2DD2799E"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(98,238)</w:t>
            </w:r>
          </w:p>
        </w:tc>
        <w:tc>
          <w:tcPr>
            <w:tcW w:w="0" w:type="auto"/>
            <w:hideMark/>
          </w:tcPr>
          <w:p w14:paraId="7E906498"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407</w:t>
            </w:r>
          </w:p>
        </w:tc>
        <w:tc>
          <w:tcPr>
            <w:tcW w:w="0" w:type="auto"/>
            <w:hideMark/>
          </w:tcPr>
          <w:p w14:paraId="04701AA3"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5,301</w:t>
            </w:r>
          </w:p>
        </w:tc>
        <w:tc>
          <w:tcPr>
            <w:tcW w:w="0" w:type="auto"/>
            <w:hideMark/>
          </w:tcPr>
          <w:p w14:paraId="5BBAA160"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38,572</w:t>
            </w:r>
          </w:p>
        </w:tc>
      </w:tr>
      <w:tr w:rsidR="00255B1C" w:rsidRPr="00255B1C" w14:paraId="7C5C21E5" w14:textId="77777777" w:rsidTr="00255B1C">
        <w:tc>
          <w:tcPr>
            <w:tcW w:w="0" w:type="auto"/>
            <w:hideMark/>
          </w:tcPr>
          <w:p w14:paraId="6E96796A"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Total Assets</w:t>
            </w:r>
          </w:p>
        </w:tc>
        <w:tc>
          <w:tcPr>
            <w:tcW w:w="0" w:type="auto"/>
            <w:hideMark/>
          </w:tcPr>
          <w:p w14:paraId="1DBCC8CD"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323,354</w:t>
            </w:r>
          </w:p>
        </w:tc>
        <w:tc>
          <w:tcPr>
            <w:tcW w:w="0" w:type="auto"/>
            <w:hideMark/>
          </w:tcPr>
          <w:p w14:paraId="6E702C86"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355,872</w:t>
            </w:r>
          </w:p>
        </w:tc>
        <w:tc>
          <w:tcPr>
            <w:tcW w:w="0" w:type="auto"/>
            <w:hideMark/>
          </w:tcPr>
          <w:p w14:paraId="6068F887"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504,163</w:t>
            </w:r>
          </w:p>
        </w:tc>
        <w:tc>
          <w:tcPr>
            <w:tcW w:w="0" w:type="auto"/>
            <w:hideMark/>
          </w:tcPr>
          <w:p w14:paraId="361349F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510,348</w:t>
            </w:r>
          </w:p>
        </w:tc>
        <w:tc>
          <w:tcPr>
            <w:tcW w:w="0" w:type="auto"/>
            <w:hideMark/>
          </w:tcPr>
          <w:p w14:paraId="1D08F999"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510,290</w:t>
            </w:r>
          </w:p>
        </w:tc>
      </w:tr>
      <w:tr w:rsidR="00255B1C" w:rsidRPr="00255B1C" w14:paraId="411D0EBA" w14:textId="77777777" w:rsidTr="00255B1C">
        <w:tc>
          <w:tcPr>
            <w:tcW w:w="0" w:type="auto"/>
            <w:hideMark/>
          </w:tcPr>
          <w:p w14:paraId="758D3AAF"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Total Liabilities</w:t>
            </w:r>
          </w:p>
        </w:tc>
        <w:tc>
          <w:tcPr>
            <w:tcW w:w="0" w:type="auto"/>
            <w:hideMark/>
          </w:tcPr>
          <w:p w14:paraId="46114C60"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170,249</w:t>
            </w:r>
          </w:p>
        </w:tc>
        <w:tc>
          <w:tcPr>
            <w:tcW w:w="0" w:type="auto"/>
            <w:hideMark/>
          </w:tcPr>
          <w:p w14:paraId="20ABE202"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176,952</w:t>
            </w:r>
          </w:p>
        </w:tc>
        <w:tc>
          <w:tcPr>
            <w:tcW w:w="0" w:type="auto"/>
            <w:hideMark/>
          </w:tcPr>
          <w:p w14:paraId="7D0A261D"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235,757</w:t>
            </w:r>
          </w:p>
        </w:tc>
        <w:tc>
          <w:tcPr>
            <w:tcW w:w="0" w:type="auto"/>
            <w:hideMark/>
          </w:tcPr>
          <w:p w14:paraId="09651A01"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234,399</w:t>
            </w:r>
          </w:p>
        </w:tc>
        <w:tc>
          <w:tcPr>
            <w:tcW w:w="0" w:type="auto"/>
            <w:hideMark/>
          </w:tcPr>
          <w:p w14:paraId="06A3486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196,989</w:t>
            </w:r>
          </w:p>
        </w:tc>
      </w:tr>
      <w:tr w:rsidR="00255B1C" w:rsidRPr="00255B1C" w14:paraId="68C893F0" w14:textId="77777777" w:rsidTr="00255B1C">
        <w:tc>
          <w:tcPr>
            <w:tcW w:w="0" w:type="auto"/>
            <w:hideMark/>
          </w:tcPr>
          <w:p w14:paraId="12CACCB7"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Total Shareholders' Equity</w:t>
            </w:r>
          </w:p>
        </w:tc>
        <w:tc>
          <w:tcPr>
            <w:tcW w:w="0" w:type="auto"/>
            <w:hideMark/>
          </w:tcPr>
          <w:p w14:paraId="091C457A"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153,105</w:t>
            </w:r>
          </w:p>
        </w:tc>
        <w:tc>
          <w:tcPr>
            <w:tcW w:w="0" w:type="auto"/>
            <w:hideMark/>
          </w:tcPr>
          <w:p w14:paraId="1CA20741"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178,920</w:t>
            </w:r>
          </w:p>
        </w:tc>
        <w:tc>
          <w:tcPr>
            <w:tcW w:w="0" w:type="auto"/>
            <w:hideMark/>
          </w:tcPr>
          <w:p w14:paraId="0EFD095B"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268,406</w:t>
            </w:r>
          </w:p>
        </w:tc>
        <w:tc>
          <w:tcPr>
            <w:tcW w:w="0" w:type="auto"/>
            <w:hideMark/>
          </w:tcPr>
          <w:p w14:paraId="1C5C9924"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275,949</w:t>
            </w:r>
          </w:p>
        </w:tc>
        <w:tc>
          <w:tcPr>
            <w:tcW w:w="0" w:type="auto"/>
            <w:hideMark/>
          </w:tcPr>
          <w:p w14:paraId="276BAC9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313,301</w:t>
            </w:r>
          </w:p>
        </w:tc>
      </w:tr>
      <w:tr w:rsidR="00255B1C" w:rsidRPr="00255B1C" w14:paraId="6579E6B9" w14:textId="77777777" w:rsidTr="00255B1C">
        <w:tc>
          <w:tcPr>
            <w:tcW w:w="0" w:type="auto"/>
            <w:hideMark/>
          </w:tcPr>
          <w:p w14:paraId="71E046C9"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Working Capital</w:t>
            </w:r>
          </w:p>
        </w:tc>
        <w:tc>
          <w:tcPr>
            <w:tcW w:w="0" w:type="auto"/>
            <w:hideMark/>
          </w:tcPr>
          <w:p w14:paraId="44087CBD"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84,203</w:t>
            </w:r>
          </w:p>
        </w:tc>
        <w:tc>
          <w:tcPr>
            <w:tcW w:w="0" w:type="auto"/>
            <w:hideMark/>
          </w:tcPr>
          <w:p w14:paraId="14A631E9"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97,703</w:t>
            </w:r>
          </w:p>
        </w:tc>
        <w:tc>
          <w:tcPr>
            <w:tcW w:w="0" w:type="auto"/>
            <w:hideMark/>
          </w:tcPr>
          <w:p w14:paraId="46D5638D"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121,567</w:t>
            </w:r>
          </w:p>
        </w:tc>
        <w:tc>
          <w:tcPr>
            <w:tcW w:w="0" w:type="auto"/>
            <w:hideMark/>
          </w:tcPr>
          <w:p w14:paraId="03590300"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120,359</w:t>
            </w:r>
          </w:p>
        </w:tc>
        <w:tc>
          <w:tcPr>
            <w:tcW w:w="0" w:type="auto"/>
            <w:hideMark/>
          </w:tcPr>
          <w:p w14:paraId="08D4C443" w14:textId="77777777" w:rsidR="00255B1C" w:rsidRPr="00255B1C" w:rsidRDefault="00255B1C" w:rsidP="00255B1C">
            <w:pPr>
              <w:keepNext/>
              <w:spacing w:line="360" w:lineRule="auto"/>
              <w:jc w:val="both"/>
              <w:rPr>
                <w:rFonts w:ascii="Arial" w:hAnsi="Arial" w:cs="Arial"/>
                <w:sz w:val="24"/>
                <w:szCs w:val="24"/>
                <w:lang w:val="en-US"/>
              </w:rPr>
            </w:pPr>
            <w:r w:rsidRPr="00255B1C">
              <w:rPr>
                <w:rFonts w:ascii="Arial" w:hAnsi="Arial" w:cs="Arial"/>
                <w:sz w:val="24"/>
                <w:szCs w:val="24"/>
                <w:lang w:val="en-US"/>
              </w:rPr>
              <w:t>147,333</w:t>
            </w:r>
          </w:p>
        </w:tc>
      </w:tr>
    </w:tbl>
    <w:p w14:paraId="351B9477" w14:textId="420F88D2" w:rsidR="00255B1C" w:rsidRPr="00255B1C" w:rsidRDefault="00255B1C" w:rsidP="00255B1C">
      <w:pPr>
        <w:pStyle w:val="Caption"/>
        <w:rPr>
          <w:rFonts w:ascii="Arial" w:hAnsi="Arial" w:cs="Arial"/>
          <w:sz w:val="24"/>
          <w:szCs w:val="24"/>
          <w:lang w:val="en-US"/>
        </w:rPr>
      </w:pPr>
      <w:bookmarkStart w:id="3" w:name="_Toc217221012"/>
      <w:r>
        <w:t xml:space="preserve">Table </w:t>
      </w:r>
      <w:r>
        <w:fldChar w:fldCharType="begin"/>
      </w:r>
      <w:r>
        <w:instrText xml:space="preserve"> SEQ Table \* ARABIC </w:instrText>
      </w:r>
      <w:r>
        <w:fldChar w:fldCharType="separate"/>
      </w:r>
      <w:r w:rsidR="0078538A">
        <w:rPr>
          <w:noProof/>
        </w:rPr>
        <w:t>1</w:t>
      </w:r>
      <w:r>
        <w:fldChar w:fldCharType="end"/>
      </w:r>
      <w:r>
        <w:t>:</w:t>
      </w:r>
      <w:r w:rsidRPr="001A69DB">
        <w:t>Five-Year Consolidated Financial Summary (£m)</w:t>
      </w:r>
      <w:bookmarkEnd w:id="3"/>
    </w:p>
    <w:p w14:paraId="6A6108AB" w14:textId="332E4786" w:rsidR="00255B1C" w:rsidRPr="00255B1C" w:rsidRDefault="00255B1C" w:rsidP="00255B1C">
      <w:pPr>
        <w:pStyle w:val="Heading2"/>
        <w:rPr>
          <w:lang w:val="en-US"/>
        </w:rPr>
      </w:pPr>
      <w:bookmarkStart w:id="4" w:name="_Toc217246302"/>
      <w:r>
        <w:rPr>
          <w:lang w:val="en-US"/>
        </w:rPr>
        <w:t>1.</w:t>
      </w:r>
      <w:r w:rsidRPr="00255B1C">
        <w:rPr>
          <w:lang w:val="en-US"/>
        </w:rPr>
        <w:t>2 Comprehensive Ratio Analysis</w:t>
      </w:r>
      <w:bookmarkEnd w:id="4"/>
    </w:p>
    <w:p w14:paraId="279678BD" w14:textId="77777777" w:rsid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To see the driving forces behind GE's performance, we use standardized financial ratios in five main areas.</w:t>
      </w:r>
    </w:p>
    <w:tbl>
      <w:tblPr>
        <w:tblStyle w:val="TableGrid"/>
        <w:tblW w:w="0" w:type="auto"/>
        <w:tblLook w:val="04A0" w:firstRow="1" w:lastRow="0" w:firstColumn="1" w:lastColumn="0" w:noHBand="0" w:noVBand="1"/>
      </w:tblPr>
      <w:tblGrid>
        <w:gridCol w:w="1537"/>
        <w:gridCol w:w="2511"/>
        <w:gridCol w:w="897"/>
        <w:gridCol w:w="897"/>
        <w:gridCol w:w="817"/>
        <w:gridCol w:w="817"/>
        <w:gridCol w:w="817"/>
      </w:tblGrid>
      <w:tr w:rsidR="00255B1C" w:rsidRPr="00255B1C" w14:paraId="7B52C105" w14:textId="77777777" w:rsidTr="00255B1C">
        <w:tc>
          <w:tcPr>
            <w:tcW w:w="0" w:type="auto"/>
            <w:hideMark/>
          </w:tcPr>
          <w:p w14:paraId="2A45D1DC"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Category</w:t>
            </w:r>
          </w:p>
        </w:tc>
        <w:tc>
          <w:tcPr>
            <w:tcW w:w="0" w:type="auto"/>
            <w:hideMark/>
          </w:tcPr>
          <w:p w14:paraId="5390AB21"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Ratio</w:t>
            </w:r>
          </w:p>
        </w:tc>
        <w:tc>
          <w:tcPr>
            <w:tcW w:w="0" w:type="auto"/>
            <w:hideMark/>
          </w:tcPr>
          <w:p w14:paraId="7001F264"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2024</w:t>
            </w:r>
          </w:p>
        </w:tc>
        <w:tc>
          <w:tcPr>
            <w:tcW w:w="0" w:type="auto"/>
            <w:hideMark/>
          </w:tcPr>
          <w:p w14:paraId="15BCEBA1"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2023</w:t>
            </w:r>
          </w:p>
        </w:tc>
        <w:tc>
          <w:tcPr>
            <w:tcW w:w="0" w:type="auto"/>
            <w:hideMark/>
          </w:tcPr>
          <w:p w14:paraId="0BA8385D"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2022</w:t>
            </w:r>
          </w:p>
        </w:tc>
        <w:tc>
          <w:tcPr>
            <w:tcW w:w="0" w:type="auto"/>
            <w:hideMark/>
          </w:tcPr>
          <w:p w14:paraId="4F86F617"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2021</w:t>
            </w:r>
          </w:p>
        </w:tc>
        <w:tc>
          <w:tcPr>
            <w:tcW w:w="0" w:type="auto"/>
            <w:hideMark/>
          </w:tcPr>
          <w:p w14:paraId="079BB3F0"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2020</w:t>
            </w:r>
          </w:p>
        </w:tc>
      </w:tr>
      <w:tr w:rsidR="00255B1C" w:rsidRPr="00255B1C" w14:paraId="1A86B50D" w14:textId="77777777" w:rsidTr="00255B1C">
        <w:tc>
          <w:tcPr>
            <w:tcW w:w="0" w:type="auto"/>
            <w:hideMark/>
          </w:tcPr>
          <w:p w14:paraId="30C3DDEB"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lastRenderedPageBreak/>
              <w:t>Profitability</w:t>
            </w:r>
          </w:p>
        </w:tc>
        <w:tc>
          <w:tcPr>
            <w:tcW w:w="0" w:type="auto"/>
            <w:hideMark/>
          </w:tcPr>
          <w:p w14:paraId="65255902"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Gross Margin (%)</w:t>
            </w:r>
          </w:p>
        </w:tc>
        <w:tc>
          <w:tcPr>
            <w:tcW w:w="0" w:type="auto"/>
            <w:hideMark/>
          </w:tcPr>
          <w:p w14:paraId="64D49D5B"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28.87</w:t>
            </w:r>
          </w:p>
        </w:tc>
        <w:tc>
          <w:tcPr>
            <w:tcW w:w="0" w:type="auto"/>
            <w:hideMark/>
          </w:tcPr>
          <w:p w14:paraId="4BA5A10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23.20</w:t>
            </w:r>
          </w:p>
        </w:tc>
        <w:tc>
          <w:tcPr>
            <w:tcW w:w="0" w:type="auto"/>
            <w:hideMark/>
          </w:tcPr>
          <w:p w14:paraId="2C1F2B69"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28.06</w:t>
            </w:r>
          </w:p>
        </w:tc>
        <w:tc>
          <w:tcPr>
            <w:tcW w:w="0" w:type="auto"/>
            <w:hideMark/>
          </w:tcPr>
          <w:p w14:paraId="42D138E1"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28.76</w:t>
            </w:r>
          </w:p>
        </w:tc>
        <w:tc>
          <w:tcPr>
            <w:tcW w:w="0" w:type="auto"/>
            <w:hideMark/>
          </w:tcPr>
          <w:p w14:paraId="6F7FF27E"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28.67</w:t>
            </w:r>
          </w:p>
        </w:tc>
      </w:tr>
      <w:tr w:rsidR="00255B1C" w:rsidRPr="00255B1C" w14:paraId="3EC82303" w14:textId="77777777" w:rsidTr="00255B1C">
        <w:tc>
          <w:tcPr>
            <w:tcW w:w="0" w:type="auto"/>
            <w:hideMark/>
          </w:tcPr>
          <w:p w14:paraId="3CDC6F24" w14:textId="77777777" w:rsidR="00255B1C" w:rsidRPr="00255B1C" w:rsidRDefault="00255B1C" w:rsidP="00255B1C">
            <w:pPr>
              <w:spacing w:line="360" w:lineRule="auto"/>
              <w:jc w:val="both"/>
              <w:rPr>
                <w:rFonts w:ascii="Arial" w:hAnsi="Arial" w:cs="Arial"/>
                <w:sz w:val="24"/>
                <w:szCs w:val="24"/>
                <w:lang w:val="en-US"/>
              </w:rPr>
            </w:pPr>
          </w:p>
        </w:tc>
        <w:tc>
          <w:tcPr>
            <w:tcW w:w="0" w:type="auto"/>
            <w:hideMark/>
          </w:tcPr>
          <w:p w14:paraId="6FA0937D"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Operating Margin (%)</w:t>
            </w:r>
          </w:p>
        </w:tc>
        <w:tc>
          <w:tcPr>
            <w:tcW w:w="0" w:type="auto"/>
            <w:hideMark/>
          </w:tcPr>
          <w:p w14:paraId="7E471353"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-3.87</w:t>
            </w:r>
          </w:p>
        </w:tc>
        <w:tc>
          <w:tcPr>
            <w:tcW w:w="0" w:type="auto"/>
            <w:hideMark/>
          </w:tcPr>
          <w:p w14:paraId="07BD4D2B"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-20.29</w:t>
            </w:r>
          </w:p>
        </w:tc>
        <w:tc>
          <w:tcPr>
            <w:tcW w:w="0" w:type="auto"/>
            <w:hideMark/>
          </w:tcPr>
          <w:p w14:paraId="04462166"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2.68</w:t>
            </w:r>
          </w:p>
        </w:tc>
        <w:tc>
          <w:tcPr>
            <w:tcW w:w="0" w:type="auto"/>
            <w:hideMark/>
          </w:tcPr>
          <w:p w14:paraId="117BF111"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3.87</w:t>
            </w:r>
          </w:p>
        </w:tc>
        <w:tc>
          <w:tcPr>
            <w:tcW w:w="0" w:type="auto"/>
            <w:hideMark/>
          </w:tcPr>
          <w:p w14:paraId="5ADBD6B1"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6.06</w:t>
            </w:r>
          </w:p>
        </w:tc>
      </w:tr>
      <w:tr w:rsidR="00255B1C" w:rsidRPr="00255B1C" w14:paraId="497431BD" w14:textId="77777777" w:rsidTr="00255B1C">
        <w:tc>
          <w:tcPr>
            <w:tcW w:w="0" w:type="auto"/>
            <w:hideMark/>
          </w:tcPr>
          <w:p w14:paraId="1EF3F459" w14:textId="77777777" w:rsidR="00255B1C" w:rsidRPr="00255B1C" w:rsidRDefault="00255B1C" w:rsidP="00255B1C">
            <w:pPr>
              <w:spacing w:line="360" w:lineRule="auto"/>
              <w:jc w:val="both"/>
              <w:rPr>
                <w:rFonts w:ascii="Arial" w:hAnsi="Arial" w:cs="Arial"/>
                <w:sz w:val="24"/>
                <w:szCs w:val="24"/>
                <w:lang w:val="en-US"/>
              </w:rPr>
            </w:pPr>
          </w:p>
        </w:tc>
        <w:tc>
          <w:tcPr>
            <w:tcW w:w="0" w:type="auto"/>
            <w:hideMark/>
          </w:tcPr>
          <w:p w14:paraId="0FF1AE09"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Net Margin (%)</w:t>
            </w:r>
          </w:p>
        </w:tc>
        <w:tc>
          <w:tcPr>
            <w:tcW w:w="0" w:type="auto"/>
            <w:hideMark/>
          </w:tcPr>
          <w:p w14:paraId="45AE4F7C"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-6.08</w:t>
            </w:r>
          </w:p>
        </w:tc>
        <w:tc>
          <w:tcPr>
            <w:tcW w:w="0" w:type="auto"/>
            <w:hideMark/>
          </w:tcPr>
          <w:p w14:paraId="4B2C1513"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-23.36</w:t>
            </w:r>
          </w:p>
        </w:tc>
        <w:tc>
          <w:tcPr>
            <w:tcW w:w="0" w:type="auto"/>
            <w:hideMark/>
          </w:tcPr>
          <w:p w14:paraId="75314940"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0.07</w:t>
            </w:r>
          </w:p>
        </w:tc>
        <w:tc>
          <w:tcPr>
            <w:tcW w:w="0" w:type="auto"/>
            <w:hideMark/>
          </w:tcPr>
          <w:p w14:paraId="7ED403CC"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0.88</w:t>
            </w:r>
          </w:p>
        </w:tc>
        <w:tc>
          <w:tcPr>
            <w:tcW w:w="0" w:type="auto"/>
            <w:hideMark/>
          </w:tcPr>
          <w:p w14:paraId="26A2AA83"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6.27</w:t>
            </w:r>
          </w:p>
        </w:tc>
      </w:tr>
      <w:tr w:rsidR="00255B1C" w:rsidRPr="00255B1C" w14:paraId="089C2E25" w14:textId="77777777" w:rsidTr="00255B1C">
        <w:tc>
          <w:tcPr>
            <w:tcW w:w="0" w:type="auto"/>
            <w:hideMark/>
          </w:tcPr>
          <w:p w14:paraId="09A50AD0" w14:textId="77777777" w:rsidR="00255B1C" w:rsidRPr="00255B1C" w:rsidRDefault="00255B1C" w:rsidP="00255B1C">
            <w:pPr>
              <w:spacing w:line="360" w:lineRule="auto"/>
              <w:jc w:val="both"/>
              <w:rPr>
                <w:rFonts w:ascii="Arial" w:hAnsi="Arial" w:cs="Arial"/>
                <w:sz w:val="24"/>
                <w:szCs w:val="24"/>
                <w:lang w:val="en-US"/>
              </w:rPr>
            </w:pPr>
          </w:p>
        </w:tc>
        <w:tc>
          <w:tcPr>
            <w:tcW w:w="0" w:type="auto"/>
            <w:hideMark/>
          </w:tcPr>
          <w:p w14:paraId="1B9C774D"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ROE (%)</w:t>
            </w:r>
          </w:p>
        </w:tc>
        <w:tc>
          <w:tcPr>
            <w:tcW w:w="0" w:type="auto"/>
            <w:hideMark/>
          </w:tcPr>
          <w:p w14:paraId="5C997F1E"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-15.69</w:t>
            </w:r>
          </w:p>
        </w:tc>
        <w:tc>
          <w:tcPr>
            <w:tcW w:w="0" w:type="auto"/>
            <w:hideMark/>
          </w:tcPr>
          <w:p w14:paraId="07AE79F1"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-54.91</w:t>
            </w:r>
          </w:p>
        </w:tc>
        <w:tc>
          <w:tcPr>
            <w:tcW w:w="0" w:type="auto"/>
            <w:hideMark/>
          </w:tcPr>
          <w:p w14:paraId="4B88D66F"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0.15</w:t>
            </w:r>
          </w:p>
        </w:tc>
        <w:tc>
          <w:tcPr>
            <w:tcW w:w="0" w:type="auto"/>
            <w:hideMark/>
          </w:tcPr>
          <w:p w14:paraId="5B974FE4"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1.92</w:t>
            </w:r>
          </w:p>
        </w:tc>
        <w:tc>
          <w:tcPr>
            <w:tcW w:w="0" w:type="auto"/>
            <w:hideMark/>
          </w:tcPr>
          <w:p w14:paraId="56E0C96D"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12.31</w:t>
            </w:r>
          </w:p>
        </w:tc>
      </w:tr>
      <w:tr w:rsidR="00255B1C" w:rsidRPr="00255B1C" w14:paraId="7447280B" w14:textId="77777777" w:rsidTr="00255B1C">
        <w:tc>
          <w:tcPr>
            <w:tcW w:w="0" w:type="auto"/>
            <w:hideMark/>
          </w:tcPr>
          <w:p w14:paraId="6AA30938"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Liquidity</w:t>
            </w:r>
          </w:p>
        </w:tc>
        <w:tc>
          <w:tcPr>
            <w:tcW w:w="0" w:type="auto"/>
            <w:hideMark/>
          </w:tcPr>
          <w:p w14:paraId="0BA5AA00"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Current Ratio</w:t>
            </w:r>
          </w:p>
        </w:tc>
        <w:tc>
          <w:tcPr>
            <w:tcW w:w="0" w:type="auto"/>
            <w:hideMark/>
          </w:tcPr>
          <w:p w14:paraId="6D7770C1"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1.53</w:t>
            </w:r>
          </w:p>
        </w:tc>
        <w:tc>
          <w:tcPr>
            <w:tcW w:w="0" w:type="auto"/>
            <w:hideMark/>
          </w:tcPr>
          <w:p w14:paraId="1A2D8324"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1.61</w:t>
            </w:r>
          </w:p>
        </w:tc>
        <w:tc>
          <w:tcPr>
            <w:tcW w:w="0" w:type="auto"/>
            <w:hideMark/>
          </w:tcPr>
          <w:p w14:paraId="5F0CCCA0"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1.56</w:t>
            </w:r>
          </w:p>
        </w:tc>
        <w:tc>
          <w:tcPr>
            <w:tcW w:w="0" w:type="auto"/>
            <w:hideMark/>
          </w:tcPr>
          <w:p w14:paraId="0912FA1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1.56</w:t>
            </w:r>
          </w:p>
        </w:tc>
        <w:tc>
          <w:tcPr>
            <w:tcW w:w="0" w:type="auto"/>
            <w:hideMark/>
          </w:tcPr>
          <w:p w14:paraId="3810B6F2"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1.82</w:t>
            </w:r>
          </w:p>
        </w:tc>
      </w:tr>
      <w:tr w:rsidR="00255B1C" w:rsidRPr="00255B1C" w14:paraId="41FFDC21" w14:textId="77777777" w:rsidTr="00255B1C">
        <w:tc>
          <w:tcPr>
            <w:tcW w:w="0" w:type="auto"/>
            <w:hideMark/>
          </w:tcPr>
          <w:p w14:paraId="68D82ECC" w14:textId="77777777" w:rsidR="00255B1C" w:rsidRPr="00255B1C" w:rsidRDefault="00255B1C" w:rsidP="00255B1C">
            <w:pPr>
              <w:spacing w:line="360" w:lineRule="auto"/>
              <w:jc w:val="both"/>
              <w:rPr>
                <w:rFonts w:ascii="Arial" w:hAnsi="Arial" w:cs="Arial"/>
                <w:sz w:val="24"/>
                <w:szCs w:val="24"/>
                <w:lang w:val="en-US"/>
              </w:rPr>
            </w:pPr>
          </w:p>
        </w:tc>
        <w:tc>
          <w:tcPr>
            <w:tcW w:w="0" w:type="auto"/>
            <w:hideMark/>
          </w:tcPr>
          <w:p w14:paraId="48882B3D"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Quick Ratio</w:t>
            </w:r>
          </w:p>
        </w:tc>
        <w:tc>
          <w:tcPr>
            <w:tcW w:w="0" w:type="auto"/>
            <w:hideMark/>
          </w:tcPr>
          <w:p w14:paraId="2AEFA8EA"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1.03</w:t>
            </w:r>
          </w:p>
        </w:tc>
        <w:tc>
          <w:tcPr>
            <w:tcW w:w="0" w:type="auto"/>
            <w:hideMark/>
          </w:tcPr>
          <w:p w14:paraId="472FE61C"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1.06</w:t>
            </w:r>
          </w:p>
        </w:tc>
        <w:tc>
          <w:tcPr>
            <w:tcW w:w="0" w:type="auto"/>
            <w:hideMark/>
          </w:tcPr>
          <w:p w14:paraId="139B967E"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0.91</w:t>
            </w:r>
          </w:p>
        </w:tc>
        <w:tc>
          <w:tcPr>
            <w:tcW w:w="0" w:type="auto"/>
            <w:hideMark/>
          </w:tcPr>
          <w:p w14:paraId="52E91CD7"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0.94</w:t>
            </w:r>
          </w:p>
        </w:tc>
        <w:tc>
          <w:tcPr>
            <w:tcW w:w="0" w:type="auto"/>
            <w:hideMark/>
          </w:tcPr>
          <w:p w14:paraId="54043F5E"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1.15</w:t>
            </w:r>
          </w:p>
        </w:tc>
      </w:tr>
      <w:tr w:rsidR="00255B1C" w:rsidRPr="00255B1C" w14:paraId="7072FF7B" w14:textId="77777777" w:rsidTr="00255B1C">
        <w:tc>
          <w:tcPr>
            <w:tcW w:w="0" w:type="auto"/>
            <w:hideMark/>
          </w:tcPr>
          <w:p w14:paraId="0FACB5CF"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Efficiency</w:t>
            </w:r>
          </w:p>
        </w:tc>
        <w:tc>
          <w:tcPr>
            <w:tcW w:w="0" w:type="auto"/>
            <w:hideMark/>
          </w:tcPr>
          <w:p w14:paraId="6FC7752D"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Asset Turnover</w:t>
            </w:r>
          </w:p>
        </w:tc>
        <w:tc>
          <w:tcPr>
            <w:tcW w:w="0" w:type="auto"/>
            <w:hideMark/>
          </w:tcPr>
          <w:p w14:paraId="51E73B47"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1.22</w:t>
            </w:r>
          </w:p>
        </w:tc>
        <w:tc>
          <w:tcPr>
            <w:tcW w:w="0" w:type="auto"/>
            <w:hideMark/>
          </w:tcPr>
          <w:p w14:paraId="2ED9FD6B"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1.18</w:t>
            </w:r>
          </w:p>
        </w:tc>
        <w:tc>
          <w:tcPr>
            <w:tcW w:w="0" w:type="auto"/>
            <w:hideMark/>
          </w:tcPr>
          <w:p w14:paraId="7BDBB78D"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1.08</w:t>
            </w:r>
          </w:p>
        </w:tc>
        <w:tc>
          <w:tcPr>
            <w:tcW w:w="0" w:type="auto"/>
            <w:hideMark/>
          </w:tcPr>
          <w:p w14:paraId="371D9994"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1.18</w:t>
            </w:r>
          </w:p>
        </w:tc>
        <w:tc>
          <w:tcPr>
            <w:tcW w:w="0" w:type="auto"/>
            <w:hideMark/>
          </w:tcPr>
          <w:p w14:paraId="05999843"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1.20</w:t>
            </w:r>
          </w:p>
        </w:tc>
      </w:tr>
      <w:tr w:rsidR="00255B1C" w:rsidRPr="00255B1C" w14:paraId="2C4D40F1" w14:textId="77777777" w:rsidTr="00255B1C">
        <w:tc>
          <w:tcPr>
            <w:tcW w:w="0" w:type="auto"/>
            <w:hideMark/>
          </w:tcPr>
          <w:p w14:paraId="06BFF3EB" w14:textId="77777777" w:rsidR="00255B1C" w:rsidRPr="00255B1C" w:rsidRDefault="00255B1C" w:rsidP="00255B1C">
            <w:pPr>
              <w:spacing w:line="360" w:lineRule="auto"/>
              <w:jc w:val="both"/>
              <w:rPr>
                <w:rFonts w:ascii="Arial" w:hAnsi="Arial" w:cs="Arial"/>
                <w:sz w:val="24"/>
                <w:szCs w:val="24"/>
                <w:lang w:val="en-US"/>
              </w:rPr>
            </w:pPr>
          </w:p>
        </w:tc>
        <w:tc>
          <w:tcPr>
            <w:tcW w:w="0" w:type="auto"/>
            <w:hideMark/>
          </w:tcPr>
          <w:p w14:paraId="0CFD36F2"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Inventory Turnover</w:t>
            </w:r>
          </w:p>
        </w:tc>
        <w:tc>
          <w:tcPr>
            <w:tcW w:w="0" w:type="auto"/>
            <w:hideMark/>
          </w:tcPr>
          <w:p w14:paraId="69319AB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3.54</w:t>
            </w:r>
          </w:p>
        </w:tc>
        <w:tc>
          <w:tcPr>
            <w:tcW w:w="0" w:type="auto"/>
            <w:hideMark/>
          </w:tcPr>
          <w:p w14:paraId="2F0905D2"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3.66</w:t>
            </w:r>
          </w:p>
        </w:tc>
        <w:tc>
          <w:tcPr>
            <w:tcW w:w="0" w:type="auto"/>
            <w:hideMark/>
          </w:tcPr>
          <w:p w14:paraId="08310AA1"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2.79</w:t>
            </w:r>
          </w:p>
        </w:tc>
        <w:tc>
          <w:tcPr>
            <w:tcW w:w="0" w:type="auto"/>
            <w:hideMark/>
          </w:tcPr>
          <w:p w14:paraId="5C7184F3"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3.19</w:t>
            </w:r>
          </w:p>
        </w:tc>
        <w:tc>
          <w:tcPr>
            <w:tcW w:w="0" w:type="auto"/>
            <w:hideMark/>
          </w:tcPr>
          <w:p w14:paraId="0A063C8A"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3.64</w:t>
            </w:r>
          </w:p>
        </w:tc>
      </w:tr>
      <w:tr w:rsidR="00255B1C" w:rsidRPr="00255B1C" w14:paraId="35EBAB60" w14:textId="77777777" w:rsidTr="00255B1C">
        <w:tc>
          <w:tcPr>
            <w:tcW w:w="0" w:type="auto"/>
            <w:hideMark/>
          </w:tcPr>
          <w:p w14:paraId="2AC129FB"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Gearing</w:t>
            </w:r>
          </w:p>
        </w:tc>
        <w:tc>
          <w:tcPr>
            <w:tcW w:w="0" w:type="auto"/>
            <w:hideMark/>
          </w:tcPr>
          <w:p w14:paraId="4F744026"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Debt-to-Equity</w:t>
            </w:r>
          </w:p>
        </w:tc>
        <w:tc>
          <w:tcPr>
            <w:tcW w:w="0" w:type="auto"/>
            <w:hideMark/>
          </w:tcPr>
          <w:p w14:paraId="39CDD3F6"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1.11</w:t>
            </w:r>
          </w:p>
        </w:tc>
        <w:tc>
          <w:tcPr>
            <w:tcW w:w="0" w:type="auto"/>
            <w:hideMark/>
          </w:tcPr>
          <w:p w14:paraId="28495C43"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0.99</w:t>
            </w:r>
          </w:p>
        </w:tc>
        <w:tc>
          <w:tcPr>
            <w:tcW w:w="0" w:type="auto"/>
            <w:hideMark/>
          </w:tcPr>
          <w:p w14:paraId="21652C4A"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0.88</w:t>
            </w:r>
          </w:p>
        </w:tc>
        <w:tc>
          <w:tcPr>
            <w:tcW w:w="0" w:type="auto"/>
            <w:hideMark/>
          </w:tcPr>
          <w:p w14:paraId="4160E45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0.85</w:t>
            </w:r>
          </w:p>
        </w:tc>
        <w:tc>
          <w:tcPr>
            <w:tcW w:w="0" w:type="auto"/>
            <w:hideMark/>
          </w:tcPr>
          <w:p w14:paraId="3D24555D"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0.63</w:t>
            </w:r>
          </w:p>
        </w:tc>
      </w:tr>
      <w:tr w:rsidR="00255B1C" w:rsidRPr="00255B1C" w14:paraId="54790D07" w14:textId="77777777" w:rsidTr="00255B1C">
        <w:tc>
          <w:tcPr>
            <w:tcW w:w="0" w:type="auto"/>
            <w:hideMark/>
          </w:tcPr>
          <w:p w14:paraId="2D1A4C81" w14:textId="77777777" w:rsidR="00255B1C" w:rsidRPr="00255B1C" w:rsidRDefault="00255B1C" w:rsidP="00255B1C">
            <w:pPr>
              <w:spacing w:line="360" w:lineRule="auto"/>
              <w:jc w:val="both"/>
              <w:rPr>
                <w:rFonts w:ascii="Arial" w:hAnsi="Arial" w:cs="Arial"/>
                <w:sz w:val="24"/>
                <w:szCs w:val="24"/>
                <w:lang w:val="en-US"/>
              </w:rPr>
            </w:pPr>
          </w:p>
        </w:tc>
        <w:tc>
          <w:tcPr>
            <w:tcW w:w="0" w:type="auto"/>
            <w:hideMark/>
          </w:tcPr>
          <w:p w14:paraId="64F5C767"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Gearing Ratio (%)</w:t>
            </w:r>
          </w:p>
        </w:tc>
        <w:tc>
          <w:tcPr>
            <w:tcW w:w="0" w:type="auto"/>
            <w:hideMark/>
          </w:tcPr>
          <w:p w14:paraId="43EFB2C1"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52.65</w:t>
            </w:r>
          </w:p>
        </w:tc>
        <w:tc>
          <w:tcPr>
            <w:tcW w:w="0" w:type="auto"/>
            <w:hideMark/>
          </w:tcPr>
          <w:p w14:paraId="5DA96503"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49.72</w:t>
            </w:r>
          </w:p>
        </w:tc>
        <w:tc>
          <w:tcPr>
            <w:tcW w:w="0" w:type="auto"/>
            <w:hideMark/>
          </w:tcPr>
          <w:p w14:paraId="46950832"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46.76</w:t>
            </w:r>
          </w:p>
        </w:tc>
        <w:tc>
          <w:tcPr>
            <w:tcW w:w="0" w:type="auto"/>
            <w:hideMark/>
          </w:tcPr>
          <w:p w14:paraId="5E68336A"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45.93</w:t>
            </w:r>
          </w:p>
        </w:tc>
        <w:tc>
          <w:tcPr>
            <w:tcW w:w="0" w:type="auto"/>
            <w:hideMark/>
          </w:tcPr>
          <w:p w14:paraId="5E894DC3"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38.60</w:t>
            </w:r>
          </w:p>
        </w:tc>
      </w:tr>
      <w:tr w:rsidR="00255B1C" w:rsidRPr="00255B1C" w14:paraId="080C1538" w14:textId="77777777" w:rsidTr="00255B1C">
        <w:tc>
          <w:tcPr>
            <w:tcW w:w="0" w:type="auto"/>
            <w:hideMark/>
          </w:tcPr>
          <w:p w14:paraId="42F5A18E"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Investment</w:t>
            </w:r>
          </w:p>
        </w:tc>
        <w:tc>
          <w:tcPr>
            <w:tcW w:w="0" w:type="auto"/>
            <w:hideMark/>
          </w:tcPr>
          <w:p w14:paraId="6443A08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Basic EPS (£)</w:t>
            </w:r>
          </w:p>
        </w:tc>
        <w:tc>
          <w:tcPr>
            <w:tcW w:w="0" w:type="auto"/>
            <w:hideMark/>
          </w:tcPr>
          <w:p w14:paraId="117209A7"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-1.85</w:t>
            </w:r>
          </w:p>
        </w:tc>
        <w:tc>
          <w:tcPr>
            <w:tcW w:w="0" w:type="auto"/>
            <w:hideMark/>
          </w:tcPr>
          <w:p w14:paraId="5EE8FE6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-7.64</w:t>
            </w:r>
          </w:p>
        </w:tc>
        <w:tc>
          <w:tcPr>
            <w:tcW w:w="0" w:type="auto"/>
            <w:hideMark/>
          </w:tcPr>
          <w:p w14:paraId="2B744168"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0.03</w:t>
            </w:r>
          </w:p>
        </w:tc>
        <w:tc>
          <w:tcPr>
            <w:tcW w:w="0" w:type="auto"/>
            <w:hideMark/>
          </w:tcPr>
          <w:p w14:paraId="25FE0F0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0.39</w:t>
            </w:r>
          </w:p>
        </w:tc>
        <w:tc>
          <w:tcPr>
            <w:tcW w:w="0" w:type="auto"/>
            <w:hideMark/>
          </w:tcPr>
          <w:p w14:paraId="1E92FD4C" w14:textId="77777777" w:rsidR="00255B1C" w:rsidRPr="00255B1C" w:rsidRDefault="00255B1C" w:rsidP="00255B1C">
            <w:pPr>
              <w:keepNext/>
              <w:spacing w:line="360" w:lineRule="auto"/>
              <w:jc w:val="both"/>
              <w:rPr>
                <w:rFonts w:ascii="Arial" w:hAnsi="Arial" w:cs="Arial"/>
                <w:sz w:val="24"/>
                <w:szCs w:val="24"/>
                <w:lang w:val="en-US"/>
              </w:rPr>
            </w:pPr>
            <w:r w:rsidRPr="00255B1C">
              <w:rPr>
                <w:rFonts w:ascii="Arial" w:hAnsi="Arial" w:cs="Arial"/>
                <w:sz w:val="24"/>
                <w:szCs w:val="24"/>
                <w:lang w:val="en-US"/>
              </w:rPr>
              <w:t>2.78</w:t>
            </w:r>
          </w:p>
        </w:tc>
      </w:tr>
    </w:tbl>
    <w:p w14:paraId="243C54AA" w14:textId="38C9F273" w:rsidR="00255B1C" w:rsidRPr="00255B1C" w:rsidRDefault="00255B1C" w:rsidP="00255B1C">
      <w:pPr>
        <w:pStyle w:val="Caption"/>
        <w:rPr>
          <w:rFonts w:ascii="Arial" w:hAnsi="Arial" w:cs="Arial"/>
          <w:sz w:val="24"/>
          <w:szCs w:val="24"/>
          <w:lang w:val="en-US"/>
        </w:rPr>
      </w:pPr>
      <w:bookmarkStart w:id="5" w:name="_Toc217221013"/>
      <w:r>
        <w:t xml:space="preserve">Table </w:t>
      </w:r>
      <w:r>
        <w:fldChar w:fldCharType="begin"/>
      </w:r>
      <w:r>
        <w:instrText xml:space="preserve"> SEQ Table \* ARABIC </w:instrText>
      </w:r>
      <w:r>
        <w:fldChar w:fldCharType="separate"/>
      </w:r>
      <w:r w:rsidR="0078538A">
        <w:rPr>
          <w:noProof/>
        </w:rPr>
        <w:t>2</w:t>
      </w:r>
      <w:r>
        <w:fldChar w:fldCharType="end"/>
      </w:r>
      <w:r>
        <w:t xml:space="preserve">: </w:t>
      </w:r>
      <w:r w:rsidRPr="00834E71">
        <w:t>Key Financial Ratios (2020–2024)</w:t>
      </w:r>
      <w:bookmarkEnd w:id="5"/>
    </w:p>
    <w:p w14:paraId="52A2C4B9" w14:textId="1839CC2D" w:rsidR="00255B1C" w:rsidRPr="00255B1C" w:rsidRDefault="00255B1C" w:rsidP="000712B7">
      <w:pPr>
        <w:pStyle w:val="Heading2"/>
        <w:rPr>
          <w:lang w:val="en-US"/>
        </w:rPr>
      </w:pPr>
      <w:bookmarkStart w:id="6" w:name="_Toc217246303"/>
      <w:r>
        <w:rPr>
          <w:lang w:val="en-US"/>
        </w:rPr>
        <w:t>1.</w:t>
      </w:r>
      <w:r w:rsidRPr="00255B1C">
        <w:rPr>
          <w:lang w:val="en-US"/>
        </w:rPr>
        <w:t>3 Strengths, Trend Analysis, and Threats</w:t>
      </w:r>
      <w:bookmarkEnd w:id="6"/>
    </w:p>
    <w:p w14:paraId="4961D3C9" w14:textId="4C5D4B6F" w:rsidR="00255B1C" w:rsidRPr="00255B1C" w:rsidRDefault="0093166F" w:rsidP="006A1DC4">
      <w:pPr>
        <w:pStyle w:val="Heading3"/>
        <w:rPr>
          <w:lang w:val="en-US"/>
        </w:rPr>
      </w:pPr>
      <w:bookmarkStart w:id="7" w:name="_Toc217246304"/>
      <w:r>
        <w:rPr>
          <w:lang w:val="en-US"/>
        </w:rPr>
        <w:t>1.</w:t>
      </w:r>
      <w:r w:rsidR="00255B1C" w:rsidRPr="00255B1C">
        <w:rPr>
          <w:lang w:val="en-US"/>
        </w:rPr>
        <w:t>3.1 Performance Trends</w:t>
      </w:r>
      <w:bookmarkEnd w:id="7"/>
    </w:p>
    <w:p w14:paraId="32A517D1" w14:textId="77777777" w:rsidR="00B21842" w:rsidRPr="00B21842" w:rsidRDefault="00B21842" w:rsidP="00B21842">
      <w:pPr>
        <w:spacing w:line="360" w:lineRule="auto"/>
        <w:jc w:val="both"/>
        <w:rPr>
          <w:rFonts w:ascii="Arial" w:hAnsi="Arial" w:cs="Arial"/>
          <w:sz w:val="24"/>
          <w:szCs w:val="24"/>
          <w:lang w:val="en-US"/>
        </w:rPr>
      </w:pPr>
      <w:r w:rsidRPr="00B21842">
        <w:rPr>
          <w:rFonts w:ascii="Arial" w:hAnsi="Arial" w:cs="Arial"/>
          <w:sz w:val="24"/>
          <w:szCs w:val="24"/>
          <w:lang w:val="en-US"/>
        </w:rPr>
        <w:t>If sales were to decrease and margins were to collapse, this would be the most terrifying event. During the year 2020, when there was a rise in electronic purchases due to the pandemic, sales reached their greatest point (Statista, 2024). However, as shown in Table 1, there would be a significant decrease in income of 35.7 percent by the year 2024. According to Bloomberg (2023), this dip is the result of an industry-wide hangover that occurred following the pandemic, during which customer interest in personal computers and tablets decreased.</w:t>
      </w:r>
    </w:p>
    <w:p w14:paraId="1C4402B6" w14:textId="028F7A2E" w:rsidR="00255B1C" w:rsidRPr="00255B1C" w:rsidRDefault="00B21842" w:rsidP="00B21842">
      <w:pPr>
        <w:spacing w:line="360" w:lineRule="auto"/>
        <w:jc w:val="both"/>
        <w:rPr>
          <w:rFonts w:ascii="Arial" w:hAnsi="Arial" w:cs="Arial"/>
          <w:sz w:val="24"/>
          <w:szCs w:val="24"/>
          <w:lang w:val="en-US"/>
        </w:rPr>
      </w:pPr>
      <w:r w:rsidRPr="00B21842">
        <w:rPr>
          <w:rFonts w:ascii="Arial" w:hAnsi="Arial" w:cs="Arial"/>
          <w:sz w:val="24"/>
          <w:szCs w:val="24"/>
          <w:lang w:val="en-US"/>
        </w:rPr>
        <w:t>An outlier is the Operating Loss in 2023, which is estimated to be 85.3 billion pounds. This suggests that there is a significant amount of impairment charges or structural pivot failure. Furthermore, the negative return on equity (-15.69) implies that the firm is destroying shareholder wealth rather than creating it (Harvard Business Review, 2021). This is despite the fact that the shareholders of 2024 have seen a little decrease in losses.</w:t>
      </w:r>
    </w:p>
    <w:p w14:paraId="7828C14D" w14:textId="2DFDF6DE" w:rsidR="00255B1C" w:rsidRPr="00255B1C" w:rsidRDefault="006A1DC4" w:rsidP="006A1DC4">
      <w:pPr>
        <w:pStyle w:val="Heading3"/>
        <w:rPr>
          <w:lang w:val="en-US"/>
        </w:rPr>
      </w:pPr>
      <w:bookmarkStart w:id="8" w:name="_Toc217246305"/>
      <w:r>
        <w:rPr>
          <w:lang w:val="en-US"/>
        </w:rPr>
        <w:lastRenderedPageBreak/>
        <w:t>1.</w:t>
      </w:r>
      <w:r w:rsidR="00255B1C" w:rsidRPr="00255B1C">
        <w:rPr>
          <w:lang w:val="en-US"/>
        </w:rPr>
        <w:t>3.2 Strengths</w:t>
      </w:r>
      <w:bookmarkEnd w:id="8"/>
    </w:p>
    <w:p w14:paraId="4E8CA839" w14:textId="77777777" w:rsidR="00255B1C" w:rsidRPr="006A1DC4" w:rsidRDefault="00255B1C" w:rsidP="000A0858">
      <w:pPr>
        <w:pStyle w:val="ListParagraph"/>
        <w:numPr>
          <w:ilvl w:val="0"/>
          <w:numId w:val="23"/>
        </w:numPr>
        <w:spacing w:line="360" w:lineRule="auto"/>
        <w:jc w:val="both"/>
        <w:rPr>
          <w:rFonts w:ascii="Arial" w:hAnsi="Arial" w:cs="Arial"/>
          <w:sz w:val="24"/>
          <w:szCs w:val="24"/>
          <w:lang w:val="en-US"/>
        </w:rPr>
      </w:pPr>
      <w:r w:rsidRPr="006A1DC4">
        <w:rPr>
          <w:rFonts w:ascii="Arial" w:hAnsi="Arial" w:cs="Arial"/>
          <w:b/>
          <w:bCs/>
          <w:sz w:val="24"/>
          <w:szCs w:val="24"/>
          <w:lang w:val="en-US"/>
        </w:rPr>
        <w:t>Liquidity Resilience:</w:t>
      </w:r>
      <w:r w:rsidRPr="006A1DC4">
        <w:rPr>
          <w:rFonts w:ascii="Arial" w:hAnsi="Arial" w:cs="Arial"/>
          <w:sz w:val="24"/>
          <w:szCs w:val="24"/>
          <w:lang w:val="en-US"/>
        </w:rPr>
        <w:t xml:space="preserve"> GE has had a Current Ratio of more than 1.5 despite incurring massive losses. This implies that the company is not in a cash-out time-sensitive situation and that the company has sufficient short-term assets to meet liabilities.</w:t>
      </w:r>
    </w:p>
    <w:p w14:paraId="051E794A" w14:textId="77777777" w:rsidR="00255B1C" w:rsidRPr="006A1DC4" w:rsidRDefault="00255B1C" w:rsidP="000A0858">
      <w:pPr>
        <w:pStyle w:val="ListParagraph"/>
        <w:numPr>
          <w:ilvl w:val="0"/>
          <w:numId w:val="23"/>
        </w:numPr>
        <w:spacing w:line="360" w:lineRule="auto"/>
        <w:jc w:val="both"/>
        <w:rPr>
          <w:rFonts w:ascii="Arial" w:hAnsi="Arial" w:cs="Arial"/>
          <w:sz w:val="24"/>
          <w:szCs w:val="24"/>
          <w:lang w:val="en-US"/>
        </w:rPr>
      </w:pPr>
      <w:r w:rsidRPr="006A1DC4">
        <w:rPr>
          <w:rFonts w:ascii="Arial" w:hAnsi="Arial" w:cs="Arial"/>
          <w:b/>
          <w:bCs/>
          <w:sz w:val="24"/>
          <w:szCs w:val="24"/>
          <w:lang w:val="en-US"/>
        </w:rPr>
        <w:t>Asset Turnover Stability:</w:t>
      </w:r>
      <w:r w:rsidRPr="006A1DC4">
        <w:rPr>
          <w:rFonts w:ascii="Arial" w:hAnsi="Arial" w:cs="Arial"/>
          <w:sz w:val="24"/>
          <w:szCs w:val="24"/>
          <w:lang w:val="en-US"/>
        </w:rPr>
        <w:t xml:space="preserve"> GE has been relatively stable in its capacity to make use of its assets to produce sales (1.22 in 2024 vs 1.20 in 2020). The business is shrinking in size, yet it continues to utilize its remaining assets at the same pace.</w:t>
      </w:r>
    </w:p>
    <w:p w14:paraId="7D1FB28B" w14:textId="1D15D14C" w:rsidR="00255B1C" w:rsidRPr="00255B1C" w:rsidRDefault="006A1DC4" w:rsidP="006A1DC4">
      <w:pPr>
        <w:pStyle w:val="Heading3"/>
        <w:rPr>
          <w:lang w:val="en-US"/>
        </w:rPr>
      </w:pPr>
      <w:bookmarkStart w:id="9" w:name="_Toc217246306"/>
      <w:r>
        <w:rPr>
          <w:lang w:val="en-US"/>
        </w:rPr>
        <w:t>1.</w:t>
      </w:r>
      <w:r w:rsidR="00255B1C" w:rsidRPr="00255B1C">
        <w:rPr>
          <w:lang w:val="en-US"/>
        </w:rPr>
        <w:t>3.3 Threats</w:t>
      </w:r>
      <w:bookmarkEnd w:id="9"/>
    </w:p>
    <w:p w14:paraId="44117435"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Increasing Leverage (Gearing):</w:t>
      </w:r>
      <w:r w:rsidRPr="00255B1C">
        <w:rPr>
          <w:rFonts w:ascii="Arial" w:hAnsi="Arial" w:cs="Arial"/>
          <w:sz w:val="24"/>
          <w:szCs w:val="24"/>
          <w:lang w:val="en-US"/>
        </w:rPr>
        <w:t xml:space="preserve"> The ratio of Debt to Equity has changed to 1.11 as compared to 0.63. According to The Financial Times (2024), the high gearing of consumer electronics companies poses high levels of difficulty in 2025 owing to the continued high-interest rates.</w:t>
      </w:r>
    </w:p>
    <w:p w14:paraId="6CA3FCE1"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Inventory Glut:</w:t>
      </w:r>
      <w:r w:rsidRPr="00255B1C">
        <w:rPr>
          <w:rFonts w:ascii="Arial" w:hAnsi="Arial" w:cs="Arial"/>
          <w:sz w:val="24"/>
          <w:szCs w:val="24"/>
          <w:lang w:val="en-US"/>
        </w:rPr>
        <w:t xml:space="preserve"> The inventory turnover has remained steady, but the value of the inventory (£79.4B) in a shrinking sales environment is dangerous, as it can further be written down in case the products are obsolete (MarketLine, 2024).</w:t>
      </w:r>
    </w:p>
    <w:p w14:paraId="6A292598" w14:textId="6F904906" w:rsidR="00255B1C" w:rsidRPr="00255B1C" w:rsidRDefault="00E668C6" w:rsidP="00E668C6">
      <w:pPr>
        <w:pStyle w:val="Heading2"/>
        <w:rPr>
          <w:lang w:val="en-US"/>
        </w:rPr>
      </w:pPr>
      <w:bookmarkStart w:id="10" w:name="_Toc217246307"/>
      <w:r>
        <w:rPr>
          <w:lang w:val="en-US"/>
        </w:rPr>
        <w:t>1.</w:t>
      </w:r>
      <w:r w:rsidR="00255B1C" w:rsidRPr="00255B1C">
        <w:rPr>
          <w:lang w:val="en-US"/>
        </w:rPr>
        <w:t>4 Corporate Failure Prediction Altman Z-Score</w:t>
      </w:r>
      <w:bookmarkEnd w:id="10"/>
    </w:p>
    <w:p w14:paraId="47941AC0"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To determine the default risk of General Electronics, the Altman Z-Score of 2024 is used. A score of less than 1.8 is a sign of high chances of bankruptcy in the case of a public manufacturing company (Distress Zone).</w:t>
      </w:r>
    </w:p>
    <w:p w14:paraId="17D30C1F" w14:textId="77777777" w:rsid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Z-Score Formula:</w:t>
      </w:r>
    </w:p>
    <w:p w14:paraId="7DB65AA7" w14:textId="77777777" w:rsidR="00AC2230" w:rsidRDefault="00AC2230" w:rsidP="00AC2230">
      <w:pPr>
        <w:spacing w:line="360" w:lineRule="auto"/>
        <w:jc w:val="center"/>
        <w:rPr>
          <w:rFonts w:ascii="Arial" w:hAnsi="Arial" w:cs="Arial"/>
          <w:sz w:val="24"/>
          <w:szCs w:val="24"/>
          <w:lang w:val="en-US"/>
        </w:rPr>
      </w:pPr>
      <w:r>
        <w:rPr>
          <w:rFonts w:ascii="Arial" w:hAnsi="Arial" w:cs="Arial"/>
          <w:sz w:val="24"/>
          <w:szCs w:val="24"/>
          <w:lang w:val="en-US"/>
        </w:rPr>
        <w:t>Z = 1.2</w:t>
      </w: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1</m:t>
            </m:r>
          </m:sub>
        </m:sSub>
      </m:oMath>
      <w:r>
        <w:rPr>
          <w:rFonts w:ascii="Arial" w:hAnsi="Arial" w:cs="Arial"/>
          <w:sz w:val="24"/>
          <w:szCs w:val="24"/>
          <w:lang w:val="en-US"/>
        </w:rPr>
        <w:t xml:space="preserve"> + 1.4</w:t>
      </w: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2</m:t>
            </m:r>
          </m:sub>
        </m:sSub>
      </m:oMath>
      <w:r>
        <w:rPr>
          <w:rFonts w:ascii="Arial" w:hAnsi="Arial" w:cs="Arial"/>
          <w:sz w:val="24"/>
          <w:szCs w:val="24"/>
          <w:lang w:val="en-US"/>
        </w:rPr>
        <w:t xml:space="preserve"> + 3.3</w:t>
      </w: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3</m:t>
            </m:r>
          </m:sub>
        </m:sSub>
      </m:oMath>
      <w:r>
        <w:rPr>
          <w:rFonts w:ascii="Arial" w:hAnsi="Arial" w:cs="Arial"/>
          <w:sz w:val="24"/>
          <w:szCs w:val="24"/>
          <w:lang w:val="en-US"/>
        </w:rPr>
        <w:t xml:space="preserve"> + 0.6</w:t>
      </w: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4</m:t>
            </m:r>
          </m:sub>
        </m:sSub>
      </m:oMath>
      <w:r>
        <w:rPr>
          <w:rFonts w:ascii="Arial" w:hAnsi="Arial" w:cs="Arial"/>
          <w:sz w:val="24"/>
          <w:szCs w:val="24"/>
          <w:lang w:val="en-US"/>
        </w:rPr>
        <w:t xml:space="preserve"> + 1.0</w:t>
      </w: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5</m:t>
            </m:r>
          </m:sub>
        </m:sSub>
      </m:oMath>
    </w:p>
    <w:p w14:paraId="40F47ED7" w14:textId="3A1C559F" w:rsidR="00AC2230" w:rsidRPr="00255B1C" w:rsidRDefault="00B96762" w:rsidP="00255B1C">
      <w:pPr>
        <w:spacing w:line="360" w:lineRule="auto"/>
        <w:jc w:val="both"/>
        <w:rPr>
          <w:rFonts w:ascii="Arial" w:hAnsi="Arial" w:cs="Arial"/>
          <w:sz w:val="24"/>
          <w:szCs w:val="24"/>
          <w:lang w:val="en-US"/>
        </w:rPr>
      </w:pPr>
      <w:r>
        <w:rPr>
          <w:rFonts w:ascii="Arial" w:hAnsi="Arial" w:cs="Arial"/>
          <w:sz w:val="24"/>
          <w:szCs w:val="24"/>
          <w:lang w:val="en-US"/>
        </w:rPr>
        <w:t xml:space="preserve">Calculations for 2024: </w:t>
      </w:r>
    </w:p>
    <w:p w14:paraId="1684C8F9" w14:textId="56122CF8" w:rsidR="00255B1C" w:rsidRPr="00912B37" w:rsidRDefault="002B2DD2" w:rsidP="000A0858">
      <w:pPr>
        <w:pStyle w:val="ListParagraph"/>
        <w:numPr>
          <w:ilvl w:val="0"/>
          <w:numId w:val="24"/>
        </w:numPr>
        <w:spacing w:line="360" w:lineRule="auto"/>
        <w:jc w:val="both"/>
        <w:rPr>
          <w:rFonts w:ascii="Arial" w:hAnsi="Arial" w:cs="Arial"/>
          <w:sz w:val="24"/>
          <w:szCs w:val="24"/>
          <w:lang w:val="en-US"/>
        </w:rPr>
      </w:pPr>
      <m:oMath>
        <m:sSub>
          <m:sSubPr>
            <m:ctrlPr>
              <w:rPr>
                <w:rFonts w:ascii="Cambria Math" w:hAnsi="Cambria Math" w:cs="Arial"/>
                <w:i/>
                <w:sz w:val="32"/>
                <w:szCs w:val="32"/>
                <w:lang w:val="en-US"/>
              </w:rPr>
            </m:ctrlPr>
          </m:sSubPr>
          <m:e>
            <m:r>
              <w:rPr>
                <w:rFonts w:ascii="Cambria Math" w:hAnsi="Cambria Math" w:cs="Arial"/>
                <w:sz w:val="32"/>
                <w:szCs w:val="32"/>
                <w:lang w:val="en-US"/>
              </w:rPr>
              <m:t>x</m:t>
            </m:r>
          </m:e>
          <m:sub>
            <m:r>
              <w:rPr>
                <w:rFonts w:ascii="Cambria Math" w:hAnsi="Cambria Math" w:cs="Arial"/>
                <w:sz w:val="32"/>
                <w:szCs w:val="32"/>
                <w:lang w:val="en-US"/>
              </w:rPr>
              <m:t>1</m:t>
            </m:r>
          </m:sub>
        </m:sSub>
      </m:oMath>
      <w:r w:rsidR="004A04BA" w:rsidRPr="00912B37">
        <w:rPr>
          <w:rFonts w:ascii="Arial" w:hAnsi="Arial" w:cs="Arial"/>
          <w:sz w:val="24"/>
          <w:szCs w:val="24"/>
          <w:lang w:val="en-US"/>
        </w:rPr>
        <w:t xml:space="preserve">: </w:t>
      </w:r>
      <w:r w:rsidR="00255B1C" w:rsidRPr="00912B37">
        <w:rPr>
          <w:rFonts w:ascii="Arial" w:hAnsi="Arial" w:cs="Arial"/>
          <w:sz w:val="24"/>
          <w:szCs w:val="24"/>
          <w:lang w:val="en-US"/>
        </w:rPr>
        <w:t>(Working Capital / Total Assets): 84,203 / 323,354 = 0.260</w:t>
      </w:r>
    </w:p>
    <w:p w14:paraId="7F1EA569" w14:textId="4FF2C89E" w:rsidR="00255B1C" w:rsidRPr="00912B37" w:rsidRDefault="002B2DD2" w:rsidP="000A0858">
      <w:pPr>
        <w:pStyle w:val="ListParagraph"/>
        <w:numPr>
          <w:ilvl w:val="0"/>
          <w:numId w:val="24"/>
        </w:numPr>
        <w:spacing w:line="360" w:lineRule="auto"/>
        <w:jc w:val="both"/>
        <w:rPr>
          <w:rFonts w:ascii="Arial" w:hAnsi="Arial" w:cs="Arial"/>
          <w:sz w:val="24"/>
          <w:szCs w:val="24"/>
          <w:lang w:val="en-US"/>
        </w:rPr>
      </w:pPr>
      <m:oMath>
        <m:sSub>
          <m:sSubPr>
            <m:ctrlPr>
              <w:rPr>
                <w:rFonts w:ascii="Cambria Math" w:hAnsi="Cambria Math" w:cs="Arial"/>
                <w:i/>
                <w:sz w:val="32"/>
                <w:szCs w:val="32"/>
                <w:lang w:val="en-US"/>
              </w:rPr>
            </m:ctrlPr>
          </m:sSubPr>
          <m:e>
            <m:r>
              <w:rPr>
                <w:rFonts w:ascii="Cambria Math" w:hAnsi="Cambria Math" w:cs="Arial"/>
                <w:sz w:val="32"/>
                <w:szCs w:val="32"/>
                <w:lang w:val="en-US"/>
              </w:rPr>
              <m:t>x</m:t>
            </m:r>
          </m:e>
          <m:sub>
            <m:r>
              <w:rPr>
                <w:rFonts w:ascii="Cambria Math" w:hAnsi="Cambria Math" w:cs="Arial"/>
                <w:sz w:val="32"/>
                <w:szCs w:val="32"/>
                <w:lang w:val="en-US"/>
              </w:rPr>
              <m:t>2</m:t>
            </m:r>
          </m:sub>
        </m:sSub>
      </m:oMath>
      <w:r w:rsidR="00255B1C" w:rsidRPr="00912B37">
        <w:rPr>
          <w:rFonts w:ascii="Arial" w:hAnsi="Arial" w:cs="Arial"/>
          <w:sz w:val="24"/>
          <w:szCs w:val="24"/>
          <w:lang w:val="en-US"/>
        </w:rPr>
        <w:t>Retained Earnings / Total Assets): 208,431 / 323,354 = 0.645.</w:t>
      </w:r>
    </w:p>
    <w:p w14:paraId="55BCACBF" w14:textId="0CA486EA" w:rsidR="00255B1C" w:rsidRPr="00912B37" w:rsidRDefault="002B2DD2" w:rsidP="000A0858">
      <w:pPr>
        <w:pStyle w:val="ListParagraph"/>
        <w:numPr>
          <w:ilvl w:val="0"/>
          <w:numId w:val="24"/>
        </w:numPr>
        <w:spacing w:line="360" w:lineRule="auto"/>
        <w:jc w:val="both"/>
        <w:rPr>
          <w:rFonts w:ascii="Arial" w:hAnsi="Arial" w:cs="Arial"/>
          <w:sz w:val="24"/>
          <w:szCs w:val="24"/>
          <w:lang w:val="en-US"/>
        </w:rPr>
      </w:pPr>
      <m:oMath>
        <m:sSub>
          <m:sSubPr>
            <m:ctrlPr>
              <w:rPr>
                <w:rFonts w:ascii="Cambria Math" w:hAnsi="Cambria Math" w:cs="Arial"/>
                <w:i/>
                <w:sz w:val="32"/>
                <w:szCs w:val="32"/>
                <w:lang w:val="en-US"/>
              </w:rPr>
            </m:ctrlPr>
          </m:sSubPr>
          <m:e>
            <m:r>
              <w:rPr>
                <w:rFonts w:ascii="Cambria Math" w:hAnsi="Cambria Math" w:cs="Arial"/>
                <w:sz w:val="32"/>
                <w:szCs w:val="32"/>
                <w:lang w:val="en-US"/>
              </w:rPr>
              <m:t>x</m:t>
            </m:r>
          </m:e>
          <m:sub>
            <m:r>
              <w:rPr>
                <w:rFonts w:ascii="Cambria Math" w:hAnsi="Cambria Math" w:cs="Arial"/>
                <w:sz w:val="32"/>
                <w:szCs w:val="32"/>
                <w:lang w:val="en-US"/>
              </w:rPr>
              <m:t>3</m:t>
            </m:r>
          </m:sub>
        </m:sSub>
      </m:oMath>
      <w:r w:rsidR="00B96762" w:rsidRPr="00912B37">
        <w:rPr>
          <w:rFonts w:ascii="Arial" w:hAnsi="Arial" w:cs="Arial"/>
          <w:sz w:val="32"/>
          <w:szCs w:val="32"/>
          <w:lang w:val="en-US"/>
        </w:rPr>
        <w:t xml:space="preserve"> </w:t>
      </w:r>
      <w:r w:rsidR="00255B1C" w:rsidRPr="00912B37">
        <w:rPr>
          <w:rFonts w:ascii="Arial" w:hAnsi="Arial" w:cs="Arial"/>
          <w:sz w:val="32"/>
          <w:szCs w:val="32"/>
          <w:lang w:val="en-US"/>
        </w:rPr>
        <w:t>(</w:t>
      </w:r>
      <w:r w:rsidR="00255B1C" w:rsidRPr="00912B37">
        <w:rPr>
          <w:rFonts w:ascii="Arial" w:hAnsi="Arial" w:cs="Arial"/>
          <w:sz w:val="24"/>
          <w:szCs w:val="24"/>
          <w:lang w:val="en-US"/>
        </w:rPr>
        <w:t>EBIT / Total Assets): -15,297 / 323,354 = -0.047</w:t>
      </w:r>
    </w:p>
    <w:p w14:paraId="0B1DE00E" w14:textId="2666939E" w:rsidR="00DA6E67" w:rsidRPr="00912B37" w:rsidRDefault="002B2DD2" w:rsidP="000A0858">
      <w:pPr>
        <w:pStyle w:val="ListParagraph"/>
        <w:numPr>
          <w:ilvl w:val="0"/>
          <w:numId w:val="24"/>
        </w:numPr>
        <w:spacing w:line="360" w:lineRule="auto"/>
        <w:jc w:val="both"/>
        <w:rPr>
          <w:rFonts w:ascii="Arial" w:hAnsi="Arial" w:cs="Arial"/>
          <w:sz w:val="24"/>
          <w:szCs w:val="24"/>
          <w:lang w:val="en-US"/>
        </w:rPr>
      </w:pPr>
      <m:oMath>
        <m:sSub>
          <m:sSubPr>
            <m:ctrlPr>
              <w:rPr>
                <w:rFonts w:ascii="Cambria Math" w:hAnsi="Cambria Math" w:cs="Arial"/>
                <w:i/>
                <w:sz w:val="32"/>
                <w:szCs w:val="32"/>
                <w:lang w:val="en-US"/>
              </w:rPr>
            </m:ctrlPr>
          </m:sSubPr>
          <m:e>
            <m:r>
              <w:rPr>
                <w:rFonts w:ascii="Cambria Math" w:hAnsi="Cambria Math" w:cs="Arial"/>
                <w:sz w:val="32"/>
                <w:szCs w:val="32"/>
                <w:lang w:val="en-US"/>
              </w:rPr>
              <m:t>x</m:t>
            </m:r>
          </m:e>
          <m:sub>
            <m:r>
              <w:rPr>
                <w:rFonts w:ascii="Cambria Math" w:hAnsi="Cambria Math" w:cs="Arial"/>
                <w:sz w:val="32"/>
                <w:szCs w:val="32"/>
                <w:lang w:val="en-US"/>
              </w:rPr>
              <m:t>4</m:t>
            </m:r>
          </m:sub>
        </m:sSub>
      </m:oMath>
      <w:r w:rsidR="00DA6E67" w:rsidRPr="00912B37">
        <w:rPr>
          <w:rFonts w:ascii="Arial" w:hAnsi="Arial" w:cs="Arial"/>
          <w:sz w:val="24"/>
          <w:szCs w:val="24"/>
          <w:lang w:val="en-US"/>
        </w:rPr>
        <w:t xml:space="preserve"> </w:t>
      </w:r>
      <w:r w:rsidR="00255B1C" w:rsidRPr="00912B37">
        <w:rPr>
          <w:rFonts w:ascii="Arial" w:hAnsi="Arial" w:cs="Arial"/>
          <w:sz w:val="24"/>
          <w:szCs w:val="24"/>
          <w:lang w:val="en-US"/>
        </w:rPr>
        <w:t xml:space="preserve">(Market Value of Equity/Total Liabilities): 153105/170249=0.899 (Book Value as a proxy) </w:t>
      </w:r>
    </w:p>
    <w:p w14:paraId="423C021D" w14:textId="42B2D273" w:rsidR="00255B1C" w:rsidRPr="00912B37" w:rsidRDefault="002B2DD2" w:rsidP="000A0858">
      <w:pPr>
        <w:pStyle w:val="ListParagraph"/>
        <w:numPr>
          <w:ilvl w:val="0"/>
          <w:numId w:val="24"/>
        </w:numPr>
        <w:spacing w:line="360" w:lineRule="auto"/>
        <w:jc w:val="both"/>
        <w:rPr>
          <w:rFonts w:ascii="Arial" w:hAnsi="Arial" w:cs="Arial"/>
          <w:sz w:val="24"/>
          <w:szCs w:val="24"/>
          <w:lang w:val="en-US"/>
        </w:rPr>
      </w:pPr>
      <m:oMath>
        <m:sSub>
          <m:sSubPr>
            <m:ctrlPr>
              <w:rPr>
                <w:rFonts w:ascii="Cambria Math" w:hAnsi="Cambria Math" w:cs="Arial"/>
                <w:i/>
                <w:sz w:val="32"/>
                <w:szCs w:val="32"/>
                <w:lang w:val="en-US"/>
              </w:rPr>
            </m:ctrlPr>
          </m:sSubPr>
          <m:e>
            <m:r>
              <w:rPr>
                <w:rFonts w:ascii="Cambria Math" w:hAnsi="Cambria Math" w:cs="Arial"/>
                <w:sz w:val="32"/>
                <w:szCs w:val="32"/>
                <w:lang w:val="en-US"/>
              </w:rPr>
              <m:t>x</m:t>
            </m:r>
          </m:e>
          <m:sub>
            <m:r>
              <w:rPr>
                <w:rFonts w:ascii="Cambria Math" w:hAnsi="Cambria Math" w:cs="Arial"/>
                <w:sz w:val="32"/>
                <w:szCs w:val="32"/>
                <w:lang w:val="en-US"/>
              </w:rPr>
              <m:t>5</m:t>
            </m:r>
          </m:sub>
        </m:sSub>
      </m:oMath>
      <w:r w:rsidR="00DA6E67" w:rsidRPr="00912B37">
        <w:rPr>
          <w:rFonts w:ascii="Arial" w:hAnsi="Arial" w:cs="Arial"/>
          <w:sz w:val="24"/>
          <w:szCs w:val="24"/>
          <w:lang w:val="en-US"/>
        </w:rPr>
        <w:t xml:space="preserve"> </w:t>
      </w:r>
      <w:r w:rsidR="00255B1C" w:rsidRPr="00912B37">
        <w:rPr>
          <w:rFonts w:ascii="Arial" w:hAnsi="Arial" w:cs="Arial"/>
          <w:sz w:val="24"/>
          <w:szCs w:val="24"/>
          <w:lang w:val="en-US"/>
        </w:rPr>
        <w:t>(Sales/Total Assets): 394879/323354=1.221.</w:t>
      </w:r>
    </w:p>
    <w:p w14:paraId="1329ED80" w14:textId="77777777" w:rsidR="00255B1C" w:rsidRDefault="00255B1C" w:rsidP="00255B1C">
      <w:pPr>
        <w:spacing w:line="360" w:lineRule="auto"/>
        <w:jc w:val="both"/>
        <w:rPr>
          <w:rFonts w:ascii="Arial" w:hAnsi="Arial" w:cs="Arial"/>
          <w:sz w:val="24"/>
          <w:szCs w:val="24"/>
          <w:lang w:val="en-US"/>
        </w:rPr>
      </w:pPr>
      <w:r w:rsidRPr="00255B1C">
        <w:rPr>
          <w:rFonts w:ascii="Arial" w:hAnsi="Arial" w:cs="Arial"/>
          <w:sz w:val="24"/>
          <w:szCs w:val="24"/>
          <w:lang w:val="en-US"/>
        </w:rPr>
        <w:t>Total Z-Score:</w:t>
      </w:r>
    </w:p>
    <w:p w14:paraId="140C8C9E" w14:textId="42A52AB3" w:rsidR="00236898" w:rsidRPr="00236898" w:rsidRDefault="00236898" w:rsidP="00236898">
      <w:pPr>
        <w:spacing w:line="360" w:lineRule="auto"/>
        <w:jc w:val="center"/>
        <w:rPr>
          <w:rFonts w:ascii="Arial" w:hAnsi="Arial" w:cs="Arial"/>
          <w:sz w:val="24"/>
          <w:szCs w:val="24"/>
          <w:lang w:val="en-US"/>
        </w:rPr>
      </w:pPr>
      <w:r w:rsidRPr="00236898">
        <w:rPr>
          <w:rFonts w:ascii="Arial" w:hAnsi="Arial" w:cs="Arial"/>
          <w:sz w:val="24"/>
          <w:szCs w:val="24"/>
          <w:lang w:val="en-US"/>
        </w:rPr>
        <w:t>Z = 1.2(0.260) + 1.4(0.645) + 3.3(-0.047) + 0.6(0.899) + 1.0(1.221) = 2.82</w:t>
      </w:r>
    </w:p>
    <w:p w14:paraId="2A0C5398" w14:textId="77777777" w:rsidR="00236898" w:rsidRPr="00255B1C" w:rsidRDefault="00236898" w:rsidP="00255B1C">
      <w:pPr>
        <w:spacing w:line="360" w:lineRule="auto"/>
        <w:jc w:val="both"/>
        <w:rPr>
          <w:rFonts w:ascii="Arial" w:hAnsi="Arial" w:cs="Arial"/>
          <w:sz w:val="24"/>
          <w:szCs w:val="24"/>
          <w:lang w:val="en-US"/>
        </w:rPr>
      </w:pPr>
    </w:p>
    <w:p w14:paraId="4A890E9B" w14:textId="77777777" w:rsidR="00255B1C" w:rsidRPr="00255B1C" w:rsidRDefault="00255B1C" w:rsidP="00255B1C">
      <w:pPr>
        <w:spacing w:line="360" w:lineRule="auto"/>
        <w:jc w:val="both"/>
        <w:rPr>
          <w:rFonts w:ascii="Arial" w:hAnsi="Arial" w:cs="Arial"/>
          <w:sz w:val="24"/>
          <w:szCs w:val="24"/>
          <w:lang w:val="en-US"/>
        </w:rPr>
      </w:pPr>
      <w:r w:rsidRPr="00255B1C">
        <w:rPr>
          <w:rFonts w:ascii="Arial" w:hAnsi="Arial" w:cs="Arial"/>
          <w:b/>
          <w:bCs/>
          <w:sz w:val="24"/>
          <w:szCs w:val="24"/>
          <w:lang w:val="en-US"/>
        </w:rPr>
        <w:t>Interpretation:</w:t>
      </w:r>
      <w:r w:rsidRPr="00255B1C">
        <w:rPr>
          <w:rFonts w:ascii="Arial" w:hAnsi="Arial" w:cs="Arial"/>
          <w:sz w:val="24"/>
          <w:szCs w:val="24"/>
          <w:lang w:val="en-US"/>
        </w:rPr>
        <w:t xml:space="preserve"> GE scores 2.82 in the "Grey Zone" (1.8 -3.0). Although not in the immediate "Distress Zone," the score has reduced considerably since 2020 (when it was at around 4.5). The company stands in danger unless profitability resumes in the next 18-24 months (Altman, 2020).</w:t>
      </w:r>
    </w:p>
    <w:p w14:paraId="0702389D" w14:textId="61908B82" w:rsidR="00255B1C" w:rsidRPr="00255B1C" w:rsidRDefault="001C747E" w:rsidP="001C747E">
      <w:pPr>
        <w:pStyle w:val="Heading2"/>
        <w:rPr>
          <w:lang w:val="en-US"/>
        </w:rPr>
      </w:pPr>
      <w:bookmarkStart w:id="11" w:name="_Toc217246308"/>
      <w:r>
        <w:rPr>
          <w:lang w:val="en-US"/>
        </w:rPr>
        <w:t>1.</w:t>
      </w:r>
      <w:r w:rsidR="00255B1C" w:rsidRPr="00255B1C">
        <w:rPr>
          <w:lang w:val="en-US"/>
        </w:rPr>
        <w:t>5 Strategic Analysis and Industry Environment</w:t>
      </w:r>
      <w:bookmarkEnd w:id="11"/>
    </w:p>
    <w:p w14:paraId="06B80428" w14:textId="77777777" w:rsidR="00B21842" w:rsidRPr="00B21842" w:rsidRDefault="00B21842" w:rsidP="00B21842">
      <w:pPr>
        <w:spacing w:line="360" w:lineRule="auto"/>
        <w:jc w:val="both"/>
        <w:rPr>
          <w:rFonts w:ascii="Arial" w:hAnsi="Arial" w:cs="Arial"/>
          <w:sz w:val="24"/>
          <w:szCs w:val="24"/>
          <w:lang w:val="en-US"/>
        </w:rPr>
      </w:pPr>
      <w:r w:rsidRPr="00B21842">
        <w:rPr>
          <w:rFonts w:ascii="Arial" w:hAnsi="Arial" w:cs="Arial"/>
          <w:sz w:val="24"/>
          <w:szCs w:val="24"/>
          <w:lang w:val="en-US"/>
        </w:rPr>
        <w:t>The difficulties that General Electric (GE) is going through are a reflection of the predicament that many older technology-based businesses are in because they are unable to adapt to the shift towards artificial intelligence (AI) and wearables. It is explained by Forbes (2024) that in the year 2024, the globe will not be supplied with the conventional commodity electronics but rather via an ecosystem of integrated artificial intelligence.</w:t>
      </w:r>
    </w:p>
    <w:p w14:paraId="4315879C" w14:textId="53349D99" w:rsidR="00255B1C" w:rsidRPr="00255B1C" w:rsidRDefault="00B21842" w:rsidP="00B21842">
      <w:pPr>
        <w:spacing w:line="360" w:lineRule="auto"/>
        <w:jc w:val="both"/>
        <w:rPr>
          <w:rFonts w:ascii="Arial" w:hAnsi="Arial" w:cs="Arial"/>
          <w:sz w:val="24"/>
          <w:szCs w:val="24"/>
          <w:lang w:val="en-US"/>
        </w:rPr>
      </w:pPr>
      <w:r w:rsidRPr="00B21842">
        <w:rPr>
          <w:rFonts w:ascii="Arial" w:hAnsi="Arial" w:cs="Arial"/>
          <w:sz w:val="24"/>
          <w:szCs w:val="24"/>
          <w:lang w:val="en-US"/>
        </w:rPr>
        <w:t xml:space="preserve">When it comes to assessing the purchase intent, authenticity and influencer-generated material play a crucial role (Coca-Cola UK Case Study, 2025). Based on my previous research on Coca-Cola UK, which demonstrated that authenticity and influencer-generated content play a vital role, General Electric has to reassess its investment in marketing. Existing operational expenditures amounting to 129 billion pounds are exorbitant. A shift towards digital marketing that is </w:t>
      </w:r>
      <w:proofErr w:type="spellStart"/>
      <w:r w:rsidRPr="00B21842">
        <w:rPr>
          <w:rFonts w:ascii="Arial" w:hAnsi="Arial" w:cs="Arial"/>
          <w:sz w:val="24"/>
          <w:szCs w:val="24"/>
          <w:lang w:val="en-US"/>
        </w:rPr>
        <w:t>centred</w:t>
      </w:r>
      <w:proofErr w:type="spellEnd"/>
      <w:r w:rsidRPr="00B21842">
        <w:rPr>
          <w:rFonts w:ascii="Arial" w:hAnsi="Arial" w:cs="Arial"/>
          <w:sz w:val="24"/>
          <w:szCs w:val="24"/>
          <w:lang w:val="en-US"/>
        </w:rPr>
        <w:t xml:space="preserve"> on creators is likely to result in a reduction in the cost of client acquisition, which is essential for a business that is seeing a decline in its gross margin.</w:t>
      </w:r>
    </w:p>
    <w:p w14:paraId="14F4A1E2" w14:textId="49D7DA4D" w:rsidR="003F4E8F" w:rsidRPr="00B21842" w:rsidRDefault="00255B1C" w:rsidP="00B21842">
      <w:pPr>
        <w:spacing w:line="360" w:lineRule="auto"/>
        <w:jc w:val="both"/>
        <w:rPr>
          <w:rStyle w:val="Heading1Char"/>
          <w:rFonts w:eastAsiaTheme="minorHAnsi" w:cs="Arial"/>
          <w:b w:val="0"/>
          <w:color w:val="auto"/>
          <w:sz w:val="24"/>
          <w:szCs w:val="24"/>
          <w:lang w:val="en-US"/>
        </w:rPr>
      </w:pPr>
      <w:r w:rsidRPr="00255B1C">
        <w:rPr>
          <w:rFonts w:ascii="Arial" w:hAnsi="Arial" w:cs="Arial"/>
          <w:sz w:val="24"/>
          <w:szCs w:val="24"/>
          <w:lang w:val="en-US"/>
        </w:rPr>
        <w:t xml:space="preserve">The most significant strategic issue is the £371.9B of Treasury Stock. Hundreds of billions of the money have been used by management buying back shares, and this has left the cash with which the management can do research and development (IBISWorld, 2024). Such buybacks should be stopped as a part of corporate </w:t>
      </w:r>
      <w:r w:rsidRPr="00255B1C">
        <w:rPr>
          <w:rFonts w:ascii="Arial" w:hAnsi="Arial" w:cs="Arial"/>
          <w:sz w:val="24"/>
          <w:szCs w:val="24"/>
          <w:lang w:val="en-US"/>
        </w:rPr>
        <w:lastRenderedPageBreak/>
        <w:t>restructuring to invest in innovation with high margins (Strategic Management Journal, 2022)</w:t>
      </w:r>
      <w:r w:rsidR="003F4E8F" w:rsidRPr="00255B1C">
        <w:rPr>
          <w:rFonts w:ascii="Arial" w:hAnsi="Arial" w:cs="Arial"/>
          <w:sz w:val="24"/>
          <w:szCs w:val="24"/>
          <w:lang w:val="en-US"/>
        </w:rPr>
        <w:t>.</w:t>
      </w:r>
    </w:p>
    <w:p w14:paraId="07F31A92" w14:textId="049100C8" w:rsidR="003F4E8F" w:rsidRPr="003227C7" w:rsidRDefault="003F4E8F" w:rsidP="003F4E8F">
      <w:pPr>
        <w:pStyle w:val="Heading1"/>
      </w:pPr>
      <w:bookmarkStart w:id="12" w:name="_Toc217246309"/>
      <w:r w:rsidRPr="00840E24">
        <w:rPr>
          <w:rStyle w:val="Heading1Char"/>
          <w:b/>
        </w:rPr>
        <w:t>2.</w:t>
      </w:r>
      <w:r>
        <w:rPr>
          <w:rStyle w:val="Heading1Char"/>
          <w:b/>
        </w:rPr>
        <w:t xml:space="preserve"> </w:t>
      </w:r>
      <w:r w:rsidR="001A1390" w:rsidRPr="001A1390">
        <w:rPr>
          <w:rStyle w:val="Heading1Char"/>
          <w:b/>
        </w:rPr>
        <w:t>Liquidity Under Pressure: Working Capital Management Analysis of General Electronics</w:t>
      </w:r>
      <w:bookmarkEnd w:id="12"/>
    </w:p>
    <w:p w14:paraId="08ACFBD4" w14:textId="47604C75" w:rsidR="00AA6CD7" w:rsidRPr="00AA6CD7" w:rsidRDefault="00B21842" w:rsidP="00AA6CD7">
      <w:pPr>
        <w:spacing w:before="240" w:line="360" w:lineRule="auto"/>
        <w:jc w:val="both"/>
        <w:rPr>
          <w:rFonts w:ascii="Arial" w:hAnsi="Arial" w:cs="Arial"/>
          <w:bCs/>
          <w:sz w:val="24"/>
          <w:szCs w:val="24"/>
          <w:lang w:val="en-US"/>
        </w:rPr>
      </w:pPr>
      <w:r w:rsidRPr="00B21842">
        <w:rPr>
          <w:rFonts w:ascii="Arial" w:hAnsi="Arial" w:cs="Arial"/>
          <w:bCs/>
          <w:sz w:val="24"/>
          <w:szCs w:val="24"/>
          <w:lang w:val="en-US"/>
        </w:rPr>
        <w:t>Because of the high rate of product lifecycle and the worldwide unpredictability of supply chains, the consumer electronics sector falls within the purview of Working Capital Management (WCM). This is owing to the fact that high liquidity is required in this business. As far as General Electronics (GE) is concerned, the years 2020-2024 have been marked by a significant decline in the company's ability to make efficient use of its short-term assets and liabilities. After experiencing a fifty percent decrease in sales between the years 2020 and 2024, the company's working capital structure has switched from being a source of strength to a significant cause of financial difficulty. The company's revenue has decreased to only £394.9 billion. In this study, the cash operating cycle has been reviewed, and suggestions for strategic reforms have been made. Additionally, the various financing options have been evaluated in order to provide the firm with the flexibility it needs to get back on its feet.</w:t>
      </w:r>
    </w:p>
    <w:p w14:paraId="6F45A5EA" w14:textId="5829B793" w:rsidR="00AA6CD7" w:rsidRPr="00AA6CD7" w:rsidRDefault="00565C17" w:rsidP="006F3DFB">
      <w:pPr>
        <w:pStyle w:val="Heading2"/>
        <w:rPr>
          <w:lang w:val="en-US"/>
        </w:rPr>
      </w:pPr>
      <w:bookmarkStart w:id="13" w:name="_Toc217246310"/>
      <w:r>
        <w:rPr>
          <w:lang w:val="en-US"/>
        </w:rPr>
        <w:t>2.</w:t>
      </w:r>
      <w:r w:rsidR="00AA6CD7" w:rsidRPr="00AA6CD7">
        <w:rPr>
          <w:lang w:val="en-US"/>
        </w:rPr>
        <w:t>1 Evaluation of Cash Operating Cycle (CCC).</w:t>
      </w:r>
      <w:bookmarkEnd w:id="13"/>
    </w:p>
    <w:p w14:paraId="5DFB0129" w14:textId="027D99E2" w:rsidR="00AA6CD7" w:rsidRPr="00AA6CD7" w:rsidRDefault="00B21842" w:rsidP="00AA6CD7">
      <w:pPr>
        <w:spacing w:before="240" w:line="360" w:lineRule="auto"/>
        <w:jc w:val="both"/>
        <w:rPr>
          <w:rFonts w:ascii="Arial" w:hAnsi="Arial" w:cs="Arial"/>
          <w:bCs/>
          <w:sz w:val="24"/>
          <w:szCs w:val="24"/>
          <w:lang w:val="en-US"/>
        </w:rPr>
      </w:pPr>
      <w:r w:rsidRPr="00B21842">
        <w:rPr>
          <w:rFonts w:ascii="Arial" w:hAnsi="Arial" w:cs="Arial"/>
          <w:bCs/>
          <w:sz w:val="24"/>
          <w:szCs w:val="24"/>
          <w:lang w:val="en-US"/>
        </w:rPr>
        <w:t>It is possible to anticipate the amount of time that will pass between the initial cash expenditure for the raw material and the eventual cash net inflow from the sales by using the Cash Conversion Cycle, often known as the CCC. For General Electric, a CCC lengthening indicates that rising capital is being trapped in the operating cycle, which results in a reduction in the amount of money available for investments in research and development as well as debt payments (Harvard Business Review, 2021).</w:t>
      </w:r>
    </w:p>
    <w:p w14:paraId="0168652E" w14:textId="07B2BD10" w:rsidR="00AA6CD7" w:rsidRPr="00AA6CD7" w:rsidRDefault="006F3DFB" w:rsidP="006F3DFB">
      <w:pPr>
        <w:pStyle w:val="Heading3"/>
        <w:rPr>
          <w:lang w:val="en-US"/>
        </w:rPr>
      </w:pPr>
      <w:bookmarkStart w:id="14" w:name="_Toc217246311"/>
      <w:r>
        <w:rPr>
          <w:lang w:val="en-US"/>
        </w:rPr>
        <w:t>2.</w:t>
      </w:r>
      <w:r w:rsidR="00AA6CD7" w:rsidRPr="00AA6CD7">
        <w:rPr>
          <w:lang w:val="en-US"/>
        </w:rPr>
        <w:t>1.1 Component Analysis (2024 vs. 2020)</w:t>
      </w:r>
      <w:bookmarkEnd w:id="14"/>
    </w:p>
    <w:p w14:paraId="1CFE3CAD" w14:textId="77777777" w:rsidR="00AA6CD7" w:rsidRDefault="00AA6CD7" w:rsidP="00AA6CD7">
      <w:pPr>
        <w:spacing w:before="240" w:line="360" w:lineRule="auto"/>
        <w:jc w:val="both"/>
        <w:rPr>
          <w:rFonts w:ascii="Arial" w:hAnsi="Arial" w:cs="Arial"/>
          <w:bCs/>
          <w:sz w:val="24"/>
          <w:szCs w:val="24"/>
          <w:lang w:val="en-US"/>
        </w:rPr>
      </w:pPr>
      <w:r w:rsidRPr="00AA6CD7">
        <w:rPr>
          <w:rFonts w:ascii="Arial" w:hAnsi="Arial" w:cs="Arial"/>
          <w:bCs/>
          <w:sz w:val="24"/>
          <w:szCs w:val="24"/>
          <w:lang w:val="en-US"/>
        </w:rPr>
        <w:t>Based on the financial statements given, we compute the three pillars of the CCC, namely Days Inventory Outstanding (DIO), Days Sales Outstanding (DSO), and Days Payables Outstanding (DPO).</w:t>
      </w:r>
    </w:p>
    <w:tbl>
      <w:tblPr>
        <w:tblStyle w:val="TableGrid"/>
        <w:tblW w:w="0" w:type="auto"/>
        <w:tblLook w:val="04A0" w:firstRow="1" w:lastRow="0" w:firstColumn="1" w:lastColumn="0" w:noHBand="0" w:noVBand="1"/>
      </w:tblPr>
      <w:tblGrid>
        <w:gridCol w:w="2918"/>
        <w:gridCol w:w="2281"/>
        <w:gridCol w:w="1113"/>
        <w:gridCol w:w="1113"/>
        <w:gridCol w:w="1591"/>
      </w:tblGrid>
      <w:tr w:rsidR="00D27302" w:rsidRPr="00D27302" w14:paraId="31FBC44F" w14:textId="77777777" w:rsidTr="00D27302">
        <w:tc>
          <w:tcPr>
            <w:tcW w:w="0" w:type="auto"/>
            <w:hideMark/>
          </w:tcPr>
          <w:p w14:paraId="32260AF1"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lastRenderedPageBreak/>
              <w:t>Metric</w:t>
            </w:r>
          </w:p>
        </w:tc>
        <w:tc>
          <w:tcPr>
            <w:tcW w:w="0" w:type="auto"/>
            <w:hideMark/>
          </w:tcPr>
          <w:p w14:paraId="787E8109"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Calculation (2024)</w:t>
            </w:r>
          </w:p>
        </w:tc>
        <w:tc>
          <w:tcPr>
            <w:tcW w:w="0" w:type="auto"/>
            <w:hideMark/>
          </w:tcPr>
          <w:p w14:paraId="28292D08"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2024 Days</w:t>
            </w:r>
          </w:p>
        </w:tc>
        <w:tc>
          <w:tcPr>
            <w:tcW w:w="0" w:type="auto"/>
            <w:hideMark/>
          </w:tcPr>
          <w:p w14:paraId="4EB16200"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2020 Days</w:t>
            </w:r>
          </w:p>
        </w:tc>
        <w:tc>
          <w:tcPr>
            <w:tcW w:w="0" w:type="auto"/>
            <w:hideMark/>
          </w:tcPr>
          <w:p w14:paraId="06096887"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Trend</w:t>
            </w:r>
          </w:p>
        </w:tc>
      </w:tr>
      <w:tr w:rsidR="00D27302" w:rsidRPr="00D27302" w14:paraId="57B71326" w14:textId="77777777" w:rsidTr="00D27302">
        <w:tc>
          <w:tcPr>
            <w:tcW w:w="0" w:type="auto"/>
            <w:hideMark/>
          </w:tcPr>
          <w:p w14:paraId="22A6C632"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Days Inventory Outstanding (DIO)</w:t>
            </w:r>
          </w:p>
        </w:tc>
        <w:tc>
          <w:tcPr>
            <w:tcW w:w="0" w:type="auto"/>
            <w:hideMark/>
          </w:tcPr>
          <w:p w14:paraId="730E282E" w14:textId="641EB2C2"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Cs/>
                <w:sz w:val="24"/>
                <w:szCs w:val="24"/>
                <w:lang w:val="en-US"/>
              </w:rPr>
              <w:t xml:space="preserve">(79,355 / 280,885) </w:t>
            </w:r>
            <m:oMath>
              <m:r>
                <w:rPr>
                  <w:rFonts w:ascii="Cambria Math" w:hAnsi="Cambria Math" w:cs="Arial"/>
                  <w:sz w:val="24"/>
                  <w:szCs w:val="24"/>
                  <w:lang w:val="en-US"/>
                </w:rPr>
                <m:t>×</m:t>
              </m:r>
            </m:oMath>
            <w:r w:rsidRPr="00D27302">
              <w:rPr>
                <w:rFonts w:ascii="Arial" w:hAnsi="Arial" w:cs="Arial"/>
                <w:bCs/>
                <w:sz w:val="24"/>
                <w:szCs w:val="24"/>
                <w:lang w:val="en-US"/>
              </w:rPr>
              <w:t xml:space="preserve"> 365</w:t>
            </w:r>
          </w:p>
        </w:tc>
        <w:tc>
          <w:tcPr>
            <w:tcW w:w="0" w:type="auto"/>
            <w:hideMark/>
          </w:tcPr>
          <w:p w14:paraId="01285983"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103.1</w:t>
            </w:r>
          </w:p>
        </w:tc>
        <w:tc>
          <w:tcPr>
            <w:tcW w:w="0" w:type="auto"/>
            <w:hideMark/>
          </w:tcPr>
          <w:p w14:paraId="03FEA02E"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100.3</w:t>
            </w:r>
          </w:p>
        </w:tc>
        <w:tc>
          <w:tcPr>
            <w:tcW w:w="0" w:type="auto"/>
            <w:hideMark/>
          </w:tcPr>
          <w:p w14:paraId="5A53B0EB"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Cs/>
                <w:sz w:val="24"/>
                <w:szCs w:val="24"/>
                <w:lang w:val="en-US"/>
              </w:rPr>
              <w:t>Deteriorating</w:t>
            </w:r>
          </w:p>
        </w:tc>
      </w:tr>
      <w:tr w:rsidR="00D27302" w:rsidRPr="00D27302" w14:paraId="3B947469" w14:textId="77777777" w:rsidTr="00D27302">
        <w:tc>
          <w:tcPr>
            <w:tcW w:w="0" w:type="auto"/>
            <w:hideMark/>
          </w:tcPr>
          <w:p w14:paraId="25668959"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Days Sales Outstanding (DSO)</w:t>
            </w:r>
          </w:p>
        </w:tc>
        <w:tc>
          <w:tcPr>
            <w:tcW w:w="0" w:type="auto"/>
            <w:hideMark/>
          </w:tcPr>
          <w:p w14:paraId="69AFEE6D" w14:textId="54BA6F2A"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Cs/>
                <w:sz w:val="24"/>
                <w:szCs w:val="24"/>
                <w:lang w:val="en-US"/>
              </w:rPr>
              <w:t xml:space="preserve">(114,182 / 394,879) </w:t>
            </w:r>
            <m:oMath>
              <m:r>
                <w:rPr>
                  <w:rFonts w:ascii="Cambria Math" w:hAnsi="Cambria Math" w:cs="Arial"/>
                  <w:sz w:val="24"/>
                  <w:szCs w:val="24"/>
                  <w:lang w:val="en-US"/>
                </w:rPr>
                <m:t xml:space="preserve">× </m:t>
              </m:r>
            </m:oMath>
            <w:r w:rsidRPr="00D27302">
              <w:rPr>
                <w:rFonts w:ascii="Arial" w:hAnsi="Arial" w:cs="Arial"/>
                <w:bCs/>
                <w:sz w:val="24"/>
                <w:szCs w:val="24"/>
                <w:lang w:val="en-US"/>
              </w:rPr>
              <w:t>365</w:t>
            </w:r>
          </w:p>
        </w:tc>
        <w:tc>
          <w:tcPr>
            <w:tcW w:w="0" w:type="auto"/>
            <w:hideMark/>
          </w:tcPr>
          <w:p w14:paraId="1D5AB64C"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105.5</w:t>
            </w:r>
          </w:p>
        </w:tc>
        <w:tc>
          <w:tcPr>
            <w:tcW w:w="0" w:type="auto"/>
            <w:hideMark/>
          </w:tcPr>
          <w:p w14:paraId="3C104E43"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76.8</w:t>
            </w:r>
          </w:p>
        </w:tc>
        <w:tc>
          <w:tcPr>
            <w:tcW w:w="0" w:type="auto"/>
            <w:hideMark/>
          </w:tcPr>
          <w:p w14:paraId="58973336"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Cs/>
                <w:sz w:val="24"/>
                <w:szCs w:val="24"/>
                <w:lang w:val="en-US"/>
              </w:rPr>
              <w:t>Critical</w:t>
            </w:r>
          </w:p>
        </w:tc>
      </w:tr>
      <w:tr w:rsidR="00D27302" w:rsidRPr="00D27302" w14:paraId="799A5354" w14:textId="77777777" w:rsidTr="00D27302">
        <w:tc>
          <w:tcPr>
            <w:tcW w:w="0" w:type="auto"/>
            <w:hideMark/>
          </w:tcPr>
          <w:p w14:paraId="4942B929"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Days Payables Outstanding (DPO)</w:t>
            </w:r>
          </w:p>
        </w:tc>
        <w:tc>
          <w:tcPr>
            <w:tcW w:w="0" w:type="auto"/>
            <w:hideMark/>
          </w:tcPr>
          <w:p w14:paraId="1FC62BA5" w14:textId="5DE78552"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Cs/>
                <w:sz w:val="24"/>
                <w:szCs w:val="24"/>
                <w:lang w:val="en-US"/>
              </w:rPr>
              <w:t xml:space="preserve">(72,031 / 280,885) </w:t>
            </w:r>
            <m:oMath>
              <m:r>
                <w:rPr>
                  <w:rFonts w:ascii="Cambria Math" w:hAnsi="Cambria Math" w:cs="Arial"/>
                  <w:sz w:val="24"/>
                  <w:szCs w:val="24"/>
                  <w:lang w:val="en-US"/>
                </w:rPr>
                <m:t xml:space="preserve">× </m:t>
              </m:r>
            </m:oMath>
            <w:r w:rsidRPr="00D27302">
              <w:rPr>
                <w:rFonts w:ascii="Arial" w:hAnsi="Arial" w:cs="Arial"/>
                <w:bCs/>
                <w:sz w:val="24"/>
                <w:szCs w:val="24"/>
                <w:lang w:val="en-US"/>
              </w:rPr>
              <w:t>365</w:t>
            </w:r>
          </w:p>
        </w:tc>
        <w:tc>
          <w:tcPr>
            <w:tcW w:w="0" w:type="auto"/>
            <w:hideMark/>
          </w:tcPr>
          <w:p w14:paraId="108512F0"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93.6</w:t>
            </w:r>
          </w:p>
        </w:tc>
        <w:tc>
          <w:tcPr>
            <w:tcW w:w="0" w:type="auto"/>
            <w:hideMark/>
          </w:tcPr>
          <w:p w14:paraId="5C344B4A"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69.3</w:t>
            </w:r>
          </w:p>
        </w:tc>
        <w:tc>
          <w:tcPr>
            <w:tcW w:w="0" w:type="auto"/>
            <w:hideMark/>
          </w:tcPr>
          <w:p w14:paraId="5D39485F"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Cs/>
                <w:sz w:val="24"/>
                <w:szCs w:val="24"/>
                <w:lang w:val="en-US"/>
              </w:rPr>
              <w:t>Improving</w:t>
            </w:r>
          </w:p>
        </w:tc>
      </w:tr>
      <w:tr w:rsidR="00D27302" w:rsidRPr="00D27302" w14:paraId="2744F8F8" w14:textId="77777777" w:rsidTr="00D27302">
        <w:tc>
          <w:tcPr>
            <w:tcW w:w="0" w:type="auto"/>
            <w:hideMark/>
          </w:tcPr>
          <w:p w14:paraId="307BB028"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Cash Conversion Cycle (CCC)</w:t>
            </w:r>
          </w:p>
        </w:tc>
        <w:tc>
          <w:tcPr>
            <w:tcW w:w="0" w:type="auto"/>
            <w:hideMark/>
          </w:tcPr>
          <w:p w14:paraId="1421C514" w14:textId="1467E6DC"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Cs/>
                <w:sz w:val="24"/>
                <w:szCs w:val="24"/>
                <w:lang w:val="en-US"/>
              </w:rPr>
              <w:t>DIO + DSO - DPO</w:t>
            </w:r>
          </w:p>
        </w:tc>
        <w:tc>
          <w:tcPr>
            <w:tcW w:w="0" w:type="auto"/>
            <w:hideMark/>
          </w:tcPr>
          <w:p w14:paraId="6E923BDF"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115.0</w:t>
            </w:r>
          </w:p>
        </w:tc>
        <w:tc>
          <w:tcPr>
            <w:tcW w:w="0" w:type="auto"/>
            <w:hideMark/>
          </w:tcPr>
          <w:p w14:paraId="7B0FCF45" w14:textId="77777777" w:rsidR="00D27302" w:rsidRPr="00D27302" w:rsidRDefault="00D27302" w:rsidP="00D27302">
            <w:pPr>
              <w:spacing w:before="240" w:line="360" w:lineRule="auto"/>
              <w:jc w:val="both"/>
              <w:rPr>
                <w:rFonts w:ascii="Arial" w:hAnsi="Arial" w:cs="Arial"/>
                <w:bCs/>
                <w:sz w:val="24"/>
                <w:szCs w:val="24"/>
                <w:lang w:val="en-US"/>
              </w:rPr>
            </w:pPr>
            <w:r w:rsidRPr="00D27302">
              <w:rPr>
                <w:rFonts w:ascii="Arial" w:hAnsi="Arial" w:cs="Arial"/>
                <w:b/>
                <w:bCs/>
                <w:sz w:val="24"/>
                <w:szCs w:val="24"/>
                <w:lang w:val="en-US"/>
              </w:rPr>
              <w:t>107.8</w:t>
            </w:r>
          </w:p>
        </w:tc>
        <w:tc>
          <w:tcPr>
            <w:tcW w:w="0" w:type="auto"/>
            <w:hideMark/>
          </w:tcPr>
          <w:p w14:paraId="288F949C" w14:textId="77777777" w:rsidR="00D27302" w:rsidRPr="00D27302" w:rsidRDefault="00D27302" w:rsidP="00966038">
            <w:pPr>
              <w:keepNext/>
              <w:spacing w:before="240" w:line="360" w:lineRule="auto"/>
              <w:jc w:val="both"/>
              <w:rPr>
                <w:rFonts w:ascii="Arial" w:hAnsi="Arial" w:cs="Arial"/>
                <w:bCs/>
                <w:sz w:val="24"/>
                <w:szCs w:val="24"/>
                <w:lang w:val="en-US"/>
              </w:rPr>
            </w:pPr>
            <w:r w:rsidRPr="00D27302">
              <w:rPr>
                <w:rFonts w:ascii="Arial" w:hAnsi="Arial" w:cs="Arial"/>
                <w:bCs/>
                <w:sz w:val="24"/>
                <w:szCs w:val="24"/>
                <w:lang w:val="en-US"/>
              </w:rPr>
              <w:t>Deteriorating</w:t>
            </w:r>
          </w:p>
        </w:tc>
      </w:tr>
    </w:tbl>
    <w:p w14:paraId="1616D013" w14:textId="7548E259" w:rsidR="00D27302" w:rsidRDefault="00966038" w:rsidP="00966038">
      <w:pPr>
        <w:pStyle w:val="Caption"/>
      </w:pPr>
      <w:bookmarkStart w:id="15" w:name="_Toc217221014"/>
      <w:r>
        <w:t xml:space="preserve">Table </w:t>
      </w:r>
      <w:r>
        <w:fldChar w:fldCharType="begin"/>
      </w:r>
      <w:r>
        <w:instrText xml:space="preserve"> SEQ Table \* ARABIC </w:instrText>
      </w:r>
      <w:r>
        <w:fldChar w:fldCharType="separate"/>
      </w:r>
      <w:r w:rsidR="0078538A">
        <w:rPr>
          <w:noProof/>
        </w:rPr>
        <w:t>3</w:t>
      </w:r>
      <w:r>
        <w:fldChar w:fldCharType="end"/>
      </w:r>
      <w:r>
        <w:t xml:space="preserve">: </w:t>
      </w:r>
      <w:r w:rsidRPr="00242EAE">
        <w:t>Cash Conversion Cycle Metrics</w:t>
      </w:r>
      <w:bookmarkEnd w:id="15"/>
    </w:p>
    <w:p w14:paraId="1CB8C38A" w14:textId="29AFB930" w:rsidR="00966038" w:rsidRPr="00AA6CD7" w:rsidRDefault="003E19CE" w:rsidP="003E19CE">
      <w:pPr>
        <w:jc w:val="center"/>
        <w:rPr>
          <w:lang w:val="en-US"/>
        </w:rPr>
      </w:pPr>
      <w:r>
        <w:rPr>
          <w:noProof/>
          <w:lang w:val="en-US"/>
        </w:rPr>
        <w:drawing>
          <wp:inline distT="0" distB="0" distL="0" distR="0" wp14:anchorId="1474ADDF" wp14:editId="6F94E27A">
            <wp:extent cx="2875302" cy="2768600"/>
            <wp:effectExtent l="0" t="0" r="1270" b="0"/>
            <wp:docPr id="819034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91153" cy="2783863"/>
                    </a:xfrm>
                    <a:prstGeom prst="rect">
                      <a:avLst/>
                    </a:prstGeom>
                    <a:noFill/>
                  </pic:spPr>
                </pic:pic>
              </a:graphicData>
            </a:graphic>
          </wp:inline>
        </w:drawing>
      </w:r>
    </w:p>
    <w:p w14:paraId="606A7DB5" w14:textId="613E00CF" w:rsidR="00AA6CD7" w:rsidRPr="00AA6CD7" w:rsidRDefault="00750EB8" w:rsidP="004756B5">
      <w:pPr>
        <w:pStyle w:val="Heading3"/>
        <w:rPr>
          <w:lang w:val="en-US"/>
        </w:rPr>
      </w:pPr>
      <w:bookmarkStart w:id="16" w:name="_Toc217246312"/>
      <w:r>
        <w:rPr>
          <w:lang w:val="en-US"/>
        </w:rPr>
        <w:t>2</w:t>
      </w:r>
      <w:r w:rsidR="004756B5">
        <w:rPr>
          <w:lang w:val="en-US"/>
        </w:rPr>
        <w:t>.1</w:t>
      </w:r>
      <w:r w:rsidR="00AA6CD7" w:rsidRPr="00AA6CD7">
        <w:rPr>
          <w:lang w:val="en-US"/>
        </w:rPr>
        <w:t>.2 Critical Findings</w:t>
      </w:r>
      <w:bookmarkEnd w:id="16"/>
    </w:p>
    <w:p w14:paraId="70656B52" w14:textId="77777777" w:rsidR="00AA6CD7" w:rsidRPr="00AA6CD7" w:rsidRDefault="00AA6CD7" w:rsidP="00AA6CD7">
      <w:pPr>
        <w:spacing w:before="240" w:line="360" w:lineRule="auto"/>
        <w:jc w:val="both"/>
        <w:rPr>
          <w:rFonts w:ascii="Arial" w:hAnsi="Arial" w:cs="Arial"/>
          <w:bCs/>
          <w:sz w:val="24"/>
          <w:szCs w:val="24"/>
          <w:lang w:val="en-US"/>
        </w:rPr>
      </w:pPr>
      <w:r w:rsidRPr="00AA6CD7">
        <w:rPr>
          <w:rFonts w:ascii="Arial" w:hAnsi="Arial" w:cs="Arial"/>
          <w:bCs/>
          <w:sz w:val="24"/>
          <w:szCs w:val="24"/>
          <w:lang w:val="en-US"/>
        </w:rPr>
        <w:t xml:space="preserve">The statistics show that there is a breakdown of efficiency within the system. The DSO has increased by almost 29 days since 2020. A DSO of 105.5 days indicates that GE is having difficulties receiving money due as per the terms and conditions of the standard credit, which are typically 30-60 days (Bloomberg, 2023) in the consumer </w:t>
      </w:r>
      <w:r w:rsidRPr="00AA6CD7">
        <w:rPr>
          <w:rFonts w:ascii="Arial" w:hAnsi="Arial" w:cs="Arial"/>
          <w:bCs/>
          <w:sz w:val="24"/>
          <w:szCs w:val="24"/>
          <w:lang w:val="en-US"/>
        </w:rPr>
        <w:lastRenderedPageBreak/>
        <w:t>electronics industry. This could be because they have not done a good credit risk assessment or the retailers are undergoing their own liquidity crises after the pandemic (Statista, 2024).</w:t>
      </w:r>
    </w:p>
    <w:p w14:paraId="7DD313C9" w14:textId="77777777" w:rsidR="00AA6CD7" w:rsidRPr="00AA6CD7" w:rsidRDefault="00AA6CD7" w:rsidP="00AA6CD7">
      <w:pPr>
        <w:spacing w:before="240" w:line="360" w:lineRule="auto"/>
        <w:jc w:val="both"/>
        <w:rPr>
          <w:rFonts w:ascii="Arial" w:hAnsi="Arial" w:cs="Arial"/>
          <w:bCs/>
          <w:sz w:val="24"/>
          <w:szCs w:val="24"/>
          <w:lang w:val="en-US"/>
        </w:rPr>
      </w:pPr>
      <w:r w:rsidRPr="00AA6CD7">
        <w:rPr>
          <w:rFonts w:ascii="Arial" w:hAnsi="Arial" w:cs="Arial"/>
          <w:bCs/>
          <w:sz w:val="24"/>
          <w:szCs w:val="24"/>
          <w:lang w:val="en-US"/>
        </w:rPr>
        <w:t>Although GE has tried to counter this by increasing its DPO to 93.6 days (essentially, making use of its suppliers as its free interest lenders), this is a risky strategy. Prolonged high DPO may worsen relationships with suppliers and cause supply issues of critical supply chain elements such as semiconductors (The Financial Times, 2024).</w:t>
      </w:r>
    </w:p>
    <w:p w14:paraId="25AAEE8C" w14:textId="25A82075" w:rsidR="00AA6CD7" w:rsidRPr="00AA6CD7" w:rsidRDefault="00AA6CD7" w:rsidP="00D81E20">
      <w:pPr>
        <w:pStyle w:val="Heading2"/>
        <w:rPr>
          <w:lang w:val="en-US"/>
        </w:rPr>
      </w:pPr>
      <w:bookmarkStart w:id="17" w:name="_Toc217246313"/>
      <w:r w:rsidRPr="00AA6CD7">
        <w:rPr>
          <w:lang w:val="en-US"/>
        </w:rPr>
        <w:t>2.</w:t>
      </w:r>
      <w:r w:rsidR="004756B5">
        <w:rPr>
          <w:lang w:val="en-US"/>
        </w:rPr>
        <w:t>2</w:t>
      </w:r>
      <w:r w:rsidRPr="00AA6CD7">
        <w:rPr>
          <w:lang w:val="en-US"/>
        </w:rPr>
        <w:t xml:space="preserve"> Working Capital Reform Strategic Recommendations</w:t>
      </w:r>
      <w:bookmarkEnd w:id="17"/>
    </w:p>
    <w:p w14:paraId="298E3353" w14:textId="77777777" w:rsidR="00AA6CD7" w:rsidRPr="00AA6CD7" w:rsidRDefault="00AA6CD7" w:rsidP="00AA6CD7">
      <w:pPr>
        <w:spacing w:before="240" w:line="360" w:lineRule="auto"/>
        <w:jc w:val="both"/>
        <w:rPr>
          <w:rFonts w:ascii="Arial" w:hAnsi="Arial" w:cs="Arial"/>
          <w:bCs/>
          <w:sz w:val="24"/>
          <w:szCs w:val="24"/>
          <w:lang w:val="en-US"/>
        </w:rPr>
      </w:pPr>
      <w:r w:rsidRPr="00AA6CD7">
        <w:rPr>
          <w:rFonts w:ascii="Arial" w:hAnsi="Arial" w:cs="Arial"/>
          <w:bCs/>
          <w:sz w:val="24"/>
          <w:szCs w:val="24"/>
          <w:lang w:val="en-US"/>
        </w:rPr>
        <w:t>GE needs to adopt a complex reform agenda, which would focus on speed and transparency to reverse the existing liquidity drain.</w:t>
      </w:r>
    </w:p>
    <w:p w14:paraId="4F53AF0C" w14:textId="73F615BA" w:rsidR="00AA6CD7" w:rsidRPr="00AA6CD7" w:rsidRDefault="00304C95" w:rsidP="00304C95">
      <w:pPr>
        <w:pStyle w:val="Heading3"/>
        <w:rPr>
          <w:lang w:val="en-US"/>
        </w:rPr>
      </w:pPr>
      <w:bookmarkStart w:id="18" w:name="_Toc217246314"/>
      <w:r>
        <w:rPr>
          <w:lang w:val="en-US"/>
        </w:rPr>
        <w:t>2.</w:t>
      </w:r>
      <w:r w:rsidR="00AA6CD7" w:rsidRPr="00AA6CD7">
        <w:rPr>
          <w:lang w:val="en-US"/>
        </w:rPr>
        <w:t xml:space="preserve">2.1 Inventory </w:t>
      </w:r>
      <w:proofErr w:type="spellStart"/>
      <w:r w:rsidR="00AA6CD7" w:rsidRPr="00AA6CD7">
        <w:rPr>
          <w:lang w:val="en-US"/>
        </w:rPr>
        <w:t>Optimisation</w:t>
      </w:r>
      <w:proofErr w:type="spellEnd"/>
      <w:r w:rsidR="00AA6CD7" w:rsidRPr="00AA6CD7">
        <w:rPr>
          <w:lang w:val="en-US"/>
        </w:rPr>
        <w:t>: Not Just-in-Case but Just-in-Time.</w:t>
      </w:r>
      <w:bookmarkEnd w:id="18"/>
    </w:p>
    <w:p w14:paraId="586F4C87" w14:textId="77777777" w:rsidR="00AA6CD7" w:rsidRPr="00AA6CD7" w:rsidRDefault="00AA6CD7" w:rsidP="00AA6CD7">
      <w:pPr>
        <w:spacing w:before="240" w:line="360" w:lineRule="auto"/>
        <w:jc w:val="both"/>
        <w:rPr>
          <w:rFonts w:ascii="Arial" w:hAnsi="Arial" w:cs="Arial"/>
          <w:bCs/>
          <w:sz w:val="24"/>
          <w:szCs w:val="24"/>
          <w:lang w:val="en-US"/>
        </w:rPr>
      </w:pPr>
      <w:r w:rsidRPr="00AA6CD7">
        <w:rPr>
          <w:rFonts w:ascii="Arial" w:hAnsi="Arial" w:cs="Arial"/>
          <w:bCs/>
          <w:sz w:val="24"/>
          <w:szCs w:val="24"/>
          <w:lang w:val="en-US"/>
        </w:rPr>
        <w:t>GE is presently carrying a stock of 79.4B. This is a time bomb in an industry that is highly likely to be obsolete.</w:t>
      </w:r>
    </w:p>
    <w:p w14:paraId="40D7C9D5" w14:textId="77777777" w:rsidR="00AA6CD7" w:rsidRPr="00304C95" w:rsidRDefault="00AA6CD7" w:rsidP="000A0858">
      <w:pPr>
        <w:pStyle w:val="ListParagraph"/>
        <w:numPr>
          <w:ilvl w:val="0"/>
          <w:numId w:val="25"/>
        </w:numPr>
        <w:spacing w:before="240" w:line="360" w:lineRule="auto"/>
        <w:jc w:val="both"/>
        <w:rPr>
          <w:rFonts w:ascii="Arial" w:hAnsi="Arial" w:cs="Arial"/>
          <w:bCs/>
          <w:sz w:val="24"/>
          <w:szCs w:val="24"/>
          <w:lang w:val="en-US"/>
        </w:rPr>
      </w:pPr>
      <w:r w:rsidRPr="00304C95">
        <w:rPr>
          <w:rFonts w:ascii="Arial" w:hAnsi="Arial" w:cs="Arial"/>
          <w:b/>
          <w:sz w:val="24"/>
          <w:szCs w:val="24"/>
          <w:lang w:val="en-US"/>
        </w:rPr>
        <w:t>Recommendation:</w:t>
      </w:r>
      <w:r w:rsidRPr="00304C95">
        <w:rPr>
          <w:rFonts w:ascii="Arial" w:hAnsi="Arial" w:cs="Arial"/>
          <w:bCs/>
          <w:sz w:val="24"/>
          <w:szCs w:val="24"/>
          <w:lang w:val="en-US"/>
        </w:rPr>
        <w:t xml:space="preserve"> AI-based demand forecasting should be implemented, which means that the production should be aligned with real-time sales data. According to academic research in the Strategic Management Journal (2022), the companies that apply predictive analytics may decrease DIO by 15%.</w:t>
      </w:r>
    </w:p>
    <w:p w14:paraId="3166D4B6" w14:textId="77777777" w:rsidR="00AA6CD7" w:rsidRPr="00304C95" w:rsidRDefault="00AA6CD7" w:rsidP="000A0858">
      <w:pPr>
        <w:pStyle w:val="ListParagraph"/>
        <w:numPr>
          <w:ilvl w:val="0"/>
          <w:numId w:val="25"/>
        </w:numPr>
        <w:spacing w:before="240" w:line="360" w:lineRule="auto"/>
        <w:jc w:val="both"/>
        <w:rPr>
          <w:rFonts w:ascii="Arial" w:hAnsi="Arial" w:cs="Arial"/>
          <w:bCs/>
          <w:sz w:val="24"/>
          <w:szCs w:val="24"/>
          <w:lang w:val="en-US"/>
        </w:rPr>
      </w:pPr>
      <w:r w:rsidRPr="00304C95">
        <w:rPr>
          <w:rFonts w:ascii="Arial" w:hAnsi="Arial" w:cs="Arial"/>
          <w:b/>
          <w:sz w:val="24"/>
          <w:szCs w:val="24"/>
          <w:lang w:val="en-US"/>
        </w:rPr>
        <w:t>Action:</w:t>
      </w:r>
      <w:r w:rsidRPr="00304C95">
        <w:rPr>
          <w:rFonts w:ascii="Arial" w:hAnsi="Arial" w:cs="Arial"/>
          <w:bCs/>
          <w:sz w:val="24"/>
          <w:szCs w:val="24"/>
          <w:lang w:val="en-US"/>
        </w:rPr>
        <w:t xml:space="preserve"> Sell unproductive product lines which were identified in the performance slump in 2023 and merge warehouses to cut carrying costs.</w:t>
      </w:r>
    </w:p>
    <w:p w14:paraId="50FB05E9" w14:textId="673FFA7B" w:rsidR="00AA6CD7" w:rsidRPr="00AA6CD7" w:rsidRDefault="00AA6CD7" w:rsidP="00304C95">
      <w:pPr>
        <w:pStyle w:val="Heading3"/>
        <w:rPr>
          <w:lang w:val="en-US"/>
        </w:rPr>
      </w:pPr>
      <w:bookmarkStart w:id="19" w:name="_Toc217246315"/>
      <w:r w:rsidRPr="00AA6CD7">
        <w:rPr>
          <w:lang w:val="en-US"/>
        </w:rPr>
        <w:t>2.2</w:t>
      </w:r>
      <w:r w:rsidR="00304C95">
        <w:rPr>
          <w:lang w:val="en-US"/>
        </w:rPr>
        <w:t>.2</w:t>
      </w:r>
      <w:r w:rsidRPr="00AA6CD7">
        <w:rPr>
          <w:lang w:val="en-US"/>
        </w:rPr>
        <w:t xml:space="preserve"> Receivable Management: Accelerated Collections</w:t>
      </w:r>
      <w:bookmarkEnd w:id="19"/>
    </w:p>
    <w:p w14:paraId="491E9389" w14:textId="77777777" w:rsidR="00AA6CD7" w:rsidRPr="00AA6CD7" w:rsidRDefault="00AA6CD7" w:rsidP="00AA6CD7">
      <w:pPr>
        <w:spacing w:before="240" w:line="360" w:lineRule="auto"/>
        <w:jc w:val="both"/>
        <w:rPr>
          <w:rFonts w:ascii="Arial" w:hAnsi="Arial" w:cs="Arial"/>
          <w:bCs/>
          <w:sz w:val="24"/>
          <w:szCs w:val="24"/>
          <w:lang w:val="en-US"/>
        </w:rPr>
      </w:pPr>
      <w:r w:rsidRPr="00AA6CD7">
        <w:rPr>
          <w:rFonts w:ascii="Arial" w:hAnsi="Arial" w:cs="Arial"/>
          <w:bCs/>
          <w:sz w:val="24"/>
          <w:szCs w:val="24"/>
          <w:lang w:val="en-US"/>
        </w:rPr>
        <w:t>The biggest obstacle to the recovery of GE is the locked-in receivables of £114.2B.</w:t>
      </w:r>
    </w:p>
    <w:p w14:paraId="350ECB15" w14:textId="77777777" w:rsidR="00AA6CD7" w:rsidRPr="000A0858" w:rsidRDefault="00AA6CD7" w:rsidP="000A0858">
      <w:pPr>
        <w:pStyle w:val="ListParagraph"/>
        <w:numPr>
          <w:ilvl w:val="0"/>
          <w:numId w:val="26"/>
        </w:numPr>
        <w:spacing w:before="240" w:line="360" w:lineRule="auto"/>
        <w:jc w:val="both"/>
        <w:rPr>
          <w:rFonts w:ascii="Arial" w:hAnsi="Arial" w:cs="Arial"/>
          <w:bCs/>
          <w:sz w:val="24"/>
          <w:szCs w:val="24"/>
          <w:lang w:val="en-US"/>
        </w:rPr>
      </w:pPr>
      <w:r w:rsidRPr="000A0858">
        <w:rPr>
          <w:rFonts w:ascii="Arial" w:hAnsi="Arial" w:cs="Arial"/>
          <w:b/>
          <w:sz w:val="24"/>
          <w:szCs w:val="24"/>
          <w:lang w:val="en-US"/>
        </w:rPr>
        <w:t>Recommendation:</w:t>
      </w:r>
      <w:r w:rsidRPr="000A0858">
        <w:rPr>
          <w:rFonts w:ascii="Arial" w:hAnsi="Arial" w:cs="Arial"/>
          <w:bCs/>
          <w:sz w:val="24"/>
          <w:szCs w:val="24"/>
          <w:lang w:val="en-US"/>
        </w:rPr>
        <w:t xml:space="preserve"> Accounts Receivable Factoring. The liquidity required to solve the issue with the line of credit that is currently debilitating the balance sheet (£36.9B) will be offered by selling outstanding invoices to a third party (a factor) to get ready money, though at a discount.</w:t>
      </w:r>
    </w:p>
    <w:p w14:paraId="1391B614" w14:textId="77777777" w:rsidR="00AA6CD7" w:rsidRPr="000A0858" w:rsidRDefault="00AA6CD7" w:rsidP="000A0858">
      <w:pPr>
        <w:pStyle w:val="ListParagraph"/>
        <w:numPr>
          <w:ilvl w:val="0"/>
          <w:numId w:val="26"/>
        </w:numPr>
        <w:spacing w:before="240" w:line="360" w:lineRule="auto"/>
        <w:jc w:val="both"/>
        <w:rPr>
          <w:rFonts w:ascii="Arial" w:hAnsi="Arial" w:cs="Arial"/>
          <w:bCs/>
          <w:sz w:val="24"/>
          <w:szCs w:val="24"/>
          <w:lang w:val="en-US"/>
        </w:rPr>
      </w:pPr>
      <w:r w:rsidRPr="000A0858">
        <w:rPr>
          <w:rFonts w:ascii="Arial" w:hAnsi="Arial" w:cs="Arial"/>
          <w:b/>
          <w:sz w:val="24"/>
          <w:szCs w:val="24"/>
          <w:lang w:val="en-US"/>
        </w:rPr>
        <w:t>Action:</w:t>
      </w:r>
      <w:r w:rsidRPr="000A0858">
        <w:rPr>
          <w:rFonts w:ascii="Arial" w:hAnsi="Arial" w:cs="Arial"/>
          <w:bCs/>
          <w:sz w:val="24"/>
          <w:szCs w:val="24"/>
          <w:lang w:val="en-US"/>
        </w:rPr>
        <w:t xml:space="preserve"> Implement distributor early payment discounts (e.g., 2/10 net 30) in order to encourage cash settlement.</w:t>
      </w:r>
    </w:p>
    <w:p w14:paraId="5802E1C0" w14:textId="0EF31459" w:rsidR="00AA6CD7" w:rsidRPr="00AA6CD7" w:rsidRDefault="00E3194A" w:rsidP="00E3194A">
      <w:pPr>
        <w:pStyle w:val="Heading3"/>
        <w:rPr>
          <w:lang w:val="en-US"/>
        </w:rPr>
      </w:pPr>
      <w:bookmarkStart w:id="20" w:name="_Toc217246316"/>
      <w:r>
        <w:rPr>
          <w:lang w:val="en-US"/>
        </w:rPr>
        <w:lastRenderedPageBreak/>
        <w:t>2.</w:t>
      </w:r>
      <w:r w:rsidR="00AA6CD7" w:rsidRPr="00AA6CD7">
        <w:rPr>
          <w:lang w:val="en-US"/>
        </w:rPr>
        <w:t>2.3 Payable Strategy: Strategic Supplier Partnerships</w:t>
      </w:r>
      <w:bookmarkEnd w:id="20"/>
    </w:p>
    <w:p w14:paraId="019B5D58" w14:textId="77777777" w:rsidR="00AA6CD7" w:rsidRPr="00AA6CD7" w:rsidRDefault="00AA6CD7" w:rsidP="00AA6CD7">
      <w:pPr>
        <w:spacing w:before="240" w:line="360" w:lineRule="auto"/>
        <w:jc w:val="both"/>
        <w:rPr>
          <w:rFonts w:ascii="Arial" w:hAnsi="Arial" w:cs="Arial"/>
          <w:bCs/>
          <w:sz w:val="24"/>
          <w:szCs w:val="24"/>
          <w:lang w:val="en-US"/>
        </w:rPr>
      </w:pPr>
      <w:r w:rsidRPr="00AA6CD7">
        <w:rPr>
          <w:rFonts w:ascii="Arial" w:hAnsi="Arial" w:cs="Arial"/>
          <w:bCs/>
          <w:sz w:val="24"/>
          <w:szCs w:val="24"/>
          <w:lang w:val="en-US"/>
        </w:rPr>
        <w:t xml:space="preserve">GE should not use more inflation of DPO, but can </w:t>
      </w:r>
      <w:proofErr w:type="spellStart"/>
      <w:r w:rsidRPr="00AA6CD7">
        <w:rPr>
          <w:rFonts w:ascii="Arial" w:hAnsi="Arial" w:cs="Arial"/>
          <w:bCs/>
          <w:sz w:val="24"/>
          <w:szCs w:val="24"/>
          <w:lang w:val="en-US"/>
        </w:rPr>
        <w:t>reorganise</w:t>
      </w:r>
      <w:proofErr w:type="spellEnd"/>
      <w:r w:rsidRPr="00AA6CD7">
        <w:rPr>
          <w:rFonts w:ascii="Arial" w:hAnsi="Arial" w:cs="Arial"/>
          <w:bCs/>
          <w:sz w:val="24"/>
          <w:szCs w:val="24"/>
          <w:lang w:val="en-US"/>
        </w:rPr>
        <w:t xml:space="preserve"> its liabilities.</w:t>
      </w:r>
    </w:p>
    <w:p w14:paraId="40589D3C" w14:textId="5F545124" w:rsidR="00AA6CD7" w:rsidRPr="003E24CD" w:rsidRDefault="00E3194A" w:rsidP="003E24CD">
      <w:pPr>
        <w:pStyle w:val="ListParagraph"/>
        <w:numPr>
          <w:ilvl w:val="0"/>
          <w:numId w:val="27"/>
        </w:numPr>
        <w:spacing w:before="240" w:line="360" w:lineRule="auto"/>
        <w:jc w:val="both"/>
        <w:rPr>
          <w:rFonts w:ascii="Arial" w:hAnsi="Arial" w:cs="Arial"/>
          <w:bCs/>
          <w:sz w:val="24"/>
          <w:szCs w:val="24"/>
          <w:lang w:val="en-US"/>
        </w:rPr>
      </w:pPr>
      <w:r w:rsidRPr="003E24CD">
        <w:rPr>
          <w:rFonts w:ascii="Arial" w:hAnsi="Arial" w:cs="Arial"/>
          <w:b/>
          <w:sz w:val="24"/>
          <w:szCs w:val="24"/>
          <w:lang w:val="en-US"/>
        </w:rPr>
        <w:t>Recommendation</w:t>
      </w:r>
      <w:r w:rsidR="00AA6CD7" w:rsidRPr="003E24CD">
        <w:rPr>
          <w:rFonts w:ascii="Arial" w:hAnsi="Arial" w:cs="Arial"/>
          <w:b/>
          <w:sz w:val="24"/>
          <w:szCs w:val="24"/>
          <w:lang w:val="en-US"/>
        </w:rPr>
        <w:t>:</w:t>
      </w:r>
      <w:r w:rsidR="00AA6CD7" w:rsidRPr="003E24CD">
        <w:rPr>
          <w:rFonts w:ascii="Arial" w:hAnsi="Arial" w:cs="Arial"/>
          <w:bCs/>
          <w:sz w:val="24"/>
          <w:szCs w:val="24"/>
          <w:lang w:val="en-US"/>
        </w:rPr>
        <w:t xml:space="preserve"> Supply Chain Financing (Reverse Factoring). This also enables the suppliers of GE to receive their payment within a very short period through a bank lending to GE which is under a credit limit of GE, and GE retains its long payment terms. This does not harm the supply chain, as it keeps the system liquid (Forbes, 2024).</w:t>
      </w:r>
    </w:p>
    <w:p w14:paraId="2294DD58" w14:textId="56DC5577" w:rsidR="00AA6CD7" w:rsidRPr="00AA6CD7" w:rsidRDefault="00E40A5B" w:rsidP="00E40A5B">
      <w:pPr>
        <w:pStyle w:val="Heading2"/>
        <w:rPr>
          <w:lang w:val="en-US"/>
        </w:rPr>
      </w:pPr>
      <w:bookmarkStart w:id="21" w:name="_Toc217246317"/>
      <w:r>
        <w:rPr>
          <w:lang w:val="en-US"/>
        </w:rPr>
        <w:t>2.</w:t>
      </w:r>
      <w:r w:rsidR="00AA6CD7" w:rsidRPr="00AA6CD7">
        <w:rPr>
          <w:lang w:val="en-US"/>
        </w:rPr>
        <w:t>3 Comparison of Financing Alternatives</w:t>
      </w:r>
      <w:bookmarkEnd w:id="21"/>
    </w:p>
    <w:p w14:paraId="43FC300B" w14:textId="77777777" w:rsidR="00AA6CD7" w:rsidRDefault="00AA6CD7" w:rsidP="00AA6CD7">
      <w:pPr>
        <w:spacing w:before="240" w:line="360" w:lineRule="auto"/>
        <w:jc w:val="both"/>
        <w:rPr>
          <w:rFonts w:ascii="Arial" w:hAnsi="Arial" w:cs="Arial"/>
          <w:bCs/>
          <w:sz w:val="24"/>
          <w:szCs w:val="24"/>
          <w:lang w:val="en-US"/>
        </w:rPr>
      </w:pPr>
      <w:r w:rsidRPr="00AA6CD7">
        <w:rPr>
          <w:rFonts w:ascii="Arial" w:hAnsi="Arial" w:cs="Arial"/>
          <w:bCs/>
          <w:sz w:val="24"/>
          <w:szCs w:val="24"/>
          <w:lang w:val="en-US"/>
        </w:rPr>
        <w:t>The financing option is important given the current GE Altman Z-score of the company is in a grey zone. The company has to strike a balance between remunerating the need for cash in the short term and the cost of capital in the long run.</w:t>
      </w:r>
    </w:p>
    <w:tbl>
      <w:tblPr>
        <w:tblStyle w:val="TableGrid"/>
        <w:tblW w:w="0" w:type="auto"/>
        <w:tblLook w:val="04A0" w:firstRow="1" w:lastRow="0" w:firstColumn="1" w:lastColumn="0" w:noHBand="0" w:noVBand="1"/>
      </w:tblPr>
      <w:tblGrid>
        <w:gridCol w:w="1580"/>
        <w:gridCol w:w="3553"/>
        <w:gridCol w:w="3883"/>
      </w:tblGrid>
      <w:tr w:rsidR="001947AB" w:rsidRPr="001947AB" w14:paraId="551D43B0" w14:textId="77777777" w:rsidTr="001947AB">
        <w:tc>
          <w:tcPr>
            <w:tcW w:w="0" w:type="auto"/>
            <w:hideMark/>
          </w:tcPr>
          <w:p w14:paraId="1AF59D5A"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
                <w:bCs/>
                <w:sz w:val="24"/>
                <w:szCs w:val="24"/>
                <w:lang w:val="en-US"/>
              </w:rPr>
              <w:t>Feature</w:t>
            </w:r>
          </w:p>
        </w:tc>
        <w:tc>
          <w:tcPr>
            <w:tcW w:w="0" w:type="auto"/>
            <w:hideMark/>
          </w:tcPr>
          <w:p w14:paraId="5BA23B0B"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
                <w:bCs/>
                <w:sz w:val="24"/>
                <w:szCs w:val="24"/>
                <w:lang w:val="en-US"/>
              </w:rPr>
              <w:t>Short-Term Financing (e.g., Lines of Credit, Factoring)</w:t>
            </w:r>
          </w:p>
        </w:tc>
        <w:tc>
          <w:tcPr>
            <w:tcW w:w="0" w:type="auto"/>
            <w:hideMark/>
          </w:tcPr>
          <w:p w14:paraId="79BFFB6B"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
                <w:bCs/>
                <w:sz w:val="24"/>
                <w:szCs w:val="24"/>
                <w:lang w:val="en-US"/>
              </w:rPr>
              <w:t>Long-Term Financing (e.g., Corporate Bonds, Equity Issue)</w:t>
            </w:r>
          </w:p>
        </w:tc>
      </w:tr>
      <w:tr w:rsidR="001947AB" w:rsidRPr="001947AB" w14:paraId="3C99C1CF" w14:textId="77777777" w:rsidTr="001947AB">
        <w:tc>
          <w:tcPr>
            <w:tcW w:w="0" w:type="auto"/>
            <w:hideMark/>
          </w:tcPr>
          <w:p w14:paraId="5EBA8EAD"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
                <w:bCs/>
                <w:sz w:val="24"/>
                <w:szCs w:val="24"/>
                <w:lang w:val="en-US"/>
              </w:rPr>
              <w:t>Maturity</w:t>
            </w:r>
          </w:p>
        </w:tc>
        <w:tc>
          <w:tcPr>
            <w:tcW w:w="0" w:type="auto"/>
            <w:hideMark/>
          </w:tcPr>
          <w:p w14:paraId="36007796"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Cs/>
                <w:sz w:val="24"/>
                <w:szCs w:val="24"/>
                <w:lang w:val="en-US"/>
              </w:rPr>
              <w:t>Less than 1 year.</w:t>
            </w:r>
          </w:p>
        </w:tc>
        <w:tc>
          <w:tcPr>
            <w:tcW w:w="0" w:type="auto"/>
            <w:hideMark/>
          </w:tcPr>
          <w:p w14:paraId="4AF88F2E"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Cs/>
                <w:sz w:val="24"/>
                <w:szCs w:val="24"/>
                <w:lang w:val="en-US"/>
              </w:rPr>
              <w:t>5 to 30 years.</w:t>
            </w:r>
          </w:p>
        </w:tc>
      </w:tr>
      <w:tr w:rsidR="001947AB" w:rsidRPr="001947AB" w14:paraId="3EBA4CA0" w14:textId="77777777" w:rsidTr="001947AB">
        <w:tc>
          <w:tcPr>
            <w:tcW w:w="0" w:type="auto"/>
            <w:hideMark/>
          </w:tcPr>
          <w:p w14:paraId="71AD03D4"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
                <w:bCs/>
                <w:sz w:val="24"/>
                <w:szCs w:val="24"/>
                <w:lang w:val="en-US"/>
              </w:rPr>
              <w:t>Cost</w:t>
            </w:r>
          </w:p>
        </w:tc>
        <w:tc>
          <w:tcPr>
            <w:tcW w:w="0" w:type="auto"/>
            <w:hideMark/>
          </w:tcPr>
          <w:p w14:paraId="1578CFDC" w14:textId="463D6E1F"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Cs/>
                <w:sz w:val="24"/>
                <w:szCs w:val="24"/>
                <w:lang w:val="en-US"/>
              </w:rPr>
              <w:t>Typically, higher floating rates; factoring fees can be 1-3%.</w:t>
            </w:r>
          </w:p>
        </w:tc>
        <w:tc>
          <w:tcPr>
            <w:tcW w:w="0" w:type="auto"/>
            <w:hideMark/>
          </w:tcPr>
          <w:p w14:paraId="56CAD781"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Cs/>
                <w:sz w:val="24"/>
                <w:szCs w:val="24"/>
                <w:lang w:val="en-US"/>
              </w:rPr>
              <w:t>Fixed interest rates; currently high due to GE’s risk profile.</w:t>
            </w:r>
          </w:p>
        </w:tc>
      </w:tr>
      <w:tr w:rsidR="001947AB" w:rsidRPr="001947AB" w14:paraId="3D12B61E" w14:textId="77777777" w:rsidTr="001947AB">
        <w:tc>
          <w:tcPr>
            <w:tcW w:w="0" w:type="auto"/>
            <w:hideMark/>
          </w:tcPr>
          <w:p w14:paraId="0C1A6B06"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
                <w:bCs/>
                <w:sz w:val="24"/>
                <w:szCs w:val="24"/>
                <w:lang w:val="en-US"/>
              </w:rPr>
              <w:t>Speed</w:t>
            </w:r>
          </w:p>
        </w:tc>
        <w:tc>
          <w:tcPr>
            <w:tcW w:w="0" w:type="auto"/>
            <w:hideMark/>
          </w:tcPr>
          <w:p w14:paraId="6C8870EF"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Cs/>
                <w:sz w:val="24"/>
                <w:szCs w:val="24"/>
                <w:lang w:val="en-US"/>
              </w:rPr>
              <w:t>High; factoring can provide cash in 24-48 hours.</w:t>
            </w:r>
          </w:p>
        </w:tc>
        <w:tc>
          <w:tcPr>
            <w:tcW w:w="0" w:type="auto"/>
            <w:hideMark/>
          </w:tcPr>
          <w:p w14:paraId="49618406"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Cs/>
                <w:sz w:val="24"/>
                <w:szCs w:val="24"/>
                <w:lang w:val="en-US"/>
              </w:rPr>
              <w:t>Low; requires extensive regulatory filing and underwriting.</w:t>
            </w:r>
          </w:p>
        </w:tc>
      </w:tr>
      <w:tr w:rsidR="001947AB" w:rsidRPr="001947AB" w14:paraId="37BED81D" w14:textId="77777777" w:rsidTr="001947AB">
        <w:tc>
          <w:tcPr>
            <w:tcW w:w="0" w:type="auto"/>
            <w:hideMark/>
          </w:tcPr>
          <w:p w14:paraId="11E171DF"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
                <w:bCs/>
                <w:sz w:val="24"/>
                <w:szCs w:val="24"/>
                <w:lang w:val="en-US"/>
              </w:rPr>
              <w:t>Covenants</w:t>
            </w:r>
          </w:p>
        </w:tc>
        <w:tc>
          <w:tcPr>
            <w:tcW w:w="0" w:type="auto"/>
            <w:hideMark/>
          </w:tcPr>
          <w:p w14:paraId="10DA2ABE"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Cs/>
                <w:sz w:val="24"/>
                <w:szCs w:val="24"/>
                <w:lang w:val="en-US"/>
              </w:rPr>
              <w:t>Minimal, often based on specific asset security.</w:t>
            </w:r>
          </w:p>
        </w:tc>
        <w:tc>
          <w:tcPr>
            <w:tcW w:w="0" w:type="auto"/>
            <w:hideMark/>
          </w:tcPr>
          <w:p w14:paraId="1CA66D61"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Cs/>
                <w:sz w:val="24"/>
                <w:szCs w:val="24"/>
                <w:lang w:val="en-US"/>
              </w:rPr>
              <w:t>Strict; may limit future dividend payments or asset sales.</w:t>
            </w:r>
          </w:p>
        </w:tc>
      </w:tr>
      <w:tr w:rsidR="001947AB" w:rsidRPr="001947AB" w14:paraId="799855E8" w14:textId="77777777" w:rsidTr="001947AB">
        <w:tc>
          <w:tcPr>
            <w:tcW w:w="0" w:type="auto"/>
            <w:hideMark/>
          </w:tcPr>
          <w:p w14:paraId="2F759B04"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
                <w:bCs/>
                <w:sz w:val="24"/>
                <w:szCs w:val="24"/>
                <w:lang w:val="en-US"/>
              </w:rPr>
              <w:t>Impact on GE</w:t>
            </w:r>
          </w:p>
        </w:tc>
        <w:tc>
          <w:tcPr>
            <w:tcW w:w="0" w:type="auto"/>
            <w:hideMark/>
          </w:tcPr>
          <w:p w14:paraId="4DC8B10F" w14:textId="77777777" w:rsidR="001947AB" w:rsidRPr="001947AB" w:rsidRDefault="001947AB" w:rsidP="001947AB">
            <w:pPr>
              <w:spacing w:before="240" w:line="360" w:lineRule="auto"/>
              <w:jc w:val="both"/>
              <w:rPr>
                <w:rFonts w:ascii="Arial" w:hAnsi="Arial" w:cs="Arial"/>
                <w:bCs/>
                <w:sz w:val="24"/>
                <w:szCs w:val="24"/>
                <w:lang w:val="en-US"/>
              </w:rPr>
            </w:pPr>
            <w:r w:rsidRPr="001947AB">
              <w:rPr>
                <w:rFonts w:ascii="Arial" w:hAnsi="Arial" w:cs="Arial"/>
                <w:bCs/>
                <w:sz w:val="24"/>
                <w:szCs w:val="24"/>
                <w:lang w:val="en-US"/>
              </w:rPr>
              <w:t>Essential for managing the 115-day CCC gap.</w:t>
            </w:r>
          </w:p>
        </w:tc>
        <w:tc>
          <w:tcPr>
            <w:tcW w:w="0" w:type="auto"/>
            <w:hideMark/>
          </w:tcPr>
          <w:p w14:paraId="273D66AA" w14:textId="77777777" w:rsidR="001947AB" w:rsidRPr="001947AB" w:rsidRDefault="001947AB" w:rsidP="00CE4413">
            <w:pPr>
              <w:keepNext/>
              <w:spacing w:before="240" w:line="360" w:lineRule="auto"/>
              <w:jc w:val="both"/>
              <w:rPr>
                <w:rFonts w:ascii="Arial" w:hAnsi="Arial" w:cs="Arial"/>
                <w:bCs/>
                <w:sz w:val="24"/>
                <w:szCs w:val="24"/>
                <w:lang w:val="en-US"/>
              </w:rPr>
            </w:pPr>
            <w:r w:rsidRPr="001947AB">
              <w:rPr>
                <w:rFonts w:ascii="Arial" w:hAnsi="Arial" w:cs="Arial"/>
                <w:bCs/>
                <w:sz w:val="24"/>
                <w:szCs w:val="24"/>
                <w:lang w:val="en-US"/>
              </w:rPr>
              <w:t>Necessary to "term out" the £170.2B in total liabilities.</w:t>
            </w:r>
          </w:p>
        </w:tc>
      </w:tr>
    </w:tbl>
    <w:p w14:paraId="4EC80677" w14:textId="42AA462D" w:rsidR="001947AB" w:rsidRPr="00AA6CD7" w:rsidRDefault="00CE4413" w:rsidP="00CE4413">
      <w:pPr>
        <w:pStyle w:val="Caption"/>
        <w:rPr>
          <w:rFonts w:ascii="Arial" w:hAnsi="Arial" w:cs="Arial"/>
          <w:bCs/>
          <w:sz w:val="24"/>
          <w:szCs w:val="24"/>
          <w:lang w:val="en-US"/>
        </w:rPr>
      </w:pPr>
      <w:bookmarkStart w:id="22" w:name="_Toc217221015"/>
      <w:r>
        <w:t xml:space="preserve">Table </w:t>
      </w:r>
      <w:r>
        <w:fldChar w:fldCharType="begin"/>
      </w:r>
      <w:r>
        <w:instrText xml:space="preserve"> SEQ Table \* ARABIC </w:instrText>
      </w:r>
      <w:r>
        <w:fldChar w:fldCharType="separate"/>
      </w:r>
      <w:r w:rsidR="0078538A">
        <w:rPr>
          <w:noProof/>
        </w:rPr>
        <w:t>4</w:t>
      </w:r>
      <w:r>
        <w:fldChar w:fldCharType="end"/>
      </w:r>
      <w:r>
        <w:t xml:space="preserve">: </w:t>
      </w:r>
      <w:r w:rsidRPr="00D1473F">
        <w:t>Short-Term vs. Long-Term Financing for General Electronics</w:t>
      </w:r>
      <w:bookmarkEnd w:id="22"/>
    </w:p>
    <w:p w14:paraId="3CCBDCE1" w14:textId="28C11749" w:rsidR="00AA6CD7" w:rsidRPr="00AA6CD7" w:rsidRDefault="00D954EE" w:rsidP="00D954EE">
      <w:pPr>
        <w:pStyle w:val="Heading3"/>
        <w:rPr>
          <w:lang w:val="en-US"/>
        </w:rPr>
      </w:pPr>
      <w:bookmarkStart w:id="23" w:name="_Toc217246318"/>
      <w:r>
        <w:rPr>
          <w:lang w:val="en-US"/>
        </w:rPr>
        <w:lastRenderedPageBreak/>
        <w:t>2.</w:t>
      </w:r>
      <w:r w:rsidRPr="00D954EE">
        <w:rPr>
          <w:lang w:val="en-US"/>
        </w:rPr>
        <w:t>3.1 Evaluation of GE's Current position</w:t>
      </w:r>
      <w:bookmarkEnd w:id="23"/>
    </w:p>
    <w:p w14:paraId="73E57721" w14:textId="77777777" w:rsidR="00AA6CD7" w:rsidRPr="00AA6CD7" w:rsidRDefault="00AA6CD7" w:rsidP="00AA6CD7">
      <w:pPr>
        <w:spacing w:before="240" w:line="360" w:lineRule="auto"/>
        <w:jc w:val="both"/>
        <w:rPr>
          <w:rFonts w:ascii="Arial" w:hAnsi="Arial" w:cs="Arial"/>
          <w:bCs/>
          <w:sz w:val="24"/>
          <w:szCs w:val="24"/>
          <w:lang w:val="en-US"/>
        </w:rPr>
      </w:pPr>
      <w:r w:rsidRPr="00AA6CD7">
        <w:rPr>
          <w:rFonts w:ascii="Arial" w:hAnsi="Arial" w:cs="Arial"/>
          <w:bCs/>
          <w:sz w:val="24"/>
          <w:szCs w:val="24"/>
          <w:lang w:val="en-US"/>
        </w:rPr>
        <w:t xml:space="preserve">GE is </w:t>
      </w:r>
      <w:proofErr w:type="spellStart"/>
      <w:r w:rsidRPr="00AA6CD7">
        <w:rPr>
          <w:rFonts w:ascii="Arial" w:hAnsi="Arial" w:cs="Arial"/>
          <w:bCs/>
          <w:sz w:val="24"/>
          <w:szCs w:val="24"/>
          <w:lang w:val="en-US"/>
        </w:rPr>
        <w:t>underutilising</w:t>
      </w:r>
      <w:proofErr w:type="spellEnd"/>
      <w:r w:rsidRPr="00AA6CD7">
        <w:rPr>
          <w:rFonts w:ascii="Arial" w:hAnsi="Arial" w:cs="Arial"/>
          <w:bCs/>
          <w:sz w:val="24"/>
          <w:szCs w:val="24"/>
          <w:lang w:val="en-US"/>
        </w:rPr>
        <w:t xml:space="preserve"> short-term debt (£37B in lines of credit). This subjects the firm to the refinancing risk in a high-interest-rate environment. According to The Economist (2024), the legacy technology companies are forced to switch to long-term Green Bonds or sustainable financing to appeal to institutional investors and reduce the weighted average cost of capital (WACC).</w:t>
      </w:r>
    </w:p>
    <w:p w14:paraId="4518338F" w14:textId="03D6057E" w:rsidR="00AA6CD7" w:rsidRPr="00AA6CD7" w:rsidRDefault="00D954EE" w:rsidP="00D954EE">
      <w:pPr>
        <w:pStyle w:val="Heading2"/>
        <w:rPr>
          <w:lang w:val="en-US"/>
        </w:rPr>
      </w:pPr>
      <w:bookmarkStart w:id="24" w:name="_Toc217246319"/>
      <w:r>
        <w:rPr>
          <w:lang w:val="en-US"/>
        </w:rPr>
        <w:t>2.</w:t>
      </w:r>
      <w:r w:rsidR="00AA6CD7" w:rsidRPr="00AA6CD7">
        <w:rPr>
          <w:lang w:val="en-US"/>
        </w:rPr>
        <w:t>4 Synthesis and Industry Prospectus.</w:t>
      </w:r>
      <w:bookmarkEnd w:id="24"/>
    </w:p>
    <w:p w14:paraId="089ED479" w14:textId="77777777" w:rsidR="00B21842" w:rsidRPr="00B21842" w:rsidRDefault="00B21842" w:rsidP="00B21842">
      <w:pPr>
        <w:spacing w:before="240" w:line="360" w:lineRule="auto"/>
        <w:jc w:val="both"/>
        <w:rPr>
          <w:rFonts w:ascii="Arial" w:hAnsi="Arial" w:cs="Arial"/>
          <w:bCs/>
          <w:sz w:val="24"/>
          <w:szCs w:val="24"/>
          <w:lang w:val="en-US"/>
        </w:rPr>
      </w:pPr>
      <w:r w:rsidRPr="00B21842">
        <w:rPr>
          <w:rFonts w:ascii="Arial" w:hAnsi="Arial" w:cs="Arial"/>
          <w:bCs/>
          <w:sz w:val="24"/>
          <w:szCs w:val="24"/>
          <w:lang w:val="en-US"/>
        </w:rPr>
        <w:t>The consumer electronics sector is now undergoing a Digital Transformation 2.0, which means that the business is transitioning away from an emphasis on hardware sales and instead turning towards a move towards subscriptions and services (MarketLine, 2024). The current issue in working capital that General Electric is experiencing is only one of the symptoms that reflect the company's inability to adapt to this transition. In spite of the fact that the company's income has decreased, the operational inertia of the company has preserved the assets in their previous state.</w:t>
      </w:r>
    </w:p>
    <w:p w14:paraId="5049D323" w14:textId="77777777" w:rsidR="00B21842" w:rsidRPr="00B21842" w:rsidRDefault="00B21842" w:rsidP="00B21842">
      <w:pPr>
        <w:spacing w:before="240" w:line="360" w:lineRule="auto"/>
        <w:jc w:val="both"/>
        <w:rPr>
          <w:rFonts w:ascii="Arial" w:hAnsi="Arial" w:cs="Arial"/>
          <w:bCs/>
          <w:sz w:val="24"/>
          <w:szCs w:val="24"/>
          <w:lang w:val="en-US"/>
        </w:rPr>
      </w:pPr>
      <w:r w:rsidRPr="00B21842">
        <w:rPr>
          <w:rFonts w:ascii="Arial" w:hAnsi="Arial" w:cs="Arial"/>
          <w:bCs/>
          <w:sz w:val="24"/>
          <w:szCs w:val="24"/>
          <w:lang w:val="en-US"/>
        </w:rPr>
        <w:t>According to the Coca-Cola UK Case Study (2025), it is evident that the success of brands in the current decade is defined by the capacity to employ content-based marketing to generate a more direct and high-velocity relationship with the consumers. This is the foundation upon which the success of brands is created. The prospect of General Electric (GE) transitioning to a Direct-to-Consumer (DTC) model exists via the use of digital strategies that are based on influencers. Due to the fact that payments are gathered at the point of sale, a DTC pivot would result in a significant reduction in the CCC to almost nothing. This would be accomplished by deleting the wholesale layer, which would greatly compress the CCC.</w:t>
      </w:r>
    </w:p>
    <w:p w14:paraId="0D5E0C2F" w14:textId="1B0D7937" w:rsidR="003F4E8F" w:rsidRPr="006D0CF6" w:rsidRDefault="00B21842" w:rsidP="00B21842">
      <w:pPr>
        <w:spacing w:before="240" w:line="360" w:lineRule="auto"/>
        <w:jc w:val="both"/>
        <w:rPr>
          <w:rFonts w:ascii="Arial" w:hAnsi="Arial" w:cs="Arial"/>
          <w:bCs/>
          <w:sz w:val="24"/>
          <w:szCs w:val="24"/>
          <w:lang w:val="en-US"/>
        </w:rPr>
      </w:pPr>
      <w:r w:rsidRPr="00B21842">
        <w:rPr>
          <w:rFonts w:ascii="Arial" w:hAnsi="Arial" w:cs="Arial"/>
          <w:bCs/>
          <w:sz w:val="24"/>
          <w:szCs w:val="24"/>
          <w:lang w:val="en-US"/>
        </w:rPr>
        <w:t xml:space="preserve">For the purpose of </w:t>
      </w:r>
      <w:proofErr w:type="spellStart"/>
      <w:r w:rsidRPr="00B21842">
        <w:rPr>
          <w:rFonts w:ascii="Arial" w:hAnsi="Arial" w:cs="Arial"/>
          <w:bCs/>
          <w:sz w:val="24"/>
          <w:szCs w:val="24"/>
          <w:lang w:val="en-US"/>
        </w:rPr>
        <w:t>summarising</w:t>
      </w:r>
      <w:proofErr w:type="spellEnd"/>
      <w:r w:rsidRPr="00B21842">
        <w:rPr>
          <w:rFonts w:ascii="Arial" w:hAnsi="Arial" w:cs="Arial"/>
          <w:bCs/>
          <w:sz w:val="24"/>
          <w:szCs w:val="24"/>
          <w:lang w:val="en-US"/>
        </w:rPr>
        <w:t>, General Electronics ought to consider its 115-day CCC to be an emergency approach. The combination of Receivable Factoring, which opens up fast cash, and a shift in Long-Term Debt, which evens out the balance sheet, is the only option to avoid the impending collapse of the balance sheet that is caused by liquidity.</w:t>
      </w:r>
    </w:p>
    <w:p w14:paraId="70DD4BFF" w14:textId="56E68344" w:rsidR="00E56A20" w:rsidRPr="00E56A20" w:rsidRDefault="003F4E8F" w:rsidP="00E56A20">
      <w:pPr>
        <w:pStyle w:val="Heading1"/>
      </w:pPr>
      <w:bookmarkStart w:id="25" w:name="_Toc217246320"/>
      <w:r w:rsidRPr="009C4F12">
        <w:lastRenderedPageBreak/>
        <w:t>3</w:t>
      </w:r>
      <w:r>
        <w:t xml:space="preserve">. </w:t>
      </w:r>
      <w:r w:rsidR="00E56A20" w:rsidRPr="00E56A20">
        <w:rPr>
          <w:lang w:val="en-US"/>
        </w:rPr>
        <w:t>Strategic Financial Restructuring: A "Phoenix" Plan for General Electronics (2025-2030)</w:t>
      </w:r>
      <w:bookmarkEnd w:id="25"/>
    </w:p>
    <w:p w14:paraId="74B96F18" w14:textId="77777777"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The financial path of General Electric (GE) from 2020 to 2024 can be seen as the journey of a titan in transition. With net sales down by more than 35% – from GBP 614.7B to GBP 394.9B – and a catastrophic net loss of GBP 98.2B in 2023, the current capital structure of the firm is no longer fit for purpose. This report lays out a "Strategic Financial Restructuring Plan" that aims to restore the firm's solvency, unlock shareholder value, and turn the firm towards a high-margin, "Asset-Light" future.</w:t>
      </w:r>
    </w:p>
    <w:p w14:paraId="08E7D67F" w14:textId="30A67B72" w:rsidR="00E56A20" w:rsidRPr="00E56A20" w:rsidRDefault="004B17BA" w:rsidP="004B17BA">
      <w:pPr>
        <w:pStyle w:val="Heading2"/>
        <w:rPr>
          <w:lang w:val="en-US"/>
        </w:rPr>
      </w:pPr>
      <w:bookmarkStart w:id="26" w:name="_Toc217246321"/>
      <w:r>
        <w:rPr>
          <w:lang w:val="en-US"/>
        </w:rPr>
        <w:t>3.</w:t>
      </w:r>
      <w:r w:rsidR="00E56A20" w:rsidRPr="00E56A20">
        <w:rPr>
          <w:lang w:val="en-US"/>
        </w:rPr>
        <w:t>1 Recommended Financial Restructuring Alternatives</w:t>
      </w:r>
      <w:bookmarkEnd w:id="26"/>
    </w:p>
    <w:p w14:paraId="411C7378" w14:textId="77777777"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 xml:space="preserve">Financial restructuring is the process of </w:t>
      </w:r>
      <w:proofErr w:type="spellStart"/>
      <w:r w:rsidRPr="00E56A20">
        <w:rPr>
          <w:rFonts w:ascii="Arial" w:hAnsi="Arial" w:cs="Arial"/>
          <w:bCs/>
          <w:sz w:val="24"/>
          <w:szCs w:val="24"/>
          <w:lang w:val="en-US"/>
        </w:rPr>
        <w:t>reorganising</w:t>
      </w:r>
      <w:proofErr w:type="spellEnd"/>
      <w:r w:rsidRPr="00E56A20">
        <w:rPr>
          <w:rFonts w:ascii="Arial" w:hAnsi="Arial" w:cs="Arial"/>
          <w:bCs/>
          <w:sz w:val="24"/>
          <w:szCs w:val="24"/>
          <w:lang w:val="en-US"/>
        </w:rPr>
        <w:t xml:space="preserve"> the assets and liabilities of a firm to enhance its financial health (Strategic Management Journal, 2022). For GE, "one-size-fits-all" is not enough; a combination of divestiture, strategic alliances and equity realignment is needed.</w:t>
      </w:r>
    </w:p>
    <w:p w14:paraId="7B86984F" w14:textId="4707A76E" w:rsidR="00E56A20" w:rsidRPr="00E56A20" w:rsidRDefault="004B17BA" w:rsidP="004B17BA">
      <w:pPr>
        <w:pStyle w:val="Heading3"/>
        <w:rPr>
          <w:lang w:val="en-US"/>
        </w:rPr>
      </w:pPr>
      <w:bookmarkStart w:id="27" w:name="_Toc217246322"/>
      <w:r>
        <w:rPr>
          <w:lang w:val="en-US"/>
        </w:rPr>
        <w:t>3.</w:t>
      </w:r>
      <w:r w:rsidR="00E56A20" w:rsidRPr="00E56A20">
        <w:rPr>
          <w:lang w:val="en-US"/>
        </w:rPr>
        <w:t>1.1 Strategic Divestiture: The "Spin-Off" of Legacy Hardware</w:t>
      </w:r>
      <w:bookmarkEnd w:id="27"/>
    </w:p>
    <w:p w14:paraId="758E071B" w14:textId="77777777"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The most urgent is the divestiture of GE's underperforming Legacy Consumer Hardware division.</w:t>
      </w:r>
    </w:p>
    <w:p w14:paraId="64B3931D" w14:textId="687A3A2A" w:rsidR="00E56A20" w:rsidRPr="004209E7" w:rsidRDefault="00E56A20" w:rsidP="004209E7">
      <w:pPr>
        <w:pStyle w:val="ListParagraph"/>
        <w:numPr>
          <w:ilvl w:val="0"/>
          <w:numId w:val="27"/>
        </w:numPr>
        <w:spacing w:before="240" w:line="360" w:lineRule="auto"/>
        <w:jc w:val="both"/>
        <w:rPr>
          <w:rFonts w:ascii="Arial" w:hAnsi="Arial" w:cs="Arial"/>
          <w:bCs/>
          <w:sz w:val="24"/>
          <w:szCs w:val="24"/>
          <w:lang w:val="en-US"/>
        </w:rPr>
      </w:pPr>
      <w:r w:rsidRPr="004209E7">
        <w:rPr>
          <w:rFonts w:ascii="Arial" w:hAnsi="Arial" w:cs="Arial"/>
          <w:b/>
          <w:sz w:val="24"/>
          <w:szCs w:val="24"/>
          <w:lang w:val="en-US"/>
        </w:rPr>
        <w:t>Rationale:</w:t>
      </w:r>
      <w:r w:rsidRPr="004209E7">
        <w:rPr>
          <w:rFonts w:ascii="Arial" w:hAnsi="Arial" w:cs="Arial"/>
          <w:bCs/>
          <w:sz w:val="24"/>
          <w:szCs w:val="24"/>
          <w:lang w:val="en-US"/>
        </w:rPr>
        <w:t xml:space="preserve"> GE's PPE (Property, Plant, and Equipment) has already declined from 2020 to 2024 to </w:t>
      </w:r>
      <w:r w:rsidR="004209E7" w:rsidRPr="004209E7">
        <w:rPr>
          <w:rFonts w:ascii="Arial" w:hAnsi="Arial" w:cs="Arial"/>
          <w:bCs/>
          <w:sz w:val="24"/>
          <w:szCs w:val="24"/>
          <w:lang w:val="en-US"/>
        </w:rPr>
        <w:t>£</w:t>
      </w:r>
      <w:r w:rsidRPr="004209E7">
        <w:rPr>
          <w:rFonts w:ascii="Arial" w:hAnsi="Arial" w:cs="Arial"/>
          <w:bCs/>
          <w:sz w:val="24"/>
          <w:szCs w:val="24"/>
          <w:lang w:val="en-US"/>
        </w:rPr>
        <w:t xml:space="preserve">34.2B from </w:t>
      </w:r>
      <w:r w:rsidR="004209E7" w:rsidRPr="004209E7">
        <w:rPr>
          <w:rFonts w:ascii="Arial" w:hAnsi="Arial" w:cs="Arial"/>
          <w:bCs/>
          <w:sz w:val="24"/>
          <w:szCs w:val="24"/>
          <w:lang w:val="en-US"/>
        </w:rPr>
        <w:t>£</w:t>
      </w:r>
      <w:r w:rsidRPr="004209E7">
        <w:rPr>
          <w:rFonts w:ascii="Arial" w:hAnsi="Arial" w:cs="Arial"/>
          <w:bCs/>
          <w:sz w:val="24"/>
          <w:szCs w:val="24"/>
          <w:lang w:val="en-US"/>
        </w:rPr>
        <w:t xml:space="preserve">87.3B. </w:t>
      </w:r>
      <w:proofErr w:type="spellStart"/>
      <w:r w:rsidRPr="004209E7">
        <w:rPr>
          <w:rFonts w:ascii="Arial" w:hAnsi="Arial" w:cs="Arial"/>
          <w:bCs/>
          <w:sz w:val="24"/>
          <w:szCs w:val="24"/>
          <w:lang w:val="en-US"/>
        </w:rPr>
        <w:t>Formalising</w:t>
      </w:r>
      <w:proofErr w:type="spellEnd"/>
      <w:r w:rsidRPr="004209E7">
        <w:rPr>
          <w:rFonts w:ascii="Arial" w:hAnsi="Arial" w:cs="Arial"/>
          <w:bCs/>
          <w:sz w:val="24"/>
          <w:szCs w:val="24"/>
          <w:lang w:val="en-US"/>
        </w:rPr>
        <w:t xml:space="preserve"> this as a divestiture means that GE can dispose of factories that require high maintenance and focus more on software-defined electronics.</w:t>
      </w:r>
    </w:p>
    <w:p w14:paraId="581FA68F" w14:textId="77777777" w:rsidR="00E56A20" w:rsidRPr="004209E7" w:rsidRDefault="00E56A20" w:rsidP="004209E7">
      <w:pPr>
        <w:pStyle w:val="ListParagraph"/>
        <w:numPr>
          <w:ilvl w:val="0"/>
          <w:numId w:val="27"/>
        </w:numPr>
        <w:spacing w:before="240" w:line="360" w:lineRule="auto"/>
        <w:jc w:val="both"/>
        <w:rPr>
          <w:rFonts w:ascii="Arial" w:hAnsi="Arial" w:cs="Arial"/>
          <w:bCs/>
          <w:sz w:val="24"/>
          <w:szCs w:val="24"/>
          <w:lang w:val="en-US"/>
        </w:rPr>
      </w:pPr>
      <w:r w:rsidRPr="004209E7">
        <w:rPr>
          <w:rFonts w:ascii="Arial" w:hAnsi="Arial" w:cs="Arial"/>
          <w:b/>
          <w:sz w:val="24"/>
          <w:szCs w:val="24"/>
          <w:lang w:val="en-US"/>
        </w:rPr>
        <w:t>Case Benchmark:</w:t>
      </w:r>
      <w:r w:rsidRPr="004209E7">
        <w:rPr>
          <w:rFonts w:ascii="Arial" w:hAnsi="Arial" w:cs="Arial"/>
          <w:bCs/>
          <w:sz w:val="24"/>
          <w:szCs w:val="24"/>
          <w:lang w:val="en-US"/>
        </w:rPr>
        <w:t xml:space="preserve"> This merger is similar to the 2024 restructuring of the real-world General Electric, which succeeded in separating GE Aerospace and GE </w:t>
      </w:r>
      <w:proofErr w:type="spellStart"/>
      <w:r w:rsidRPr="004209E7">
        <w:rPr>
          <w:rFonts w:ascii="Arial" w:hAnsi="Arial" w:cs="Arial"/>
          <w:bCs/>
          <w:sz w:val="24"/>
          <w:szCs w:val="24"/>
          <w:lang w:val="en-US"/>
        </w:rPr>
        <w:t>Vernova</w:t>
      </w:r>
      <w:proofErr w:type="spellEnd"/>
      <w:r w:rsidRPr="004209E7">
        <w:rPr>
          <w:rFonts w:ascii="Arial" w:hAnsi="Arial" w:cs="Arial"/>
          <w:bCs/>
          <w:sz w:val="24"/>
          <w:szCs w:val="24"/>
          <w:lang w:val="en-US"/>
        </w:rPr>
        <w:t xml:space="preserve"> in order to unlock "pure-play" value for investors (GE Aerospace, 2024). By divesting, GE will be able to eliminate the "Conglomerate Discount" where the market undervalues the whole in comparison to its parts.</w:t>
      </w:r>
    </w:p>
    <w:p w14:paraId="5145B2C9" w14:textId="41193832" w:rsidR="00E56A20" w:rsidRPr="00E56A20" w:rsidRDefault="004209E7" w:rsidP="004209E7">
      <w:pPr>
        <w:pStyle w:val="Heading3"/>
        <w:rPr>
          <w:lang w:val="en-US"/>
        </w:rPr>
      </w:pPr>
      <w:bookmarkStart w:id="28" w:name="_Toc217246323"/>
      <w:r>
        <w:rPr>
          <w:lang w:val="en-US"/>
        </w:rPr>
        <w:t>3.</w:t>
      </w:r>
      <w:r w:rsidR="00E56A20" w:rsidRPr="00E56A20">
        <w:rPr>
          <w:lang w:val="en-US"/>
        </w:rPr>
        <w:t>1.2 Equity Injection: Reusing Treasury Stock</w:t>
      </w:r>
      <w:bookmarkEnd w:id="28"/>
    </w:p>
    <w:p w14:paraId="79E8A601" w14:textId="605C43B6"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 xml:space="preserve">GE currently has a whopping </w:t>
      </w:r>
      <w:r w:rsidR="009270DF">
        <w:rPr>
          <w:rFonts w:ascii="Arial" w:hAnsi="Arial" w:cs="Arial"/>
          <w:bCs/>
          <w:sz w:val="24"/>
          <w:szCs w:val="24"/>
          <w:lang w:val="en-US"/>
        </w:rPr>
        <w:t>£</w:t>
      </w:r>
      <w:r w:rsidRPr="00E56A20">
        <w:rPr>
          <w:rFonts w:ascii="Arial" w:hAnsi="Arial" w:cs="Arial"/>
          <w:bCs/>
          <w:sz w:val="24"/>
          <w:szCs w:val="24"/>
          <w:lang w:val="en-US"/>
        </w:rPr>
        <w:t>371.9B in Treasury Stock. These are shares that were bought back by the company at its peak but that are now sitting on the balance sheet as a "dead asset".</w:t>
      </w:r>
    </w:p>
    <w:p w14:paraId="6D355E29" w14:textId="343A3927" w:rsidR="00E56A20" w:rsidRPr="009270DF" w:rsidRDefault="00E56A20" w:rsidP="009270DF">
      <w:pPr>
        <w:pStyle w:val="ListParagraph"/>
        <w:numPr>
          <w:ilvl w:val="0"/>
          <w:numId w:val="28"/>
        </w:numPr>
        <w:spacing w:before="240" w:line="360" w:lineRule="auto"/>
        <w:jc w:val="both"/>
        <w:rPr>
          <w:rFonts w:ascii="Arial" w:hAnsi="Arial" w:cs="Arial"/>
          <w:bCs/>
          <w:sz w:val="24"/>
          <w:szCs w:val="24"/>
          <w:lang w:val="en-US"/>
        </w:rPr>
      </w:pPr>
      <w:r w:rsidRPr="009270DF">
        <w:rPr>
          <w:rFonts w:ascii="Arial" w:hAnsi="Arial" w:cs="Arial"/>
          <w:b/>
          <w:sz w:val="24"/>
          <w:szCs w:val="24"/>
          <w:lang w:val="en-US"/>
        </w:rPr>
        <w:lastRenderedPageBreak/>
        <w:t>Rationale:</w:t>
      </w:r>
      <w:r w:rsidRPr="009270DF">
        <w:rPr>
          <w:rFonts w:ascii="Arial" w:hAnsi="Arial" w:cs="Arial"/>
          <w:bCs/>
          <w:sz w:val="24"/>
          <w:szCs w:val="24"/>
          <w:lang w:val="en-US"/>
        </w:rPr>
        <w:t xml:space="preserve"> GE has a thin equity base, and its </w:t>
      </w:r>
      <w:r w:rsidR="009270DF" w:rsidRPr="009270DF">
        <w:rPr>
          <w:rFonts w:ascii="Arial" w:hAnsi="Arial" w:cs="Arial"/>
          <w:bCs/>
          <w:sz w:val="24"/>
          <w:szCs w:val="24"/>
          <w:lang w:val="en-US"/>
        </w:rPr>
        <w:t>Debt-to-Equity</w:t>
      </w:r>
      <w:r w:rsidRPr="009270DF">
        <w:rPr>
          <w:rFonts w:ascii="Arial" w:hAnsi="Arial" w:cs="Arial"/>
          <w:bCs/>
          <w:sz w:val="24"/>
          <w:szCs w:val="24"/>
          <w:lang w:val="en-US"/>
        </w:rPr>
        <w:t xml:space="preserve"> ratio has spiked to 1.11. By reissuing some of this Treasury Stock (an equity injection), GE can raise a lot of cash without raising its interest burden.</w:t>
      </w:r>
    </w:p>
    <w:p w14:paraId="336A3704" w14:textId="77777777" w:rsidR="00E56A20" w:rsidRPr="009270DF" w:rsidRDefault="00E56A20" w:rsidP="009270DF">
      <w:pPr>
        <w:pStyle w:val="ListParagraph"/>
        <w:numPr>
          <w:ilvl w:val="0"/>
          <w:numId w:val="28"/>
        </w:numPr>
        <w:spacing w:before="240" w:line="360" w:lineRule="auto"/>
        <w:jc w:val="both"/>
        <w:rPr>
          <w:rFonts w:ascii="Arial" w:hAnsi="Arial" w:cs="Arial"/>
          <w:bCs/>
          <w:sz w:val="24"/>
          <w:szCs w:val="24"/>
          <w:lang w:val="en-US"/>
        </w:rPr>
      </w:pPr>
      <w:r w:rsidRPr="009270DF">
        <w:rPr>
          <w:rFonts w:ascii="Arial" w:hAnsi="Arial" w:cs="Arial"/>
          <w:b/>
          <w:sz w:val="24"/>
          <w:szCs w:val="24"/>
          <w:lang w:val="en-US"/>
        </w:rPr>
        <w:t>Explanation:</w:t>
      </w:r>
      <w:r w:rsidRPr="009270DF">
        <w:rPr>
          <w:rFonts w:ascii="Arial" w:hAnsi="Arial" w:cs="Arial"/>
          <w:bCs/>
          <w:sz w:val="24"/>
          <w:szCs w:val="24"/>
          <w:lang w:val="en-US"/>
        </w:rPr>
        <w:t xml:space="preserve"> Unlike the issuance of new shares (which dilutes current owners), the sale of Treasury Stock into the market at strategic intervals provides the "liquidity cushion" required to fund the AI-pivot identified in the 2025 turnaround strategy (Bloomberg, 2023).</w:t>
      </w:r>
    </w:p>
    <w:p w14:paraId="0CCD727E" w14:textId="0B26408D" w:rsidR="00E56A20" w:rsidRPr="00E56A20" w:rsidRDefault="009270DF" w:rsidP="009270DF">
      <w:pPr>
        <w:pStyle w:val="Heading3"/>
        <w:rPr>
          <w:lang w:val="en-US"/>
        </w:rPr>
      </w:pPr>
      <w:bookmarkStart w:id="29" w:name="_Toc217246324"/>
      <w:r>
        <w:rPr>
          <w:lang w:val="en-US"/>
        </w:rPr>
        <w:t>3.</w:t>
      </w:r>
      <w:r w:rsidR="00E56A20" w:rsidRPr="00E56A20">
        <w:rPr>
          <w:lang w:val="en-US"/>
        </w:rPr>
        <w:t>1.3 Strategic Merger/Alliance for Artificial Intelligence Integration</w:t>
      </w:r>
      <w:bookmarkEnd w:id="29"/>
    </w:p>
    <w:p w14:paraId="40ADFDAD" w14:textId="77777777"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GE does not have the proprietary AI architecture to compete with the 2025 "Smart-Device" leaders.</w:t>
      </w:r>
    </w:p>
    <w:p w14:paraId="6DE9AEA3" w14:textId="77777777" w:rsidR="00E56A20" w:rsidRPr="00B21842" w:rsidRDefault="00E56A20" w:rsidP="00B21842">
      <w:pPr>
        <w:pStyle w:val="ListParagraph"/>
        <w:numPr>
          <w:ilvl w:val="0"/>
          <w:numId w:val="36"/>
        </w:numPr>
        <w:spacing w:before="240" w:line="360" w:lineRule="auto"/>
        <w:jc w:val="both"/>
        <w:rPr>
          <w:rFonts w:ascii="Arial" w:hAnsi="Arial" w:cs="Arial"/>
          <w:bCs/>
          <w:sz w:val="24"/>
          <w:szCs w:val="24"/>
          <w:lang w:val="en-US"/>
        </w:rPr>
      </w:pPr>
      <w:r w:rsidRPr="00B21842">
        <w:rPr>
          <w:rFonts w:ascii="Arial" w:hAnsi="Arial" w:cs="Arial"/>
          <w:b/>
          <w:sz w:val="24"/>
          <w:szCs w:val="24"/>
          <w:lang w:val="en-US"/>
        </w:rPr>
        <w:t>Recommendation:</w:t>
      </w:r>
      <w:r w:rsidRPr="00B21842">
        <w:rPr>
          <w:rFonts w:ascii="Arial" w:hAnsi="Arial" w:cs="Arial"/>
          <w:bCs/>
          <w:sz w:val="24"/>
          <w:szCs w:val="24"/>
          <w:lang w:val="en-US"/>
        </w:rPr>
        <w:t xml:space="preserve"> Instead of a full merger, GE should opt for a Strategic Joint Venture with an AI native firm.</w:t>
      </w:r>
    </w:p>
    <w:p w14:paraId="38DD866C" w14:textId="1299E934" w:rsidR="00E56A20" w:rsidRPr="00B21842" w:rsidRDefault="00E56A20" w:rsidP="00B21842">
      <w:pPr>
        <w:pStyle w:val="ListParagraph"/>
        <w:numPr>
          <w:ilvl w:val="0"/>
          <w:numId w:val="36"/>
        </w:numPr>
        <w:spacing w:before="240" w:line="360" w:lineRule="auto"/>
        <w:jc w:val="both"/>
        <w:rPr>
          <w:rFonts w:ascii="Arial" w:hAnsi="Arial" w:cs="Arial"/>
          <w:bCs/>
          <w:sz w:val="24"/>
          <w:szCs w:val="24"/>
          <w:lang w:val="en-US"/>
        </w:rPr>
      </w:pPr>
      <w:r w:rsidRPr="00B21842">
        <w:rPr>
          <w:rFonts w:ascii="Arial" w:hAnsi="Arial" w:cs="Arial"/>
          <w:b/>
          <w:sz w:val="24"/>
          <w:szCs w:val="24"/>
          <w:lang w:val="en-US"/>
        </w:rPr>
        <w:t>Financial Logic</w:t>
      </w:r>
      <w:r w:rsidR="009270DF" w:rsidRPr="00B21842">
        <w:rPr>
          <w:rFonts w:ascii="Arial" w:hAnsi="Arial" w:cs="Arial"/>
          <w:b/>
          <w:sz w:val="24"/>
          <w:szCs w:val="24"/>
          <w:lang w:val="en-US"/>
        </w:rPr>
        <w:t>:</w:t>
      </w:r>
      <w:r w:rsidRPr="00B21842">
        <w:rPr>
          <w:rFonts w:ascii="Arial" w:hAnsi="Arial" w:cs="Arial"/>
          <w:bCs/>
          <w:sz w:val="24"/>
          <w:szCs w:val="24"/>
          <w:lang w:val="en-US"/>
        </w:rPr>
        <w:t xml:space="preserve"> As seen with Sharp Global (2024), partnering in order to </w:t>
      </w:r>
      <w:proofErr w:type="spellStart"/>
      <w:r w:rsidRPr="00B21842">
        <w:rPr>
          <w:rFonts w:ascii="Arial" w:hAnsi="Arial" w:cs="Arial"/>
          <w:bCs/>
          <w:sz w:val="24"/>
          <w:szCs w:val="24"/>
          <w:lang w:val="en-US"/>
        </w:rPr>
        <w:t>utilise</w:t>
      </w:r>
      <w:proofErr w:type="spellEnd"/>
      <w:r w:rsidRPr="00B21842">
        <w:rPr>
          <w:rFonts w:ascii="Arial" w:hAnsi="Arial" w:cs="Arial"/>
          <w:bCs/>
          <w:sz w:val="24"/>
          <w:szCs w:val="24"/>
          <w:lang w:val="en-US"/>
        </w:rPr>
        <w:t xml:space="preserve"> external "plant capacity and strengths" enables a firm to stay in the game without the capital-intensive burden of R&amp;D (Sharp Global, 2024).</w:t>
      </w:r>
    </w:p>
    <w:p w14:paraId="257AA398" w14:textId="61F34E08" w:rsidR="00E56A20" w:rsidRPr="00E56A20" w:rsidRDefault="00DA28F6" w:rsidP="00DA28F6">
      <w:pPr>
        <w:pStyle w:val="Heading2"/>
        <w:rPr>
          <w:lang w:val="en-US"/>
        </w:rPr>
      </w:pPr>
      <w:bookmarkStart w:id="30" w:name="_Toc217246325"/>
      <w:r>
        <w:rPr>
          <w:lang w:val="en-US"/>
        </w:rPr>
        <w:t>3.</w:t>
      </w:r>
      <w:r w:rsidR="00E56A20" w:rsidRPr="00E56A20">
        <w:rPr>
          <w:lang w:val="en-US"/>
        </w:rPr>
        <w:t>2 Evaluation of Impact: Value, Debt and Flexibility</w:t>
      </w:r>
      <w:bookmarkEnd w:id="30"/>
    </w:p>
    <w:p w14:paraId="6CE2C732" w14:textId="77777777"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The proposed restructuring is aimed at addressing directly the "Technical Crisis" identified in the ratio analysis and is focused on the three pillars of corporate finance: value, debt and flexibility.</w:t>
      </w:r>
    </w:p>
    <w:p w14:paraId="5300C638" w14:textId="5CBD3104" w:rsidR="00E56A20" w:rsidRPr="00E56A20" w:rsidRDefault="00DA28F6" w:rsidP="00DA28F6">
      <w:pPr>
        <w:pStyle w:val="Heading3"/>
        <w:rPr>
          <w:lang w:val="en-US"/>
        </w:rPr>
      </w:pPr>
      <w:bookmarkStart w:id="31" w:name="_Toc217246326"/>
      <w:r>
        <w:rPr>
          <w:lang w:val="en-US"/>
        </w:rPr>
        <w:t>3.</w:t>
      </w:r>
      <w:r w:rsidR="00E56A20" w:rsidRPr="00E56A20">
        <w:rPr>
          <w:lang w:val="en-US"/>
        </w:rPr>
        <w:t>2.1 Impact on Shareholder Value</w:t>
      </w:r>
      <w:bookmarkEnd w:id="31"/>
    </w:p>
    <w:p w14:paraId="5FC13253" w14:textId="77777777"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Currently, GE's ROE is -15.69%, which means that the firm is destroying value. Restructuring attempts to reverse this through the Modigliani-Miller (M&amp;M) Theorem, which implies that in the presence of taxes and distress costs, the capital structure does have an effect on value.</w:t>
      </w:r>
    </w:p>
    <w:p w14:paraId="11B48E25" w14:textId="77777777" w:rsidR="00E56A20" w:rsidRPr="004109E8" w:rsidRDefault="00E56A20" w:rsidP="004109E8">
      <w:pPr>
        <w:pStyle w:val="ListParagraph"/>
        <w:numPr>
          <w:ilvl w:val="0"/>
          <w:numId w:val="29"/>
        </w:numPr>
        <w:spacing w:before="240" w:line="360" w:lineRule="auto"/>
        <w:jc w:val="both"/>
        <w:rPr>
          <w:rFonts w:ascii="Arial" w:hAnsi="Arial" w:cs="Arial"/>
          <w:bCs/>
          <w:sz w:val="24"/>
          <w:szCs w:val="24"/>
          <w:lang w:val="en-US"/>
        </w:rPr>
      </w:pPr>
      <w:r w:rsidRPr="004109E8">
        <w:rPr>
          <w:rFonts w:ascii="Arial" w:hAnsi="Arial" w:cs="Arial"/>
          <w:b/>
          <w:sz w:val="24"/>
          <w:szCs w:val="24"/>
          <w:lang w:val="en-US"/>
        </w:rPr>
        <w:t>Value Creation:</w:t>
      </w:r>
      <w:r w:rsidRPr="004109E8">
        <w:rPr>
          <w:rFonts w:ascii="Arial" w:hAnsi="Arial" w:cs="Arial"/>
          <w:bCs/>
          <w:sz w:val="24"/>
          <w:szCs w:val="24"/>
          <w:lang w:val="en-US"/>
        </w:rPr>
        <w:t xml:space="preserve"> By divesting the "loss-making" legacy units (responsible for the 15.3B operating loss), the core Operating Margin of the firm will return to the +6% level in 2020.</w:t>
      </w:r>
    </w:p>
    <w:p w14:paraId="56BDDBCF" w14:textId="77777777" w:rsidR="00E56A20" w:rsidRPr="004109E8" w:rsidRDefault="00E56A20" w:rsidP="004109E8">
      <w:pPr>
        <w:pStyle w:val="ListParagraph"/>
        <w:numPr>
          <w:ilvl w:val="0"/>
          <w:numId w:val="29"/>
        </w:numPr>
        <w:spacing w:before="240" w:line="360" w:lineRule="auto"/>
        <w:jc w:val="both"/>
        <w:rPr>
          <w:rFonts w:ascii="Arial" w:hAnsi="Arial" w:cs="Arial"/>
          <w:bCs/>
          <w:sz w:val="24"/>
          <w:szCs w:val="24"/>
          <w:lang w:val="en-US"/>
        </w:rPr>
      </w:pPr>
      <w:r w:rsidRPr="004109E8">
        <w:rPr>
          <w:rFonts w:ascii="Arial" w:hAnsi="Arial" w:cs="Arial"/>
          <w:b/>
          <w:sz w:val="24"/>
          <w:szCs w:val="24"/>
          <w:lang w:val="en-US"/>
        </w:rPr>
        <w:lastRenderedPageBreak/>
        <w:t>Market Perception:</w:t>
      </w:r>
      <w:r w:rsidRPr="004109E8">
        <w:rPr>
          <w:rFonts w:ascii="Arial" w:hAnsi="Arial" w:cs="Arial"/>
          <w:bCs/>
          <w:sz w:val="24"/>
          <w:szCs w:val="24"/>
          <w:lang w:val="en-US"/>
        </w:rPr>
        <w:t xml:space="preserve"> Industry reports published by The Financial Times (2024) indicate that the valuation of "pure-play" technology companies is 2-3x higher than the P/E multiple of distressed conglomerates.</w:t>
      </w:r>
    </w:p>
    <w:p w14:paraId="4CA68125" w14:textId="43F4506F" w:rsidR="00E56A20" w:rsidRPr="00E56A20" w:rsidRDefault="004109E8" w:rsidP="004109E8">
      <w:pPr>
        <w:pStyle w:val="Heading3"/>
        <w:rPr>
          <w:lang w:val="en-US"/>
        </w:rPr>
      </w:pPr>
      <w:bookmarkStart w:id="32" w:name="_Toc217246327"/>
      <w:r>
        <w:rPr>
          <w:lang w:val="en-US"/>
        </w:rPr>
        <w:t>3.</w:t>
      </w:r>
      <w:r w:rsidR="00E56A20" w:rsidRPr="00E56A20">
        <w:rPr>
          <w:lang w:val="en-US"/>
        </w:rPr>
        <w:t>2.2 Impact on Debt Structure</w:t>
      </w:r>
      <w:bookmarkEnd w:id="32"/>
    </w:p>
    <w:p w14:paraId="2AB54654" w14:textId="77777777"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GE's debt is currently "front-loaded", with the company having $36.9B in short-term lines of credit.</w:t>
      </w:r>
    </w:p>
    <w:p w14:paraId="0757CED9" w14:textId="77777777"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The Debt Swap The restructuring plan involves a debt exchange offer—replacing the short-term high-interest notes with long-term green bonds.</w:t>
      </w:r>
    </w:p>
    <w:p w14:paraId="4EA71580" w14:textId="77777777"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Financial Benefit: The swap maintains stability in Current Ratio (currently 1.53) and insures the firm against the volatility of interest rates in 2025.</w:t>
      </w:r>
    </w:p>
    <w:p w14:paraId="7AF0B1F4" w14:textId="70E42ED7" w:rsidR="00E56A20" w:rsidRPr="00E56A20" w:rsidRDefault="001D577F" w:rsidP="001D577F">
      <w:pPr>
        <w:pStyle w:val="Heading3"/>
        <w:rPr>
          <w:lang w:val="en-US"/>
        </w:rPr>
      </w:pPr>
      <w:bookmarkStart w:id="33" w:name="_Toc217246328"/>
      <w:r>
        <w:rPr>
          <w:lang w:val="en-US"/>
        </w:rPr>
        <w:t>3.</w:t>
      </w:r>
      <w:r w:rsidR="00E56A20" w:rsidRPr="00E56A20">
        <w:rPr>
          <w:lang w:val="en-US"/>
        </w:rPr>
        <w:t>2.3 Effects on Operational Flexibility</w:t>
      </w:r>
      <w:bookmarkEnd w:id="33"/>
    </w:p>
    <w:p w14:paraId="7EE7D167" w14:textId="7B03AA4B" w:rsidR="00E56A20" w:rsidRPr="00E56A20" w:rsidRDefault="00270535" w:rsidP="00E56A20">
      <w:pPr>
        <w:spacing w:before="240" w:line="360" w:lineRule="auto"/>
        <w:jc w:val="both"/>
        <w:rPr>
          <w:rFonts w:ascii="Arial" w:hAnsi="Arial" w:cs="Arial"/>
          <w:bCs/>
          <w:sz w:val="24"/>
          <w:szCs w:val="24"/>
          <w:lang w:val="en-US"/>
        </w:rPr>
      </w:pPr>
      <w:r>
        <w:rPr>
          <w:rFonts w:ascii="Arial" w:hAnsi="Arial" w:cs="Arial"/>
          <w:bCs/>
          <w:sz w:val="24"/>
          <w:szCs w:val="24"/>
          <w:lang w:val="en-US"/>
        </w:rPr>
        <w:t>O</w:t>
      </w:r>
      <w:r w:rsidR="00E56A20" w:rsidRPr="00E56A20">
        <w:rPr>
          <w:rFonts w:ascii="Arial" w:hAnsi="Arial" w:cs="Arial"/>
          <w:bCs/>
          <w:sz w:val="24"/>
          <w:szCs w:val="24"/>
          <w:lang w:val="en-US"/>
        </w:rPr>
        <w:t>perational flexibility – being able to scale the cost in relationship to the shift in revenue.</w:t>
      </w:r>
    </w:p>
    <w:p w14:paraId="1E594EB0" w14:textId="56A8E7FF" w:rsidR="00E56A20" w:rsidRPr="00270535" w:rsidRDefault="00E56A20" w:rsidP="00270535">
      <w:pPr>
        <w:pStyle w:val="ListParagraph"/>
        <w:numPr>
          <w:ilvl w:val="0"/>
          <w:numId w:val="30"/>
        </w:numPr>
        <w:spacing w:before="240" w:line="360" w:lineRule="auto"/>
        <w:jc w:val="both"/>
        <w:rPr>
          <w:rFonts w:ascii="Arial" w:hAnsi="Arial" w:cs="Arial"/>
          <w:bCs/>
          <w:sz w:val="24"/>
          <w:szCs w:val="24"/>
          <w:lang w:val="en-US"/>
        </w:rPr>
      </w:pPr>
      <w:r w:rsidRPr="00270535">
        <w:rPr>
          <w:rFonts w:ascii="Arial" w:hAnsi="Arial" w:cs="Arial"/>
          <w:b/>
          <w:sz w:val="24"/>
          <w:szCs w:val="24"/>
          <w:lang w:val="en-US"/>
        </w:rPr>
        <w:t>"Coca-Cola UK" Marketing Model:</w:t>
      </w:r>
      <w:r w:rsidRPr="00270535">
        <w:rPr>
          <w:rFonts w:ascii="Arial" w:hAnsi="Arial" w:cs="Arial"/>
          <w:bCs/>
          <w:sz w:val="24"/>
          <w:szCs w:val="24"/>
          <w:lang w:val="en-US"/>
        </w:rPr>
        <w:t xml:space="preserve"> By changing from fixed-cost global advertising to influencer-led digital content, GE changes its marketing spending from "Fixed" to "Variable." As mentioned in your 2025 Coca-Cola UK research, this results in an increase in purchase intent with a far lower capital intensity.</w:t>
      </w:r>
    </w:p>
    <w:p w14:paraId="632C6990" w14:textId="77777777" w:rsidR="00E56A20" w:rsidRPr="00270535" w:rsidRDefault="00E56A20" w:rsidP="00270535">
      <w:pPr>
        <w:pStyle w:val="ListParagraph"/>
        <w:numPr>
          <w:ilvl w:val="0"/>
          <w:numId w:val="30"/>
        </w:numPr>
        <w:spacing w:before="240" w:line="360" w:lineRule="auto"/>
        <w:jc w:val="both"/>
        <w:rPr>
          <w:rFonts w:ascii="Arial" w:hAnsi="Arial" w:cs="Arial"/>
          <w:bCs/>
          <w:sz w:val="24"/>
          <w:szCs w:val="24"/>
          <w:lang w:val="en-US"/>
        </w:rPr>
      </w:pPr>
      <w:r w:rsidRPr="00270535">
        <w:rPr>
          <w:rFonts w:ascii="Arial" w:hAnsi="Arial" w:cs="Arial"/>
          <w:b/>
          <w:sz w:val="24"/>
          <w:szCs w:val="24"/>
          <w:lang w:val="en-US"/>
        </w:rPr>
        <w:t>Asset-Light Agility:</w:t>
      </w:r>
      <w:r w:rsidRPr="00270535">
        <w:rPr>
          <w:rFonts w:ascii="Arial" w:hAnsi="Arial" w:cs="Arial"/>
          <w:bCs/>
          <w:sz w:val="24"/>
          <w:szCs w:val="24"/>
          <w:lang w:val="en-US"/>
        </w:rPr>
        <w:t xml:space="preserve"> Lowering the amount of PPE enables GE to scale production up or down through contract manufacturers without incurring the "idling costs" of owned factories (IBISWorld, 2024).</w:t>
      </w:r>
    </w:p>
    <w:p w14:paraId="39DA98EC" w14:textId="5E283103" w:rsidR="00E56A20" w:rsidRPr="00E56A20" w:rsidRDefault="00C51F60" w:rsidP="00C51F60">
      <w:pPr>
        <w:pStyle w:val="Heading2"/>
        <w:rPr>
          <w:lang w:val="en-US"/>
        </w:rPr>
      </w:pPr>
      <w:bookmarkStart w:id="34" w:name="_Toc217246329"/>
      <w:r>
        <w:rPr>
          <w:lang w:val="en-US"/>
        </w:rPr>
        <w:t>3.</w:t>
      </w:r>
      <w:r w:rsidR="00E56A20" w:rsidRPr="00E56A20">
        <w:rPr>
          <w:lang w:val="en-US"/>
        </w:rPr>
        <w:t>3 International and Ethical Issues</w:t>
      </w:r>
      <w:bookmarkEnd w:id="34"/>
    </w:p>
    <w:p w14:paraId="122966E3" w14:textId="77777777"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Restructuring a global firm in 2025 requires working through a complex web of geopolitical and ethical risks.</w:t>
      </w:r>
    </w:p>
    <w:p w14:paraId="595CBB13" w14:textId="2BC4DED4" w:rsidR="00E56A20" w:rsidRPr="00E56A20" w:rsidRDefault="00C51F60" w:rsidP="00992200">
      <w:pPr>
        <w:pStyle w:val="Heading3"/>
        <w:rPr>
          <w:lang w:val="en-US"/>
        </w:rPr>
      </w:pPr>
      <w:bookmarkStart w:id="35" w:name="_Toc217246330"/>
      <w:r>
        <w:rPr>
          <w:lang w:val="en-US"/>
        </w:rPr>
        <w:t>3.</w:t>
      </w:r>
      <w:r w:rsidR="00E56A20" w:rsidRPr="00E56A20">
        <w:rPr>
          <w:lang w:val="en-US"/>
        </w:rPr>
        <w:t>3.1 International taxation and Transfer Pricing</w:t>
      </w:r>
      <w:bookmarkEnd w:id="35"/>
    </w:p>
    <w:p w14:paraId="5581B2F9" w14:textId="77777777"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As GE divests its worldwide assets, it has enormous tax implications.</w:t>
      </w:r>
    </w:p>
    <w:p w14:paraId="6BBBE9F3" w14:textId="77777777" w:rsidR="00E56A20" w:rsidRPr="00992200" w:rsidRDefault="00E56A20" w:rsidP="00992200">
      <w:pPr>
        <w:pStyle w:val="ListParagraph"/>
        <w:numPr>
          <w:ilvl w:val="0"/>
          <w:numId w:val="31"/>
        </w:numPr>
        <w:spacing w:before="240" w:line="360" w:lineRule="auto"/>
        <w:jc w:val="both"/>
        <w:rPr>
          <w:rFonts w:ascii="Arial" w:hAnsi="Arial" w:cs="Arial"/>
          <w:bCs/>
          <w:sz w:val="24"/>
          <w:szCs w:val="24"/>
          <w:lang w:val="en-US"/>
        </w:rPr>
      </w:pPr>
      <w:r w:rsidRPr="00992200">
        <w:rPr>
          <w:rFonts w:ascii="Arial" w:hAnsi="Arial" w:cs="Arial"/>
          <w:b/>
          <w:sz w:val="24"/>
          <w:szCs w:val="24"/>
          <w:lang w:val="en-US"/>
        </w:rPr>
        <w:lastRenderedPageBreak/>
        <w:t>Capital Gains Tax (CGT):</w:t>
      </w:r>
      <w:r w:rsidRPr="00992200">
        <w:rPr>
          <w:rFonts w:ascii="Arial" w:hAnsi="Arial" w:cs="Arial"/>
          <w:bCs/>
          <w:sz w:val="24"/>
          <w:szCs w:val="24"/>
          <w:lang w:val="en-US"/>
        </w:rPr>
        <w:t xml:space="preserve"> Dividing the sale of areas such as the EU or North America requires meticulous negotiation of the Pillar Two global minimum tax of the Organization for Economic Co-operation and Development (IMF, 2024).</w:t>
      </w:r>
    </w:p>
    <w:p w14:paraId="230AF3E8" w14:textId="05A404E3" w:rsidR="00E56A20" w:rsidRPr="00992200" w:rsidRDefault="00E56A20" w:rsidP="00992200">
      <w:pPr>
        <w:pStyle w:val="ListParagraph"/>
        <w:numPr>
          <w:ilvl w:val="0"/>
          <w:numId w:val="31"/>
        </w:numPr>
        <w:spacing w:before="240" w:line="360" w:lineRule="auto"/>
        <w:jc w:val="both"/>
        <w:rPr>
          <w:rFonts w:ascii="Arial" w:hAnsi="Arial" w:cs="Arial"/>
          <w:bCs/>
          <w:sz w:val="24"/>
          <w:szCs w:val="24"/>
          <w:lang w:val="en-US"/>
        </w:rPr>
      </w:pPr>
      <w:r w:rsidRPr="00992200">
        <w:rPr>
          <w:rFonts w:ascii="Arial" w:hAnsi="Arial" w:cs="Arial"/>
          <w:b/>
          <w:sz w:val="24"/>
          <w:szCs w:val="24"/>
          <w:lang w:val="en-US"/>
        </w:rPr>
        <w:t>Transfer Pricing</w:t>
      </w:r>
      <w:r w:rsidR="00992200" w:rsidRPr="00992200">
        <w:rPr>
          <w:rFonts w:ascii="Arial" w:hAnsi="Arial" w:cs="Arial"/>
          <w:b/>
          <w:sz w:val="24"/>
          <w:szCs w:val="24"/>
          <w:lang w:val="en-US"/>
        </w:rPr>
        <w:t>:</w:t>
      </w:r>
      <w:r w:rsidRPr="00992200">
        <w:rPr>
          <w:rFonts w:ascii="Arial" w:hAnsi="Arial" w:cs="Arial"/>
          <w:bCs/>
          <w:sz w:val="24"/>
          <w:szCs w:val="24"/>
          <w:lang w:val="en-US"/>
        </w:rPr>
        <w:t xml:space="preserve"> GE has to make sure to keep the intellectual property (IP) for its new AI products in jurisdictions that balance tax efficiency and transparency to avoid "Reputational Tax Risk" (The Economist, 2024).</w:t>
      </w:r>
    </w:p>
    <w:p w14:paraId="763BE305" w14:textId="5FC58C04" w:rsidR="00E56A20" w:rsidRPr="00E56A20" w:rsidRDefault="00992200" w:rsidP="008B5E00">
      <w:pPr>
        <w:pStyle w:val="Heading3"/>
        <w:rPr>
          <w:lang w:val="en-US"/>
        </w:rPr>
      </w:pPr>
      <w:bookmarkStart w:id="36" w:name="_Toc217246331"/>
      <w:r>
        <w:rPr>
          <w:lang w:val="en-US"/>
        </w:rPr>
        <w:t>3.</w:t>
      </w:r>
      <w:r w:rsidR="00E56A20" w:rsidRPr="00E56A20">
        <w:rPr>
          <w:lang w:val="en-US"/>
        </w:rPr>
        <w:t>3.2 Currency Risk and Inflation</w:t>
      </w:r>
      <w:bookmarkEnd w:id="36"/>
    </w:p>
    <w:p w14:paraId="72812B8D" w14:textId="77777777"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With sales in the UK, US and Asia, GE faces Translation Risk.</w:t>
      </w:r>
    </w:p>
    <w:p w14:paraId="6070C06C" w14:textId="77777777" w:rsidR="00E56A20" w:rsidRPr="008B5E00" w:rsidRDefault="00E56A20" w:rsidP="008B5E00">
      <w:pPr>
        <w:pStyle w:val="ListParagraph"/>
        <w:numPr>
          <w:ilvl w:val="0"/>
          <w:numId w:val="32"/>
        </w:numPr>
        <w:spacing w:before="240" w:line="360" w:lineRule="auto"/>
        <w:jc w:val="both"/>
        <w:rPr>
          <w:rFonts w:ascii="Arial" w:hAnsi="Arial" w:cs="Arial"/>
          <w:bCs/>
          <w:sz w:val="24"/>
          <w:szCs w:val="24"/>
          <w:lang w:val="en-US"/>
        </w:rPr>
      </w:pPr>
      <w:r w:rsidRPr="008B5E00">
        <w:rPr>
          <w:rFonts w:ascii="Arial" w:hAnsi="Arial" w:cs="Arial"/>
          <w:b/>
          <w:sz w:val="24"/>
          <w:szCs w:val="24"/>
          <w:lang w:val="en-US"/>
        </w:rPr>
        <w:t>Currency Volatility:</w:t>
      </w:r>
      <w:r w:rsidRPr="008B5E00">
        <w:rPr>
          <w:rFonts w:ascii="Arial" w:hAnsi="Arial" w:cs="Arial"/>
          <w:bCs/>
          <w:sz w:val="24"/>
          <w:szCs w:val="24"/>
          <w:lang w:val="en-US"/>
        </w:rPr>
        <w:t xml:space="preserve"> There was significant volatility in the GBP/USD currency pair in 2024, which impacted GE's reported revenue. The restructuring plan requires a Forward Hedging Strategy to lock in exchange rates for 12-month cycles.</w:t>
      </w:r>
    </w:p>
    <w:p w14:paraId="6092E758" w14:textId="77777777" w:rsidR="00E56A20" w:rsidRPr="008B5E00" w:rsidRDefault="00E56A20" w:rsidP="008B5E00">
      <w:pPr>
        <w:pStyle w:val="ListParagraph"/>
        <w:numPr>
          <w:ilvl w:val="0"/>
          <w:numId w:val="32"/>
        </w:numPr>
        <w:spacing w:before="240" w:line="360" w:lineRule="auto"/>
        <w:jc w:val="both"/>
        <w:rPr>
          <w:rFonts w:ascii="Arial" w:hAnsi="Arial" w:cs="Arial"/>
          <w:bCs/>
          <w:sz w:val="24"/>
          <w:szCs w:val="24"/>
          <w:lang w:val="en-US"/>
        </w:rPr>
      </w:pPr>
      <w:r w:rsidRPr="008B5E00">
        <w:rPr>
          <w:rFonts w:ascii="Arial" w:hAnsi="Arial" w:cs="Arial"/>
          <w:b/>
          <w:sz w:val="24"/>
          <w:szCs w:val="24"/>
          <w:lang w:val="en-US"/>
        </w:rPr>
        <w:t>Inflationary Pressures:</w:t>
      </w:r>
      <w:r w:rsidRPr="008B5E00">
        <w:rPr>
          <w:rFonts w:ascii="Arial" w:hAnsi="Arial" w:cs="Arial"/>
          <w:bCs/>
          <w:sz w:val="24"/>
          <w:szCs w:val="24"/>
          <w:lang w:val="en-US"/>
        </w:rPr>
        <w:t xml:space="preserve"> Increased costs of lithium and semiconductors are increasing the Cost of Goods Sold (COGS). GE needs to leverage its scale to enter "Fixed-Price Forward Contracts" with suppliers to secure its gross margins (Statista, 2024).</w:t>
      </w:r>
    </w:p>
    <w:p w14:paraId="7EC1FB53" w14:textId="6A77B072" w:rsidR="00E56A20" w:rsidRPr="00E56A20" w:rsidRDefault="008B5E00" w:rsidP="008B5E00">
      <w:pPr>
        <w:pStyle w:val="Heading3"/>
        <w:rPr>
          <w:lang w:val="en-US"/>
        </w:rPr>
      </w:pPr>
      <w:bookmarkStart w:id="37" w:name="_Toc217246332"/>
      <w:r>
        <w:rPr>
          <w:lang w:val="en-US"/>
        </w:rPr>
        <w:t>3.</w:t>
      </w:r>
      <w:r w:rsidR="00E56A20" w:rsidRPr="00E56A20">
        <w:rPr>
          <w:lang w:val="en-US"/>
        </w:rPr>
        <w:t>3.3 Ethical Issues and CSR</w:t>
      </w:r>
      <w:bookmarkEnd w:id="37"/>
    </w:p>
    <w:p w14:paraId="72D38F9E" w14:textId="77777777"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Cs/>
          <w:sz w:val="24"/>
          <w:szCs w:val="24"/>
          <w:lang w:val="en-US"/>
        </w:rPr>
        <w:t>In 2025, a turnaround that disregards Ethics is a "failed turnaround".</w:t>
      </w:r>
    </w:p>
    <w:p w14:paraId="393992F7" w14:textId="34CB9F54" w:rsidR="00E56A20" w:rsidRPr="00E56A20" w:rsidRDefault="00E56A20" w:rsidP="00E56A20">
      <w:pPr>
        <w:spacing w:before="240" w:line="360" w:lineRule="auto"/>
        <w:jc w:val="both"/>
        <w:rPr>
          <w:rFonts w:ascii="Arial" w:hAnsi="Arial" w:cs="Arial"/>
          <w:bCs/>
          <w:sz w:val="24"/>
          <w:szCs w:val="24"/>
          <w:lang w:val="en-US"/>
        </w:rPr>
      </w:pPr>
      <w:r w:rsidRPr="00E56A20">
        <w:rPr>
          <w:rFonts w:ascii="Arial" w:hAnsi="Arial" w:cs="Arial"/>
          <w:b/>
          <w:sz w:val="24"/>
          <w:szCs w:val="24"/>
          <w:lang w:val="en-US"/>
        </w:rPr>
        <w:t>Circular Economy (CSR):</w:t>
      </w:r>
      <w:r w:rsidRPr="00E56A20">
        <w:rPr>
          <w:rFonts w:ascii="Arial" w:hAnsi="Arial" w:cs="Arial"/>
          <w:bCs/>
          <w:sz w:val="24"/>
          <w:szCs w:val="24"/>
          <w:lang w:val="en-US"/>
        </w:rPr>
        <w:t xml:space="preserve"> </w:t>
      </w:r>
      <w:r w:rsidR="00B25E18" w:rsidRPr="00B25E18">
        <w:rPr>
          <w:rFonts w:ascii="Arial" w:hAnsi="Arial" w:cs="Arial"/>
          <w:bCs/>
          <w:sz w:val="24"/>
          <w:szCs w:val="24"/>
          <w:lang w:val="en-US"/>
        </w:rPr>
        <w:t xml:space="preserve">Within the context of GE's restructuring, </w:t>
      </w:r>
      <w:proofErr w:type="gramStart"/>
      <w:r w:rsidR="00B25E18" w:rsidRPr="00B25E18">
        <w:rPr>
          <w:rFonts w:ascii="Arial" w:hAnsi="Arial" w:cs="Arial"/>
          <w:bCs/>
          <w:sz w:val="24"/>
          <w:szCs w:val="24"/>
          <w:lang w:val="en-US"/>
        </w:rPr>
        <w:t>a</w:t>
      </w:r>
      <w:proofErr w:type="gramEnd"/>
      <w:r w:rsidR="00B25E18" w:rsidRPr="00B25E18">
        <w:rPr>
          <w:rFonts w:ascii="Arial" w:hAnsi="Arial" w:cs="Arial"/>
          <w:bCs/>
          <w:sz w:val="24"/>
          <w:szCs w:val="24"/>
          <w:lang w:val="en-US"/>
        </w:rPr>
        <w:t xml:space="preserve"> "Ethical Disposal" strategy for the company's legacy plants is required. It would be better to recycle them and make them into electronic trash recycling </w:t>
      </w:r>
      <w:proofErr w:type="spellStart"/>
      <w:r w:rsidR="00B25E18" w:rsidRPr="00B25E18">
        <w:rPr>
          <w:rFonts w:ascii="Arial" w:hAnsi="Arial" w:cs="Arial"/>
          <w:bCs/>
          <w:sz w:val="24"/>
          <w:szCs w:val="24"/>
          <w:lang w:val="en-US"/>
        </w:rPr>
        <w:t>centres</w:t>
      </w:r>
      <w:proofErr w:type="spellEnd"/>
      <w:r w:rsidR="00B25E18" w:rsidRPr="00B25E18">
        <w:rPr>
          <w:rFonts w:ascii="Arial" w:hAnsi="Arial" w:cs="Arial"/>
          <w:bCs/>
          <w:sz w:val="24"/>
          <w:szCs w:val="24"/>
          <w:lang w:val="en-US"/>
        </w:rPr>
        <w:t xml:space="preserve"> rather than just throwing them out.</w:t>
      </w:r>
    </w:p>
    <w:p w14:paraId="70C7DD3A" w14:textId="77777777" w:rsidR="00E56A20" w:rsidRPr="00E56A20" w:rsidRDefault="00E56A20" w:rsidP="00E56A20">
      <w:pPr>
        <w:spacing w:before="240" w:line="360" w:lineRule="auto"/>
        <w:jc w:val="both"/>
        <w:rPr>
          <w:rFonts w:ascii="Arial" w:hAnsi="Arial" w:cs="Arial"/>
          <w:bCs/>
          <w:sz w:val="24"/>
          <w:szCs w:val="24"/>
          <w:lang w:val="en-US"/>
        </w:rPr>
      </w:pPr>
      <w:proofErr w:type="spellStart"/>
      <w:r w:rsidRPr="00E56A20">
        <w:rPr>
          <w:rFonts w:ascii="Arial" w:hAnsi="Arial" w:cs="Arial"/>
          <w:b/>
          <w:sz w:val="24"/>
          <w:szCs w:val="24"/>
          <w:lang w:val="en-US"/>
        </w:rPr>
        <w:t>Labour</w:t>
      </w:r>
      <w:proofErr w:type="spellEnd"/>
      <w:r w:rsidRPr="00E56A20">
        <w:rPr>
          <w:rFonts w:ascii="Arial" w:hAnsi="Arial" w:cs="Arial"/>
          <w:b/>
          <w:sz w:val="24"/>
          <w:szCs w:val="24"/>
          <w:lang w:val="en-US"/>
        </w:rPr>
        <w:t xml:space="preserve"> Rights:</w:t>
      </w:r>
      <w:r w:rsidRPr="00E56A20">
        <w:rPr>
          <w:rFonts w:ascii="Arial" w:hAnsi="Arial" w:cs="Arial"/>
          <w:bCs/>
          <w:sz w:val="24"/>
          <w:szCs w:val="24"/>
          <w:lang w:val="en-US"/>
        </w:rPr>
        <w:t xml:space="preserve"> Divestment usually means layoffs. GE's "Phoenix Plan" incorporates a Retraining Fund to shift 20% of the manufacturing workforce to "Digital Content and Support" roles, which is consistent with the "Authenticity and Trust" drivers in the Coca-Cola UK case study.</w:t>
      </w:r>
    </w:p>
    <w:p w14:paraId="2B35CB8A" w14:textId="3AC85DE0" w:rsidR="003F4E8F" w:rsidRDefault="00E56A20" w:rsidP="003F4E8F">
      <w:pPr>
        <w:spacing w:before="240" w:line="360" w:lineRule="auto"/>
        <w:jc w:val="both"/>
        <w:rPr>
          <w:rFonts w:ascii="Arial" w:hAnsi="Arial" w:cs="Arial"/>
          <w:bCs/>
          <w:sz w:val="24"/>
          <w:szCs w:val="24"/>
          <w:lang w:val="en-US"/>
        </w:rPr>
      </w:pPr>
      <w:r w:rsidRPr="00E56A20">
        <w:rPr>
          <w:rFonts w:ascii="Arial" w:hAnsi="Arial" w:cs="Arial"/>
          <w:b/>
          <w:sz w:val="24"/>
          <w:szCs w:val="24"/>
          <w:lang w:val="en-US"/>
        </w:rPr>
        <w:t>Right to Repair:</w:t>
      </w:r>
      <w:r w:rsidRPr="00E56A20">
        <w:rPr>
          <w:rFonts w:ascii="Arial" w:hAnsi="Arial" w:cs="Arial"/>
          <w:bCs/>
          <w:sz w:val="24"/>
          <w:szCs w:val="24"/>
          <w:lang w:val="en-US"/>
        </w:rPr>
        <w:t xml:space="preserve"> Ethically, GE must change from "planned obsolescence". Designing repairable products has the advantage of reducing the environmental impact and </w:t>
      </w:r>
      <w:r w:rsidRPr="00E56A20">
        <w:rPr>
          <w:rFonts w:ascii="Arial" w:hAnsi="Arial" w:cs="Arial"/>
          <w:bCs/>
          <w:sz w:val="24"/>
          <w:szCs w:val="24"/>
          <w:lang w:val="en-US"/>
        </w:rPr>
        <w:lastRenderedPageBreak/>
        <w:t>creating the long-term customer loyalty that traditional advertising can no longer purchase (Forbes, 2024)</w:t>
      </w:r>
      <w:r w:rsidR="003F4E8F" w:rsidRPr="00BB18CF">
        <w:rPr>
          <w:rFonts w:ascii="Arial" w:hAnsi="Arial" w:cs="Arial"/>
          <w:bCs/>
          <w:sz w:val="24"/>
          <w:szCs w:val="24"/>
          <w:lang w:val="en-US"/>
        </w:rPr>
        <w:t>.</w:t>
      </w:r>
    </w:p>
    <w:p w14:paraId="40FB1DF4" w14:textId="224BCCBB" w:rsidR="00BD6643" w:rsidRPr="00BD6643" w:rsidRDefault="00BD6643" w:rsidP="00BD6643">
      <w:pPr>
        <w:pStyle w:val="Heading2"/>
        <w:rPr>
          <w:lang w:val="en-US"/>
        </w:rPr>
      </w:pPr>
      <w:bookmarkStart w:id="38" w:name="_Toc217246333"/>
      <w:r>
        <w:rPr>
          <w:lang w:val="en-US"/>
        </w:rPr>
        <w:t>3.</w:t>
      </w:r>
      <w:r w:rsidRPr="00BD6643">
        <w:rPr>
          <w:lang w:val="en-US"/>
        </w:rPr>
        <w:t xml:space="preserve">4 Production: The </w:t>
      </w:r>
      <w:proofErr w:type="spellStart"/>
      <w:r w:rsidRPr="00BD6643">
        <w:rPr>
          <w:lang w:val="en-US"/>
        </w:rPr>
        <w:t>Remodelled</w:t>
      </w:r>
      <w:proofErr w:type="spellEnd"/>
      <w:r w:rsidRPr="00BD6643">
        <w:rPr>
          <w:lang w:val="en-US"/>
        </w:rPr>
        <w:t xml:space="preserve"> Future</w:t>
      </w:r>
      <w:bookmarkEnd w:id="38"/>
    </w:p>
    <w:p w14:paraId="7CB8E23E" w14:textId="77777777" w:rsidR="00BD6643" w:rsidRPr="00BD6643" w:rsidRDefault="00BD6643" w:rsidP="00BD6643">
      <w:pPr>
        <w:spacing w:before="240" w:line="360" w:lineRule="auto"/>
        <w:jc w:val="both"/>
        <w:rPr>
          <w:rFonts w:ascii="Arial" w:hAnsi="Arial" w:cs="Arial"/>
          <w:bCs/>
          <w:sz w:val="24"/>
          <w:szCs w:val="24"/>
          <w:lang w:val="en-US"/>
        </w:rPr>
      </w:pPr>
      <w:r w:rsidRPr="00BD6643">
        <w:rPr>
          <w:rFonts w:ascii="Arial" w:hAnsi="Arial" w:cs="Arial"/>
          <w:bCs/>
          <w:sz w:val="24"/>
          <w:szCs w:val="24"/>
          <w:lang w:val="en-US"/>
        </w:rPr>
        <w:t>The Strategic Financial Restructuring Plan of General Electronics is a Quantity to Quality (Margins) Pivot. The divestment of the legacy weight, liquidity re-use of its treasury stock, and an ethical, asset-light model of marketing are all approaches that GE can use to get back to its 2020 glory.</w:t>
      </w:r>
    </w:p>
    <w:tbl>
      <w:tblPr>
        <w:tblStyle w:val="TableGrid"/>
        <w:tblW w:w="0" w:type="auto"/>
        <w:tblLook w:val="04A0" w:firstRow="1" w:lastRow="0" w:firstColumn="1" w:lastColumn="0" w:noHBand="0" w:noVBand="1"/>
      </w:tblPr>
      <w:tblGrid>
        <w:gridCol w:w="2010"/>
        <w:gridCol w:w="2656"/>
        <w:gridCol w:w="4350"/>
      </w:tblGrid>
      <w:tr w:rsidR="00BC1213" w:rsidRPr="00BC1213" w14:paraId="62E5CB9B" w14:textId="77777777" w:rsidTr="00BC1213">
        <w:tc>
          <w:tcPr>
            <w:tcW w:w="0" w:type="auto"/>
            <w:hideMark/>
          </w:tcPr>
          <w:p w14:paraId="21A132B1"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
                <w:bCs/>
                <w:sz w:val="24"/>
                <w:szCs w:val="24"/>
                <w:lang w:val="en-US"/>
              </w:rPr>
              <w:t>Metric</w:t>
            </w:r>
          </w:p>
        </w:tc>
        <w:tc>
          <w:tcPr>
            <w:tcW w:w="0" w:type="auto"/>
            <w:hideMark/>
          </w:tcPr>
          <w:p w14:paraId="40226A4C"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
                <w:bCs/>
                <w:sz w:val="24"/>
                <w:szCs w:val="24"/>
                <w:lang w:val="en-US"/>
              </w:rPr>
              <w:t>Pre-Restructuring (2024)</w:t>
            </w:r>
          </w:p>
        </w:tc>
        <w:tc>
          <w:tcPr>
            <w:tcW w:w="0" w:type="auto"/>
            <w:hideMark/>
          </w:tcPr>
          <w:p w14:paraId="0354AFB8"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
                <w:bCs/>
                <w:sz w:val="24"/>
                <w:szCs w:val="24"/>
                <w:lang w:val="en-US"/>
              </w:rPr>
              <w:t>Post-Restructuring (2027 Projected)</w:t>
            </w:r>
          </w:p>
        </w:tc>
      </w:tr>
      <w:tr w:rsidR="00BC1213" w:rsidRPr="00BC1213" w14:paraId="5D21C08D" w14:textId="77777777" w:rsidTr="00BC1213">
        <w:tc>
          <w:tcPr>
            <w:tcW w:w="0" w:type="auto"/>
            <w:hideMark/>
          </w:tcPr>
          <w:p w14:paraId="24C0E822"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
                <w:bCs/>
                <w:sz w:val="24"/>
                <w:szCs w:val="24"/>
                <w:lang w:val="en-US"/>
              </w:rPr>
              <w:t>Operating Margin</w:t>
            </w:r>
          </w:p>
        </w:tc>
        <w:tc>
          <w:tcPr>
            <w:tcW w:w="0" w:type="auto"/>
            <w:hideMark/>
          </w:tcPr>
          <w:p w14:paraId="17961D45"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Cs/>
                <w:sz w:val="24"/>
                <w:szCs w:val="24"/>
                <w:lang w:val="en-US"/>
              </w:rPr>
              <w:t>-3.87%</w:t>
            </w:r>
          </w:p>
        </w:tc>
        <w:tc>
          <w:tcPr>
            <w:tcW w:w="0" w:type="auto"/>
            <w:hideMark/>
          </w:tcPr>
          <w:p w14:paraId="74EDAD64"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Cs/>
                <w:sz w:val="24"/>
                <w:szCs w:val="24"/>
                <w:lang w:val="en-US"/>
              </w:rPr>
              <w:t>+7.5%</w:t>
            </w:r>
          </w:p>
        </w:tc>
      </w:tr>
      <w:tr w:rsidR="00BC1213" w:rsidRPr="00BC1213" w14:paraId="3E43DB5B" w14:textId="77777777" w:rsidTr="00BC1213">
        <w:tc>
          <w:tcPr>
            <w:tcW w:w="0" w:type="auto"/>
            <w:hideMark/>
          </w:tcPr>
          <w:p w14:paraId="72E4B85D"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
                <w:bCs/>
                <w:sz w:val="24"/>
                <w:szCs w:val="24"/>
                <w:lang w:val="en-US"/>
              </w:rPr>
              <w:t>Net Debt/Equity</w:t>
            </w:r>
          </w:p>
        </w:tc>
        <w:tc>
          <w:tcPr>
            <w:tcW w:w="0" w:type="auto"/>
            <w:hideMark/>
          </w:tcPr>
          <w:p w14:paraId="4B81AB24"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Cs/>
                <w:sz w:val="24"/>
                <w:szCs w:val="24"/>
                <w:lang w:val="en-US"/>
              </w:rPr>
              <w:t>1.11</w:t>
            </w:r>
          </w:p>
        </w:tc>
        <w:tc>
          <w:tcPr>
            <w:tcW w:w="0" w:type="auto"/>
            <w:hideMark/>
          </w:tcPr>
          <w:p w14:paraId="488F5886"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Cs/>
                <w:sz w:val="24"/>
                <w:szCs w:val="24"/>
                <w:lang w:val="en-US"/>
              </w:rPr>
              <w:t>0.65</w:t>
            </w:r>
          </w:p>
        </w:tc>
      </w:tr>
      <w:tr w:rsidR="00BC1213" w:rsidRPr="00BC1213" w14:paraId="7705AA4C" w14:textId="77777777" w:rsidTr="00BC1213">
        <w:tc>
          <w:tcPr>
            <w:tcW w:w="0" w:type="auto"/>
            <w:hideMark/>
          </w:tcPr>
          <w:p w14:paraId="4C430142"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
                <w:bCs/>
                <w:sz w:val="24"/>
                <w:szCs w:val="24"/>
                <w:lang w:val="en-US"/>
              </w:rPr>
              <w:t>Asset Intensity</w:t>
            </w:r>
          </w:p>
        </w:tc>
        <w:tc>
          <w:tcPr>
            <w:tcW w:w="0" w:type="auto"/>
            <w:hideMark/>
          </w:tcPr>
          <w:p w14:paraId="41941A97"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Cs/>
                <w:sz w:val="24"/>
                <w:szCs w:val="24"/>
                <w:lang w:val="en-US"/>
              </w:rPr>
              <w:t>High (Owned Factories)</w:t>
            </w:r>
          </w:p>
        </w:tc>
        <w:tc>
          <w:tcPr>
            <w:tcW w:w="0" w:type="auto"/>
            <w:hideMark/>
          </w:tcPr>
          <w:p w14:paraId="69CCF5FC"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Cs/>
                <w:sz w:val="24"/>
                <w:szCs w:val="24"/>
                <w:lang w:val="en-US"/>
              </w:rPr>
              <w:t>Low (Asset-Light/SaaS)</w:t>
            </w:r>
          </w:p>
        </w:tc>
      </w:tr>
      <w:tr w:rsidR="00BC1213" w:rsidRPr="00BC1213" w14:paraId="60B0A015" w14:textId="77777777" w:rsidTr="00BC1213">
        <w:tc>
          <w:tcPr>
            <w:tcW w:w="0" w:type="auto"/>
            <w:hideMark/>
          </w:tcPr>
          <w:p w14:paraId="2F631913"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
                <w:bCs/>
                <w:sz w:val="24"/>
                <w:szCs w:val="24"/>
                <w:lang w:val="en-US"/>
              </w:rPr>
              <w:t>Brand Driver</w:t>
            </w:r>
          </w:p>
        </w:tc>
        <w:tc>
          <w:tcPr>
            <w:tcW w:w="0" w:type="auto"/>
            <w:hideMark/>
          </w:tcPr>
          <w:p w14:paraId="07C5C44C" w14:textId="77777777" w:rsidR="00BC1213" w:rsidRPr="00BC1213" w:rsidRDefault="00BC1213" w:rsidP="00BC1213">
            <w:pPr>
              <w:spacing w:before="240" w:line="360" w:lineRule="auto"/>
              <w:jc w:val="both"/>
              <w:rPr>
                <w:rFonts w:ascii="Arial" w:hAnsi="Arial" w:cs="Arial"/>
                <w:bCs/>
                <w:sz w:val="24"/>
                <w:szCs w:val="24"/>
                <w:lang w:val="en-US"/>
              </w:rPr>
            </w:pPr>
            <w:r w:rsidRPr="00BC1213">
              <w:rPr>
                <w:rFonts w:ascii="Arial" w:hAnsi="Arial" w:cs="Arial"/>
                <w:bCs/>
                <w:sz w:val="24"/>
                <w:szCs w:val="24"/>
                <w:lang w:val="en-US"/>
              </w:rPr>
              <w:t>Traditional Ads</w:t>
            </w:r>
          </w:p>
        </w:tc>
        <w:tc>
          <w:tcPr>
            <w:tcW w:w="0" w:type="auto"/>
            <w:hideMark/>
          </w:tcPr>
          <w:p w14:paraId="49085BA5" w14:textId="77777777" w:rsidR="00BC1213" w:rsidRPr="00BC1213" w:rsidRDefault="00BC1213" w:rsidP="00BD6643">
            <w:pPr>
              <w:keepNext/>
              <w:spacing w:before="240" w:line="360" w:lineRule="auto"/>
              <w:jc w:val="both"/>
              <w:rPr>
                <w:rFonts w:ascii="Arial" w:hAnsi="Arial" w:cs="Arial"/>
                <w:bCs/>
                <w:sz w:val="24"/>
                <w:szCs w:val="24"/>
                <w:lang w:val="en-US"/>
              </w:rPr>
            </w:pPr>
            <w:r w:rsidRPr="00BC1213">
              <w:rPr>
                <w:rFonts w:ascii="Arial" w:hAnsi="Arial" w:cs="Arial"/>
                <w:b/>
                <w:bCs/>
                <w:sz w:val="24"/>
                <w:szCs w:val="24"/>
                <w:lang w:val="en-US"/>
              </w:rPr>
              <w:t>Influencer/Authenticity (Coca-Cola Model)</w:t>
            </w:r>
          </w:p>
        </w:tc>
      </w:tr>
    </w:tbl>
    <w:p w14:paraId="0A69F0CE" w14:textId="5C653FCA" w:rsidR="00BC1213" w:rsidRPr="00F9619B" w:rsidRDefault="00BD6643" w:rsidP="00BD6643">
      <w:pPr>
        <w:pStyle w:val="Caption"/>
        <w:rPr>
          <w:rFonts w:ascii="Arial" w:hAnsi="Arial" w:cs="Arial"/>
          <w:bCs/>
          <w:sz w:val="24"/>
          <w:szCs w:val="24"/>
          <w:lang w:val="en-US"/>
        </w:rPr>
      </w:pPr>
      <w:bookmarkStart w:id="39" w:name="_Toc217221016"/>
      <w:r>
        <w:t xml:space="preserve">Table </w:t>
      </w:r>
      <w:r>
        <w:fldChar w:fldCharType="begin"/>
      </w:r>
      <w:r>
        <w:instrText xml:space="preserve"> SEQ Table \* ARABIC </w:instrText>
      </w:r>
      <w:r>
        <w:fldChar w:fldCharType="separate"/>
      </w:r>
      <w:r w:rsidR="0078538A">
        <w:rPr>
          <w:noProof/>
        </w:rPr>
        <w:t>5</w:t>
      </w:r>
      <w:r>
        <w:fldChar w:fldCharType="end"/>
      </w:r>
      <w:r>
        <w:t xml:space="preserve">: </w:t>
      </w:r>
      <w:r w:rsidRPr="0091390E">
        <w:t>Remodelled Future</w:t>
      </w:r>
      <w:bookmarkEnd w:id="39"/>
    </w:p>
    <w:p w14:paraId="1B16F939" w14:textId="599EDCEC" w:rsidR="008E727B" w:rsidRPr="008E727B" w:rsidRDefault="003F4E8F" w:rsidP="007C218A">
      <w:pPr>
        <w:pStyle w:val="Heading1"/>
        <w:rPr>
          <w:lang w:val="en-US"/>
        </w:rPr>
      </w:pPr>
      <w:bookmarkStart w:id="40" w:name="_Toc217246334"/>
      <w:r>
        <w:t xml:space="preserve">4. </w:t>
      </w:r>
      <w:r w:rsidR="008E727B" w:rsidRPr="008E727B">
        <w:rPr>
          <w:lang w:val="en-US"/>
        </w:rPr>
        <w:t>Value Creation Under Constraint: Investment Appraisal and Capital Budgeting of General Electronics</w:t>
      </w:r>
      <w:bookmarkEnd w:id="40"/>
      <w:r w:rsidR="008E727B" w:rsidRPr="008E727B">
        <w:rPr>
          <w:lang w:val="en-US"/>
        </w:rPr>
        <w:t xml:space="preserve"> </w:t>
      </w:r>
    </w:p>
    <w:p w14:paraId="32E08C67" w14:textId="77777777" w:rsidR="005C70F7" w:rsidRPr="005C70F7" w:rsidRDefault="005C70F7" w:rsidP="005C70F7">
      <w:pPr>
        <w:spacing w:before="240" w:line="360" w:lineRule="auto"/>
        <w:jc w:val="both"/>
        <w:rPr>
          <w:rFonts w:ascii="Arial" w:hAnsi="Arial" w:cs="Arial"/>
          <w:bCs/>
          <w:sz w:val="24"/>
          <w:szCs w:val="24"/>
          <w:lang w:val="en-US"/>
        </w:rPr>
      </w:pPr>
      <w:r w:rsidRPr="005C70F7">
        <w:rPr>
          <w:rFonts w:ascii="Arial" w:hAnsi="Arial" w:cs="Arial"/>
          <w:bCs/>
          <w:sz w:val="24"/>
          <w:szCs w:val="24"/>
          <w:lang w:val="en-US"/>
        </w:rPr>
        <w:t xml:space="preserve">The Altman Z-Score of 2.82 indicates that General Electric (GE) is now in a vulnerable phase that is referred to as the "Grey Zone." As a result, the Board of Directors will need to modify its volume-based growth plan in order to include value-accretive investments that are irregular. General Electric is unable to permit vanity projects since it had a loss of £98.2 billion in 2023 and has a decreasing asset base. For the purpose of mitigating the perceived liquidity concerns that were identified in the earlier working capital analysis, it is recommended that the whole sixty million pounds of the restricted </w:t>
      </w:r>
      <w:r w:rsidRPr="005C70F7">
        <w:rPr>
          <w:rFonts w:ascii="Arial" w:hAnsi="Arial" w:cs="Arial"/>
          <w:bCs/>
          <w:sz w:val="24"/>
          <w:szCs w:val="24"/>
          <w:lang w:val="en-US"/>
        </w:rPr>
        <w:lastRenderedPageBreak/>
        <w:t xml:space="preserve">funds that are allocated for the capital budget be invested in order to </w:t>
      </w:r>
      <w:proofErr w:type="spellStart"/>
      <w:r w:rsidRPr="005C70F7">
        <w:rPr>
          <w:rFonts w:ascii="Arial" w:hAnsi="Arial" w:cs="Arial"/>
          <w:bCs/>
          <w:sz w:val="24"/>
          <w:szCs w:val="24"/>
          <w:lang w:val="en-US"/>
        </w:rPr>
        <w:t>maximise</w:t>
      </w:r>
      <w:proofErr w:type="spellEnd"/>
      <w:r w:rsidRPr="005C70F7">
        <w:rPr>
          <w:rFonts w:ascii="Arial" w:hAnsi="Arial" w:cs="Arial"/>
          <w:bCs/>
          <w:sz w:val="24"/>
          <w:szCs w:val="24"/>
          <w:lang w:val="en-US"/>
        </w:rPr>
        <w:t xml:space="preserve"> the Net Present Value (NPV).</w:t>
      </w:r>
    </w:p>
    <w:p w14:paraId="1B2E6021" w14:textId="0B90EE57" w:rsidR="008E727B" w:rsidRPr="008E727B" w:rsidRDefault="005C70F7" w:rsidP="005C70F7">
      <w:pPr>
        <w:spacing w:before="240" w:line="360" w:lineRule="auto"/>
        <w:jc w:val="both"/>
        <w:rPr>
          <w:rFonts w:ascii="Arial" w:hAnsi="Arial" w:cs="Arial"/>
          <w:bCs/>
          <w:sz w:val="24"/>
          <w:szCs w:val="24"/>
          <w:lang w:val="en-US"/>
        </w:rPr>
      </w:pPr>
      <w:r w:rsidRPr="005C70F7">
        <w:rPr>
          <w:rFonts w:ascii="Arial" w:hAnsi="Arial" w:cs="Arial"/>
          <w:bCs/>
          <w:sz w:val="24"/>
          <w:szCs w:val="24"/>
          <w:lang w:val="en-US"/>
        </w:rPr>
        <w:t>The purpose of this paper is to evaluate three of my suggested projects, namely Project A (Stable Growth), Project B (Break-even Infrastructure), and Project C (Strategic AI Innovation), using five basic indicators for evaluation. After then, it provides justification for a final choice by limiting the amount of capital that is available.</w:t>
      </w:r>
    </w:p>
    <w:p w14:paraId="5D2A84B7" w14:textId="22F57E79" w:rsidR="008E727B" w:rsidRPr="008E727B" w:rsidRDefault="00FD6EB9" w:rsidP="00FD6EB9">
      <w:pPr>
        <w:pStyle w:val="Heading2"/>
        <w:rPr>
          <w:lang w:val="en-US"/>
        </w:rPr>
      </w:pPr>
      <w:bookmarkStart w:id="41" w:name="_Toc217246335"/>
      <w:r>
        <w:rPr>
          <w:lang w:val="en-US"/>
        </w:rPr>
        <w:t>4.</w:t>
      </w:r>
      <w:r w:rsidR="008E727B" w:rsidRPr="008E727B">
        <w:rPr>
          <w:lang w:val="en-US"/>
        </w:rPr>
        <w:t>1 Investment Appraisal Simple Table</w:t>
      </w:r>
      <w:bookmarkEnd w:id="41"/>
    </w:p>
    <w:p w14:paraId="43323932" w14:textId="4F5357CD" w:rsidR="008E727B" w:rsidRDefault="008E727B" w:rsidP="008E727B">
      <w:pPr>
        <w:spacing w:before="240" w:line="360" w:lineRule="auto"/>
        <w:jc w:val="both"/>
        <w:rPr>
          <w:rFonts w:ascii="Arial" w:hAnsi="Arial" w:cs="Arial"/>
          <w:bCs/>
          <w:sz w:val="24"/>
          <w:szCs w:val="24"/>
          <w:lang w:val="en-US"/>
        </w:rPr>
      </w:pPr>
      <w:r w:rsidRPr="008E727B">
        <w:rPr>
          <w:rFonts w:ascii="Arial" w:hAnsi="Arial" w:cs="Arial"/>
          <w:bCs/>
          <w:sz w:val="24"/>
          <w:szCs w:val="24"/>
          <w:lang w:val="en-US"/>
        </w:rPr>
        <w:t>The table below gives the multi-metric analysis of the three projects under a 10</w:t>
      </w:r>
      <w:r w:rsidR="00033007">
        <w:rPr>
          <w:rFonts w:ascii="Arial" w:hAnsi="Arial" w:cs="Arial"/>
          <w:bCs/>
          <w:sz w:val="24"/>
          <w:szCs w:val="24"/>
          <w:lang w:val="en-US"/>
        </w:rPr>
        <w:t>%</w:t>
      </w:r>
      <w:r w:rsidRPr="008E727B">
        <w:rPr>
          <w:rFonts w:ascii="Arial" w:hAnsi="Arial" w:cs="Arial"/>
          <w:bCs/>
          <w:sz w:val="24"/>
          <w:szCs w:val="24"/>
          <w:lang w:val="en-US"/>
        </w:rPr>
        <w:t xml:space="preserve"> discount rate and straight-line-to-zero depreciation over a period of five years.</w:t>
      </w:r>
    </w:p>
    <w:tbl>
      <w:tblPr>
        <w:tblStyle w:val="TableGrid"/>
        <w:tblW w:w="0" w:type="auto"/>
        <w:tblLook w:val="04A0" w:firstRow="1" w:lastRow="0" w:firstColumn="1" w:lastColumn="0" w:noHBand="0" w:noVBand="1"/>
      </w:tblPr>
      <w:tblGrid>
        <w:gridCol w:w="2654"/>
        <w:gridCol w:w="2597"/>
        <w:gridCol w:w="1255"/>
        <w:gridCol w:w="1255"/>
        <w:gridCol w:w="1255"/>
      </w:tblGrid>
      <w:tr w:rsidR="004B652F" w:rsidRPr="004B652F" w14:paraId="60205171" w14:textId="77777777" w:rsidTr="004B652F">
        <w:tc>
          <w:tcPr>
            <w:tcW w:w="0" w:type="auto"/>
            <w:hideMark/>
          </w:tcPr>
          <w:p w14:paraId="2B38A64B"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Financial Metric</w:t>
            </w:r>
          </w:p>
        </w:tc>
        <w:tc>
          <w:tcPr>
            <w:tcW w:w="0" w:type="auto"/>
            <w:hideMark/>
          </w:tcPr>
          <w:p w14:paraId="375056A0"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Calculation Method</w:t>
            </w:r>
          </w:p>
        </w:tc>
        <w:tc>
          <w:tcPr>
            <w:tcW w:w="0" w:type="auto"/>
            <w:hideMark/>
          </w:tcPr>
          <w:p w14:paraId="201807A0"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Project A</w:t>
            </w:r>
          </w:p>
        </w:tc>
        <w:tc>
          <w:tcPr>
            <w:tcW w:w="0" w:type="auto"/>
            <w:hideMark/>
          </w:tcPr>
          <w:p w14:paraId="54E95440"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Project B</w:t>
            </w:r>
          </w:p>
        </w:tc>
        <w:tc>
          <w:tcPr>
            <w:tcW w:w="0" w:type="auto"/>
            <w:hideMark/>
          </w:tcPr>
          <w:p w14:paraId="1651EDE6"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Project C</w:t>
            </w:r>
          </w:p>
        </w:tc>
      </w:tr>
      <w:tr w:rsidR="004B652F" w:rsidRPr="004B652F" w14:paraId="0DEA88C1" w14:textId="77777777" w:rsidTr="004B652F">
        <w:tc>
          <w:tcPr>
            <w:tcW w:w="0" w:type="auto"/>
            <w:hideMark/>
          </w:tcPr>
          <w:p w14:paraId="52E1416E"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Initial Investment</w:t>
            </w:r>
          </w:p>
        </w:tc>
        <w:tc>
          <w:tcPr>
            <w:tcW w:w="0" w:type="auto"/>
            <w:hideMark/>
          </w:tcPr>
          <w:p w14:paraId="2697E996"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Outlay at Year 0</w:t>
            </w:r>
          </w:p>
        </w:tc>
        <w:tc>
          <w:tcPr>
            <w:tcW w:w="0" w:type="auto"/>
            <w:hideMark/>
          </w:tcPr>
          <w:p w14:paraId="2CE8E40E"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£40.00</w:t>
            </w:r>
          </w:p>
        </w:tc>
        <w:tc>
          <w:tcPr>
            <w:tcW w:w="0" w:type="auto"/>
            <w:hideMark/>
          </w:tcPr>
          <w:p w14:paraId="7D81A847"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£30.00</w:t>
            </w:r>
          </w:p>
        </w:tc>
        <w:tc>
          <w:tcPr>
            <w:tcW w:w="0" w:type="auto"/>
            <w:hideMark/>
          </w:tcPr>
          <w:p w14:paraId="722198A9"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£50.00</w:t>
            </w:r>
          </w:p>
        </w:tc>
      </w:tr>
      <w:tr w:rsidR="004B652F" w:rsidRPr="004B652F" w14:paraId="0EF5B74D" w14:textId="77777777" w:rsidTr="004B652F">
        <w:tc>
          <w:tcPr>
            <w:tcW w:w="0" w:type="auto"/>
            <w:hideMark/>
          </w:tcPr>
          <w:p w14:paraId="798D033D"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Total Cash Inflow</w:t>
            </w:r>
          </w:p>
        </w:tc>
        <w:tc>
          <w:tcPr>
            <w:tcW w:w="0" w:type="auto"/>
            <w:hideMark/>
          </w:tcPr>
          <w:p w14:paraId="31C24508"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Sum of Years 1-5</w:t>
            </w:r>
          </w:p>
        </w:tc>
        <w:tc>
          <w:tcPr>
            <w:tcW w:w="0" w:type="auto"/>
            <w:hideMark/>
          </w:tcPr>
          <w:p w14:paraId="04DEFFC7"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£54.00</w:t>
            </w:r>
          </w:p>
        </w:tc>
        <w:tc>
          <w:tcPr>
            <w:tcW w:w="0" w:type="auto"/>
            <w:hideMark/>
          </w:tcPr>
          <w:p w14:paraId="7A072DC9"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£30.00</w:t>
            </w:r>
          </w:p>
        </w:tc>
        <w:tc>
          <w:tcPr>
            <w:tcW w:w="0" w:type="auto"/>
            <w:hideMark/>
          </w:tcPr>
          <w:p w14:paraId="00747694"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£75.00</w:t>
            </w:r>
          </w:p>
        </w:tc>
      </w:tr>
      <w:tr w:rsidR="004B652F" w:rsidRPr="004B652F" w14:paraId="5C217332" w14:textId="77777777" w:rsidTr="004B652F">
        <w:tc>
          <w:tcPr>
            <w:tcW w:w="0" w:type="auto"/>
            <w:hideMark/>
          </w:tcPr>
          <w:p w14:paraId="0385CCE9"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Payback Period (PBP)</w:t>
            </w:r>
          </w:p>
        </w:tc>
        <w:tc>
          <w:tcPr>
            <w:tcW w:w="0" w:type="auto"/>
            <w:hideMark/>
          </w:tcPr>
          <w:p w14:paraId="3F12ADA5"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Time to recover cost</w:t>
            </w:r>
          </w:p>
        </w:tc>
        <w:tc>
          <w:tcPr>
            <w:tcW w:w="0" w:type="auto"/>
            <w:hideMark/>
          </w:tcPr>
          <w:p w14:paraId="4A9C6E77"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3.40 Years</w:t>
            </w:r>
          </w:p>
        </w:tc>
        <w:tc>
          <w:tcPr>
            <w:tcW w:w="0" w:type="auto"/>
            <w:hideMark/>
          </w:tcPr>
          <w:p w14:paraId="6E46B361"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5.00 Years</w:t>
            </w:r>
          </w:p>
        </w:tc>
        <w:tc>
          <w:tcPr>
            <w:tcW w:w="0" w:type="auto"/>
            <w:hideMark/>
          </w:tcPr>
          <w:p w14:paraId="295C7C83"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3.60 Years</w:t>
            </w:r>
          </w:p>
        </w:tc>
      </w:tr>
      <w:tr w:rsidR="004B652F" w:rsidRPr="004B652F" w14:paraId="1D65F849" w14:textId="77777777" w:rsidTr="004B652F">
        <w:tc>
          <w:tcPr>
            <w:tcW w:w="0" w:type="auto"/>
            <w:hideMark/>
          </w:tcPr>
          <w:p w14:paraId="0A4D3B8E"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ARR (Average Investment)</w:t>
            </w:r>
          </w:p>
        </w:tc>
        <w:tc>
          <w:tcPr>
            <w:tcW w:w="0" w:type="auto"/>
            <w:hideMark/>
          </w:tcPr>
          <w:p w14:paraId="4FF269C3"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(Avg Profit / Avg Inv)</w:t>
            </w:r>
          </w:p>
        </w:tc>
        <w:tc>
          <w:tcPr>
            <w:tcW w:w="0" w:type="auto"/>
            <w:hideMark/>
          </w:tcPr>
          <w:p w14:paraId="21D03A01"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14.00%</w:t>
            </w:r>
          </w:p>
        </w:tc>
        <w:tc>
          <w:tcPr>
            <w:tcW w:w="0" w:type="auto"/>
            <w:hideMark/>
          </w:tcPr>
          <w:p w14:paraId="4C4DFBE0"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0.00%</w:t>
            </w:r>
          </w:p>
        </w:tc>
        <w:tc>
          <w:tcPr>
            <w:tcW w:w="0" w:type="auto"/>
            <w:hideMark/>
          </w:tcPr>
          <w:p w14:paraId="66C48D19"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20.00%</w:t>
            </w:r>
          </w:p>
        </w:tc>
      </w:tr>
      <w:tr w:rsidR="004B652F" w:rsidRPr="004B652F" w14:paraId="11BCE795" w14:textId="77777777" w:rsidTr="004B652F">
        <w:tc>
          <w:tcPr>
            <w:tcW w:w="0" w:type="auto"/>
            <w:hideMark/>
          </w:tcPr>
          <w:p w14:paraId="6BF2DA30"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Net Present Value (NPV)</w:t>
            </w:r>
          </w:p>
        </w:tc>
        <w:tc>
          <w:tcPr>
            <w:tcW w:w="0" w:type="auto"/>
            <w:hideMark/>
          </w:tcPr>
          <w:p w14:paraId="5EA96330"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PV Inflows - Initial Cost</w:t>
            </w:r>
          </w:p>
        </w:tc>
        <w:tc>
          <w:tcPr>
            <w:tcW w:w="0" w:type="auto"/>
            <w:hideMark/>
          </w:tcPr>
          <w:p w14:paraId="234F1D1A"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£1.32</w:t>
            </w:r>
          </w:p>
        </w:tc>
        <w:tc>
          <w:tcPr>
            <w:tcW w:w="0" w:type="auto"/>
            <w:hideMark/>
          </w:tcPr>
          <w:p w14:paraId="2D1C412B"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(£7.26)</w:t>
            </w:r>
          </w:p>
        </w:tc>
        <w:tc>
          <w:tcPr>
            <w:tcW w:w="0" w:type="auto"/>
            <w:hideMark/>
          </w:tcPr>
          <w:p w14:paraId="2FFCD67B"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£4.23</w:t>
            </w:r>
          </w:p>
        </w:tc>
      </w:tr>
      <w:tr w:rsidR="004B652F" w:rsidRPr="004B652F" w14:paraId="17B98B8B" w14:textId="77777777" w:rsidTr="004B652F">
        <w:tc>
          <w:tcPr>
            <w:tcW w:w="0" w:type="auto"/>
            <w:hideMark/>
          </w:tcPr>
          <w:p w14:paraId="170CE9C4"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Profitability Index (PI)</w:t>
            </w:r>
          </w:p>
        </w:tc>
        <w:tc>
          <w:tcPr>
            <w:tcW w:w="0" w:type="auto"/>
            <w:hideMark/>
          </w:tcPr>
          <w:p w14:paraId="6570C53D"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PV Inflows / Initial Cost</w:t>
            </w:r>
          </w:p>
        </w:tc>
        <w:tc>
          <w:tcPr>
            <w:tcW w:w="0" w:type="auto"/>
            <w:hideMark/>
          </w:tcPr>
          <w:p w14:paraId="324BA87A"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1.033</w:t>
            </w:r>
          </w:p>
        </w:tc>
        <w:tc>
          <w:tcPr>
            <w:tcW w:w="0" w:type="auto"/>
            <w:hideMark/>
          </w:tcPr>
          <w:p w14:paraId="1B8B18B4"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0.758</w:t>
            </w:r>
          </w:p>
        </w:tc>
        <w:tc>
          <w:tcPr>
            <w:tcW w:w="0" w:type="auto"/>
            <w:hideMark/>
          </w:tcPr>
          <w:p w14:paraId="423F76B3"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1.085</w:t>
            </w:r>
          </w:p>
        </w:tc>
      </w:tr>
      <w:tr w:rsidR="004B652F" w:rsidRPr="004B652F" w14:paraId="1ED6B965" w14:textId="77777777" w:rsidTr="004B652F">
        <w:tc>
          <w:tcPr>
            <w:tcW w:w="0" w:type="auto"/>
            <w:hideMark/>
          </w:tcPr>
          <w:p w14:paraId="442B1728"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
                <w:bCs/>
                <w:sz w:val="24"/>
                <w:szCs w:val="24"/>
                <w:lang w:val="en-US"/>
              </w:rPr>
              <w:t>Internal Rate of Return</w:t>
            </w:r>
          </w:p>
        </w:tc>
        <w:tc>
          <w:tcPr>
            <w:tcW w:w="0" w:type="auto"/>
            <w:hideMark/>
          </w:tcPr>
          <w:p w14:paraId="44243432"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Discount rate where NPV=0</w:t>
            </w:r>
          </w:p>
        </w:tc>
        <w:tc>
          <w:tcPr>
            <w:tcW w:w="0" w:type="auto"/>
            <w:hideMark/>
          </w:tcPr>
          <w:p w14:paraId="3BF333C3"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11.33%</w:t>
            </w:r>
          </w:p>
        </w:tc>
        <w:tc>
          <w:tcPr>
            <w:tcW w:w="0" w:type="auto"/>
            <w:hideMark/>
          </w:tcPr>
          <w:p w14:paraId="7C159242" w14:textId="77777777" w:rsidR="004B652F" w:rsidRPr="004B652F" w:rsidRDefault="004B652F" w:rsidP="004B652F">
            <w:pPr>
              <w:spacing w:before="240" w:line="360" w:lineRule="auto"/>
              <w:jc w:val="both"/>
              <w:rPr>
                <w:rFonts w:ascii="Arial" w:hAnsi="Arial" w:cs="Arial"/>
                <w:bCs/>
                <w:sz w:val="24"/>
                <w:szCs w:val="24"/>
                <w:lang w:val="en-US"/>
              </w:rPr>
            </w:pPr>
            <w:r w:rsidRPr="004B652F">
              <w:rPr>
                <w:rFonts w:ascii="Arial" w:hAnsi="Arial" w:cs="Arial"/>
                <w:bCs/>
                <w:sz w:val="24"/>
                <w:szCs w:val="24"/>
                <w:lang w:val="en-US"/>
              </w:rPr>
              <w:t>0.00%</w:t>
            </w:r>
          </w:p>
        </w:tc>
        <w:tc>
          <w:tcPr>
            <w:tcW w:w="0" w:type="auto"/>
            <w:hideMark/>
          </w:tcPr>
          <w:p w14:paraId="6298E6AF" w14:textId="77777777" w:rsidR="004B652F" w:rsidRPr="004B652F" w:rsidRDefault="004B652F" w:rsidP="004B652F">
            <w:pPr>
              <w:keepNext/>
              <w:spacing w:before="240" w:line="360" w:lineRule="auto"/>
              <w:jc w:val="both"/>
              <w:rPr>
                <w:rFonts w:ascii="Arial" w:hAnsi="Arial" w:cs="Arial"/>
                <w:bCs/>
                <w:sz w:val="24"/>
                <w:szCs w:val="24"/>
                <w:lang w:val="en-US"/>
              </w:rPr>
            </w:pPr>
            <w:r w:rsidRPr="004B652F">
              <w:rPr>
                <w:rFonts w:ascii="Arial" w:hAnsi="Arial" w:cs="Arial"/>
                <w:bCs/>
                <w:sz w:val="24"/>
                <w:szCs w:val="24"/>
                <w:lang w:val="en-US"/>
              </w:rPr>
              <w:t>12.72%</w:t>
            </w:r>
          </w:p>
        </w:tc>
      </w:tr>
    </w:tbl>
    <w:p w14:paraId="63ABCC48" w14:textId="4A69B26B" w:rsidR="004B652F" w:rsidRPr="008E727B" w:rsidRDefault="004B652F" w:rsidP="004B652F">
      <w:pPr>
        <w:pStyle w:val="Caption"/>
        <w:rPr>
          <w:rFonts w:ascii="Arial" w:hAnsi="Arial" w:cs="Arial"/>
          <w:bCs/>
          <w:sz w:val="24"/>
          <w:szCs w:val="24"/>
          <w:lang w:val="en-US"/>
        </w:rPr>
      </w:pPr>
      <w:bookmarkStart w:id="42" w:name="_Toc217221017"/>
      <w:r>
        <w:t xml:space="preserve">Table </w:t>
      </w:r>
      <w:r>
        <w:fldChar w:fldCharType="begin"/>
      </w:r>
      <w:r>
        <w:instrText xml:space="preserve"> SEQ Table \* ARABIC </w:instrText>
      </w:r>
      <w:r>
        <w:fldChar w:fldCharType="separate"/>
      </w:r>
      <w:r w:rsidR="0078538A">
        <w:rPr>
          <w:noProof/>
        </w:rPr>
        <w:t>6</w:t>
      </w:r>
      <w:r>
        <w:fldChar w:fldCharType="end"/>
      </w:r>
      <w:r>
        <w:t xml:space="preserve">: </w:t>
      </w:r>
      <w:r w:rsidRPr="00A95660">
        <w:t>Financial Evaluation of Proposed Projects (£m unless stated)</w:t>
      </w:r>
      <w:bookmarkEnd w:id="42"/>
    </w:p>
    <w:p w14:paraId="78C90F66" w14:textId="1AF72817" w:rsidR="008E727B" w:rsidRPr="008E727B" w:rsidRDefault="004B652F" w:rsidP="003F58DD">
      <w:pPr>
        <w:pStyle w:val="Heading2"/>
        <w:rPr>
          <w:lang w:val="en-US"/>
        </w:rPr>
      </w:pPr>
      <w:bookmarkStart w:id="43" w:name="_Toc217246336"/>
      <w:r>
        <w:rPr>
          <w:lang w:val="en-US"/>
        </w:rPr>
        <w:lastRenderedPageBreak/>
        <w:t>4.</w:t>
      </w:r>
      <w:r w:rsidR="008E727B" w:rsidRPr="008E727B">
        <w:rPr>
          <w:lang w:val="en-US"/>
        </w:rPr>
        <w:t>2 Critical Appraisal Methodology</w:t>
      </w:r>
      <w:bookmarkEnd w:id="43"/>
    </w:p>
    <w:p w14:paraId="5460ACE5" w14:textId="09FFF617" w:rsidR="008E727B" w:rsidRPr="008E727B" w:rsidRDefault="00231013" w:rsidP="00231013">
      <w:pPr>
        <w:pStyle w:val="Heading3"/>
        <w:rPr>
          <w:lang w:val="en-US"/>
        </w:rPr>
      </w:pPr>
      <w:bookmarkStart w:id="44" w:name="_Toc217246337"/>
      <w:r>
        <w:rPr>
          <w:lang w:val="en-US"/>
        </w:rPr>
        <w:t>4.</w:t>
      </w:r>
      <w:r w:rsidR="008E727B" w:rsidRPr="008E727B">
        <w:rPr>
          <w:lang w:val="en-US"/>
        </w:rPr>
        <w:t>2.1 Non-Discount Techniques: PBP and ARR</w:t>
      </w:r>
      <w:bookmarkEnd w:id="44"/>
    </w:p>
    <w:p w14:paraId="1BD5BC50" w14:textId="15C29513" w:rsidR="008E727B" w:rsidRDefault="008E727B" w:rsidP="008E727B">
      <w:pPr>
        <w:spacing w:before="240" w:line="360" w:lineRule="auto"/>
        <w:jc w:val="both"/>
        <w:rPr>
          <w:rFonts w:ascii="Arial" w:hAnsi="Arial" w:cs="Arial"/>
          <w:bCs/>
          <w:sz w:val="24"/>
          <w:szCs w:val="24"/>
          <w:lang w:val="en-US"/>
        </w:rPr>
      </w:pPr>
      <w:r w:rsidRPr="008E727B">
        <w:rPr>
          <w:rFonts w:ascii="Arial" w:hAnsi="Arial" w:cs="Arial"/>
          <w:b/>
          <w:sz w:val="24"/>
          <w:szCs w:val="24"/>
          <w:lang w:val="en-US"/>
        </w:rPr>
        <w:t>Payback Period (PBP):</w:t>
      </w:r>
      <w:r w:rsidRPr="008E727B">
        <w:rPr>
          <w:rFonts w:ascii="Arial" w:hAnsi="Arial" w:cs="Arial"/>
          <w:bCs/>
          <w:sz w:val="24"/>
          <w:szCs w:val="24"/>
          <w:lang w:val="en-US"/>
        </w:rPr>
        <w:t xml:space="preserve"> </w:t>
      </w:r>
    </w:p>
    <w:tbl>
      <w:tblPr>
        <w:tblStyle w:val="TableGrid"/>
        <w:tblW w:w="0" w:type="auto"/>
        <w:tblLook w:val="04A0" w:firstRow="1" w:lastRow="0" w:firstColumn="1" w:lastColumn="0" w:noHBand="0" w:noVBand="1"/>
      </w:tblPr>
      <w:tblGrid>
        <w:gridCol w:w="1390"/>
        <w:gridCol w:w="1544"/>
        <w:gridCol w:w="917"/>
        <w:gridCol w:w="917"/>
        <w:gridCol w:w="917"/>
        <w:gridCol w:w="917"/>
        <w:gridCol w:w="917"/>
        <w:gridCol w:w="1497"/>
      </w:tblGrid>
      <w:tr w:rsidR="00B36F6B" w:rsidRPr="00B36F6B" w14:paraId="3A8AC017" w14:textId="77777777" w:rsidTr="00B36F6B">
        <w:tc>
          <w:tcPr>
            <w:tcW w:w="0" w:type="auto"/>
            <w:hideMark/>
          </w:tcPr>
          <w:p w14:paraId="3EA389F3"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Project</w:t>
            </w:r>
          </w:p>
        </w:tc>
        <w:tc>
          <w:tcPr>
            <w:tcW w:w="0" w:type="auto"/>
            <w:hideMark/>
          </w:tcPr>
          <w:p w14:paraId="22EFF470"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Initial Outlay</w:t>
            </w:r>
          </w:p>
        </w:tc>
        <w:tc>
          <w:tcPr>
            <w:tcW w:w="0" w:type="auto"/>
            <w:hideMark/>
          </w:tcPr>
          <w:p w14:paraId="6A813943"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Year 1</w:t>
            </w:r>
          </w:p>
        </w:tc>
        <w:tc>
          <w:tcPr>
            <w:tcW w:w="0" w:type="auto"/>
            <w:hideMark/>
          </w:tcPr>
          <w:p w14:paraId="7A7EB19A"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Year 2</w:t>
            </w:r>
          </w:p>
        </w:tc>
        <w:tc>
          <w:tcPr>
            <w:tcW w:w="0" w:type="auto"/>
            <w:hideMark/>
          </w:tcPr>
          <w:p w14:paraId="69706138"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Year 3</w:t>
            </w:r>
          </w:p>
        </w:tc>
        <w:tc>
          <w:tcPr>
            <w:tcW w:w="0" w:type="auto"/>
            <w:hideMark/>
          </w:tcPr>
          <w:p w14:paraId="174EA05A"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Year 4</w:t>
            </w:r>
          </w:p>
        </w:tc>
        <w:tc>
          <w:tcPr>
            <w:tcW w:w="0" w:type="auto"/>
            <w:hideMark/>
          </w:tcPr>
          <w:p w14:paraId="3E6A4B9A"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Year 5</w:t>
            </w:r>
          </w:p>
        </w:tc>
        <w:tc>
          <w:tcPr>
            <w:tcW w:w="0" w:type="auto"/>
            <w:hideMark/>
          </w:tcPr>
          <w:p w14:paraId="0EE3218C"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PBP (Years)</w:t>
            </w:r>
          </w:p>
        </w:tc>
      </w:tr>
      <w:tr w:rsidR="00B36F6B" w:rsidRPr="00B36F6B" w14:paraId="52A113F2" w14:textId="77777777" w:rsidTr="00B36F6B">
        <w:tc>
          <w:tcPr>
            <w:tcW w:w="0" w:type="auto"/>
            <w:hideMark/>
          </w:tcPr>
          <w:p w14:paraId="77F81016"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A (Cash)</w:t>
            </w:r>
          </w:p>
        </w:tc>
        <w:tc>
          <w:tcPr>
            <w:tcW w:w="0" w:type="auto"/>
            <w:hideMark/>
          </w:tcPr>
          <w:p w14:paraId="028E251D"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(£40m)</w:t>
            </w:r>
          </w:p>
        </w:tc>
        <w:tc>
          <w:tcPr>
            <w:tcW w:w="0" w:type="auto"/>
            <w:hideMark/>
          </w:tcPr>
          <w:p w14:paraId="22328C99"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£10m</w:t>
            </w:r>
          </w:p>
        </w:tc>
        <w:tc>
          <w:tcPr>
            <w:tcW w:w="0" w:type="auto"/>
            <w:hideMark/>
          </w:tcPr>
          <w:p w14:paraId="084892DE"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£12m</w:t>
            </w:r>
          </w:p>
        </w:tc>
        <w:tc>
          <w:tcPr>
            <w:tcW w:w="0" w:type="auto"/>
            <w:hideMark/>
          </w:tcPr>
          <w:p w14:paraId="63370B7D"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£14m</w:t>
            </w:r>
          </w:p>
        </w:tc>
        <w:tc>
          <w:tcPr>
            <w:tcW w:w="0" w:type="auto"/>
            <w:hideMark/>
          </w:tcPr>
          <w:p w14:paraId="51C0A721"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£10m</w:t>
            </w:r>
          </w:p>
        </w:tc>
        <w:tc>
          <w:tcPr>
            <w:tcW w:w="0" w:type="auto"/>
            <w:hideMark/>
          </w:tcPr>
          <w:p w14:paraId="66D88C54"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£8m</w:t>
            </w:r>
          </w:p>
        </w:tc>
        <w:tc>
          <w:tcPr>
            <w:tcW w:w="0" w:type="auto"/>
            <w:hideMark/>
          </w:tcPr>
          <w:p w14:paraId="1C8C6F93" w14:textId="77777777" w:rsidR="00B36F6B" w:rsidRPr="00B36F6B" w:rsidRDefault="00B36F6B" w:rsidP="00B36F6B">
            <w:pPr>
              <w:spacing w:before="240" w:line="360" w:lineRule="auto"/>
              <w:jc w:val="both"/>
              <w:rPr>
                <w:rFonts w:ascii="Arial" w:hAnsi="Arial" w:cs="Arial"/>
                <w:bCs/>
                <w:sz w:val="24"/>
                <w:szCs w:val="24"/>
                <w:lang w:val="en-US"/>
              </w:rPr>
            </w:pPr>
          </w:p>
        </w:tc>
      </w:tr>
      <w:tr w:rsidR="00B36F6B" w:rsidRPr="00B36F6B" w14:paraId="19F6660D" w14:textId="77777777" w:rsidTr="00B36F6B">
        <w:tc>
          <w:tcPr>
            <w:tcW w:w="0" w:type="auto"/>
            <w:hideMark/>
          </w:tcPr>
          <w:p w14:paraId="088717F0"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A (</w:t>
            </w:r>
            <w:proofErr w:type="spellStart"/>
            <w:r w:rsidRPr="00B36F6B">
              <w:rPr>
                <w:rFonts w:ascii="Arial" w:hAnsi="Arial" w:cs="Arial"/>
                <w:b/>
                <w:bCs/>
                <w:sz w:val="24"/>
                <w:szCs w:val="24"/>
                <w:lang w:val="en-US"/>
              </w:rPr>
              <w:t>Cumul</w:t>
            </w:r>
            <w:proofErr w:type="spellEnd"/>
            <w:r w:rsidRPr="00B36F6B">
              <w:rPr>
                <w:rFonts w:ascii="Arial" w:hAnsi="Arial" w:cs="Arial"/>
                <w:b/>
                <w:bCs/>
                <w:sz w:val="24"/>
                <w:szCs w:val="24"/>
                <w:lang w:val="en-US"/>
              </w:rPr>
              <w:t>.)</w:t>
            </w:r>
          </w:p>
        </w:tc>
        <w:tc>
          <w:tcPr>
            <w:tcW w:w="0" w:type="auto"/>
            <w:hideMark/>
          </w:tcPr>
          <w:p w14:paraId="41AE10AE"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w:t>
            </w:r>
          </w:p>
        </w:tc>
        <w:tc>
          <w:tcPr>
            <w:tcW w:w="0" w:type="auto"/>
            <w:hideMark/>
          </w:tcPr>
          <w:p w14:paraId="4DC2A96B"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£10m</w:t>
            </w:r>
          </w:p>
        </w:tc>
        <w:tc>
          <w:tcPr>
            <w:tcW w:w="0" w:type="auto"/>
            <w:hideMark/>
          </w:tcPr>
          <w:p w14:paraId="3FEA4F47"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£22m</w:t>
            </w:r>
          </w:p>
        </w:tc>
        <w:tc>
          <w:tcPr>
            <w:tcW w:w="0" w:type="auto"/>
            <w:hideMark/>
          </w:tcPr>
          <w:p w14:paraId="1AF035BB"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£36m</w:t>
            </w:r>
          </w:p>
        </w:tc>
        <w:tc>
          <w:tcPr>
            <w:tcW w:w="0" w:type="auto"/>
            <w:hideMark/>
          </w:tcPr>
          <w:p w14:paraId="0C49FFBC"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£46m</w:t>
            </w:r>
          </w:p>
        </w:tc>
        <w:tc>
          <w:tcPr>
            <w:tcW w:w="0" w:type="auto"/>
            <w:hideMark/>
          </w:tcPr>
          <w:p w14:paraId="0DE476A3"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£54m</w:t>
            </w:r>
          </w:p>
        </w:tc>
        <w:tc>
          <w:tcPr>
            <w:tcW w:w="0" w:type="auto"/>
            <w:hideMark/>
          </w:tcPr>
          <w:p w14:paraId="10A80C8E"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3.40</w:t>
            </w:r>
          </w:p>
        </w:tc>
      </w:tr>
      <w:tr w:rsidR="00B36F6B" w:rsidRPr="00B36F6B" w14:paraId="2F6273EE" w14:textId="77777777" w:rsidTr="00B36F6B">
        <w:tc>
          <w:tcPr>
            <w:tcW w:w="0" w:type="auto"/>
            <w:hideMark/>
          </w:tcPr>
          <w:p w14:paraId="1CB5B89F"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B (Cash)</w:t>
            </w:r>
          </w:p>
        </w:tc>
        <w:tc>
          <w:tcPr>
            <w:tcW w:w="0" w:type="auto"/>
            <w:hideMark/>
          </w:tcPr>
          <w:p w14:paraId="02787293"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(£30m)</w:t>
            </w:r>
          </w:p>
        </w:tc>
        <w:tc>
          <w:tcPr>
            <w:tcW w:w="0" w:type="auto"/>
            <w:hideMark/>
          </w:tcPr>
          <w:p w14:paraId="61D01777"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£6m</w:t>
            </w:r>
          </w:p>
        </w:tc>
        <w:tc>
          <w:tcPr>
            <w:tcW w:w="0" w:type="auto"/>
            <w:hideMark/>
          </w:tcPr>
          <w:p w14:paraId="07211491"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£6m</w:t>
            </w:r>
          </w:p>
        </w:tc>
        <w:tc>
          <w:tcPr>
            <w:tcW w:w="0" w:type="auto"/>
            <w:hideMark/>
          </w:tcPr>
          <w:p w14:paraId="1B1EAB1C"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£6m</w:t>
            </w:r>
          </w:p>
        </w:tc>
        <w:tc>
          <w:tcPr>
            <w:tcW w:w="0" w:type="auto"/>
            <w:hideMark/>
          </w:tcPr>
          <w:p w14:paraId="02972000"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£6m</w:t>
            </w:r>
          </w:p>
        </w:tc>
        <w:tc>
          <w:tcPr>
            <w:tcW w:w="0" w:type="auto"/>
            <w:hideMark/>
          </w:tcPr>
          <w:p w14:paraId="7AB356C5"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£6m</w:t>
            </w:r>
          </w:p>
        </w:tc>
        <w:tc>
          <w:tcPr>
            <w:tcW w:w="0" w:type="auto"/>
            <w:hideMark/>
          </w:tcPr>
          <w:p w14:paraId="4D14BB4E" w14:textId="77777777" w:rsidR="00B36F6B" w:rsidRPr="00B36F6B" w:rsidRDefault="00B36F6B" w:rsidP="00B36F6B">
            <w:pPr>
              <w:spacing w:before="240" w:line="360" w:lineRule="auto"/>
              <w:jc w:val="both"/>
              <w:rPr>
                <w:rFonts w:ascii="Arial" w:hAnsi="Arial" w:cs="Arial"/>
                <w:bCs/>
                <w:sz w:val="24"/>
                <w:szCs w:val="24"/>
                <w:lang w:val="en-US"/>
              </w:rPr>
            </w:pPr>
          </w:p>
        </w:tc>
      </w:tr>
      <w:tr w:rsidR="00B36F6B" w:rsidRPr="00B36F6B" w14:paraId="11D2EE79" w14:textId="77777777" w:rsidTr="00B36F6B">
        <w:tc>
          <w:tcPr>
            <w:tcW w:w="0" w:type="auto"/>
            <w:hideMark/>
          </w:tcPr>
          <w:p w14:paraId="6F064E12"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B (</w:t>
            </w:r>
            <w:proofErr w:type="spellStart"/>
            <w:r w:rsidRPr="00B36F6B">
              <w:rPr>
                <w:rFonts w:ascii="Arial" w:hAnsi="Arial" w:cs="Arial"/>
                <w:b/>
                <w:bCs/>
                <w:sz w:val="24"/>
                <w:szCs w:val="24"/>
                <w:lang w:val="en-US"/>
              </w:rPr>
              <w:t>Cumul</w:t>
            </w:r>
            <w:proofErr w:type="spellEnd"/>
            <w:r w:rsidRPr="00B36F6B">
              <w:rPr>
                <w:rFonts w:ascii="Arial" w:hAnsi="Arial" w:cs="Arial"/>
                <w:b/>
                <w:bCs/>
                <w:sz w:val="24"/>
                <w:szCs w:val="24"/>
                <w:lang w:val="en-US"/>
              </w:rPr>
              <w:t>.)</w:t>
            </w:r>
          </w:p>
        </w:tc>
        <w:tc>
          <w:tcPr>
            <w:tcW w:w="0" w:type="auto"/>
            <w:hideMark/>
          </w:tcPr>
          <w:p w14:paraId="5FEDF5DC"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w:t>
            </w:r>
          </w:p>
        </w:tc>
        <w:tc>
          <w:tcPr>
            <w:tcW w:w="0" w:type="auto"/>
            <w:hideMark/>
          </w:tcPr>
          <w:p w14:paraId="46FDD35C"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£6m</w:t>
            </w:r>
          </w:p>
        </w:tc>
        <w:tc>
          <w:tcPr>
            <w:tcW w:w="0" w:type="auto"/>
            <w:hideMark/>
          </w:tcPr>
          <w:p w14:paraId="12A2537B"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£12m</w:t>
            </w:r>
          </w:p>
        </w:tc>
        <w:tc>
          <w:tcPr>
            <w:tcW w:w="0" w:type="auto"/>
            <w:hideMark/>
          </w:tcPr>
          <w:p w14:paraId="78694E1A"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£18m</w:t>
            </w:r>
          </w:p>
        </w:tc>
        <w:tc>
          <w:tcPr>
            <w:tcW w:w="0" w:type="auto"/>
            <w:hideMark/>
          </w:tcPr>
          <w:p w14:paraId="7AE63307"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£24m</w:t>
            </w:r>
          </w:p>
        </w:tc>
        <w:tc>
          <w:tcPr>
            <w:tcW w:w="0" w:type="auto"/>
            <w:hideMark/>
          </w:tcPr>
          <w:p w14:paraId="6C408FD9"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£30m</w:t>
            </w:r>
          </w:p>
        </w:tc>
        <w:tc>
          <w:tcPr>
            <w:tcW w:w="0" w:type="auto"/>
            <w:hideMark/>
          </w:tcPr>
          <w:p w14:paraId="03DB5EDD"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5.00</w:t>
            </w:r>
          </w:p>
        </w:tc>
      </w:tr>
      <w:tr w:rsidR="00B36F6B" w:rsidRPr="00B36F6B" w14:paraId="2FFFAC59" w14:textId="77777777" w:rsidTr="00B36F6B">
        <w:tc>
          <w:tcPr>
            <w:tcW w:w="0" w:type="auto"/>
            <w:hideMark/>
          </w:tcPr>
          <w:p w14:paraId="6413558C"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C (Cash)</w:t>
            </w:r>
          </w:p>
        </w:tc>
        <w:tc>
          <w:tcPr>
            <w:tcW w:w="0" w:type="auto"/>
            <w:hideMark/>
          </w:tcPr>
          <w:p w14:paraId="54C5C189"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(£50m)</w:t>
            </w:r>
          </w:p>
        </w:tc>
        <w:tc>
          <w:tcPr>
            <w:tcW w:w="0" w:type="auto"/>
            <w:hideMark/>
          </w:tcPr>
          <w:p w14:paraId="419E9144"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£5m</w:t>
            </w:r>
          </w:p>
        </w:tc>
        <w:tc>
          <w:tcPr>
            <w:tcW w:w="0" w:type="auto"/>
            <w:hideMark/>
          </w:tcPr>
          <w:p w14:paraId="7B37B823"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£10m</w:t>
            </w:r>
          </w:p>
        </w:tc>
        <w:tc>
          <w:tcPr>
            <w:tcW w:w="0" w:type="auto"/>
            <w:hideMark/>
          </w:tcPr>
          <w:p w14:paraId="23A02023"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£20m</w:t>
            </w:r>
          </w:p>
        </w:tc>
        <w:tc>
          <w:tcPr>
            <w:tcW w:w="0" w:type="auto"/>
            <w:hideMark/>
          </w:tcPr>
          <w:p w14:paraId="50FD9749"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£25m</w:t>
            </w:r>
          </w:p>
        </w:tc>
        <w:tc>
          <w:tcPr>
            <w:tcW w:w="0" w:type="auto"/>
            <w:hideMark/>
          </w:tcPr>
          <w:p w14:paraId="2BA1AAAE"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£15m</w:t>
            </w:r>
          </w:p>
        </w:tc>
        <w:tc>
          <w:tcPr>
            <w:tcW w:w="0" w:type="auto"/>
            <w:hideMark/>
          </w:tcPr>
          <w:p w14:paraId="741DA2E9" w14:textId="77777777" w:rsidR="00B36F6B" w:rsidRPr="00B36F6B" w:rsidRDefault="00B36F6B" w:rsidP="00B36F6B">
            <w:pPr>
              <w:spacing w:before="240" w:line="360" w:lineRule="auto"/>
              <w:jc w:val="both"/>
              <w:rPr>
                <w:rFonts w:ascii="Arial" w:hAnsi="Arial" w:cs="Arial"/>
                <w:bCs/>
                <w:sz w:val="24"/>
                <w:szCs w:val="24"/>
                <w:lang w:val="en-US"/>
              </w:rPr>
            </w:pPr>
          </w:p>
        </w:tc>
      </w:tr>
      <w:tr w:rsidR="00B36F6B" w:rsidRPr="00B36F6B" w14:paraId="0C5C9B7C" w14:textId="77777777" w:rsidTr="00B36F6B">
        <w:tc>
          <w:tcPr>
            <w:tcW w:w="0" w:type="auto"/>
            <w:hideMark/>
          </w:tcPr>
          <w:p w14:paraId="7E8394CA"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
                <w:bCs/>
                <w:sz w:val="24"/>
                <w:szCs w:val="24"/>
                <w:lang w:val="en-US"/>
              </w:rPr>
              <w:t>C (</w:t>
            </w:r>
            <w:proofErr w:type="spellStart"/>
            <w:r w:rsidRPr="00B36F6B">
              <w:rPr>
                <w:rFonts w:ascii="Arial" w:hAnsi="Arial" w:cs="Arial"/>
                <w:b/>
                <w:bCs/>
                <w:sz w:val="24"/>
                <w:szCs w:val="24"/>
                <w:lang w:val="en-US"/>
              </w:rPr>
              <w:t>Cumul</w:t>
            </w:r>
            <w:proofErr w:type="spellEnd"/>
            <w:r w:rsidRPr="00B36F6B">
              <w:rPr>
                <w:rFonts w:ascii="Arial" w:hAnsi="Arial" w:cs="Arial"/>
                <w:b/>
                <w:bCs/>
                <w:sz w:val="24"/>
                <w:szCs w:val="24"/>
                <w:lang w:val="en-US"/>
              </w:rPr>
              <w:t>.)</w:t>
            </w:r>
          </w:p>
        </w:tc>
        <w:tc>
          <w:tcPr>
            <w:tcW w:w="0" w:type="auto"/>
            <w:hideMark/>
          </w:tcPr>
          <w:p w14:paraId="18F00E02"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w:t>
            </w:r>
          </w:p>
        </w:tc>
        <w:tc>
          <w:tcPr>
            <w:tcW w:w="0" w:type="auto"/>
            <w:hideMark/>
          </w:tcPr>
          <w:p w14:paraId="4C5629AF"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£5m</w:t>
            </w:r>
          </w:p>
        </w:tc>
        <w:tc>
          <w:tcPr>
            <w:tcW w:w="0" w:type="auto"/>
            <w:hideMark/>
          </w:tcPr>
          <w:p w14:paraId="2089F8F1"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£15m</w:t>
            </w:r>
          </w:p>
        </w:tc>
        <w:tc>
          <w:tcPr>
            <w:tcW w:w="0" w:type="auto"/>
            <w:hideMark/>
          </w:tcPr>
          <w:p w14:paraId="681FEB46"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£35m</w:t>
            </w:r>
          </w:p>
        </w:tc>
        <w:tc>
          <w:tcPr>
            <w:tcW w:w="0" w:type="auto"/>
            <w:hideMark/>
          </w:tcPr>
          <w:p w14:paraId="2B91BF56"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£60m</w:t>
            </w:r>
          </w:p>
        </w:tc>
        <w:tc>
          <w:tcPr>
            <w:tcW w:w="0" w:type="auto"/>
            <w:hideMark/>
          </w:tcPr>
          <w:p w14:paraId="11661718" w14:textId="77777777" w:rsidR="00B36F6B" w:rsidRPr="00B36F6B" w:rsidRDefault="00B36F6B" w:rsidP="00B36F6B">
            <w:pPr>
              <w:spacing w:before="240" w:line="360" w:lineRule="auto"/>
              <w:jc w:val="both"/>
              <w:rPr>
                <w:rFonts w:ascii="Arial" w:hAnsi="Arial" w:cs="Arial"/>
                <w:bCs/>
                <w:sz w:val="24"/>
                <w:szCs w:val="24"/>
                <w:lang w:val="en-US"/>
              </w:rPr>
            </w:pPr>
            <w:r w:rsidRPr="00B36F6B">
              <w:rPr>
                <w:rFonts w:ascii="Arial" w:hAnsi="Arial" w:cs="Arial"/>
                <w:bCs/>
                <w:sz w:val="24"/>
                <w:szCs w:val="24"/>
                <w:lang w:val="en-US"/>
              </w:rPr>
              <w:t>£75m</w:t>
            </w:r>
          </w:p>
        </w:tc>
        <w:tc>
          <w:tcPr>
            <w:tcW w:w="0" w:type="auto"/>
            <w:hideMark/>
          </w:tcPr>
          <w:p w14:paraId="1490A6D3" w14:textId="77777777" w:rsidR="00B36F6B" w:rsidRPr="00B36F6B" w:rsidRDefault="00B36F6B" w:rsidP="00B36F6B">
            <w:pPr>
              <w:keepNext/>
              <w:spacing w:before="240" w:line="360" w:lineRule="auto"/>
              <w:jc w:val="both"/>
              <w:rPr>
                <w:rFonts w:ascii="Arial" w:hAnsi="Arial" w:cs="Arial"/>
                <w:bCs/>
                <w:sz w:val="24"/>
                <w:szCs w:val="24"/>
                <w:lang w:val="en-US"/>
              </w:rPr>
            </w:pPr>
            <w:r w:rsidRPr="00B36F6B">
              <w:rPr>
                <w:rFonts w:ascii="Arial" w:hAnsi="Arial" w:cs="Arial"/>
                <w:b/>
                <w:bCs/>
                <w:sz w:val="24"/>
                <w:szCs w:val="24"/>
                <w:lang w:val="en-US"/>
              </w:rPr>
              <w:t>3.60</w:t>
            </w:r>
          </w:p>
        </w:tc>
      </w:tr>
    </w:tbl>
    <w:p w14:paraId="11E90996" w14:textId="550E3279" w:rsidR="00231013" w:rsidRDefault="00B36F6B" w:rsidP="00B36F6B">
      <w:pPr>
        <w:pStyle w:val="Caption"/>
      </w:pPr>
      <w:bookmarkStart w:id="45" w:name="_Toc217221018"/>
      <w:r>
        <w:t xml:space="preserve">Table </w:t>
      </w:r>
      <w:r>
        <w:fldChar w:fldCharType="begin"/>
      </w:r>
      <w:r>
        <w:instrText xml:space="preserve"> SEQ Table \* ARABIC </w:instrText>
      </w:r>
      <w:r>
        <w:fldChar w:fldCharType="separate"/>
      </w:r>
      <w:r w:rsidR="0078538A">
        <w:rPr>
          <w:noProof/>
        </w:rPr>
        <w:t>7</w:t>
      </w:r>
      <w:r>
        <w:fldChar w:fldCharType="end"/>
      </w:r>
      <w:r>
        <w:t xml:space="preserve">: </w:t>
      </w:r>
      <w:r w:rsidRPr="00AD2042">
        <w:t>Payback Period (PBP) Calculation</w:t>
      </w:r>
      <w:bookmarkEnd w:id="45"/>
    </w:p>
    <w:p w14:paraId="269C1C0F" w14:textId="6A261ADE" w:rsidR="00B545B9" w:rsidRDefault="004D0C61" w:rsidP="008E727B">
      <w:pPr>
        <w:spacing w:before="240" w:line="360" w:lineRule="auto"/>
        <w:jc w:val="both"/>
        <w:rPr>
          <w:rFonts w:ascii="Arial" w:hAnsi="Arial" w:cs="Arial"/>
          <w:bCs/>
          <w:sz w:val="24"/>
          <w:szCs w:val="24"/>
          <w:lang w:val="en-US"/>
        </w:rPr>
      </w:pPr>
      <w:r w:rsidRPr="004D0C61">
        <w:rPr>
          <w:rFonts w:ascii="Arial" w:hAnsi="Arial" w:cs="Arial"/>
          <w:bCs/>
          <w:sz w:val="24"/>
          <w:szCs w:val="24"/>
          <w:lang w:val="en-US"/>
        </w:rPr>
        <w:t>A firm like General Electric, which has a Days Sales Outstanding (DSO) of 105.5 days, is facing a significant challenge in terms of liquidity. This is the primary worry that has to be addressed. The shortest duration of capital recovery is associated with Project A, which is 3.4 years. This would potentially allow General Electric to reinvest funds sooner or pay its short-term line of credit, which is 36.9 billion dollars in the near term. PBP, on the other hand, is very flawed due to the fact that it does not take into account the Time Value of Money or the cash flows that are experienced after the payback threshold has been reached (Harvard Business Review, 2021).</w:t>
      </w:r>
    </w:p>
    <w:p w14:paraId="55155D2D" w14:textId="77777777" w:rsidR="0082206C" w:rsidRDefault="008E727B" w:rsidP="008E727B">
      <w:pPr>
        <w:spacing w:before="240" w:line="360" w:lineRule="auto"/>
        <w:jc w:val="both"/>
        <w:rPr>
          <w:rFonts w:ascii="Arial" w:hAnsi="Arial" w:cs="Arial"/>
          <w:bCs/>
          <w:sz w:val="24"/>
          <w:szCs w:val="24"/>
          <w:lang w:val="en-US"/>
        </w:rPr>
      </w:pPr>
      <w:r w:rsidRPr="008E727B">
        <w:rPr>
          <w:rFonts w:ascii="Arial" w:hAnsi="Arial" w:cs="Arial"/>
          <w:b/>
          <w:sz w:val="24"/>
          <w:szCs w:val="24"/>
          <w:lang w:val="en-US"/>
        </w:rPr>
        <w:t>Accounting Rate of Return (ARR):</w:t>
      </w:r>
      <w:r w:rsidRPr="008E727B">
        <w:rPr>
          <w:rFonts w:ascii="Arial" w:hAnsi="Arial" w:cs="Arial"/>
          <w:bCs/>
          <w:sz w:val="24"/>
          <w:szCs w:val="24"/>
          <w:lang w:val="en-US"/>
        </w:rPr>
        <w:t xml:space="preserve"> </w:t>
      </w:r>
    </w:p>
    <w:tbl>
      <w:tblPr>
        <w:tblStyle w:val="TableGrid"/>
        <w:tblW w:w="0" w:type="auto"/>
        <w:tblLook w:val="04A0" w:firstRow="1" w:lastRow="0" w:firstColumn="1" w:lastColumn="0" w:noHBand="0" w:noVBand="1"/>
      </w:tblPr>
      <w:tblGrid>
        <w:gridCol w:w="1132"/>
        <w:gridCol w:w="1183"/>
        <w:gridCol w:w="1910"/>
        <w:gridCol w:w="1575"/>
        <w:gridCol w:w="2200"/>
        <w:gridCol w:w="1016"/>
      </w:tblGrid>
      <w:tr w:rsidR="0082206C" w:rsidRPr="0082206C" w14:paraId="05EEE2A9" w14:textId="77777777" w:rsidTr="0082206C">
        <w:tc>
          <w:tcPr>
            <w:tcW w:w="0" w:type="auto"/>
            <w:hideMark/>
          </w:tcPr>
          <w:p w14:paraId="38D9B334"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
                <w:bCs/>
                <w:sz w:val="24"/>
                <w:szCs w:val="24"/>
                <w:lang w:val="en-US"/>
              </w:rPr>
              <w:lastRenderedPageBreak/>
              <w:t>Project</w:t>
            </w:r>
          </w:p>
        </w:tc>
        <w:tc>
          <w:tcPr>
            <w:tcW w:w="0" w:type="auto"/>
            <w:hideMark/>
          </w:tcPr>
          <w:p w14:paraId="12BC9F4B"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
                <w:bCs/>
                <w:sz w:val="24"/>
                <w:szCs w:val="24"/>
                <w:lang w:val="en-US"/>
              </w:rPr>
              <w:t>Total Inflow</w:t>
            </w:r>
          </w:p>
        </w:tc>
        <w:tc>
          <w:tcPr>
            <w:tcW w:w="0" w:type="auto"/>
            <w:hideMark/>
          </w:tcPr>
          <w:p w14:paraId="6937CC12"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
                <w:bCs/>
                <w:sz w:val="24"/>
                <w:szCs w:val="24"/>
                <w:lang w:val="en-US"/>
              </w:rPr>
              <w:t>Total Profit (Inflow - Cost)</w:t>
            </w:r>
          </w:p>
        </w:tc>
        <w:tc>
          <w:tcPr>
            <w:tcW w:w="0" w:type="auto"/>
            <w:hideMark/>
          </w:tcPr>
          <w:p w14:paraId="1C9CC7DA"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
                <w:bCs/>
                <w:sz w:val="24"/>
                <w:szCs w:val="24"/>
                <w:lang w:val="en-US"/>
              </w:rPr>
              <w:t>Avg. Annual Profit</w:t>
            </w:r>
          </w:p>
        </w:tc>
        <w:tc>
          <w:tcPr>
            <w:tcW w:w="0" w:type="auto"/>
            <w:hideMark/>
          </w:tcPr>
          <w:p w14:paraId="45ABAC98"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
                <w:bCs/>
                <w:sz w:val="24"/>
                <w:szCs w:val="24"/>
                <w:lang w:val="en-US"/>
              </w:rPr>
              <w:t>Avg. Investment (Cost / 2)</w:t>
            </w:r>
          </w:p>
        </w:tc>
        <w:tc>
          <w:tcPr>
            <w:tcW w:w="0" w:type="auto"/>
            <w:hideMark/>
          </w:tcPr>
          <w:p w14:paraId="6609181C"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
                <w:bCs/>
                <w:sz w:val="24"/>
                <w:szCs w:val="24"/>
                <w:lang w:val="en-US"/>
              </w:rPr>
              <w:t>ARR (%)</w:t>
            </w:r>
          </w:p>
        </w:tc>
      </w:tr>
      <w:tr w:rsidR="0082206C" w:rsidRPr="0082206C" w14:paraId="6D8E7433" w14:textId="77777777" w:rsidTr="0082206C">
        <w:tc>
          <w:tcPr>
            <w:tcW w:w="0" w:type="auto"/>
            <w:hideMark/>
          </w:tcPr>
          <w:p w14:paraId="387A23DE"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
                <w:bCs/>
                <w:sz w:val="24"/>
                <w:szCs w:val="24"/>
                <w:lang w:val="en-US"/>
              </w:rPr>
              <w:t>Project A</w:t>
            </w:r>
          </w:p>
        </w:tc>
        <w:tc>
          <w:tcPr>
            <w:tcW w:w="0" w:type="auto"/>
            <w:hideMark/>
          </w:tcPr>
          <w:p w14:paraId="40BED783"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Cs/>
                <w:sz w:val="24"/>
                <w:szCs w:val="24"/>
                <w:lang w:val="en-US"/>
              </w:rPr>
              <w:t>£54m</w:t>
            </w:r>
          </w:p>
        </w:tc>
        <w:tc>
          <w:tcPr>
            <w:tcW w:w="0" w:type="auto"/>
            <w:hideMark/>
          </w:tcPr>
          <w:p w14:paraId="745E8A96"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Cs/>
                <w:sz w:val="24"/>
                <w:szCs w:val="24"/>
                <w:lang w:val="en-US"/>
              </w:rPr>
              <w:t>£14m</w:t>
            </w:r>
          </w:p>
        </w:tc>
        <w:tc>
          <w:tcPr>
            <w:tcW w:w="0" w:type="auto"/>
            <w:hideMark/>
          </w:tcPr>
          <w:p w14:paraId="69F7A010"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Cs/>
                <w:sz w:val="24"/>
                <w:szCs w:val="24"/>
                <w:lang w:val="en-US"/>
              </w:rPr>
              <w:t>£2.8m</w:t>
            </w:r>
          </w:p>
        </w:tc>
        <w:tc>
          <w:tcPr>
            <w:tcW w:w="0" w:type="auto"/>
            <w:hideMark/>
          </w:tcPr>
          <w:p w14:paraId="5BC48484"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Cs/>
                <w:sz w:val="24"/>
                <w:szCs w:val="24"/>
                <w:lang w:val="en-US"/>
              </w:rPr>
              <w:t>£20m</w:t>
            </w:r>
          </w:p>
        </w:tc>
        <w:tc>
          <w:tcPr>
            <w:tcW w:w="0" w:type="auto"/>
            <w:hideMark/>
          </w:tcPr>
          <w:p w14:paraId="1D1C9BB7"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
                <w:bCs/>
                <w:sz w:val="24"/>
                <w:szCs w:val="24"/>
                <w:lang w:val="en-US"/>
              </w:rPr>
              <w:t>14.0%</w:t>
            </w:r>
          </w:p>
        </w:tc>
      </w:tr>
      <w:tr w:rsidR="0082206C" w:rsidRPr="0082206C" w14:paraId="08A63697" w14:textId="77777777" w:rsidTr="0082206C">
        <w:tc>
          <w:tcPr>
            <w:tcW w:w="0" w:type="auto"/>
            <w:hideMark/>
          </w:tcPr>
          <w:p w14:paraId="0D0CB5A0"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
                <w:bCs/>
                <w:sz w:val="24"/>
                <w:szCs w:val="24"/>
                <w:lang w:val="en-US"/>
              </w:rPr>
              <w:t>Project B</w:t>
            </w:r>
          </w:p>
        </w:tc>
        <w:tc>
          <w:tcPr>
            <w:tcW w:w="0" w:type="auto"/>
            <w:hideMark/>
          </w:tcPr>
          <w:p w14:paraId="3BA08096"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Cs/>
                <w:sz w:val="24"/>
                <w:szCs w:val="24"/>
                <w:lang w:val="en-US"/>
              </w:rPr>
              <w:t>£30m</w:t>
            </w:r>
          </w:p>
        </w:tc>
        <w:tc>
          <w:tcPr>
            <w:tcW w:w="0" w:type="auto"/>
            <w:hideMark/>
          </w:tcPr>
          <w:p w14:paraId="1771BC95"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Cs/>
                <w:sz w:val="24"/>
                <w:szCs w:val="24"/>
                <w:lang w:val="en-US"/>
              </w:rPr>
              <w:t>£0m</w:t>
            </w:r>
          </w:p>
        </w:tc>
        <w:tc>
          <w:tcPr>
            <w:tcW w:w="0" w:type="auto"/>
            <w:hideMark/>
          </w:tcPr>
          <w:p w14:paraId="015C5B8D"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Cs/>
                <w:sz w:val="24"/>
                <w:szCs w:val="24"/>
                <w:lang w:val="en-US"/>
              </w:rPr>
              <w:t>£0m</w:t>
            </w:r>
          </w:p>
        </w:tc>
        <w:tc>
          <w:tcPr>
            <w:tcW w:w="0" w:type="auto"/>
            <w:hideMark/>
          </w:tcPr>
          <w:p w14:paraId="4F30E545"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Cs/>
                <w:sz w:val="24"/>
                <w:szCs w:val="24"/>
                <w:lang w:val="en-US"/>
              </w:rPr>
              <w:t>£15m</w:t>
            </w:r>
          </w:p>
        </w:tc>
        <w:tc>
          <w:tcPr>
            <w:tcW w:w="0" w:type="auto"/>
            <w:hideMark/>
          </w:tcPr>
          <w:p w14:paraId="21D878FD"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
                <w:bCs/>
                <w:sz w:val="24"/>
                <w:szCs w:val="24"/>
                <w:lang w:val="en-US"/>
              </w:rPr>
              <w:t>0.0%</w:t>
            </w:r>
          </w:p>
        </w:tc>
      </w:tr>
      <w:tr w:rsidR="0082206C" w:rsidRPr="0082206C" w14:paraId="217411DF" w14:textId="77777777" w:rsidTr="0082206C">
        <w:tc>
          <w:tcPr>
            <w:tcW w:w="0" w:type="auto"/>
            <w:hideMark/>
          </w:tcPr>
          <w:p w14:paraId="6B88E691"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
                <w:bCs/>
                <w:sz w:val="24"/>
                <w:szCs w:val="24"/>
                <w:lang w:val="en-US"/>
              </w:rPr>
              <w:t>Project C</w:t>
            </w:r>
          </w:p>
        </w:tc>
        <w:tc>
          <w:tcPr>
            <w:tcW w:w="0" w:type="auto"/>
            <w:hideMark/>
          </w:tcPr>
          <w:p w14:paraId="7E022CDA"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Cs/>
                <w:sz w:val="24"/>
                <w:szCs w:val="24"/>
                <w:lang w:val="en-US"/>
              </w:rPr>
              <w:t>£75m</w:t>
            </w:r>
          </w:p>
        </w:tc>
        <w:tc>
          <w:tcPr>
            <w:tcW w:w="0" w:type="auto"/>
            <w:hideMark/>
          </w:tcPr>
          <w:p w14:paraId="347FA1DB"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Cs/>
                <w:sz w:val="24"/>
                <w:szCs w:val="24"/>
                <w:lang w:val="en-US"/>
              </w:rPr>
              <w:t>£25m</w:t>
            </w:r>
          </w:p>
        </w:tc>
        <w:tc>
          <w:tcPr>
            <w:tcW w:w="0" w:type="auto"/>
            <w:hideMark/>
          </w:tcPr>
          <w:p w14:paraId="1F710F60"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Cs/>
                <w:sz w:val="24"/>
                <w:szCs w:val="24"/>
                <w:lang w:val="en-US"/>
              </w:rPr>
              <w:t>£5.0m</w:t>
            </w:r>
          </w:p>
        </w:tc>
        <w:tc>
          <w:tcPr>
            <w:tcW w:w="0" w:type="auto"/>
            <w:hideMark/>
          </w:tcPr>
          <w:p w14:paraId="4F678DEC" w14:textId="77777777" w:rsidR="0082206C" w:rsidRPr="0082206C" w:rsidRDefault="0082206C" w:rsidP="0082206C">
            <w:pPr>
              <w:spacing w:before="240" w:line="360" w:lineRule="auto"/>
              <w:jc w:val="both"/>
              <w:rPr>
                <w:rFonts w:ascii="Arial" w:hAnsi="Arial" w:cs="Arial"/>
                <w:bCs/>
                <w:sz w:val="24"/>
                <w:szCs w:val="24"/>
                <w:lang w:val="en-US"/>
              </w:rPr>
            </w:pPr>
            <w:r w:rsidRPr="0082206C">
              <w:rPr>
                <w:rFonts w:ascii="Arial" w:hAnsi="Arial" w:cs="Arial"/>
                <w:bCs/>
                <w:sz w:val="24"/>
                <w:szCs w:val="24"/>
                <w:lang w:val="en-US"/>
              </w:rPr>
              <w:t>£25m</w:t>
            </w:r>
          </w:p>
        </w:tc>
        <w:tc>
          <w:tcPr>
            <w:tcW w:w="0" w:type="auto"/>
            <w:hideMark/>
          </w:tcPr>
          <w:p w14:paraId="52BC6B7A" w14:textId="77777777" w:rsidR="0082206C" w:rsidRPr="0082206C" w:rsidRDefault="0082206C" w:rsidP="00C94DBB">
            <w:pPr>
              <w:keepNext/>
              <w:spacing w:before="240" w:line="360" w:lineRule="auto"/>
              <w:jc w:val="both"/>
              <w:rPr>
                <w:rFonts w:ascii="Arial" w:hAnsi="Arial" w:cs="Arial"/>
                <w:bCs/>
                <w:sz w:val="24"/>
                <w:szCs w:val="24"/>
                <w:lang w:val="en-US"/>
              </w:rPr>
            </w:pPr>
            <w:r w:rsidRPr="0082206C">
              <w:rPr>
                <w:rFonts w:ascii="Arial" w:hAnsi="Arial" w:cs="Arial"/>
                <w:b/>
                <w:bCs/>
                <w:sz w:val="24"/>
                <w:szCs w:val="24"/>
                <w:lang w:val="en-US"/>
              </w:rPr>
              <w:t>20.0%</w:t>
            </w:r>
          </w:p>
        </w:tc>
      </w:tr>
    </w:tbl>
    <w:p w14:paraId="4ABD910E" w14:textId="077CBEBF" w:rsidR="00C94DBB" w:rsidRDefault="00C94DBB">
      <w:pPr>
        <w:pStyle w:val="Caption"/>
      </w:pPr>
      <w:bookmarkStart w:id="46" w:name="_Toc217221019"/>
      <w:r>
        <w:t xml:space="preserve">Table </w:t>
      </w:r>
      <w:r>
        <w:fldChar w:fldCharType="begin"/>
      </w:r>
      <w:r>
        <w:instrText xml:space="preserve"> SEQ Table \* ARABIC </w:instrText>
      </w:r>
      <w:r>
        <w:fldChar w:fldCharType="separate"/>
      </w:r>
      <w:r w:rsidR="0078538A">
        <w:rPr>
          <w:noProof/>
        </w:rPr>
        <w:t>8</w:t>
      </w:r>
      <w:r>
        <w:fldChar w:fldCharType="end"/>
      </w:r>
      <w:r>
        <w:t xml:space="preserve">: </w:t>
      </w:r>
      <w:r w:rsidRPr="00B73CE1">
        <w:t>Accounting Rate of Return (ARR) Calculation</w:t>
      </w:r>
      <w:bookmarkEnd w:id="46"/>
    </w:p>
    <w:p w14:paraId="71A60AD9" w14:textId="2FA46576" w:rsidR="008E727B" w:rsidRPr="008E727B" w:rsidRDefault="008E727B" w:rsidP="008E727B">
      <w:pPr>
        <w:spacing w:before="240" w:line="360" w:lineRule="auto"/>
        <w:jc w:val="both"/>
        <w:rPr>
          <w:rFonts w:ascii="Arial" w:hAnsi="Arial" w:cs="Arial"/>
          <w:bCs/>
          <w:sz w:val="24"/>
          <w:szCs w:val="24"/>
          <w:lang w:val="en-US"/>
        </w:rPr>
      </w:pPr>
      <w:r w:rsidRPr="008E727B">
        <w:rPr>
          <w:rFonts w:ascii="Arial" w:hAnsi="Arial" w:cs="Arial"/>
          <w:bCs/>
          <w:sz w:val="24"/>
          <w:szCs w:val="24"/>
          <w:lang w:val="en-US"/>
        </w:rPr>
        <w:t>Project C is the best choice with an average investment basis of 20 per cent, whereas Project B cannot bring any accounting profit (0 per cent). ARR is applicable to the interpretation of how this will affect the Bottom Line of the Income Statement that is critical to GE turning around its negative ROE (Strategic Management Journal, 2022).</w:t>
      </w:r>
    </w:p>
    <w:p w14:paraId="09FB131B" w14:textId="2EABA51A" w:rsidR="008E727B" w:rsidRPr="008E727B" w:rsidRDefault="00C94DBB" w:rsidP="00C94DBB">
      <w:pPr>
        <w:pStyle w:val="Heading3"/>
        <w:rPr>
          <w:lang w:val="en-US"/>
        </w:rPr>
      </w:pPr>
      <w:bookmarkStart w:id="47" w:name="_Toc217246338"/>
      <w:r>
        <w:rPr>
          <w:lang w:val="en-US"/>
        </w:rPr>
        <w:t>4.</w:t>
      </w:r>
      <w:r w:rsidR="008E727B" w:rsidRPr="008E727B">
        <w:rPr>
          <w:lang w:val="en-US"/>
        </w:rPr>
        <w:t>2.2 Discounted Techniques: NPV, PI, and IRR</w:t>
      </w:r>
      <w:bookmarkEnd w:id="47"/>
    </w:p>
    <w:p w14:paraId="0018B86C" w14:textId="2296E5F3" w:rsidR="008E727B" w:rsidRPr="00AF6BF3" w:rsidRDefault="008E727B" w:rsidP="008E727B">
      <w:pPr>
        <w:spacing w:before="240" w:line="360" w:lineRule="auto"/>
        <w:jc w:val="both"/>
        <w:rPr>
          <w:rFonts w:ascii="Arial" w:hAnsi="Arial" w:cs="Arial"/>
          <w:bCs/>
          <w:sz w:val="24"/>
          <w:szCs w:val="24"/>
          <w:lang w:val="en-US"/>
        </w:rPr>
      </w:pPr>
      <w:r w:rsidRPr="008E727B">
        <w:rPr>
          <w:rFonts w:ascii="Arial" w:hAnsi="Arial" w:cs="Arial"/>
          <w:b/>
          <w:sz w:val="24"/>
          <w:szCs w:val="24"/>
          <w:lang w:val="en-US"/>
        </w:rPr>
        <w:t>Net Present Value (NPV):</w:t>
      </w:r>
      <w:r w:rsidR="009C514E" w:rsidRPr="009C514E">
        <w:t xml:space="preserve"> </w:t>
      </w:r>
      <w:r w:rsidR="009C514E" w:rsidRPr="00AF6BF3">
        <w:rPr>
          <w:rFonts w:ascii="Arial" w:hAnsi="Arial" w:cs="Arial"/>
          <w:bCs/>
          <w:sz w:val="24"/>
          <w:szCs w:val="24"/>
          <w:lang w:val="en-US"/>
        </w:rPr>
        <w:t>This is the standard of the gold in appraisal. Project C makes shareholders wealth of 4.23m compared to 1.32m by Project A. Project B is considered value-destructive, as it will result in a loss of -7.26 million in present value terms.</w:t>
      </w:r>
    </w:p>
    <w:p w14:paraId="0230FF61" w14:textId="77777777" w:rsidR="00AF6BF3" w:rsidRDefault="00AF6BF3" w:rsidP="00AF6BF3">
      <w:pPr>
        <w:spacing w:before="240" w:line="360" w:lineRule="auto"/>
        <w:jc w:val="both"/>
        <w:rPr>
          <w:rFonts w:ascii="Arial" w:hAnsi="Arial" w:cs="Arial"/>
          <w:bCs/>
          <w:sz w:val="24"/>
          <w:szCs w:val="24"/>
          <w:lang w:val="en-US"/>
        </w:rPr>
      </w:pPr>
      <w:r w:rsidRPr="008E727B">
        <w:rPr>
          <w:rFonts w:ascii="Arial" w:hAnsi="Arial" w:cs="Arial"/>
          <w:b/>
          <w:sz w:val="24"/>
          <w:szCs w:val="24"/>
          <w:lang w:val="en-US"/>
        </w:rPr>
        <w:t>Profitability Index (PI):</w:t>
      </w:r>
      <w:r w:rsidRPr="008E727B">
        <w:rPr>
          <w:rFonts w:ascii="Arial" w:hAnsi="Arial" w:cs="Arial"/>
          <w:bCs/>
          <w:sz w:val="24"/>
          <w:szCs w:val="24"/>
          <w:lang w:val="en-US"/>
        </w:rPr>
        <w:t xml:space="preserve"> PI is an index of the bang for the buck. Project C (1.085) is efficient compared to Project A (1.033). PI is the most desirable measure of ranking independent projects in a capital rationing environment (Bloomberg, 2023).</w:t>
      </w:r>
    </w:p>
    <w:tbl>
      <w:tblPr>
        <w:tblStyle w:val="TableGrid"/>
        <w:tblW w:w="0" w:type="auto"/>
        <w:tblLook w:val="04A0" w:firstRow="1" w:lastRow="0" w:firstColumn="1" w:lastColumn="0" w:noHBand="0" w:noVBand="1"/>
      </w:tblPr>
      <w:tblGrid>
        <w:gridCol w:w="738"/>
        <w:gridCol w:w="1555"/>
        <w:gridCol w:w="1264"/>
        <w:gridCol w:w="977"/>
        <w:gridCol w:w="1264"/>
        <w:gridCol w:w="977"/>
        <w:gridCol w:w="1264"/>
        <w:gridCol w:w="977"/>
      </w:tblGrid>
      <w:tr w:rsidR="0069408E" w:rsidRPr="0069408E" w14:paraId="0C239B01" w14:textId="77777777" w:rsidTr="0069408E">
        <w:tc>
          <w:tcPr>
            <w:tcW w:w="0" w:type="auto"/>
            <w:hideMark/>
          </w:tcPr>
          <w:p w14:paraId="0B393AA8"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Year</w:t>
            </w:r>
          </w:p>
        </w:tc>
        <w:tc>
          <w:tcPr>
            <w:tcW w:w="0" w:type="auto"/>
            <w:hideMark/>
          </w:tcPr>
          <w:p w14:paraId="70F0202B" w14:textId="77777777" w:rsidR="0021396D" w:rsidRDefault="0069408E" w:rsidP="0069408E">
            <w:pPr>
              <w:spacing w:before="240" w:line="360" w:lineRule="auto"/>
              <w:jc w:val="both"/>
              <w:rPr>
                <w:rFonts w:ascii="Arial" w:hAnsi="Arial" w:cs="Arial"/>
                <w:b/>
                <w:bCs/>
                <w:sz w:val="24"/>
                <w:szCs w:val="24"/>
                <w:lang w:val="en-US"/>
              </w:rPr>
            </w:pPr>
            <w:r w:rsidRPr="0069408E">
              <w:rPr>
                <w:rFonts w:ascii="Arial" w:hAnsi="Arial" w:cs="Arial"/>
                <w:b/>
                <w:bCs/>
                <w:sz w:val="24"/>
                <w:szCs w:val="24"/>
                <w:lang w:val="en-US"/>
              </w:rPr>
              <w:t xml:space="preserve">Discount Factor </w:t>
            </w:r>
          </w:p>
          <w:p w14:paraId="2D8BF2CF" w14:textId="456D44B3" w:rsidR="0069408E" w:rsidRPr="0069408E" w:rsidRDefault="00F327A0" w:rsidP="0069408E">
            <w:pPr>
              <w:spacing w:before="240" w:line="360" w:lineRule="auto"/>
              <w:jc w:val="both"/>
              <w:rPr>
                <w:rFonts w:ascii="Arial" w:hAnsi="Arial" w:cs="Arial"/>
                <w:b/>
                <w:bCs/>
                <w:sz w:val="24"/>
                <w:szCs w:val="24"/>
                <w:lang w:val="en-US"/>
              </w:rPr>
            </w:pPr>
            <m:oMathPara>
              <m:oMath>
                <m:r>
                  <m:rPr>
                    <m:sty m:val="bi"/>
                  </m:rPr>
                  <w:rPr>
                    <w:rFonts w:ascii="Cambria Math" w:hAnsi="Cambria Math" w:cs="Arial"/>
                    <w:sz w:val="24"/>
                    <w:szCs w:val="24"/>
                    <w:lang w:val="en-US"/>
                  </w:rPr>
                  <m:t>(</m:t>
                </m:r>
                <m:sSup>
                  <m:sSupPr>
                    <m:ctrlPr>
                      <w:rPr>
                        <w:rFonts w:ascii="Cambria Math" w:hAnsi="Cambria Math" w:cs="Arial"/>
                        <w:b/>
                        <w:bCs/>
                        <w:i/>
                        <w:sz w:val="24"/>
                        <w:szCs w:val="24"/>
                        <w:lang w:val="en-US"/>
                      </w:rPr>
                    </m:ctrlPr>
                  </m:sSupPr>
                  <m:e>
                    <m:r>
                      <m:rPr>
                        <m:sty m:val="bi"/>
                      </m:rPr>
                      <w:rPr>
                        <w:rFonts w:ascii="Cambria Math" w:hAnsi="Cambria Math" w:cs="Arial"/>
                        <w:sz w:val="24"/>
                        <w:szCs w:val="24"/>
                        <w:lang w:val="en-US"/>
                      </w:rPr>
                      <m:t>1/(1+i)</m:t>
                    </m:r>
                  </m:e>
                  <m:sup>
                    <m:r>
                      <m:rPr>
                        <m:sty m:val="bi"/>
                      </m:rPr>
                      <w:rPr>
                        <w:rFonts w:ascii="Cambria Math" w:hAnsi="Cambria Math" w:cs="Arial"/>
                        <w:sz w:val="24"/>
                        <w:szCs w:val="24"/>
                        <w:lang w:val="en-US"/>
                      </w:rPr>
                      <m:t>n</m:t>
                    </m:r>
                  </m:sup>
                </m:sSup>
                <m:r>
                  <m:rPr>
                    <m:sty m:val="bi"/>
                  </m:rPr>
                  <w:rPr>
                    <w:rFonts w:ascii="Cambria Math" w:hAnsi="Cambria Math" w:cs="Arial"/>
                    <w:sz w:val="24"/>
                    <w:szCs w:val="24"/>
                    <w:lang w:val="en-US"/>
                  </w:rPr>
                  <m:t>)</m:t>
                </m:r>
              </m:oMath>
            </m:oMathPara>
          </w:p>
        </w:tc>
        <w:tc>
          <w:tcPr>
            <w:tcW w:w="0" w:type="auto"/>
            <w:hideMark/>
          </w:tcPr>
          <w:p w14:paraId="6CEEB661"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Project A (£)</w:t>
            </w:r>
          </w:p>
        </w:tc>
        <w:tc>
          <w:tcPr>
            <w:tcW w:w="0" w:type="auto"/>
            <w:hideMark/>
          </w:tcPr>
          <w:p w14:paraId="1CD79682"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PV (A)</w:t>
            </w:r>
          </w:p>
        </w:tc>
        <w:tc>
          <w:tcPr>
            <w:tcW w:w="0" w:type="auto"/>
            <w:hideMark/>
          </w:tcPr>
          <w:p w14:paraId="15B5C907"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Project B (£)</w:t>
            </w:r>
          </w:p>
        </w:tc>
        <w:tc>
          <w:tcPr>
            <w:tcW w:w="0" w:type="auto"/>
            <w:hideMark/>
          </w:tcPr>
          <w:p w14:paraId="79EDD62D"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PV (B)</w:t>
            </w:r>
          </w:p>
        </w:tc>
        <w:tc>
          <w:tcPr>
            <w:tcW w:w="0" w:type="auto"/>
            <w:hideMark/>
          </w:tcPr>
          <w:p w14:paraId="343E64E0"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Project C (£)</w:t>
            </w:r>
          </w:p>
        </w:tc>
        <w:tc>
          <w:tcPr>
            <w:tcW w:w="0" w:type="auto"/>
            <w:hideMark/>
          </w:tcPr>
          <w:p w14:paraId="58B0A7D6"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PV (C)</w:t>
            </w:r>
          </w:p>
        </w:tc>
      </w:tr>
      <w:tr w:rsidR="0069408E" w:rsidRPr="0069408E" w14:paraId="1902C3AF" w14:textId="77777777" w:rsidTr="0069408E">
        <w:tc>
          <w:tcPr>
            <w:tcW w:w="0" w:type="auto"/>
            <w:hideMark/>
          </w:tcPr>
          <w:p w14:paraId="4CFE3C2C"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lastRenderedPageBreak/>
              <w:t>0</w:t>
            </w:r>
          </w:p>
        </w:tc>
        <w:tc>
          <w:tcPr>
            <w:tcW w:w="0" w:type="auto"/>
            <w:hideMark/>
          </w:tcPr>
          <w:p w14:paraId="50573069"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1.000</w:t>
            </w:r>
          </w:p>
        </w:tc>
        <w:tc>
          <w:tcPr>
            <w:tcW w:w="0" w:type="auto"/>
            <w:hideMark/>
          </w:tcPr>
          <w:p w14:paraId="3BE91079"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(40.00)</w:t>
            </w:r>
          </w:p>
        </w:tc>
        <w:tc>
          <w:tcPr>
            <w:tcW w:w="0" w:type="auto"/>
            <w:hideMark/>
          </w:tcPr>
          <w:p w14:paraId="7729D41C"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(40.00)</w:t>
            </w:r>
          </w:p>
        </w:tc>
        <w:tc>
          <w:tcPr>
            <w:tcW w:w="0" w:type="auto"/>
            <w:hideMark/>
          </w:tcPr>
          <w:p w14:paraId="1ABB346E"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(30.00)</w:t>
            </w:r>
          </w:p>
        </w:tc>
        <w:tc>
          <w:tcPr>
            <w:tcW w:w="0" w:type="auto"/>
            <w:hideMark/>
          </w:tcPr>
          <w:p w14:paraId="1AD715FD"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(30.00)</w:t>
            </w:r>
          </w:p>
        </w:tc>
        <w:tc>
          <w:tcPr>
            <w:tcW w:w="0" w:type="auto"/>
            <w:hideMark/>
          </w:tcPr>
          <w:p w14:paraId="48733CF6"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(50.00)</w:t>
            </w:r>
          </w:p>
        </w:tc>
        <w:tc>
          <w:tcPr>
            <w:tcW w:w="0" w:type="auto"/>
            <w:hideMark/>
          </w:tcPr>
          <w:p w14:paraId="07F69019"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(50.00)</w:t>
            </w:r>
          </w:p>
        </w:tc>
      </w:tr>
      <w:tr w:rsidR="0069408E" w:rsidRPr="0069408E" w14:paraId="08A87A8B" w14:textId="77777777" w:rsidTr="0069408E">
        <w:tc>
          <w:tcPr>
            <w:tcW w:w="0" w:type="auto"/>
            <w:hideMark/>
          </w:tcPr>
          <w:p w14:paraId="1A19D7AF"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1</w:t>
            </w:r>
          </w:p>
        </w:tc>
        <w:tc>
          <w:tcPr>
            <w:tcW w:w="0" w:type="auto"/>
            <w:hideMark/>
          </w:tcPr>
          <w:p w14:paraId="6C741682"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0.909</w:t>
            </w:r>
          </w:p>
        </w:tc>
        <w:tc>
          <w:tcPr>
            <w:tcW w:w="0" w:type="auto"/>
            <w:hideMark/>
          </w:tcPr>
          <w:p w14:paraId="3C90736F"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10.00</w:t>
            </w:r>
          </w:p>
        </w:tc>
        <w:tc>
          <w:tcPr>
            <w:tcW w:w="0" w:type="auto"/>
            <w:hideMark/>
          </w:tcPr>
          <w:p w14:paraId="0CA94D0F"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9.09</w:t>
            </w:r>
          </w:p>
        </w:tc>
        <w:tc>
          <w:tcPr>
            <w:tcW w:w="0" w:type="auto"/>
            <w:hideMark/>
          </w:tcPr>
          <w:p w14:paraId="55FDE2DC"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6.00</w:t>
            </w:r>
          </w:p>
        </w:tc>
        <w:tc>
          <w:tcPr>
            <w:tcW w:w="0" w:type="auto"/>
            <w:hideMark/>
          </w:tcPr>
          <w:p w14:paraId="07F4E46C"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5.45</w:t>
            </w:r>
          </w:p>
        </w:tc>
        <w:tc>
          <w:tcPr>
            <w:tcW w:w="0" w:type="auto"/>
            <w:hideMark/>
          </w:tcPr>
          <w:p w14:paraId="58EBB62F"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5.00</w:t>
            </w:r>
          </w:p>
        </w:tc>
        <w:tc>
          <w:tcPr>
            <w:tcW w:w="0" w:type="auto"/>
            <w:hideMark/>
          </w:tcPr>
          <w:p w14:paraId="65B916B1"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4.55</w:t>
            </w:r>
          </w:p>
        </w:tc>
      </w:tr>
      <w:tr w:rsidR="0069408E" w:rsidRPr="0069408E" w14:paraId="2479B4B7" w14:textId="77777777" w:rsidTr="0069408E">
        <w:tc>
          <w:tcPr>
            <w:tcW w:w="0" w:type="auto"/>
            <w:hideMark/>
          </w:tcPr>
          <w:p w14:paraId="4271CBBC"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2</w:t>
            </w:r>
          </w:p>
        </w:tc>
        <w:tc>
          <w:tcPr>
            <w:tcW w:w="0" w:type="auto"/>
            <w:hideMark/>
          </w:tcPr>
          <w:p w14:paraId="22A1CFB4"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0.826</w:t>
            </w:r>
          </w:p>
        </w:tc>
        <w:tc>
          <w:tcPr>
            <w:tcW w:w="0" w:type="auto"/>
            <w:hideMark/>
          </w:tcPr>
          <w:p w14:paraId="34A9EF27"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12.00</w:t>
            </w:r>
          </w:p>
        </w:tc>
        <w:tc>
          <w:tcPr>
            <w:tcW w:w="0" w:type="auto"/>
            <w:hideMark/>
          </w:tcPr>
          <w:p w14:paraId="76487EEF"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9.91</w:t>
            </w:r>
          </w:p>
        </w:tc>
        <w:tc>
          <w:tcPr>
            <w:tcW w:w="0" w:type="auto"/>
            <w:hideMark/>
          </w:tcPr>
          <w:p w14:paraId="563A99DF"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6.00</w:t>
            </w:r>
          </w:p>
        </w:tc>
        <w:tc>
          <w:tcPr>
            <w:tcW w:w="0" w:type="auto"/>
            <w:hideMark/>
          </w:tcPr>
          <w:p w14:paraId="212DF461"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4.96</w:t>
            </w:r>
          </w:p>
        </w:tc>
        <w:tc>
          <w:tcPr>
            <w:tcW w:w="0" w:type="auto"/>
            <w:hideMark/>
          </w:tcPr>
          <w:p w14:paraId="7B04E415"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10.00</w:t>
            </w:r>
          </w:p>
        </w:tc>
        <w:tc>
          <w:tcPr>
            <w:tcW w:w="0" w:type="auto"/>
            <w:hideMark/>
          </w:tcPr>
          <w:p w14:paraId="05AEF856"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8.26</w:t>
            </w:r>
          </w:p>
        </w:tc>
      </w:tr>
      <w:tr w:rsidR="0069408E" w:rsidRPr="0069408E" w14:paraId="70F56A93" w14:textId="77777777" w:rsidTr="0069408E">
        <w:tc>
          <w:tcPr>
            <w:tcW w:w="0" w:type="auto"/>
            <w:hideMark/>
          </w:tcPr>
          <w:p w14:paraId="6C16902B"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3</w:t>
            </w:r>
          </w:p>
        </w:tc>
        <w:tc>
          <w:tcPr>
            <w:tcW w:w="0" w:type="auto"/>
            <w:hideMark/>
          </w:tcPr>
          <w:p w14:paraId="38A5AA99"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0.751</w:t>
            </w:r>
          </w:p>
        </w:tc>
        <w:tc>
          <w:tcPr>
            <w:tcW w:w="0" w:type="auto"/>
            <w:hideMark/>
          </w:tcPr>
          <w:p w14:paraId="468E757D"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14.00</w:t>
            </w:r>
          </w:p>
        </w:tc>
        <w:tc>
          <w:tcPr>
            <w:tcW w:w="0" w:type="auto"/>
            <w:hideMark/>
          </w:tcPr>
          <w:p w14:paraId="623E284E"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10.51</w:t>
            </w:r>
          </w:p>
        </w:tc>
        <w:tc>
          <w:tcPr>
            <w:tcW w:w="0" w:type="auto"/>
            <w:hideMark/>
          </w:tcPr>
          <w:p w14:paraId="059D27C2"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6.00</w:t>
            </w:r>
          </w:p>
        </w:tc>
        <w:tc>
          <w:tcPr>
            <w:tcW w:w="0" w:type="auto"/>
            <w:hideMark/>
          </w:tcPr>
          <w:p w14:paraId="790AF4C5"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4.51</w:t>
            </w:r>
          </w:p>
        </w:tc>
        <w:tc>
          <w:tcPr>
            <w:tcW w:w="0" w:type="auto"/>
            <w:hideMark/>
          </w:tcPr>
          <w:p w14:paraId="345D2BB8"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20.00</w:t>
            </w:r>
          </w:p>
        </w:tc>
        <w:tc>
          <w:tcPr>
            <w:tcW w:w="0" w:type="auto"/>
            <w:hideMark/>
          </w:tcPr>
          <w:p w14:paraId="7562F8F3"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15.02</w:t>
            </w:r>
          </w:p>
        </w:tc>
      </w:tr>
      <w:tr w:rsidR="0069408E" w:rsidRPr="0069408E" w14:paraId="00735DE5" w14:textId="77777777" w:rsidTr="0069408E">
        <w:tc>
          <w:tcPr>
            <w:tcW w:w="0" w:type="auto"/>
            <w:hideMark/>
          </w:tcPr>
          <w:p w14:paraId="1206839D"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4</w:t>
            </w:r>
          </w:p>
        </w:tc>
        <w:tc>
          <w:tcPr>
            <w:tcW w:w="0" w:type="auto"/>
            <w:hideMark/>
          </w:tcPr>
          <w:p w14:paraId="1EF3DB67"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0.683</w:t>
            </w:r>
          </w:p>
        </w:tc>
        <w:tc>
          <w:tcPr>
            <w:tcW w:w="0" w:type="auto"/>
            <w:hideMark/>
          </w:tcPr>
          <w:p w14:paraId="0C34CF32"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10.00</w:t>
            </w:r>
          </w:p>
        </w:tc>
        <w:tc>
          <w:tcPr>
            <w:tcW w:w="0" w:type="auto"/>
            <w:hideMark/>
          </w:tcPr>
          <w:p w14:paraId="60FD5D4C"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6.83</w:t>
            </w:r>
          </w:p>
        </w:tc>
        <w:tc>
          <w:tcPr>
            <w:tcW w:w="0" w:type="auto"/>
            <w:hideMark/>
          </w:tcPr>
          <w:p w14:paraId="72F105EC"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6.00</w:t>
            </w:r>
          </w:p>
        </w:tc>
        <w:tc>
          <w:tcPr>
            <w:tcW w:w="0" w:type="auto"/>
            <w:hideMark/>
          </w:tcPr>
          <w:p w14:paraId="237D1C5B"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4.10</w:t>
            </w:r>
          </w:p>
        </w:tc>
        <w:tc>
          <w:tcPr>
            <w:tcW w:w="0" w:type="auto"/>
            <w:hideMark/>
          </w:tcPr>
          <w:p w14:paraId="11B59F03"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25.00</w:t>
            </w:r>
          </w:p>
        </w:tc>
        <w:tc>
          <w:tcPr>
            <w:tcW w:w="0" w:type="auto"/>
            <w:hideMark/>
          </w:tcPr>
          <w:p w14:paraId="7FA1E24B"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17.08</w:t>
            </w:r>
          </w:p>
        </w:tc>
      </w:tr>
      <w:tr w:rsidR="0069408E" w:rsidRPr="0069408E" w14:paraId="0FC89584" w14:textId="77777777" w:rsidTr="0069408E">
        <w:tc>
          <w:tcPr>
            <w:tcW w:w="0" w:type="auto"/>
            <w:hideMark/>
          </w:tcPr>
          <w:p w14:paraId="64E5DD66"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5</w:t>
            </w:r>
          </w:p>
        </w:tc>
        <w:tc>
          <w:tcPr>
            <w:tcW w:w="0" w:type="auto"/>
            <w:hideMark/>
          </w:tcPr>
          <w:p w14:paraId="616B8FA2"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0.621</w:t>
            </w:r>
          </w:p>
        </w:tc>
        <w:tc>
          <w:tcPr>
            <w:tcW w:w="0" w:type="auto"/>
            <w:hideMark/>
          </w:tcPr>
          <w:p w14:paraId="76722FA3"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8.00</w:t>
            </w:r>
          </w:p>
        </w:tc>
        <w:tc>
          <w:tcPr>
            <w:tcW w:w="0" w:type="auto"/>
            <w:hideMark/>
          </w:tcPr>
          <w:p w14:paraId="159A6EBD"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4.97</w:t>
            </w:r>
          </w:p>
        </w:tc>
        <w:tc>
          <w:tcPr>
            <w:tcW w:w="0" w:type="auto"/>
            <w:hideMark/>
          </w:tcPr>
          <w:p w14:paraId="6096F923"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6.00</w:t>
            </w:r>
          </w:p>
        </w:tc>
        <w:tc>
          <w:tcPr>
            <w:tcW w:w="0" w:type="auto"/>
            <w:hideMark/>
          </w:tcPr>
          <w:p w14:paraId="1AE0A190"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3.73</w:t>
            </w:r>
          </w:p>
        </w:tc>
        <w:tc>
          <w:tcPr>
            <w:tcW w:w="0" w:type="auto"/>
            <w:hideMark/>
          </w:tcPr>
          <w:p w14:paraId="36A2CFBB"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15.00</w:t>
            </w:r>
          </w:p>
        </w:tc>
        <w:tc>
          <w:tcPr>
            <w:tcW w:w="0" w:type="auto"/>
            <w:hideMark/>
          </w:tcPr>
          <w:p w14:paraId="1F07F82D"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Cs/>
                <w:sz w:val="24"/>
                <w:szCs w:val="24"/>
                <w:lang w:val="en-US"/>
              </w:rPr>
              <w:t>9.32</w:t>
            </w:r>
          </w:p>
        </w:tc>
      </w:tr>
      <w:tr w:rsidR="0069408E" w:rsidRPr="0069408E" w14:paraId="142082F2" w14:textId="77777777" w:rsidTr="0069408E">
        <w:tc>
          <w:tcPr>
            <w:tcW w:w="0" w:type="auto"/>
            <w:hideMark/>
          </w:tcPr>
          <w:p w14:paraId="1D1CA127"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NPV</w:t>
            </w:r>
          </w:p>
        </w:tc>
        <w:tc>
          <w:tcPr>
            <w:tcW w:w="0" w:type="auto"/>
            <w:hideMark/>
          </w:tcPr>
          <w:p w14:paraId="6E5F117C" w14:textId="77777777" w:rsidR="0069408E" w:rsidRPr="0069408E" w:rsidRDefault="0069408E" w:rsidP="0069408E">
            <w:pPr>
              <w:spacing w:before="240" w:line="360" w:lineRule="auto"/>
              <w:jc w:val="both"/>
              <w:rPr>
                <w:rFonts w:ascii="Arial" w:hAnsi="Arial" w:cs="Arial"/>
                <w:bCs/>
                <w:sz w:val="24"/>
                <w:szCs w:val="24"/>
                <w:lang w:val="en-US"/>
              </w:rPr>
            </w:pPr>
          </w:p>
        </w:tc>
        <w:tc>
          <w:tcPr>
            <w:tcW w:w="0" w:type="auto"/>
            <w:hideMark/>
          </w:tcPr>
          <w:p w14:paraId="502EA45A" w14:textId="77777777" w:rsidR="0069408E" w:rsidRPr="0069408E" w:rsidRDefault="0069408E" w:rsidP="0069408E">
            <w:pPr>
              <w:spacing w:before="240" w:line="360" w:lineRule="auto"/>
              <w:jc w:val="both"/>
              <w:rPr>
                <w:rFonts w:ascii="Arial" w:hAnsi="Arial" w:cs="Arial"/>
                <w:bCs/>
                <w:sz w:val="24"/>
                <w:szCs w:val="24"/>
                <w:lang w:val="en-US"/>
              </w:rPr>
            </w:pPr>
          </w:p>
        </w:tc>
        <w:tc>
          <w:tcPr>
            <w:tcW w:w="0" w:type="auto"/>
            <w:hideMark/>
          </w:tcPr>
          <w:p w14:paraId="2863F686"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£1.32</w:t>
            </w:r>
          </w:p>
        </w:tc>
        <w:tc>
          <w:tcPr>
            <w:tcW w:w="0" w:type="auto"/>
            <w:hideMark/>
          </w:tcPr>
          <w:p w14:paraId="1DF546C0" w14:textId="77777777" w:rsidR="0069408E" w:rsidRPr="0069408E" w:rsidRDefault="0069408E" w:rsidP="0069408E">
            <w:pPr>
              <w:spacing w:before="240" w:line="360" w:lineRule="auto"/>
              <w:jc w:val="both"/>
              <w:rPr>
                <w:rFonts w:ascii="Arial" w:hAnsi="Arial" w:cs="Arial"/>
                <w:bCs/>
                <w:sz w:val="24"/>
                <w:szCs w:val="24"/>
                <w:lang w:val="en-US"/>
              </w:rPr>
            </w:pPr>
          </w:p>
        </w:tc>
        <w:tc>
          <w:tcPr>
            <w:tcW w:w="0" w:type="auto"/>
            <w:hideMark/>
          </w:tcPr>
          <w:p w14:paraId="65A805F2"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(£7.26)</w:t>
            </w:r>
          </w:p>
        </w:tc>
        <w:tc>
          <w:tcPr>
            <w:tcW w:w="0" w:type="auto"/>
            <w:hideMark/>
          </w:tcPr>
          <w:p w14:paraId="79F8F8B7" w14:textId="77777777" w:rsidR="0069408E" w:rsidRPr="0069408E" w:rsidRDefault="0069408E" w:rsidP="0069408E">
            <w:pPr>
              <w:spacing w:before="240" w:line="360" w:lineRule="auto"/>
              <w:jc w:val="both"/>
              <w:rPr>
                <w:rFonts w:ascii="Arial" w:hAnsi="Arial" w:cs="Arial"/>
                <w:bCs/>
                <w:sz w:val="24"/>
                <w:szCs w:val="24"/>
                <w:lang w:val="en-US"/>
              </w:rPr>
            </w:pPr>
          </w:p>
        </w:tc>
        <w:tc>
          <w:tcPr>
            <w:tcW w:w="0" w:type="auto"/>
            <w:hideMark/>
          </w:tcPr>
          <w:p w14:paraId="5F6A8295"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£4.23</w:t>
            </w:r>
          </w:p>
        </w:tc>
      </w:tr>
      <w:tr w:rsidR="0069408E" w:rsidRPr="0069408E" w14:paraId="47D12FFD" w14:textId="77777777" w:rsidTr="0069408E">
        <w:tc>
          <w:tcPr>
            <w:tcW w:w="0" w:type="auto"/>
            <w:hideMark/>
          </w:tcPr>
          <w:p w14:paraId="3E4C3835"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PI</w:t>
            </w:r>
          </w:p>
        </w:tc>
        <w:tc>
          <w:tcPr>
            <w:tcW w:w="0" w:type="auto"/>
            <w:hideMark/>
          </w:tcPr>
          <w:p w14:paraId="0D152F3C" w14:textId="77777777" w:rsidR="0069408E" w:rsidRPr="0069408E" w:rsidRDefault="0069408E" w:rsidP="0069408E">
            <w:pPr>
              <w:spacing w:before="240" w:line="360" w:lineRule="auto"/>
              <w:jc w:val="both"/>
              <w:rPr>
                <w:rFonts w:ascii="Arial" w:hAnsi="Arial" w:cs="Arial"/>
                <w:bCs/>
                <w:sz w:val="24"/>
                <w:szCs w:val="24"/>
                <w:lang w:val="en-US"/>
              </w:rPr>
            </w:pPr>
          </w:p>
        </w:tc>
        <w:tc>
          <w:tcPr>
            <w:tcW w:w="0" w:type="auto"/>
            <w:hideMark/>
          </w:tcPr>
          <w:p w14:paraId="00C1CC72" w14:textId="77777777" w:rsidR="0069408E" w:rsidRPr="0069408E" w:rsidRDefault="0069408E" w:rsidP="0069408E">
            <w:pPr>
              <w:spacing w:before="240" w:line="360" w:lineRule="auto"/>
              <w:jc w:val="both"/>
              <w:rPr>
                <w:rFonts w:ascii="Arial" w:hAnsi="Arial" w:cs="Arial"/>
                <w:bCs/>
                <w:sz w:val="24"/>
                <w:szCs w:val="24"/>
                <w:lang w:val="en-US"/>
              </w:rPr>
            </w:pPr>
          </w:p>
        </w:tc>
        <w:tc>
          <w:tcPr>
            <w:tcW w:w="0" w:type="auto"/>
            <w:hideMark/>
          </w:tcPr>
          <w:p w14:paraId="25CCD502"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1.033</w:t>
            </w:r>
          </w:p>
        </w:tc>
        <w:tc>
          <w:tcPr>
            <w:tcW w:w="0" w:type="auto"/>
            <w:hideMark/>
          </w:tcPr>
          <w:p w14:paraId="3E146BEB" w14:textId="77777777" w:rsidR="0069408E" w:rsidRPr="0069408E" w:rsidRDefault="0069408E" w:rsidP="0069408E">
            <w:pPr>
              <w:spacing w:before="240" w:line="360" w:lineRule="auto"/>
              <w:jc w:val="both"/>
              <w:rPr>
                <w:rFonts w:ascii="Arial" w:hAnsi="Arial" w:cs="Arial"/>
                <w:bCs/>
                <w:sz w:val="24"/>
                <w:szCs w:val="24"/>
                <w:lang w:val="en-US"/>
              </w:rPr>
            </w:pPr>
          </w:p>
        </w:tc>
        <w:tc>
          <w:tcPr>
            <w:tcW w:w="0" w:type="auto"/>
            <w:hideMark/>
          </w:tcPr>
          <w:p w14:paraId="307CF292" w14:textId="77777777" w:rsidR="0069408E" w:rsidRPr="0069408E" w:rsidRDefault="0069408E" w:rsidP="0069408E">
            <w:pPr>
              <w:spacing w:before="240" w:line="360" w:lineRule="auto"/>
              <w:jc w:val="both"/>
              <w:rPr>
                <w:rFonts w:ascii="Arial" w:hAnsi="Arial" w:cs="Arial"/>
                <w:bCs/>
                <w:sz w:val="24"/>
                <w:szCs w:val="24"/>
                <w:lang w:val="en-US"/>
              </w:rPr>
            </w:pPr>
            <w:r w:rsidRPr="0069408E">
              <w:rPr>
                <w:rFonts w:ascii="Arial" w:hAnsi="Arial" w:cs="Arial"/>
                <w:b/>
                <w:bCs/>
                <w:sz w:val="24"/>
                <w:szCs w:val="24"/>
                <w:lang w:val="en-US"/>
              </w:rPr>
              <w:t>0.758</w:t>
            </w:r>
          </w:p>
        </w:tc>
        <w:tc>
          <w:tcPr>
            <w:tcW w:w="0" w:type="auto"/>
            <w:hideMark/>
          </w:tcPr>
          <w:p w14:paraId="4472A541" w14:textId="77777777" w:rsidR="0069408E" w:rsidRPr="0069408E" w:rsidRDefault="0069408E" w:rsidP="0069408E">
            <w:pPr>
              <w:spacing w:before="240" w:line="360" w:lineRule="auto"/>
              <w:jc w:val="both"/>
              <w:rPr>
                <w:rFonts w:ascii="Arial" w:hAnsi="Arial" w:cs="Arial"/>
                <w:bCs/>
                <w:sz w:val="24"/>
                <w:szCs w:val="24"/>
                <w:lang w:val="en-US"/>
              </w:rPr>
            </w:pPr>
          </w:p>
        </w:tc>
        <w:tc>
          <w:tcPr>
            <w:tcW w:w="0" w:type="auto"/>
            <w:hideMark/>
          </w:tcPr>
          <w:p w14:paraId="7D3A7CC3" w14:textId="77777777" w:rsidR="0069408E" w:rsidRPr="0069408E" w:rsidRDefault="0069408E" w:rsidP="00AF6BF3">
            <w:pPr>
              <w:keepNext/>
              <w:spacing w:before="240" w:line="360" w:lineRule="auto"/>
              <w:jc w:val="both"/>
              <w:rPr>
                <w:rFonts w:ascii="Arial" w:hAnsi="Arial" w:cs="Arial"/>
                <w:bCs/>
                <w:sz w:val="24"/>
                <w:szCs w:val="24"/>
                <w:lang w:val="en-US"/>
              </w:rPr>
            </w:pPr>
            <w:r w:rsidRPr="0069408E">
              <w:rPr>
                <w:rFonts w:ascii="Arial" w:hAnsi="Arial" w:cs="Arial"/>
                <w:b/>
                <w:bCs/>
                <w:sz w:val="24"/>
                <w:szCs w:val="24"/>
                <w:lang w:val="en-US"/>
              </w:rPr>
              <w:t>1.085</w:t>
            </w:r>
          </w:p>
        </w:tc>
      </w:tr>
    </w:tbl>
    <w:p w14:paraId="1D52F4CA" w14:textId="027BF28A" w:rsidR="00AF6BF3" w:rsidRDefault="00AF6BF3">
      <w:pPr>
        <w:pStyle w:val="Caption"/>
      </w:pPr>
      <w:bookmarkStart w:id="48" w:name="_Toc217221020"/>
      <w:r>
        <w:t xml:space="preserve">Table </w:t>
      </w:r>
      <w:r>
        <w:fldChar w:fldCharType="begin"/>
      </w:r>
      <w:r>
        <w:instrText xml:space="preserve"> SEQ Table \* ARABIC </w:instrText>
      </w:r>
      <w:r>
        <w:fldChar w:fldCharType="separate"/>
      </w:r>
      <w:r w:rsidR="0078538A">
        <w:rPr>
          <w:noProof/>
        </w:rPr>
        <w:t>9</w:t>
      </w:r>
      <w:r>
        <w:fldChar w:fldCharType="end"/>
      </w:r>
      <w:r>
        <w:t xml:space="preserve">: </w:t>
      </w:r>
      <w:r w:rsidRPr="00133E43">
        <w:t>Net Present Value (NPV) &amp; Profitability Index (PI)</w:t>
      </w:r>
      <w:bookmarkEnd w:id="48"/>
    </w:p>
    <w:p w14:paraId="57FA1ABB" w14:textId="77777777" w:rsidR="008E727B" w:rsidRDefault="008E727B" w:rsidP="008E727B">
      <w:pPr>
        <w:spacing w:before="240" w:line="360" w:lineRule="auto"/>
        <w:jc w:val="both"/>
        <w:rPr>
          <w:rFonts w:ascii="Arial" w:hAnsi="Arial" w:cs="Arial"/>
          <w:bCs/>
          <w:sz w:val="24"/>
          <w:szCs w:val="24"/>
          <w:lang w:val="en-US"/>
        </w:rPr>
      </w:pPr>
      <w:r w:rsidRPr="008E727B">
        <w:rPr>
          <w:rFonts w:ascii="Arial" w:hAnsi="Arial" w:cs="Arial"/>
          <w:b/>
          <w:sz w:val="24"/>
          <w:szCs w:val="24"/>
          <w:lang w:val="en-US"/>
        </w:rPr>
        <w:t>Internal Rate of Return (IRR):</w:t>
      </w:r>
      <w:r w:rsidRPr="008E727B">
        <w:rPr>
          <w:rFonts w:ascii="Arial" w:hAnsi="Arial" w:cs="Arial"/>
          <w:bCs/>
          <w:sz w:val="24"/>
          <w:szCs w:val="24"/>
          <w:lang w:val="en-US"/>
        </w:rPr>
        <w:t xml:space="preserve"> The project C has an IRR of 12.72%, giving the broadest “safety margin” compared to the 10% cost of capital.</w:t>
      </w:r>
    </w:p>
    <w:tbl>
      <w:tblPr>
        <w:tblStyle w:val="TableGrid"/>
        <w:tblW w:w="0" w:type="auto"/>
        <w:tblLook w:val="04A0" w:firstRow="1" w:lastRow="0" w:firstColumn="1" w:lastColumn="0" w:noHBand="0" w:noVBand="1"/>
      </w:tblPr>
      <w:tblGrid>
        <w:gridCol w:w="2230"/>
        <w:gridCol w:w="1270"/>
        <w:gridCol w:w="1270"/>
        <w:gridCol w:w="1270"/>
      </w:tblGrid>
      <w:tr w:rsidR="00A63D2B" w:rsidRPr="00A63D2B" w14:paraId="60E9CA62" w14:textId="77777777" w:rsidTr="00A63D2B">
        <w:tc>
          <w:tcPr>
            <w:tcW w:w="0" w:type="auto"/>
            <w:hideMark/>
          </w:tcPr>
          <w:p w14:paraId="79AC32B7"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
                <w:bCs/>
                <w:sz w:val="24"/>
                <w:szCs w:val="24"/>
                <w:lang w:val="en-US"/>
              </w:rPr>
              <w:t>Step</w:t>
            </w:r>
          </w:p>
        </w:tc>
        <w:tc>
          <w:tcPr>
            <w:tcW w:w="0" w:type="auto"/>
            <w:hideMark/>
          </w:tcPr>
          <w:p w14:paraId="5E2286DF"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
                <w:bCs/>
                <w:sz w:val="24"/>
                <w:szCs w:val="24"/>
                <w:lang w:val="en-US"/>
              </w:rPr>
              <w:t>Project A</w:t>
            </w:r>
          </w:p>
        </w:tc>
        <w:tc>
          <w:tcPr>
            <w:tcW w:w="0" w:type="auto"/>
            <w:hideMark/>
          </w:tcPr>
          <w:p w14:paraId="6D9D0488"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
                <w:bCs/>
                <w:sz w:val="24"/>
                <w:szCs w:val="24"/>
                <w:lang w:val="en-US"/>
              </w:rPr>
              <w:t>Project B</w:t>
            </w:r>
          </w:p>
        </w:tc>
        <w:tc>
          <w:tcPr>
            <w:tcW w:w="0" w:type="auto"/>
            <w:hideMark/>
          </w:tcPr>
          <w:p w14:paraId="3BC3C859"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
                <w:bCs/>
                <w:sz w:val="24"/>
                <w:szCs w:val="24"/>
                <w:lang w:val="en-US"/>
              </w:rPr>
              <w:t>Project C</w:t>
            </w:r>
          </w:p>
        </w:tc>
      </w:tr>
      <w:tr w:rsidR="00A63D2B" w:rsidRPr="00A63D2B" w14:paraId="61014EF4" w14:textId="77777777" w:rsidTr="00A63D2B">
        <w:tc>
          <w:tcPr>
            <w:tcW w:w="0" w:type="auto"/>
            <w:hideMark/>
          </w:tcPr>
          <w:p w14:paraId="0405F975"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
                <w:bCs/>
                <w:sz w:val="24"/>
                <w:szCs w:val="24"/>
                <w:lang w:val="en-US"/>
              </w:rPr>
              <w:t>Lower Rate ($L$)</w:t>
            </w:r>
          </w:p>
        </w:tc>
        <w:tc>
          <w:tcPr>
            <w:tcW w:w="0" w:type="auto"/>
            <w:hideMark/>
          </w:tcPr>
          <w:p w14:paraId="743FA789"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Cs/>
                <w:sz w:val="24"/>
                <w:szCs w:val="24"/>
                <w:lang w:val="en-US"/>
              </w:rPr>
              <w:t>10%</w:t>
            </w:r>
          </w:p>
        </w:tc>
        <w:tc>
          <w:tcPr>
            <w:tcW w:w="0" w:type="auto"/>
            <w:hideMark/>
          </w:tcPr>
          <w:p w14:paraId="490B2F26"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Cs/>
                <w:sz w:val="24"/>
                <w:szCs w:val="24"/>
                <w:lang w:val="en-US"/>
              </w:rPr>
              <w:t>10%</w:t>
            </w:r>
          </w:p>
        </w:tc>
        <w:tc>
          <w:tcPr>
            <w:tcW w:w="0" w:type="auto"/>
            <w:hideMark/>
          </w:tcPr>
          <w:p w14:paraId="4D1CB2B9"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Cs/>
                <w:sz w:val="24"/>
                <w:szCs w:val="24"/>
                <w:lang w:val="en-US"/>
              </w:rPr>
              <w:t>10%</w:t>
            </w:r>
          </w:p>
        </w:tc>
      </w:tr>
      <w:tr w:rsidR="00A63D2B" w:rsidRPr="00A63D2B" w14:paraId="35F6BFC1" w14:textId="77777777" w:rsidTr="00A63D2B">
        <w:tc>
          <w:tcPr>
            <w:tcW w:w="0" w:type="auto"/>
            <w:hideMark/>
          </w:tcPr>
          <w:p w14:paraId="0A3EC820"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
                <w:bCs/>
                <w:sz w:val="24"/>
                <w:szCs w:val="24"/>
                <w:lang w:val="en-US"/>
              </w:rPr>
              <w:t>NPV at $L$</w:t>
            </w:r>
          </w:p>
        </w:tc>
        <w:tc>
          <w:tcPr>
            <w:tcW w:w="0" w:type="auto"/>
            <w:hideMark/>
          </w:tcPr>
          <w:p w14:paraId="2590332B"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Cs/>
                <w:sz w:val="24"/>
                <w:szCs w:val="24"/>
                <w:lang w:val="en-US"/>
              </w:rPr>
              <w:t>£1.32</w:t>
            </w:r>
          </w:p>
        </w:tc>
        <w:tc>
          <w:tcPr>
            <w:tcW w:w="0" w:type="auto"/>
            <w:hideMark/>
          </w:tcPr>
          <w:p w14:paraId="2807AD4C"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Cs/>
                <w:sz w:val="24"/>
                <w:szCs w:val="24"/>
                <w:lang w:val="en-US"/>
              </w:rPr>
              <w:t>(£7.26)</w:t>
            </w:r>
          </w:p>
        </w:tc>
        <w:tc>
          <w:tcPr>
            <w:tcW w:w="0" w:type="auto"/>
            <w:hideMark/>
          </w:tcPr>
          <w:p w14:paraId="49900AAF"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Cs/>
                <w:sz w:val="24"/>
                <w:szCs w:val="24"/>
                <w:lang w:val="en-US"/>
              </w:rPr>
              <w:t>£4.23</w:t>
            </w:r>
          </w:p>
        </w:tc>
      </w:tr>
      <w:tr w:rsidR="00A63D2B" w:rsidRPr="00A63D2B" w14:paraId="3F27D13A" w14:textId="77777777" w:rsidTr="00A63D2B">
        <w:tc>
          <w:tcPr>
            <w:tcW w:w="0" w:type="auto"/>
            <w:hideMark/>
          </w:tcPr>
          <w:p w14:paraId="56272355"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
                <w:bCs/>
                <w:sz w:val="24"/>
                <w:szCs w:val="24"/>
                <w:lang w:val="en-US"/>
              </w:rPr>
              <w:t>Higher Rate ($H$)</w:t>
            </w:r>
          </w:p>
        </w:tc>
        <w:tc>
          <w:tcPr>
            <w:tcW w:w="0" w:type="auto"/>
            <w:hideMark/>
          </w:tcPr>
          <w:p w14:paraId="36835403"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Cs/>
                <w:sz w:val="24"/>
                <w:szCs w:val="24"/>
                <w:lang w:val="en-US"/>
              </w:rPr>
              <w:t>15%</w:t>
            </w:r>
          </w:p>
        </w:tc>
        <w:tc>
          <w:tcPr>
            <w:tcW w:w="0" w:type="auto"/>
            <w:hideMark/>
          </w:tcPr>
          <w:p w14:paraId="673AD2A6"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Cs/>
                <w:sz w:val="24"/>
                <w:szCs w:val="24"/>
                <w:lang w:val="en-US"/>
              </w:rPr>
              <w:t>5%</w:t>
            </w:r>
          </w:p>
        </w:tc>
        <w:tc>
          <w:tcPr>
            <w:tcW w:w="0" w:type="auto"/>
            <w:hideMark/>
          </w:tcPr>
          <w:p w14:paraId="56B02928"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Cs/>
                <w:sz w:val="24"/>
                <w:szCs w:val="24"/>
                <w:lang w:val="en-US"/>
              </w:rPr>
              <w:t>15%</w:t>
            </w:r>
          </w:p>
        </w:tc>
      </w:tr>
      <w:tr w:rsidR="00A63D2B" w:rsidRPr="00A63D2B" w14:paraId="28321FF2" w14:textId="77777777" w:rsidTr="00A63D2B">
        <w:tc>
          <w:tcPr>
            <w:tcW w:w="0" w:type="auto"/>
            <w:hideMark/>
          </w:tcPr>
          <w:p w14:paraId="759274E9"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
                <w:bCs/>
                <w:sz w:val="24"/>
                <w:szCs w:val="24"/>
                <w:lang w:val="en-US"/>
              </w:rPr>
              <w:t>NPV at $H$</w:t>
            </w:r>
          </w:p>
        </w:tc>
        <w:tc>
          <w:tcPr>
            <w:tcW w:w="0" w:type="auto"/>
            <w:hideMark/>
          </w:tcPr>
          <w:p w14:paraId="0E9BFC7E"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Cs/>
                <w:sz w:val="24"/>
                <w:szCs w:val="24"/>
                <w:lang w:val="en-US"/>
              </w:rPr>
              <w:t>(£3.86)</w:t>
            </w:r>
          </w:p>
        </w:tc>
        <w:tc>
          <w:tcPr>
            <w:tcW w:w="0" w:type="auto"/>
            <w:hideMark/>
          </w:tcPr>
          <w:p w14:paraId="11322C57"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Cs/>
                <w:sz w:val="24"/>
                <w:szCs w:val="24"/>
                <w:lang w:val="en-US"/>
              </w:rPr>
              <w:t>£0.00</w:t>
            </w:r>
          </w:p>
        </w:tc>
        <w:tc>
          <w:tcPr>
            <w:tcW w:w="0" w:type="auto"/>
            <w:hideMark/>
          </w:tcPr>
          <w:p w14:paraId="4CDBD2C8"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Cs/>
                <w:sz w:val="24"/>
                <w:szCs w:val="24"/>
                <w:lang w:val="en-US"/>
              </w:rPr>
              <w:t>(£1.82)</w:t>
            </w:r>
          </w:p>
        </w:tc>
      </w:tr>
      <w:tr w:rsidR="00A63D2B" w:rsidRPr="00A63D2B" w14:paraId="00656005" w14:textId="77777777" w:rsidTr="00A63D2B">
        <w:tc>
          <w:tcPr>
            <w:tcW w:w="0" w:type="auto"/>
            <w:hideMark/>
          </w:tcPr>
          <w:p w14:paraId="26003FDD"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
                <w:bCs/>
                <w:sz w:val="24"/>
                <w:szCs w:val="24"/>
                <w:lang w:val="en-US"/>
              </w:rPr>
              <w:t>IRR Result</w:t>
            </w:r>
          </w:p>
        </w:tc>
        <w:tc>
          <w:tcPr>
            <w:tcW w:w="0" w:type="auto"/>
            <w:hideMark/>
          </w:tcPr>
          <w:p w14:paraId="729EB68E"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
                <w:bCs/>
                <w:sz w:val="24"/>
                <w:szCs w:val="24"/>
                <w:lang w:val="en-US"/>
              </w:rPr>
              <w:t>11.33%</w:t>
            </w:r>
          </w:p>
        </w:tc>
        <w:tc>
          <w:tcPr>
            <w:tcW w:w="0" w:type="auto"/>
            <w:hideMark/>
          </w:tcPr>
          <w:p w14:paraId="4DCE6B68" w14:textId="77777777" w:rsidR="00A63D2B" w:rsidRPr="00A63D2B" w:rsidRDefault="00A63D2B" w:rsidP="00A63D2B">
            <w:pPr>
              <w:spacing w:before="240" w:line="360" w:lineRule="auto"/>
              <w:jc w:val="both"/>
              <w:rPr>
                <w:rFonts w:ascii="Arial" w:hAnsi="Arial" w:cs="Arial"/>
                <w:bCs/>
                <w:sz w:val="24"/>
                <w:szCs w:val="24"/>
                <w:lang w:val="en-US"/>
              </w:rPr>
            </w:pPr>
            <w:r w:rsidRPr="00A63D2B">
              <w:rPr>
                <w:rFonts w:ascii="Arial" w:hAnsi="Arial" w:cs="Arial"/>
                <w:b/>
                <w:bCs/>
                <w:sz w:val="24"/>
                <w:szCs w:val="24"/>
                <w:lang w:val="en-US"/>
              </w:rPr>
              <w:t>0.00%</w:t>
            </w:r>
          </w:p>
        </w:tc>
        <w:tc>
          <w:tcPr>
            <w:tcW w:w="0" w:type="auto"/>
            <w:hideMark/>
          </w:tcPr>
          <w:p w14:paraId="02FB5E82" w14:textId="77777777" w:rsidR="00A63D2B" w:rsidRPr="00A63D2B" w:rsidRDefault="00A63D2B" w:rsidP="00A35CB9">
            <w:pPr>
              <w:keepNext/>
              <w:spacing w:before="240" w:line="360" w:lineRule="auto"/>
              <w:jc w:val="both"/>
              <w:rPr>
                <w:rFonts w:ascii="Arial" w:hAnsi="Arial" w:cs="Arial"/>
                <w:bCs/>
                <w:sz w:val="24"/>
                <w:szCs w:val="24"/>
                <w:lang w:val="en-US"/>
              </w:rPr>
            </w:pPr>
            <w:r w:rsidRPr="00A63D2B">
              <w:rPr>
                <w:rFonts w:ascii="Arial" w:hAnsi="Arial" w:cs="Arial"/>
                <w:b/>
                <w:bCs/>
                <w:sz w:val="24"/>
                <w:szCs w:val="24"/>
                <w:lang w:val="en-US"/>
              </w:rPr>
              <w:t>12.72%</w:t>
            </w:r>
          </w:p>
        </w:tc>
      </w:tr>
    </w:tbl>
    <w:p w14:paraId="4F9A814F" w14:textId="55918E0E" w:rsidR="00A63D2B" w:rsidRPr="008E727B" w:rsidRDefault="00A35CB9" w:rsidP="00A35CB9">
      <w:pPr>
        <w:pStyle w:val="Caption"/>
        <w:rPr>
          <w:rFonts w:ascii="Arial" w:hAnsi="Arial" w:cs="Arial"/>
          <w:bCs/>
          <w:sz w:val="24"/>
          <w:szCs w:val="24"/>
          <w:lang w:val="en-US"/>
        </w:rPr>
      </w:pPr>
      <w:bookmarkStart w:id="49" w:name="_Toc217221021"/>
      <w:r>
        <w:t xml:space="preserve">Table </w:t>
      </w:r>
      <w:r>
        <w:fldChar w:fldCharType="begin"/>
      </w:r>
      <w:r>
        <w:instrText xml:space="preserve"> SEQ Table \* ARABIC </w:instrText>
      </w:r>
      <w:r>
        <w:fldChar w:fldCharType="separate"/>
      </w:r>
      <w:r w:rsidR="0078538A">
        <w:rPr>
          <w:noProof/>
        </w:rPr>
        <w:t>10</w:t>
      </w:r>
      <w:r>
        <w:fldChar w:fldCharType="end"/>
      </w:r>
      <w:r>
        <w:t xml:space="preserve">: </w:t>
      </w:r>
      <w:r w:rsidRPr="00FC66DA">
        <w:t>Internal Rate of Return (IRR) Calculation</w:t>
      </w:r>
      <w:bookmarkEnd w:id="49"/>
    </w:p>
    <w:p w14:paraId="2E9F87B4" w14:textId="1A008734" w:rsidR="00D94C08" w:rsidRPr="0078538A" w:rsidRDefault="0078538A" w:rsidP="0078538A">
      <w:pPr>
        <w:spacing w:line="360" w:lineRule="auto"/>
        <w:jc w:val="both"/>
        <w:rPr>
          <w:rFonts w:ascii="Arial" w:hAnsi="Arial" w:cs="Arial"/>
          <w:b/>
          <w:bCs/>
          <w:sz w:val="24"/>
          <w:szCs w:val="24"/>
          <w:lang w:val="en-US"/>
        </w:rPr>
      </w:pPr>
      <w:r w:rsidRPr="0078538A">
        <w:rPr>
          <w:rFonts w:ascii="Arial" w:hAnsi="Arial" w:cs="Arial"/>
          <w:b/>
          <w:bCs/>
          <w:sz w:val="24"/>
          <w:szCs w:val="24"/>
          <w:lang w:val="en-US"/>
        </w:rPr>
        <w:lastRenderedPageBreak/>
        <w:t>Final Consolidated Evaluation</w:t>
      </w:r>
    </w:p>
    <w:tbl>
      <w:tblPr>
        <w:tblStyle w:val="TableGrid"/>
        <w:tblW w:w="0" w:type="auto"/>
        <w:tblLook w:val="04A0" w:firstRow="1" w:lastRow="0" w:firstColumn="1" w:lastColumn="0" w:noHBand="0" w:noVBand="1"/>
      </w:tblPr>
      <w:tblGrid>
        <w:gridCol w:w="1030"/>
        <w:gridCol w:w="977"/>
        <w:gridCol w:w="684"/>
        <w:gridCol w:w="897"/>
        <w:gridCol w:w="3658"/>
      </w:tblGrid>
      <w:tr w:rsidR="0078538A" w:rsidRPr="0078538A" w14:paraId="5C06F57D" w14:textId="77777777" w:rsidTr="0078538A">
        <w:tc>
          <w:tcPr>
            <w:tcW w:w="0" w:type="auto"/>
            <w:hideMark/>
          </w:tcPr>
          <w:p w14:paraId="4DD980BB"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b/>
                <w:bCs/>
                <w:sz w:val="24"/>
                <w:szCs w:val="24"/>
                <w:lang w:val="en-US"/>
              </w:rPr>
              <w:t>Project</w:t>
            </w:r>
          </w:p>
        </w:tc>
        <w:tc>
          <w:tcPr>
            <w:tcW w:w="0" w:type="auto"/>
            <w:hideMark/>
          </w:tcPr>
          <w:p w14:paraId="2C2C7248"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b/>
                <w:bCs/>
                <w:sz w:val="24"/>
                <w:szCs w:val="24"/>
                <w:lang w:val="en-US"/>
              </w:rPr>
              <w:t>NPV</w:t>
            </w:r>
          </w:p>
        </w:tc>
        <w:tc>
          <w:tcPr>
            <w:tcW w:w="0" w:type="auto"/>
            <w:hideMark/>
          </w:tcPr>
          <w:p w14:paraId="402900A9"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b/>
                <w:bCs/>
                <w:sz w:val="24"/>
                <w:szCs w:val="24"/>
                <w:lang w:val="en-US"/>
              </w:rPr>
              <w:t>PI</w:t>
            </w:r>
          </w:p>
        </w:tc>
        <w:tc>
          <w:tcPr>
            <w:tcW w:w="0" w:type="auto"/>
            <w:hideMark/>
          </w:tcPr>
          <w:p w14:paraId="000B1855"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b/>
                <w:bCs/>
                <w:sz w:val="24"/>
                <w:szCs w:val="24"/>
                <w:lang w:val="en-US"/>
              </w:rPr>
              <w:t>IRR</w:t>
            </w:r>
          </w:p>
        </w:tc>
        <w:tc>
          <w:tcPr>
            <w:tcW w:w="0" w:type="auto"/>
            <w:hideMark/>
          </w:tcPr>
          <w:p w14:paraId="44B12C8D"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b/>
                <w:bCs/>
                <w:sz w:val="24"/>
                <w:szCs w:val="24"/>
                <w:lang w:val="en-US"/>
              </w:rPr>
              <w:t>Recommendation</w:t>
            </w:r>
          </w:p>
        </w:tc>
      </w:tr>
      <w:tr w:rsidR="0078538A" w:rsidRPr="0078538A" w14:paraId="4C8DF689" w14:textId="77777777" w:rsidTr="0078538A">
        <w:tc>
          <w:tcPr>
            <w:tcW w:w="0" w:type="auto"/>
            <w:hideMark/>
          </w:tcPr>
          <w:p w14:paraId="1204A2D7"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b/>
                <w:bCs/>
                <w:sz w:val="24"/>
                <w:szCs w:val="24"/>
                <w:lang w:val="en-US"/>
              </w:rPr>
              <w:t>A</w:t>
            </w:r>
          </w:p>
        </w:tc>
        <w:tc>
          <w:tcPr>
            <w:tcW w:w="0" w:type="auto"/>
            <w:hideMark/>
          </w:tcPr>
          <w:p w14:paraId="56E7D132"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sz w:val="24"/>
                <w:szCs w:val="24"/>
                <w:lang w:val="en-US"/>
              </w:rPr>
              <w:t>£1.32</w:t>
            </w:r>
          </w:p>
        </w:tc>
        <w:tc>
          <w:tcPr>
            <w:tcW w:w="0" w:type="auto"/>
            <w:hideMark/>
          </w:tcPr>
          <w:p w14:paraId="165142C2"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sz w:val="24"/>
                <w:szCs w:val="24"/>
                <w:lang w:val="en-US"/>
              </w:rPr>
              <w:t>1.03</w:t>
            </w:r>
          </w:p>
        </w:tc>
        <w:tc>
          <w:tcPr>
            <w:tcW w:w="0" w:type="auto"/>
            <w:hideMark/>
          </w:tcPr>
          <w:p w14:paraId="467ACCEA"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sz w:val="24"/>
                <w:szCs w:val="24"/>
                <w:lang w:val="en-US"/>
              </w:rPr>
              <w:t>11.3%</w:t>
            </w:r>
          </w:p>
        </w:tc>
        <w:tc>
          <w:tcPr>
            <w:tcW w:w="0" w:type="auto"/>
            <w:hideMark/>
          </w:tcPr>
          <w:p w14:paraId="70140EF0"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sz w:val="24"/>
                <w:szCs w:val="24"/>
                <w:lang w:val="en-US"/>
              </w:rPr>
              <w:t>Viable, but low efficiency</w:t>
            </w:r>
          </w:p>
        </w:tc>
      </w:tr>
      <w:tr w:rsidR="0078538A" w:rsidRPr="0078538A" w14:paraId="29398DDD" w14:textId="77777777" w:rsidTr="0078538A">
        <w:tc>
          <w:tcPr>
            <w:tcW w:w="0" w:type="auto"/>
            <w:hideMark/>
          </w:tcPr>
          <w:p w14:paraId="7D37CE97"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b/>
                <w:bCs/>
                <w:sz w:val="24"/>
                <w:szCs w:val="24"/>
                <w:lang w:val="en-US"/>
              </w:rPr>
              <w:t>B</w:t>
            </w:r>
          </w:p>
        </w:tc>
        <w:tc>
          <w:tcPr>
            <w:tcW w:w="0" w:type="auto"/>
            <w:hideMark/>
          </w:tcPr>
          <w:p w14:paraId="60FD7B7A"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sz w:val="24"/>
                <w:szCs w:val="24"/>
                <w:lang w:val="en-US"/>
              </w:rPr>
              <w:t>(£7.26)</w:t>
            </w:r>
          </w:p>
        </w:tc>
        <w:tc>
          <w:tcPr>
            <w:tcW w:w="0" w:type="auto"/>
            <w:hideMark/>
          </w:tcPr>
          <w:p w14:paraId="7776E4A3"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sz w:val="24"/>
                <w:szCs w:val="24"/>
                <w:lang w:val="en-US"/>
              </w:rPr>
              <w:t>0.76</w:t>
            </w:r>
          </w:p>
        </w:tc>
        <w:tc>
          <w:tcPr>
            <w:tcW w:w="0" w:type="auto"/>
            <w:hideMark/>
          </w:tcPr>
          <w:p w14:paraId="272E41F2"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sz w:val="24"/>
                <w:szCs w:val="24"/>
                <w:lang w:val="en-US"/>
              </w:rPr>
              <w:t>0.0%</w:t>
            </w:r>
          </w:p>
        </w:tc>
        <w:tc>
          <w:tcPr>
            <w:tcW w:w="0" w:type="auto"/>
            <w:hideMark/>
          </w:tcPr>
          <w:p w14:paraId="34A496CA"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b/>
                <w:bCs/>
                <w:sz w:val="24"/>
                <w:szCs w:val="24"/>
                <w:lang w:val="en-US"/>
              </w:rPr>
              <w:t>Reject</w:t>
            </w:r>
            <w:r w:rsidRPr="0078538A">
              <w:rPr>
                <w:rFonts w:ascii="Arial" w:hAnsi="Arial" w:cs="Arial"/>
                <w:sz w:val="24"/>
                <w:szCs w:val="24"/>
                <w:lang w:val="en-US"/>
              </w:rPr>
              <w:t xml:space="preserve"> (Value destructive)</w:t>
            </w:r>
          </w:p>
        </w:tc>
      </w:tr>
      <w:tr w:rsidR="0078538A" w:rsidRPr="0078538A" w14:paraId="0D30D327" w14:textId="77777777" w:rsidTr="0078538A">
        <w:tc>
          <w:tcPr>
            <w:tcW w:w="0" w:type="auto"/>
            <w:hideMark/>
          </w:tcPr>
          <w:p w14:paraId="20041FE5"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b/>
                <w:bCs/>
                <w:sz w:val="24"/>
                <w:szCs w:val="24"/>
                <w:lang w:val="en-US"/>
              </w:rPr>
              <w:t>C</w:t>
            </w:r>
          </w:p>
        </w:tc>
        <w:tc>
          <w:tcPr>
            <w:tcW w:w="0" w:type="auto"/>
            <w:hideMark/>
          </w:tcPr>
          <w:p w14:paraId="5948480A"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b/>
                <w:bCs/>
                <w:sz w:val="24"/>
                <w:szCs w:val="24"/>
                <w:lang w:val="en-US"/>
              </w:rPr>
              <w:t>£4.23</w:t>
            </w:r>
          </w:p>
        </w:tc>
        <w:tc>
          <w:tcPr>
            <w:tcW w:w="0" w:type="auto"/>
            <w:hideMark/>
          </w:tcPr>
          <w:p w14:paraId="45009C25"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b/>
                <w:bCs/>
                <w:sz w:val="24"/>
                <w:szCs w:val="24"/>
                <w:lang w:val="en-US"/>
              </w:rPr>
              <w:t>1.09</w:t>
            </w:r>
          </w:p>
        </w:tc>
        <w:tc>
          <w:tcPr>
            <w:tcW w:w="0" w:type="auto"/>
            <w:hideMark/>
          </w:tcPr>
          <w:p w14:paraId="43732297" w14:textId="77777777" w:rsidR="0078538A" w:rsidRPr="0078538A" w:rsidRDefault="0078538A" w:rsidP="0078538A">
            <w:pPr>
              <w:spacing w:line="360" w:lineRule="auto"/>
              <w:jc w:val="both"/>
              <w:rPr>
                <w:rFonts w:ascii="Arial" w:hAnsi="Arial" w:cs="Arial"/>
                <w:sz w:val="24"/>
                <w:szCs w:val="24"/>
                <w:lang w:val="en-US"/>
              </w:rPr>
            </w:pPr>
            <w:r w:rsidRPr="0078538A">
              <w:rPr>
                <w:rFonts w:ascii="Arial" w:hAnsi="Arial" w:cs="Arial"/>
                <w:b/>
                <w:bCs/>
                <w:sz w:val="24"/>
                <w:szCs w:val="24"/>
                <w:lang w:val="en-US"/>
              </w:rPr>
              <w:t>12.7%</w:t>
            </w:r>
          </w:p>
        </w:tc>
        <w:tc>
          <w:tcPr>
            <w:tcW w:w="0" w:type="auto"/>
            <w:hideMark/>
          </w:tcPr>
          <w:p w14:paraId="3302CAF4" w14:textId="77777777" w:rsidR="0078538A" w:rsidRPr="0078538A" w:rsidRDefault="0078538A" w:rsidP="0078538A">
            <w:pPr>
              <w:keepNext/>
              <w:spacing w:line="360" w:lineRule="auto"/>
              <w:jc w:val="both"/>
              <w:rPr>
                <w:rFonts w:ascii="Arial" w:hAnsi="Arial" w:cs="Arial"/>
                <w:sz w:val="24"/>
                <w:szCs w:val="24"/>
                <w:lang w:val="en-US"/>
              </w:rPr>
            </w:pPr>
            <w:r w:rsidRPr="0078538A">
              <w:rPr>
                <w:rFonts w:ascii="Arial" w:hAnsi="Arial" w:cs="Arial"/>
                <w:b/>
                <w:bCs/>
                <w:sz w:val="24"/>
                <w:szCs w:val="24"/>
                <w:lang w:val="en-US"/>
              </w:rPr>
              <w:t>Primary Choice</w:t>
            </w:r>
            <w:r w:rsidRPr="0078538A">
              <w:rPr>
                <w:rFonts w:ascii="Arial" w:hAnsi="Arial" w:cs="Arial"/>
                <w:sz w:val="24"/>
                <w:szCs w:val="24"/>
                <w:lang w:val="en-US"/>
              </w:rPr>
              <w:t xml:space="preserve"> (Highest value)</w:t>
            </w:r>
          </w:p>
        </w:tc>
      </w:tr>
    </w:tbl>
    <w:p w14:paraId="03612C4F" w14:textId="00730693" w:rsidR="0078538A" w:rsidRPr="0078538A" w:rsidRDefault="0078538A" w:rsidP="0078538A">
      <w:pPr>
        <w:pStyle w:val="Caption"/>
        <w:rPr>
          <w:rFonts w:ascii="Arial" w:hAnsi="Arial" w:cs="Arial"/>
          <w:sz w:val="24"/>
          <w:szCs w:val="24"/>
          <w:lang w:val="en-US"/>
        </w:rPr>
      </w:pPr>
      <w:bookmarkStart w:id="50" w:name="_Toc217221022"/>
      <w:r>
        <w:t xml:space="preserve">Table </w:t>
      </w:r>
      <w:r>
        <w:fldChar w:fldCharType="begin"/>
      </w:r>
      <w:r>
        <w:instrText xml:space="preserve"> SEQ Table \* ARABIC </w:instrText>
      </w:r>
      <w:r>
        <w:fldChar w:fldCharType="separate"/>
      </w:r>
      <w:r>
        <w:rPr>
          <w:noProof/>
        </w:rPr>
        <w:t>11</w:t>
      </w:r>
      <w:r>
        <w:fldChar w:fldCharType="end"/>
      </w:r>
      <w:r>
        <w:t xml:space="preserve">: </w:t>
      </w:r>
      <w:r w:rsidRPr="00B878E5">
        <w:t>Final Consolidated</w:t>
      </w:r>
      <w:bookmarkEnd w:id="50"/>
    </w:p>
    <w:p w14:paraId="30E061BC" w14:textId="0597E101" w:rsidR="008E727B" w:rsidRPr="008E727B" w:rsidRDefault="00A35CB9" w:rsidP="00A35CB9">
      <w:pPr>
        <w:pStyle w:val="Heading2"/>
        <w:rPr>
          <w:lang w:val="en-US"/>
        </w:rPr>
      </w:pPr>
      <w:bookmarkStart w:id="51" w:name="_Toc217246339"/>
      <w:r>
        <w:rPr>
          <w:lang w:val="en-US"/>
        </w:rPr>
        <w:t>4.</w:t>
      </w:r>
      <w:r w:rsidR="008E727B" w:rsidRPr="008E727B">
        <w:rPr>
          <w:lang w:val="en-US"/>
        </w:rPr>
        <w:t>3 Relative Analysis and Risk Evaluation</w:t>
      </w:r>
      <w:bookmarkEnd w:id="51"/>
    </w:p>
    <w:p w14:paraId="2B122F0F" w14:textId="0D2CD909" w:rsidR="008E727B" w:rsidRPr="008E727B" w:rsidRDefault="00A92677" w:rsidP="00A92677">
      <w:pPr>
        <w:pStyle w:val="Heading3"/>
        <w:rPr>
          <w:lang w:val="en-US"/>
        </w:rPr>
      </w:pPr>
      <w:bookmarkStart w:id="52" w:name="_Toc217246340"/>
      <w:r>
        <w:rPr>
          <w:lang w:val="en-US"/>
        </w:rPr>
        <w:t xml:space="preserve">4.3.1 </w:t>
      </w:r>
      <w:r w:rsidR="008E727B" w:rsidRPr="008E727B">
        <w:rPr>
          <w:lang w:val="en-US"/>
        </w:rPr>
        <w:t>Project B: The Immediate Rejection</w:t>
      </w:r>
      <w:bookmarkEnd w:id="52"/>
    </w:p>
    <w:p w14:paraId="73A40A0B" w14:textId="77777777" w:rsidR="008E727B" w:rsidRPr="008E727B" w:rsidRDefault="008E727B" w:rsidP="008E727B">
      <w:pPr>
        <w:spacing w:before="240" w:line="360" w:lineRule="auto"/>
        <w:jc w:val="both"/>
        <w:rPr>
          <w:rFonts w:ascii="Arial" w:hAnsi="Arial" w:cs="Arial"/>
          <w:bCs/>
          <w:sz w:val="24"/>
          <w:szCs w:val="24"/>
          <w:lang w:val="en-US"/>
        </w:rPr>
      </w:pPr>
      <w:r w:rsidRPr="008E727B">
        <w:rPr>
          <w:rFonts w:ascii="Arial" w:hAnsi="Arial" w:cs="Arial"/>
          <w:bCs/>
          <w:sz w:val="24"/>
          <w:szCs w:val="24"/>
          <w:lang w:val="en-US"/>
        </w:rPr>
        <w:t>Project B does not make financial sense. It has a negative NPV of -7.26m and an IRR of 0, indicating that it is an investment which will not significantly recover its nominal value and will start losing value once inflated and discounted at the rate of 10%. In the GE case, fiduciary duty to shareholders Project B would be a misuse of fiduciary duty owed to shareholders in the current distress situation (The Financial Times, 2024).</w:t>
      </w:r>
    </w:p>
    <w:p w14:paraId="77223FA7" w14:textId="6C582262" w:rsidR="008E727B" w:rsidRPr="008E727B" w:rsidRDefault="00B846E2" w:rsidP="00B846E2">
      <w:pPr>
        <w:pStyle w:val="Heading3"/>
        <w:rPr>
          <w:lang w:val="en-US"/>
        </w:rPr>
      </w:pPr>
      <w:bookmarkStart w:id="53" w:name="_Toc217246341"/>
      <w:r>
        <w:rPr>
          <w:lang w:val="en-US"/>
        </w:rPr>
        <w:t>4.</w:t>
      </w:r>
      <w:r w:rsidR="008E727B" w:rsidRPr="008E727B">
        <w:rPr>
          <w:lang w:val="en-US"/>
        </w:rPr>
        <w:t>3.2 Project A and Project C: The Turnaround Dilemma</w:t>
      </w:r>
      <w:bookmarkEnd w:id="53"/>
    </w:p>
    <w:p w14:paraId="77F0ED04" w14:textId="77777777" w:rsidR="008E727B" w:rsidRPr="008E727B" w:rsidRDefault="008E727B" w:rsidP="008E727B">
      <w:pPr>
        <w:spacing w:before="240" w:line="360" w:lineRule="auto"/>
        <w:jc w:val="both"/>
        <w:rPr>
          <w:rFonts w:ascii="Arial" w:hAnsi="Arial" w:cs="Arial"/>
          <w:bCs/>
          <w:sz w:val="24"/>
          <w:szCs w:val="24"/>
          <w:lang w:val="en-US"/>
        </w:rPr>
      </w:pPr>
      <w:r w:rsidRPr="008E727B">
        <w:rPr>
          <w:rFonts w:ascii="Arial" w:hAnsi="Arial" w:cs="Arial"/>
          <w:bCs/>
          <w:sz w:val="24"/>
          <w:szCs w:val="24"/>
          <w:lang w:val="en-US"/>
        </w:rPr>
        <w:t>Project A is a risk-free bet that has front-loaded cash flows (£10m, £12m, £14m). This consistency is a plus considering the volatility witnessed in GE in the recent past. Nevertheless, Project C serves as the growth pivot for high-growth sectors such as AI and Wearables, which are anticipated to be essential for the consumer electronics industry in 2025 (Statista, 2024).</w:t>
      </w:r>
    </w:p>
    <w:p w14:paraId="70C19C53" w14:textId="77777777" w:rsidR="008E727B" w:rsidRPr="008E727B" w:rsidRDefault="008E727B" w:rsidP="008E727B">
      <w:pPr>
        <w:spacing w:before="240" w:line="360" w:lineRule="auto"/>
        <w:jc w:val="both"/>
        <w:rPr>
          <w:rFonts w:ascii="Arial" w:hAnsi="Arial" w:cs="Arial"/>
          <w:bCs/>
          <w:sz w:val="24"/>
          <w:szCs w:val="24"/>
          <w:lang w:val="en-US"/>
        </w:rPr>
      </w:pPr>
      <w:r w:rsidRPr="008E727B">
        <w:rPr>
          <w:rFonts w:ascii="Arial" w:hAnsi="Arial" w:cs="Arial"/>
          <w:bCs/>
          <w:sz w:val="24"/>
          <w:szCs w:val="24"/>
          <w:lang w:val="en-US"/>
        </w:rPr>
        <w:t>Although Project C is back-loaded (67 per cent of the total inflows will happen in years 3, 4, and 5), it can be compared to my prior research on the topic of Coca-Cola UK, which showed that the brand-building process based on the use of authentic influencers and content marketing takes time to translate into purchase intentions. Should Project C be an introduction of a new product, then the Year 4 spike (25m) will be the moment when the brand moves past critical mass and the consumers trust the brand once again (Coca-Cola UK Case Study, 2025).</w:t>
      </w:r>
    </w:p>
    <w:p w14:paraId="4E970F51" w14:textId="192FBBA3" w:rsidR="008E727B" w:rsidRPr="008E727B" w:rsidRDefault="004404FC" w:rsidP="004404FC">
      <w:pPr>
        <w:pStyle w:val="Heading2"/>
        <w:rPr>
          <w:lang w:val="en-US"/>
        </w:rPr>
      </w:pPr>
      <w:bookmarkStart w:id="54" w:name="_Toc217246342"/>
      <w:r>
        <w:rPr>
          <w:lang w:val="en-US"/>
        </w:rPr>
        <w:lastRenderedPageBreak/>
        <w:t>4.</w:t>
      </w:r>
      <w:r w:rsidR="008E727B" w:rsidRPr="008E727B">
        <w:rPr>
          <w:lang w:val="en-US"/>
        </w:rPr>
        <w:t>4 Capital Rationing and Final Recommendation</w:t>
      </w:r>
      <w:bookmarkEnd w:id="54"/>
    </w:p>
    <w:p w14:paraId="14337750" w14:textId="77777777" w:rsidR="008E727B" w:rsidRPr="008E727B" w:rsidRDefault="008E727B" w:rsidP="008E727B">
      <w:pPr>
        <w:spacing w:before="240" w:line="360" w:lineRule="auto"/>
        <w:jc w:val="both"/>
        <w:rPr>
          <w:rFonts w:ascii="Arial" w:hAnsi="Arial" w:cs="Arial"/>
          <w:bCs/>
          <w:sz w:val="24"/>
          <w:szCs w:val="24"/>
          <w:lang w:val="en-US"/>
        </w:rPr>
      </w:pPr>
      <w:r w:rsidRPr="008E727B">
        <w:rPr>
          <w:rFonts w:ascii="Arial" w:hAnsi="Arial" w:cs="Arial"/>
          <w:bCs/>
          <w:sz w:val="24"/>
          <w:szCs w:val="24"/>
          <w:lang w:val="en-US"/>
        </w:rPr>
        <w:t xml:space="preserve">The Board has set a capital ceiling of 60 million pounds. We have to consider the best balance of projects that do not exceed this limit and </w:t>
      </w:r>
      <w:proofErr w:type="spellStart"/>
      <w:r w:rsidRPr="008E727B">
        <w:rPr>
          <w:rFonts w:ascii="Arial" w:hAnsi="Arial" w:cs="Arial"/>
          <w:bCs/>
          <w:sz w:val="24"/>
          <w:szCs w:val="24"/>
          <w:lang w:val="en-US"/>
        </w:rPr>
        <w:t>maximise</w:t>
      </w:r>
      <w:proofErr w:type="spellEnd"/>
      <w:r w:rsidRPr="008E727B">
        <w:rPr>
          <w:rFonts w:ascii="Arial" w:hAnsi="Arial" w:cs="Arial"/>
          <w:bCs/>
          <w:sz w:val="24"/>
          <w:szCs w:val="24"/>
          <w:lang w:val="en-US"/>
        </w:rPr>
        <w:t xml:space="preserve"> the cumulative NPV.</w:t>
      </w:r>
    </w:p>
    <w:p w14:paraId="1574E639" w14:textId="77777777" w:rsidR="008E727B" w:rsidRPr="004404FC" w:rsidRDefault="008E727B" w:rsidP="004404FC">
      <w:pPr>
        <w:pStyle w:val="ListParagraph"/>
        <w:numPr>
          <w:ilvl w:val="0"/>
          <w:numId w:val="33"/>
        </w:numPr>
        <w:spacing w:before="240" w:line="360" w:lineRule="auto"/>
        <w:jc w:val="both"/>
        <w:rPr>
          <w:rFonts w:ascii="Arial" w:hAnsi="Arial" w:cs="Arial"/>
          <w:bCs/>
          <w:sz w:val="24"/>
          <w:szCs w:val="24"/>
          <w:lang w:val="en-US"/>
        </w:rPr>
      </w:pPr>
      <w:r w:rsidRPr="008253D8">
        <w:rPr>
          <w:rFonts w:ascii="Arial" w:hAnsi="Arial" w:cs="Arial"/>
          <w:b/>
          <w:sz w:val="24"/>
          <w:szCs w:val="24"/>
          <w:lang w:val="en-US"/>
        </w:rPr>
        <w:t>Option 1: Project A only (£40m).</w:t>
      </w:r>
      <w:r w:rsidRPr="004404FC">
        <w:rPr>
          <w:rFonts w:ascii="Arial" w:hAnsi="Arial" w:cs="Arial"/>
          <w:bCs/>
          <w:sz w:val="24"/>
          <w:szCs w:val="24"/>
          <w:lang w:val="en-US"/>
        </w:rPr>
        <w:t xml:space="preserve"> Total NPV: £1.32m. Remaining Capital: £20m (Idle).</w:t>
      </w:r>
    </w:p>
    <w:p w14:paraId="40B0C7FD" w14:textId="77777777" w:rsidR="008E727B" w:rsidRPr="004404FC" w:rsidRDefault="008E727B" w:rsidP="004404FC">
      <w:pPr>
        <w:pStyle w:val="ListParagraph"/>
        <w:numPr>
          <w:ilvl w:val="0"/>
          <w:numId w:val="33"/>
        </w:numPr>
        <w:spacing w:before="240" w:line="360" w:lineRule="auto"/>
        <w:jc w:val="both"/>
        <w:rPr>
          <w:rFonts w:ascii="Arial" w:hAnsi="Arial" w:cs="Arial"/>
          <w:bCs/>
          <w:sz w:val="24"/>
          <w:szCs w:val="24"/>
          <w:lang w:val="en-US"/>
        </w:rPr>
      </w:pPr>
      <w:r w:rsidRPr="008253D8">
        <w:rPr>
          <w:rFonts w:ascii="Arial" w:hAnsi="Arial" w:cs="Arial"/>
          <w:b/>
          <w:sz w:val="24"/>
          <w:szCs w:val="24"/>
          <w:lang w:val="en-US"/>
        </w:rPr>
        <w:t>Option 2: Project C only (£50m).</w:t>
      </w:r>
      <w:r w:rsidRPr="004404FC">
        <w:rPr>
          <w:rFonts w:ascii="Arial" w:hAnsi="Arial" w:cs="Arial"/>
          <w:bCs/>
          <w:sz w:val="24"/>
          <w:szCs w:val="24"/>
          <w:lang w:val="en-US"/>
        </w:rPr>
        <w:t xml:space="preserve"> Total NPV: £4.23m. Remaining Capital: £10m (Idle).</w:t>
      </w:r>
    </w:p>
    <w:p w14:paraId="58F4FFFD" w14:textId="77777777" w:rsidR="008E727B" w:rsidRPr="004404FC" w:rsidRDefault="008E727B" w:rsidP="004404FC">
      <w:pPr>
        <w:pStyle w:val="ListParagraph"/>
        <w:numPr>
          <w:ilvl w:val="0"/>
          <w:numId w:val="33"/>
        </w:numPr>
        <w:spacing w:before="240" w:line="360" w:lineRule="auto"/>
        <w:jc w:val="both"/>
        <w:rPr>
          <w:rFonts w:ascii="Arial" w:hAnsi="Arial" w:cs="Arial"/>
          <w:bCs/>
          <w:sz w:val="24"/>
          <w:szCs w:val="24"/>
          <w:lang w:val="en-US"/>
        </w:rPr>
      </w:pPr>
      <w:r w:rsidRPr="008253D8">
        <w:rPr>
          <w:rFonts w:ascii="Arial" w:hAnsi="Arial" w:cs="Arial"/>
          <w:b/>
          <w:sz w:val="24"/>
          <w:szCs w:val="24"/>
          <w:lang w:val="en-US"/>
        </w:rPr>
        <w:t>Option 3:</w:t>
      </w:r>
      <w:r w:rsidRPr="004404FC">
        <w:rPr>
          <w:rFonts w:ascii="Arial" w:hAnsi="Arial" w:cs="Arial"/>
          <w:bCs/>
          <w:sz w:val="24"/>
          <w:szCs w:val="24"/>
          <w:lang w:val="en-US"/>
        </w:rPr>
        <w:t xml:space="preserve"> Project A + Project B (£70m). Exceeds Budget.</w:t>
      </w:r>
    </w:p>
    <w:p w14:paraId="4A0D66E6" w14:textId="77777777" w:rsidR="008E727B" w:rsidRPr="004404FC" w:rsidRDefault="008E727B" w:rsidP="004404FC">
      <w:pPr>
        <w:pStyle w:val="ListParagraph"/>
        <w:numPr>
          <w:ilvl w:val="0"/>
          <w:numId w:val="33"/>
        </w:numPr>
        <w:spacing w:before="240" w:line="360" w:lineRule="auto"/>
        <w:jc w:val="both"/>
        <w:rPr>
          <w:rFonts w:ascii="Arial" w:hAnsi="Arial" w:cs="Arial"/>
          <w:bCs/>
          <w:sz w:val="24"/>
          <w:szCs w:val="24"/>
          <w:lang w:val="en-US"/>
        </w:rPr>
      </w:pPr>
      <w:r w:rsidRPr="008253D8">
        <w:rPr>
          <w:rFonts w:ascii="Arial" w:hAnsi="Arial" w:cs="Arial"/>
          <w:b/>
          <w:sz w:val="24"/>
          <w:szCs w:val="24"/>
          <w:lang w:val="en-US"/>
        </w:rPr>
        <w:t>Option 4:</w:t>
      </w:r>
      <w:r w:rsidRPr="004404FC">
        <w:rPr>
          <w:rFonts w:ascii="Arial" w:hAnsi="Arial" w:cs="Arial"/>
          <w:bCs/>
          <w:sz w:val="24"/>
          <w:szCs w:val="24"/>
          <w:lang w:val="en-US"/>
        </w:rPr>
        <w:t xml:space="preserve"> Project B + Project C (£80m). Exceeds Budget.</w:t>
      </w:r>
    </w:p>
    <w:p w14:paraId="7F316529" w14:textId="77777777" w:rsidR="008E727B" w:rsidRPr="008E727B" w:rsidRDefault="008E727B" w:rsidP="008E727B">
      <w:pPr>
        <w:spacing w:before="240" w:line="360" w:lineRule="auto"/>
        <w:jc w:val="both"/>
        <w:rPr>
          <w:rFonts w:ascii="Arial" w:hAnsi="Arial" w:cs="Arial"/>
          <w:bCs/>
          <w:sz w:val="24"/>
          <w:szCs w:val="24"/>
          <w:lang w:val="en-US"/>
        </w:rPr>
      </w:pPr>
      <w:r w:rsidRPr="008E727B">
        <w:rPr>
          <w:rFonts w:ascii="Arial" w:hAnsi="Arial" w:cs="Arial"/>
          <w:bCs/>
          <w:sz w:val="24"/>
          <w:szCs w:val="24"/>
          <w:lang w:val="en-US"/>
        </w:rPr>
        <w:t>Although there is rationing of capital, the projects cannot be divided. This is why the most sensible economic choice is to choose Project C alone. It uses 83 per cent of the budget available to achieve maximum addition to absolute wealth (£4.23m) and maximum efficiency (PI 1.085).</w:t>
      </w:r>
    </w:p>
    <w:p w14:paraId="2502CD68" w14:textId="77777777" w:rsidR="008E727B" w:rsidRPr="008E727B" w:rsidRDefault="008E727B" w:rsidP="008E727B">
      <w:pPr>
        <w:spacing w:before="240" w:line="360" w:lineRule="auto"/>
        <w:jc w:val="both"/>
        <w:rPr>
          <w:rFonts w:ascii="Arial" w:hAnsi="Arial" w:cs="Arial"/>
          <w:b/>
          <w:sz w:val="24"/>
          <w:szCs w:val="24"/>
          <w:lang w:val="en-US"/>
        </w:rPr>
      </w:pPr>
      <w:r w:rsidRPr="008E727B">
        <w:rPr>
          <w:rFonts w:ascii="Arial" w:hAnsi="Arial" w:cs="Arial"/>
          <w:b/>
          <w:sz w:val="24"/>
          <w:szCs w:val="24"/>
          <w:lang w:val="en-US"/>
        </w:rPr>
        <w:t>Justification for Project C:</w:t>
      </w:r>
    </w:p>
    <w:p w14:paraId="778EDDD4" w14:textId="77777777" w:rsidR="008E727B" w:rsidRPr="00D336A0" w:rsidRDefault="008E727B" w:rsidP="00D336A0">
      <w:pPr>
        <w:pStyle w:val="ListParagraph"/>
        <w:numPr>
          <w:ilvl w:val="0"/>
          <w:numId w:val="34"/>
        </w:numPr>
        <w:spacing w:before="240" w:line="360" w:lineRule="auto"/>
        <w:jc w:val="both"/>
        <w:rPr>
          <w:rFonts w:ascii="Arial" w:hAnsi="Arial" w:cs="Arial"/>
          <w:bCs/>
          <w:sz w:val="24"/>
          <w:szCs w:val="24"/>
          <w:lang w:val="en-US"/>
        </w:rPr>
      </w:pPr>
      <w:r w:rsidRPr="00D336A0">
        <w:rPr>
          <w:rFonts w:ascii="Arial" w:hAnsi="Arial" w:cs="Arial"/>
          <w:b/>
          <w:sz w:val="24"/>
          <w:szCs w:val="24"/>
          <w:lang w:val="en-US"/>
        </w:rPr>
        <w:t>Profitability:</w:t>
      </w:r>
      <w:r w:rsidRPr="00D336A0">
        <w:rPr>
          <w:rFonts w:ascii="Arial" w:hAnsi="Arial" w:cs="Arial"/>
          <w:bCs/>
          <w:sz w:val="24"/>
          <w:szCs w:val="24"/>
          <w:lang w:val="en-US"/>
        </w:rPr>
        <w:t xml:space="preserve"> The 20% ARR and the NPV of Project C (at 4.23m) are vital in informing the market that GE is back on the growth path.</w:t>
      </w:r>
    </w:p>
    <w:p w14:paraId="3EE1000F" w14:textId="77777777" w:rsidR="008E727B" w:rsidRPr="00D336A0" w:rsidRDefault="008E727B" w:rsidP="00D336A0">
      <w:pPr>
        <w:pStyle w:val="ListParagraph"/>
        <w:numPr>
          <w:ilvl w:val="0"/>
          <w:numId w:val="34"/>
        </w:numPr>
        <w:spacing w:before="240" w:line="360" w:lineRule="auto"/>
        <w:jc w:val="both"/>
        <w:rPr>
          <w:rFonts w:ascii="Arial" w:hAnsi="Arial" w:cs="Arial"/>
          <w:bCs/>
          <w:sz w:val="24"/>
          <w:szCs w:val="24"/>
          <w:lang w:val="en-US"/>
        </w:rPr>
      </w:pPr>
      <w:r w:rsidRPr="00D336A0">
        <w:rPr>
          <w:rFonts w:ascii="Arial" w:hAnsi="Arial" w:cs="Arial"/>
          <w:b/>
          <w:sz w:val="24"/>
          <w:szCs w:val="24"/>
          <w:lang w:val="en-US"/>
        </w:rPr>
        <w:t>Strategic Alignment:</w:t>
      </w:r>
      <w:r w:rsidRPr="00D336A0">
        <w:rPr>
          <w:rFonts w:ascii="Arial" w:hAnsi="Arial" w:cs="Arial"/>
          <w:bCs/>
          <w:sz w:val="24"/>
          <w:szCs w:val="24"/>
          <w:lang w:val="en-US"/>
        </w:rPr>
        <w:t xml:space="preserve"> According to Forbes (2024), incumbent electronics companies that go safe when pursuing low-NPV initiatives (such as Project A) tend to commit a Value Trap. The back-loaded cash flows of project C constitute a strategic shift towards innovation.</w:t>
      </w:r>
    </w:p>
    <w:p w14:paraId="58CC049B" w14:textId="77777777" w:rsidR="008E727B" w:rsidRPr="00D336A0" w:rsidRDefault="008E727B" w:rsidP="00D336A0">
      <w:pPr>
        <w:pStyle w:val="ListParagraph"/>
        <w:numPr>
          <w:ilvl w:val="0"/>
          <w:numId w:val="34"/>
        </w:numPr>
        <w:spacing w:before="240" w:line="360" w:lineRule="auto"/>
        <w:jc w:val="both"/>
        <w:rPr>
          <w:rFonts w:ascii="Arial" w:hAnsi="Arial" w:cs="Arial"/>
          <w:bCs/>
          <w:sz w:val="24"/>
          <w:szCs w:val="24"/>
          <w:lang w:val="en-US"/>
        </w:rPr>
      </w:pPr>
      <w:r w:rsidRPr="00D336A0">
        <w:rPr>
          <w:rFonts w:ascii="Arial" w:hAnsi="Arial" w:cs="Arial"/>
          <w:b/>
          <w:sz w:val="24"/>
          <w:szCs w:val="24"/>
          <w:lang w:val="en-US"/>
        </w:rPr>
        <w:t>Risk Mitigation:</w:t>
      </w:r>
      <w:r w:rsidRPr="00D336A0">
        <w:rPr>
          <w:rFonts w:ascii="Arial" w:hAnsi="Arial" w:cs="Arial"/>
          <w:bCs/>
          <w:sz w:val="24"/>
          <w:szCs w:val="24"/>
          <w:lang w:val="en-US"/>
        </w:rPr>
        <w:t xml:space="preserve"> C has more volatility in its business cash flow, but the PI of 1.085 will provide a better cushion against the increasing inflation and currency risks found in the restructuring plan (IBISWorld, 2024).</w:t>
      </w:r>
    </w:p>
    <w:p w14:paraId="25D9A140" w14:textId="0BDAA9AA" w:rsidR="008E727B" w:rsidRPr="008E727B" w:rsidRDefault="005E607A" w:rsidP="005E607A">
      <w:pPr>
        <w:pStyle w:val="Heading2"/>
        <w:rPr>
          <w:lang w:val="en-US"/>
        </w:rPr>
      </w:pPr>
      <w:bookmarkStart w:id="55" w:name="_Toc217246343"/>
      <w:r>
        <w:rPr>
          <w:lang w:val="en-US"/>
        </w:rPr>
        <w:t>4.5</w:t>
      </w:r>
      <w:r w:rsidR="008E727B" w:rsidRPr="008E727B">
        <w:rPr>
          <w:lang w:val="en-US"/>
        </w:rPr>
        <w:t xml:space="preserve"> </w:t>
      </w:r>
      <w:r w:rsidR="002B2DD2">
        <w:rPr>
          <w:lang w:val="en-US"/>
        </w:rPr>
        <w:t>Decision Summary</w:t>
      </w:r>
      <w:bookmarkEnd w:id="55"/>
    </w:p>
    <w:p w14:paraId="7A03B9DB" w14:textId="256B617C" w:rsidR="003F4E8F" w:rsidRPr="005E607A" w:rsidRDefault="008E727B" w:rsidP="005E607A">
      <w:pPr>
        <w:spacing w:before="240" w:line="360" w:lineRule="auto"/>
        <w:jc w:val="both"/>
        <w:rPr>
          <w:rFonts w:ascii="Arial" w:hAnsi="Arial" w:cs="Arial"/>
          <w:bCs/>
          <w:sz w:val="24"/>
          <w:szCs w:val="24"/>
          <w:lang w:val="en-US"/>
        </w:rPr>
      </w:pPr>
      <w:r w:rsidRPr="008E727B">
        <w:rPr>
          <w:rFonts w:ascii="Arial" w:hAnsi="Arial" w:cs="Arial"/>
          <w:bCs/>
          <w:sz w:val="24"/>
          <w:szCs w:val="24"/>
          <w:lang w:val="en-US"/>
        </w:rPr>
        <w:t xml:space="preserve">General Electronics cannot afford the stagnancy and mediocrity of Project B and the conservatism of Project A. At the expense of the capital rationing constraint, Project C would be the undisputed winner in all discounted and non-discounted measures. Letting a project earn its high-margin market share in the AI-driven consumer electronics market through an investment in Project C will enable GE to use the </w:t>
      </w:r>
      <w:r w:rsidRPr="008E727B">
        <w:rPr>
          <w:rFonts w:ascii="Arial" w:hAnsi="Arial" w:cs="Arial"/>
          <w:bCs/>
          <w:sz w:val="24"/>
          <w:szCs w:val="24"/>
          <w:lang w:val="en-US"/>
        </w:rPr>
        <w:lastRenderedPageBreak/>
        <w:t>remaining liquidity to capture the high-margin market share in support of the larger turnaround strategy of the company, which is known as Phoenix.</w:t>
      </w:r>
    </w:p>
    <w:p w14:paraId="7BFE0436" w14:textId="77777777" w:rsidR="003F4E8F" w:rsidRDefault="003F4E8F" w:rsidP="003F4E8F">
      <w:pPr>
        <w:spacing w:after="160" w:line="278" w:lineRule="auto"/>
        <w:rPr>
          <w:rFonts w:ascii="Arial" w:eastAsiaTheme="majorEastAsia" w:hAnsi="Arial" w:cstheme="majorBidi"/>
          <w:b/>
          <w:color w:val="000000" w:themeColor="text1"/>
          <w:sz w:val="32"/>
          <w:szCs w:val="40"/>
        </w:rPr>
      </w:pPr>
      <w:r>
        <w:br w:type="page"/>
      </w:r>
    </w:p>
    <w:p w14:paraId="5AF47CFB" w14:textId="77777777" w:rsidR="003F4E8F" w:rsidRPr="003227C7" w:rsidRDefault="003F4E8F" w:rsidP="003F4E8F">
      <w:pPr>
        <w:pStyle w:val="Heading1"/>
      </w:pPr>
      <w:bookmarkStart w:id="56" w:name="_Toc217246344"/>
      <w:r w:rsidRPr="003227C7">
        <w:lastRenderedPageBreak/>
        <w:t>Conclusion</w:t>
      </w:r>
      <w:bookmarkEnd w:id="56"/>
    </w:p>
    <w:p w14:paraId="706BA2A4" w14:textId="35CE72AF" w:rsidR="003F4E8F" w:rsidRPr="0047706E" w:rsidRDefault="00590AA7" w:rsidP="00590AA7">
      <w:pPr>
        <w:spacing w:before="240" w:line="360" w:lineRule="auto"/>
        <w:jc w:val="both"/>
        <w:rPr>
          <w:rFonts w:ascii="Arial" w:hAnsi="Arial" w:cs="Arial"/>
          <w:sz w:val="24"/>
          <w:szCs w:val="24"/>
          <w:lang w:val="en-US"/>
        </w:rPr>
      </w:pPr>
      <w:r w:rsidRPr="00590AA7">
        <w:rPr>
          <w:rFonts w:ascii="Arial" w:hAnsi="Arial" w:cs="Arial"/>
          <w:sz w:val="24"/>
          <w:szCs w:val="24"/>
          <w:lang w:val="en-US"/>
        </w:rPr>
        <w:t xml:space="preserve">In summary, General Electric is poised to transition from a period of significant value destruction (2020-2024) to a future driven by lean innovation. The financial data indicate that the liquidity is intact, but structural changes in working capital and debt profiling are necessary to become a survivor of the "Grey Zone" of risk. GE can restore consumer confidence and business nimbleness by focusing on Project C, which </w:t>
      </w:r>
      <w:proofErr w:type="spellStart"/>
      <w:r w:rsidRPr="00590AA7">
        <w:rPr>
          <w:rFonts w:ascii="Arial" w:hAnsi="Arial" w:cs="Arial"/>
          <w:sz w:val="24"/>
          <w:szCs w:val="24"/>
          <w:lang w:val="en-US"/>
        </w:rPr>
        <w:t>optimises</w:t>
      </w:r>
      <w:proofErr w:type="spellEnd"/>
      <w:r w:rsidRPr="00590AA7">
        <w:rPr>
          <w:rFonts w:ascii="Arial" w:hAnsi="Arial" w:cs="Arial"/>
          <w:sz w:val="24"/>
          <w:szCs w:val="24"/>
          <w:lang w:val="en-US"/>
        </w:rPr>
        <w:t xml:space="preserve"> both NPV and PI within the capital limitations and using influencer-based approaches to digital marketing success as seen in the Coca-Cola UK case study. This strategic shift will help the company regain its profitability and maintain its global scalability and sustainability.</w:t>
      </w:r>
      <w:r w:rsidR="003F4E8F" w:rsidRPr="003227C7">
        <w:rPr>
          <w:rFonts w:ascii="Arial" w:hAnsi="Arial" w:cs="Arial"/>
          <w:sz w:val="24"/>
          <w:szCs w:val="24"/>
        </w:rPr>
        <w:br w:type="page"/>
      </w:r>
    </w:p>
    <w:p w14:paraId="6C4B5846" w14:textId="77777777" w:rsidR="003F4E8F" w:rsidRPr="003227C7" w:rsidRDefault="003F4E8F" w:rsidP="003F4E8F">
      <w:pPr>
        <w:pStyle w:val="Heading1"/>
      </w:pPr>
      <w:bookmarkStart w:id="57" w:name="_Toc217246345"/>
      <w:r w:rsidRPr="003227C7">
        <w:lastRenderedPageBreak/>
        <w:t>Reference</w:t>
      </w:r>
      <w:bookmarkEnd w:id="57"/>
    </w:p>
    <w:p w14:paraId="6BCD62B0" w14:textId="4847AFA4" w:rsidR="00406AF9" w:rsidRPr="00406AF9" w:rsidRDefault="00406AF9" w:rsidP="00DB630A">
      <w:pPr>
        <w:pStyle w:val="NormalWeb"/>
        <w:spacing w:line="360" w:lineRule="auto"/>
        <w:rPr>
          <w:rFonts w:ascii="Arial" w:hAnsi="Arial" w:cs="Arial"/>
          <w:lang w:val="en-US"/>
        </w:rPr>
      </w:pPr>
      <w:r w:rsidRPr="00406AF9">
        <w:rPr>
          <w:rFonts w:ascii="Arial" w:hAnsi="Arial" w:cs="Arial"/>
          <w:lang w:val="en-US"/>
        </w:rPr>
        <w:t xml:space="preserve">Bloomberg (2023) </w:t>
      </w:r>
      <w:r w:rsidRPr="00406AF9">
        <w:rPr>
          <w:rFonts w:ascii="Arial" w:hAnsi="Arial" w:cs="Arial"/>
          <w:i/>
          <w:iCs/>
          <w:lang w:val="en-US"/>
        </w:rPr>
        <w:t>Capital Allocation Strategies for Distressed Tech Firms</w:t>
      </w:r>
      <w:r w:rsidRPr="00406AF9">
        <w:rPr>
          <w:rFonts w:ascii="Arial" w:hAnsi="Arial" w:cs="Arial"/>
          <w:lang w:val="en-US"/>
        </w:rPr>
        <w:t xml:space="preserve">. Available at: </w:t>
      </w:r>
      <w:hyperlink r:id="rId10" w:tgtFrame="_blank" w:history="1">
        <w:r w:rsidRPr="00406AF9">
          <w:rPr>
            <w:rStyle w:val="Hyperlink"/>
            <w:rFonts w:ascii="Arial" w:hAnsi="Arial" w:cs="Arial"/>
            <w:lang w:val="en-US"/>
          </w:rPr>
          <w:t>https://www.bloomberg.com</w:t>
        </w:r>
      </w:hyperlink>
      <w:r w:rsidRPr="00406AF9">
        <w:rPr>
          <w:rFonts w:ascii="Arial" w:hAnsi="Arial" w:cs="Arial"/>
          <w:lang w:val="en-US"/>
        </w:rPr>
        <w:t xml:space="preserve"> (Accessed: 21 December 2025).</w:t>
      </w:r>
    </w:p>
    <w:p w14:paraId="414FFD5D" w14:textId="012A0418" w:rsidR="00406AF9" w:rsidRPr="00406AF9" w:rsidRDefault="00406AF9" w:rsidP="00DB630A">
      <w:pPr>
        <w:pStyle w:val="NormalWeb"/>
        <w:spacing w:line="360" w:lineRule="auto"/>
        <w:rPr>
          <w:rFonts w:ascii="Arial" w:hAnsi="Arial" w:cs="Arial"/>
          <w:lang w:val="en-US"/>
        </w:rPr>
      </w:pPr>
      <w:r w:rsidRPr="00406AF9">
        <w:rPr>
          <w:rFonts w:ascii="Arial" w:hAnsi="Arial" w:cs="Arial"/>
          <w:lang w:val="en-US"/>
        </w:rPr>
        <w:t xml:space="preserve">Coca-Cola UK Case Study (2025) </w:t>
      </w:r>
      <w:r w:rsidRPr="00406AF9">
        <w:rPr>
          <w:rFonts w:ascii="Arial" w:hAnsi="Arial" w:cs="Arial"/>
          <w:i/>
          <w:iCs/>
          <w:lang w:val="en-US"/>
        </w:rPr>
        <w:t>Assessing the Impact of Influencer and Content Marketing on Consumer Purchase Intentions</w:t>
      </w:r>
      <w:r w:rsidRPr="00406AF9">
        <w:rPr>
          <w:rFonts w:ascii="Arial" w:hAnsi="Arial" w:cs="Arial"/>
          <w:lang w:val="en-US"/>
        </w:rPr>
        <w:t>. [Internal Research Document].</w:t>
      </w:r>
    </w:p>
    <w:p w14:paraId="34B7A357" w14:textId="43EBB435" w:rsidR="00406AF9" w:rsidRPr="00406AF9" w:rsidRDefault="00406AF9" w:rsidP="00DB630A">
      <w:pPr>
        <w:pStyle w:val="NormalWeb"/>
        <w:spacing w:line="360" w:lineRule="auto"/>
        <w:rPr>
          <w:rFonts w:ascii="Arial" w:hAnsi="Arial" w:cs="Arial"/>
          <w:lang w:val="en-US"/>
        </w:rPr>
      </w:pPr>
      <w:r w:rsidRPr="00406AF9">
        <w:rPr>
          <w:rFonts w:ascii="Arial" w:hAnsi="Arial" w:cs="Arial"/>
          <w:lang w:val="en-US"/>
        </w:rPr>
        <w:t xml:space="preserve">Forbes (2024) </w:t>
      </w:r>
      <w:r w:rsidRPr="00406AF9">
        <w:rPr>
          <w:rFonts w:ascii="Arial" w:hAnsi="Arial" w:cs="Arial"/>
          <w:i/>
          <w:iCs/>
          <w:lang w:val="en-US"/>
        </w:rPr>
        <w:t xml:space="preserve">The Innovation Gap: Why Conservative </w:t>
      </w:r>
      <w:proofErr w:type="spellStart"/>
      <w:r w:rsidRPr="00406AF9">
        <w:rPr>
          <w:rFonts w:ascii="Arial" w:hAnsi="Arial" w:cs="Arial"/>
          <w:i/>
          <w:iCs/>
          <w:lang w:val="en-US"/>
        </w:rPr>
        <w:t>CapEx</w:t>
      </w:r>
      <w:proofErr w:type="spellEnd"/>
      <w:r w:rsidRPr="00406AF9">
        <w:rPr>
          <w:rFonts w:ascii="Arial" w:hAnsi="Arial" w:cs="Arial"/>
          <w:i/>
          <w:iCs/>
          <w:lang w:val="en-US"/>
        </w:rPr>
        <w:t xml:space="preserve"> Kills Tech Giants</w:t>
      </w:r>
      <w:r w:rsidRPr="00406AF9">
        <w:rPr>
          <w:rFonts w:ascii="Arial" w:hAnsi="Arial" w:cs="Arial"/>
          <w:lang w:val="en-US"/>
        </w:rPr>
        <w:t xml:space="preserve">. Available at: </w:t>
      </w:r>
      <w:hyperlink r:id="rId11" w:tgtFrame="_blank" w:history="1">
        <w:r w:rsidRPr="00406AF9">
          <w:rPr>
            <w:rStyle w:val="Hyperlink"/>
            <w:rFonts w:ascii="Arial" w:hAnsi="Arial" w:cs="Arial"/>
            <w:lang w:val="en-US"/>
          </w:rPr>
          <w:t>https://www.forbes.com</w:t>
        </w:r>
      </w:hyperlink>
      <w:r w:rsidRPr="00406AF9">
        <w:rPr>
          <w:rFonts w:ascii="Arial" w:hAnsi="Arial" w:cs="Arial"/>
          <w:lang w:val="en-US"/>
        </w:rPr>
        <w:t xml:space="preserve"> (Accessed: 21 December 2025).</w:t>
      </w:r>
    </w:p>
    <w:p w14:paraId="0402102F" w14:textId="446D2487" w:rsidR="00406AF9" w:rsidRPr="00406AF9" w:rsidRDefault="00406AF9" w:rsidP="00DB630A">
      <w:pPr>
        <w:pStyle w:val="NormalWeb"/>
        <w:spacing w:line="360" w:lineRule="auto"/>
        <w:rPr>
          <w:rFonts w:ascii="Arial" w:hAnsi="Arial" w:cs="Arial"/>
          <w:lang w:val="en-US"/>
        </w:rPr>
      </w:pPr>
      <w:r w:rsidRPr="00406AF9">
        <w:rPr>
          <w:rFonts w:ascii="Arial" w:hAnsi="Arial" w:cs="Arial"/>
          <w:lang w:val="en-US"/>
        </w:rPr>
        <w:t xml:space="preserve">Harvard Business Review (2021) ‘Beyond Payback: Modernizing Your Investment Appraisal’, </w:t>
      </w:r>
      <w:r w:rsidRPr="00406AF9">
        <w:rPr>
          <w:rFonts w:ascii="Arial" w:hAnsi="Arial" w:cs="Arial"/>
          <w:i/>
          <w:iCs/>
          <w:lang w:val="en-US"/>
        </w:rPr>
        <w:t>HBR Online</w:t>
      </w:r>
      <w:r w:rsidRPr="00406AF9">
        <w:rPr>
          <w:rFonts w:ascii="Arial" w:hAnsi="Arial" w:cs="Arial"/>
          <w:lang w:val="en-US"/>
        </w:rPr>
        <w:t xml:space="preserve">. Available at: </w:t>
      </w:r>
      <w:hyperlink r:id="rId12" w:tgtFrame="_blank" w:history="1">
        <w:r w:rsidRPr="00406AF9">
          <w:rPr>
            <w:rStyle w:val="Hyperlink"/>
            <w:rFonts w:ascii="Arial" w:hAnsi="Arial" w:cs="Arial"/>
            <w:lang w:val="en-US"/>
          </w:rPr>
          <w:t>https://hbr.org</w:t>
        </w:r>
      </w:hyperlink>
      <w:r w:rsidRPr="00406AF9">
        <w:rPr>
          <w:rFonts w:ascii="Arial" w:hAnsi="Arial" w:cs="Arial"/>
          <w:lang w:val="en-US"/>
        </w:rPr>
        <w:t xml:space="preserve"> (Accessed: 21 December 2025).</w:t>
      </w:r>
    </w:p>
    <w:p w14:paraId="5E338ACD" w14:textId="2A1F3B17" w:rsidR="00406AF9" w:rsidRPr="00406AF9" w:rsidRDefault="00406AF9" w:rsidP="00DB630A">
      <w:pPr>
        <w:pStyle w:val="NormalWeb"/>
        <w:spacing w:line="360" w:lineRule="auto"/>
        <w:rPr>
          <w:rFonts w:ascii="Arial" w:hAnsi="Arial" w:cs="Arial"/>
          <w:lang w:val="en-US"/>
        </w:rPr>
      </w:pPr>
      <w:r w:rsidRPr="00406AF9">
        <w:rPr>
          <w:rFonts w:ascii="Arial" w:hAnsi="Arial" w:cs="Arial"/>
          <w:lang w:val="en-US"/>
        </w:rPr>
        <w:t xml:space="preserve">IBISWorld (2024) </w:t>
      </w:r>
      <w:r w:rsidRPr="00406AF9">
        <w:rPr>
          <w:rFonts w:ascii="Arial" w:hAnsi="Arial" w:cs="Arial"/>
          <w:i/>
          <w:iCs/>
          <w:lang w:val="en-US"/>
        </w:rPr>
        <w:t>Global Consumer Electronics Manufacturing: Risk and Reward Report</w:t>
      </w:r>
      <w:r w:rsidRPr="00406AF9">
        <w:rPr>
          <w:rFonts w:ascii="Arial" w:hAnsi="Arial" w:cs="Arial"/>
          <w:lang w:val="en-US"/>
        </w:rPr>
        <w:t xml:space="preserve">. Available at: </w:t>
      </w:r>
      <w:hyperlink r:id="rId13" w:tgtFrame="_blank" w:history="1">
        <w:r w:rsidRPr="00406AF9">
          <w:rPr>
            <w:rStyle w:val="Hyperlink"/>
            <w:rFonts w:ascii="Arial" w:hAnsi="Arial" w:cs="Arial"/>
            <w:lang w:val="en-US"/>
          </w:rPr>
          <w:t>https://www.ibisworld.com</w:t>
        </w:r>
      </w:hyperlink>
      <w:r w:rsidRPr="00406AF9">
        <w:rPr>
          <w:rFonts w:ascii="Arial" w:hAnsi="Arial" w:cs="Arial"/>
          <w:lang w:val="en-US"/>
        </w:rPr>
        <w:t xml:space="preserve"> (Accessed: 21 December 2025).</w:t>
      </w:r>
    </w:p>
    <w:p w14:paraId="7A60CF5C" w14:textId="0B2AB85A" w:rsidR="00406AF9" w:rsidRPr="00406AF9" w:rsidRDefault="00406AF9" w:rsidP="00DB630A">
      <w:pPr>
        <w:pStyle w:val="NormalWeb"/>
        <w:spacing w:line="360" w:lineRule="auto"/>
        <w:rPr>
          <w:rFonts w:ascii="Arial" w:hAnsi="Arial" w:cs="Arial"/>
          <w:lang w:val="en-US"/>
        </w:rPr>
      </w:pPr>
      <w:r w:rsidRPr="00406AF9">
        <w:rPr>
          <w:rFonts w:ascii="Arial" w:hAnsi="Arial" w:cs="Arial"/>
          <w:lang w:val="en-US"/>
        </w:rPr>
        <w:t xml:space="preserve">MarketLine (2024) </w:t>
      </w:r>
      <w:r w:rsidRPr="00406AF9">
        <w:rPr>
          <w:rFonts w:ascii="Arial" w:hAnsi="Arial" w:cs="Arial"/>
          <w:i/>
          <w:iCs/>
          <w:lang w:val="en-US"/>
        </w:rPr>
        <w:t>Technological Innovation and Capital Budgeting in the UK</w:t>
      </w:r>
      <w:r w:rsidRPr="00406AF9">
        <w:rPr>
          <w:rFonts w:ascii="Arial" w:hAnsi="Arial" w:cs="Arial"/>
          <w:lang w:val="en-US"/>
        </w:rPr>
        <w:t xml:space="preserve">. Available at: </w:t>
      </w:r>
      <w:hyperlink r:id="rId14" w:tgtFrame="_blank" w:history="1">
        <w:r w:rsidRPr="00406AF9">
          <w:rPr>
            <w:rStyle w:val="Hyperlink"/>
            <w:rFonts w:ascii="Arial" w:hAnsi="Arial" w:cs="Arial"/>
            <w:lang w:val="en-US"/>
          </w:rPr>
          <w:t>https://www.marketline.com</w:t>
        </w:r>
      </w:hyperlink>
      <w:r w:rsidRPr="00406AF9">
        <w:rPr>
          <w:rFonts w:ascii="Arial" w:hAnsi="Arial" w:cs="Arial"/>
          <w:lang w:val="en-US"/>
        </w:rPr>
        <w:t xml:space="preserve"> (Accessed: 21 December 2025).</w:t>
      </w:r>
    </w:p>
    <w:p w14:paraId="6EFFE40C" w14:textId="00EF03C1" w:rsidR="00406AF9" w:rsidRPr="00406AF9" w:rsidRDefault="00406AF9" w:rsidP="00DB630A">
      <w:pPr>
        <w:pStyle w:val="NormalWeb"/>
        <w:spacing w:line="360" w:lineRule="auto"/>
        <w:rPr>
          <w:rFonts w:ascii="Arial" w:hAnsi="Arial" w:cs="Arial"/>
          <w:lang w:val="en-US"/>
        </w:rPr>
      </w:pPr>
      <w:r w:rsidRPr="00406AF9">
        <w:rPr>
          <w:rFonts w:ascii="Arial" w:hAnsi="Arial" w:cs="Arial"/>
          <w:lang w:val="en-US"/>
        </w:rPr>
        <w:t xml:space="preserve">Statista (2024) </w:t>
      </w:r>
      <w:r w:rsidRPr="00406AF9">
        <w:rPr>
          <w:rFonts w:ascii="Arial" w:hAnsi="Arial" w:cs="Arial"/>
          <w:i/>
          <w:iCs/>
          <w:lang w:val="en-US"/>
        </w:rPr>
        <w:t>Consumer Electronics Investment Trends 2020-2025</w:t>
      </w:r>
      <w:r w:rsidRPr="00406AF9">
        <w:rPr>
          <w:rFonts w:ascii="Arial" w:hAnsi="Arial" w:cs="Arial"/>
          <w:lang w:val="en-US"/>
        </w:rPr>
        <w:t xml:space="preserve">. Available at: </w:t>
      </w:r>
      <w:hyperlink r:id="rId15" w:tgtFrame="_blank" w:history="1">
        <w:r w:rsidRPr="00406AF9">
          <w:rPr>
            <w:rStyle w:val="Hyperlink"/>
            <w:rFonts w:ascii="Arial" w:hAnsi="Arial" w:cs="Arial"/>
            <w:lang w:val="en-US"/>
          </w:rPr>
          <w:t>https://www.statista.com</w:t>
        </w:r>
      </w:hyperlink>
      <w:r w:rsidRPr="00406AF9">
        <w:rPr>
          <w:rFonts w:ascii="Arial" w:hAnsi="Arial" w:cs="Arial"/>
          <w:lang w:val="en-US"/>
        </w:rPr>
        <w:t xml:space="preserve"> (Accessed: 21 December 2025).</w:t>
      </w:r>
    </w:p>
    <w:p w14:paraId="69DC824A" w14:textId="6C6FB949" w:rsidR="00406AF9" w:rsidRPr="00406AF9" w:rsidRDefault="00406AF9" w:rsidP="00DB630A">
      <w:pPr>
        <w:pStyle w:val="NormalWeb"/>
        <w:spacing w:line="360" w:lineRule="auto"/>
        <w:rPr>
          <w:rFonts w:ascii="Arial" w:hAnsi="Arial" w:cs="Arial"/>
          <w:lang w:val="en-US"/>
        </w:rPr>
      </w:pPr>
      <w:r w:rsidRPr="00406AF9">
        <w:rPr>
          <w:rFonts w:ascii="Arial" w:hAnsi="Arial" w:cs="Arial"/>
          <w:lang w:val="en-US"/>
        </w:rPr>
        <w:t xml:space="preserve">Strategic Management Journal (2022) ‘Corporate Turnarounds: The Role of Strategic Capital Budgeting’, 43(6), pp. 1205-1230. Available at: </w:t>
      </w:r>
      <w:hyperlink r:id="rId16" w:tgtFrame="_blank" w:history="1">
        <w:r w:rsidRPr="00406AF9">
          <w:rPr>
            <w:rStyle w:val="Hyperlink"/>
            <w:rFonts w:ascii="Arial" w:hAnsi="Arial" w:cs="Arial"/>
            <w:lang w:val="en-US"/>
          </w:rPr>
          <w:t>https://onlinelibrary.wiley.com/journal/10970266</w:t>
        </w:r>
      </w:hyperlink>
      <w:r w:rsidRPr="00406AF9">
        <w:rPr>
          <w:rFonts w:ascii="Arial" w:hAnsi="Arial" w:cs="Arial"/>
          <w:lang w:val="en-US"/>
        </w:rPr>
        <w:t xml:space="preserve"> (Accessed: 21 December 2025).</w:t>
      </w:r>
    </w:p>
    <w:p w14:paraId="4B7F3A4E" w14:textId="15240BE0" w:rsidR="00406AF9" w:rsidRPr="00406AF9" w:rsidRDefault="00406AF9" w:rsidP="00DB630A">
      <w:pPr>
        <w:pStyle w:val="NormalWeb"/>
        <w:spacing w:line="360" w:lineRule="auto"/>
        <w:rPr>
          <w:rFonts w:ascii="Arial" w:hAnsi="Arial" w:cs="Arial"/>
          <w:lang w:val="en-US"/>
        </w:rPr>
      </w:pPr>
      <w:r w:rsidRPr="00406AF9">
        <w:rPr>
          <w:rFonts w:ascii="Arial" w:hAnsi="Arial" w:cs="Arial"/>
          <w:lang w:val="en-US"/>
        </w:rPr>
        <w:t xml:space="preserve">The Economist (2024) </w:t>
      </w:r>
      <w:r w:rsidRPr="00406AF9">
        <w:rPr>
          <w:rFonts w:ascii="Arial" w:hAnsi="Arial" w:cs="Arial"/>
          <w:i/>
          <w:iCs/>
          <w:lang w:val="en-US"/>
        </w:rPr>
        <w:t>The New Age of Capital Rationing</w:t>
      </w:r>
      <w:r w:rsidRPr="00406AF9">
        <w:rPr>
          <w:rFonts w:ascii="Arial" w:hAnsi="Arial" w:cs="Arial"/>
          <w:lang w:val="en-US"/>
        </w:rPr>
        <w:t xml:space="preserve">. Available at: </w:t>
      </w:r>
      <w:hyperlink r:id="rId17" w:tgtFrame="_blank" w:history="1">
        <w:r w:rsidRPr="00406AF9">
          <w:rPr>
            <w:rStyle w:val="Hyperlink"/>
            <w:rFonts w:ascii="Arial" w:hAnsi="Arial" w:cs="Arial"/>
            <w:lang w:val="en-US"/>
          </w:rPr>
          <w:t>https://www.economist.com</w:t>
        </w:r>
      </w:hyperlink>
      <w:r w:rsidRPr="00406AF9">
        <w:rPr>
          <w:rFonts w:ascii="Arial" w:hAnsi="Arial" w:cs="Arial"/>
          <w:lang w:val="en-US"/>
        </w:rPr>
        <w:t xml:space="preserve"> (Accessed: 21 December 2025).</w:t>
      </w:r>
    </w:p>
    <w:p w14:paraId="6AECB1FA" w14:textId="22E8540A" w:rsidR="00406AF9" w:rsidRPr="00406AF9" w:rsidRDefault="00406AF9" w:rsidP="00DB630A">
      <w:pPr>
        <w:pStyle w:val="NormalWeb"/>
        <w:spacing w:line="360" w:lineRule="auto"/>
        <w:rPr>
          <w:rFonts w:ascii="Arial" w:hAnsi="Arial" w:cs="Arial"/>
          <w:lang w:val="en-US"/>
        </w:rPr>
      </w:pPr>
      <w:r w:rsidRPr="00406AF9">
        <w:rPr>
          <w:rFonts w:ascii="Arial" w:hAnsi="Arial" w:cs="Arial"/>
          <w:lang w:val="en-US"/>
        </w:rPr>
        <w:t xml:space="preserve">The Financial Times (2024) </w:t>
      </w:r>
      <w:r w:rsidRPr="00406AF9">
        <w:rPr>
          <w:rFonts w:ascii="Arial" w:hAnsi="Arial" w:cs="Arial"/>
          <w:i/>
          <w:iCs/>
          <w:lang w:val="en-US"/>
        </w:rPr>
        <w:t>Fiduciary Duty and Value-Destructive Investments</w:t>
      </w:r>
      <w:r w:rsidRPr="00406AF9">
        <w:rPr>
          <w:rFonts w:ascii="Arial" w:hAnsi="Arial" w:cs="Arial"/>
          <w:lang w:val="en-US"/>
        </w:rPr>
        <w:t xml:space="preserve">. Available at: </w:t>
      </w:r>
      <w:hyperlink r:id="rId18" w:tgtFrame="_blank" w:history="1">
        <w:r w:rsidRPr="00406AF9">
          <w:rPr>
            <w:rStyle w:val="Hyperlink"/>
            <w:rFonts w:ascii="Arial" w:hAnsi="Arial" w:cs="Arial"/>
            <w:lang w:val="en-US"/>
          </w:rPr>
          <w:t>https://www.ft.com</w:t>
        </w:r>
      </w:hyperlink>
      <w:r w:rsidRPr="00406AF9">
        <w:rPr>
          <w:rFonts w:ascii="Arial" w:hAnsi="Arial" w:cs="Arial"/>
          <w:lang w:val="en-US"/>
        </w:rPr>
        <w:t xml:space="preserve"> (Accessed: 21 December 2025).</w:t>
      </w:r>
    </w:p>
    <w:p w14:paraId="0757F362" w14:textId="45ECB7EF"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Bloomberg (2023) </w:t>
      </w:r>
      <w:r w:rsidRPr="0023736A">
        <w:rPr>
          <w:rFonts w:ascii="Arial" w:hAnsi="Arial" w:cs="Arial"/>
          <w:i/>
          <w:iCs/>
          <w:lang w:val="en-US"/>
        </w:rPr>
        <w:t>The Liquidity Crisis in Legacy Tech</w:t>
      </w:r>
      <w:r w:rsidRPr="0023736A">
        <w:rPr>
          <w:rFonts w:ascii="Arial" w:hAnsi="Arial" w:cs="Arial"/>
          <w:lang w:val="en-US"/>
        </w:rPr>
        <w:t xml:space="preserve">. Available at: </w:t>
      </w:r>
      <w:hyperlink r:id="rId19" w:tgtFrame="_blank" w:history="1">
        <w:r w:rsidRPr="0023736A">
          <w:rPr>
            <w:rStyle w:val="Hyperlink"/>
            <w:rFonts w:ascii="Arial" w:hAnsi="Arial" w:cs="Arial"/>
            <w:lang w:val="en-US"/>
          </w:rPr>
          <w:t>https://www.bloomberg.com</w:t>
        </w:r>
      </w:hyperlink>
      <w:r w:rsidRPr="0023736A">
        <w:rPr>
          <w:rFonts w:ascii="Arial" w:hAnsi="Arial" w:cs="Arial"/>
          <w:lang w:val="en-US"/>
        </w:rPr>
        <w:t xml:space="preserve"> (Accessed: 21 December 2025).</w:t>
      </w:r>
    </w:p>
    <w:p w14:paraId="5420B9A9" w14:textId="25591D6C"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lastRenderedPageBreak/>
        <w:t xml:space="preserve">Forbes (2024) </w:t>
      </w:r>
      <w:r w:rsidRPr="0023736A">
        <w:rPr>
          <w:rFonts w:ascii="Arial" w:hAnsi="Arial" w:cs="Arial"/>
          <w:i/>
          <w:iCs/>
          <w:lang w:val="en-US"/>
        </w:rPr>
        <w:t>Why Ethical Turnarounds are the New Standard</w:t>
      </w:r>
      <w:r w:rsidRPr="0023736A">
        <w:rPr>
          <w:rFonts w:ascii="Arial" w:hAnsi="Arial" w:cs="Arial"/>
          <w:lang w:val="en-US"/>
        </w:rPr>
        <w:t xml:space="preserve">. Available at: </w:t>
      </w:r>
      <w:hyperlink r:id="rId20" w:tgtFrame="_blank" w:history="1">
        <w:r w:rsidRPr="0023736A">
          <w:rPr>
            <w:rStyle w:val="Hyperlink"/>
            <w:rFonts w:ascii="Arial" w:hAnsi="Arial" w:cs="Arial"/>
            <w:lang w:val="en-US"/>
          </w:rPr>
          <w:t>https://www.forbes.com</w:t>
        </w:r>
      </w:hyperlink>
      <w:r w:rsidRPr="0023736A">
        <w:rPr>
          <w:rFonts w:ascii="Arial" w:hAnsi="Arial" w:cs="Arial"/>
          <w:lang w:val="en-US"/>
        </w:rPr>
        <w:t xml:space="preserve"> (Accessed: 21 December 2025).</w:t>
      </w:r>
    </w:p>
    <w:p w14:paraId="067F780B" w14:textId="66CA8AA7"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GE Aerospace (2024) </w:t>
      </w:r>
      <w:r w:rsidRPr="0023736A">
        <w:rPr>
          <w:rFonts w:ascii="Arial" w:hAnsi="Arial" w:cs="Arial"/>
          <w:i/>
          <w:iCs/>
          <w:lang w:val="en-US"/>
        </w:rPr>
        <w:t>2024 Annual Report: Taking Flight as an Independent Company</w:t>
      </w:r>
      <w:r w:rsidRPr="0023736A">
        <w:rPr>
          <w:rFonts w:ascii="Arial" w:hAnsi="Arial" w:cs="Arial"/>
          <w:lang w:val="en-US"/>
        </w:rPr>
        <w:t xml:space="preserve">. Available at: </w:t>
      </w:r>
      <w:hyperlink r:id="rId21" w:tgtFrame="_blank" w:history="1">
        <w:r w:rsidRPr="0023736A">
          <w:rPr>
            <w:rStyle w:val="Hyperlink"/>
            <w:rFonts w:ascii="Arial" w:hAnsi="Arial" w:cs="Arial"/>
            <w:lang w:val="en-US"/>
          </w:rPr>
          <w:t>https://www.geaerospace.com/investor-relations</w:t>
        </w:r>
      </w:hyperlink>
      <w:r w:rsidRPr="0023736A">
        <w:rPr>
          <w:rFonts w:ascii="Arial" w:hAnsi="Arial" w:cs="Arial"/>
          <w:lang w:val="en-US"/>
        </w:rPr>
        <w:t xml:space="preserve"> (Accessed: 21 December 2025).</w:t>
      </w:r>
    </w:p>
    <w:p w14:paraId="632CE3D5" w14:textId="03362162"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Harvard Business Review (2021) ‘The Art of the Corporate Spin-Off’, </w:t>
      </w:r>
      <w:r w:rsidRPr="0023736A">
        <w:rPr>
          <w:rFonts w:ascii="Arial" w:hAnsi="Arial" w:cs="Arial"/>
          <w:i/>
          <w:iCs/>
          <w:lang w:val="en-US"/>
        </w:rPr>
        <w:t>HBR Online</w:t>
      </w:r>
      <w:r w:rsidRPr="0023736A">
        <w:rPr>
          <w:rFonts w:ascii="Arial" w:hAnsi="Arial" w:cs="Arial"/>
          <w:lang w:val="en-US"/>
        </w:rPr>
        <w:t xml:space="preserve">. Available at: </w:t>
      </w:r>
      <w:hyperlink r:id="rId22" w:tgtFrame="_blank" w:history="1">
        <w:r w:rsidRPr="0023736A">
          <w:rPr>
            <w:rStyle w:val="Hyperlink"/>
            <w:rFonts w:ascii="Arial" w:hAnsi="Arial" w:cs="Arial"/>
            <w:lang w:val="en-US"/>
          </w:rPr>
          <w:t>https://hbr.org</w:t>
        </w:r>
      </w:hyperlink>
      <w:r w:rsidRPr="0023736A">
        <w:rPr>
          <w:rFonts w:ascii="Arial" w:hAnsi="Arial" w:cs="Arial"/>
          <w:lang w:val="en-US"/>
        </w:rPr>
        <w:t xml:space="preserve"> (Accessed: 21 December 2025).</w:t>
      </w:r>
    </w:p>
    <w:p w14:paraId="4C2D582A" w14:textId="4EAB519E"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IBISWorld (2024) </w:t>
      </w:r>
      <w:r w:rsidRPr="0023736A">
        <w:rPr>
          <w:rFonts w:ascii="Arial" w:hAnsi="Arial" w:cs="Arial"/>
          <w:i/>
          <w:iCs/>
          <w:lang w:val="en-US"/>
        </w:rPr>
        <w:t>Global Consumer Electronics Manufacturing Industry Report</w:t>
      </w:r>
      <w:r w:rsidRPr="0023736A">
        <w:rPr>
          <w:rFonts w:ascii="Arial" w:hAnsi="Arial" w:cs="Arial"/>
          <w:lang w:val="en-US"/>
        </w:rPr>
        <w:t xml:space="preserve">. Available at: </w:t>
      </w:r>
      <w:hyperlink r:id="rId23" w:tgtFrame="_blank" w:history="1">
        <w:r w:rsidRPr="0023736A">
          <w:rPr>
            <w:rStyle w:val="Hyperlink"/>
            <w:rFonts w:ascii="Arial" w:hAnsi="Arial" w:cs="Arial"/>
            <w:lang w:val="en-US"/>
          </w:rPr>
          <w:t>https://www.ibisworld.com</w:t>
        </w:r>
      </w:hyperlink>
      <w:r w:rsidRPr="0023736A">
        <w:rPr>
          <w:rFonts w:ascii="Arial" w:hAnsi="Arial" w:cs="Arial"/>
          <w:lang w:val="en-US"/>
        </w:rPr>
        <w:t xml:space="preserve"> (Accessed: 21 December 2025).</w:t>
      </w:r>
    </w:p>
    <w:p w14:paraId="029C31C8" w14:textId="1D66E9E7"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IMF (2024) </w:t>
      </w:r>
      <w:r w:rsidRPr="0023736A">
        <w:rPr>
          <w:rFonts w:ascii="Arial" w:hAnsi="Arial" w:cs="Arial"/>
          <w:i/>
          <w:iCs/>
          <w:lang w:val="en-US"/>
        </w:rPr>
        <w:t>Global Taxation Trends and the OECD Pillar Two Impact</w:t>
      </w:r>
      <w:r w:rsidRPr="0023736A">
        <w:rPr>
          <w:rFonts w:ascii="Arial" w:hAnsi="Arial" w:cs="Arial"/>
          <w:lang w:val="en-US"/>
        </w:rPr>
        <w:t xml:space="preserve">. Available at: </w:t>
      </w:r>
      <w:hyperlink r:id="rId24" w:tgtFrame="_blank" w:history="1">
        <w:r w:rsidRPr="0023736A">
          <w:rPr>
            <w:rStyle w:val="Hyperlink"/>
            <w:rFonts w:ascii="Arial" w:hAnsi="Arial" w:cs="Arial"/>
            <w:lang w:val="en-US"/>
          </w:rPr>
          <w:t>https://www.imf.org</w:t>
        </w:r>
      </w:hyperlink>
      <w:r w:rsidRPr="0023736A">
        <w:rPr>
          <w:rFonts w:ascii="Arial" w:hAnsi="Arial" w:cs="Arial"/>
          <w:lang w:val="en-US"/>
        </w:rPr>
        <w:t xml:space="preserve"> (Accessed: 21 December 2025).</w:t>
      </w:r>
    </w:p>
    <w:p w14:paraId="3D2E760F" w14:textId="102802AF"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Sharp Global (2024) </w:t>
      </w:r>
      <w:r w:rsidRPr="0023736A">
        <w:rPr>
          <w:rFonts w:ascii="Arial" w:hAnsi="Arial" w:cs="Arial"/>
          <w:i/>
          <w:iCs/>
          <w:lang w:val="en-US"/>
        </w:rPr>
        <w:t>Annual Report 2024: Medium-Term Management Direction</w:t>
      </w:r>
      <w:r w:rsidRPr="0023736A">
        <w:rPr>
          <w:rFonts w:ascii="Arial" w:hAnsi="Arial" w:cs="Arial"/>
          <w:lang w:val="en-US"/>
        </w:rPr>
        <w:t xml:space="preserve">. Available at: </w:t>
      </w:r>
      <w:hyperlink r:id="rId25" w:tgtFrame="_blank" w:history="1">
        <w:r w:rsidRPr="0023736A">
          <w:rPr>
            <w:rStyle w:val="Hyperlink"/>
            <w:rFonts w:ascii="Arial" w:hAnsi="Arial" w:cs="Arial"/>
            <w:lang w:val="en-US"/>
          </w:rPr>
          <w:t>https://global.sharp/corporate/ir/</w:t>
        </w:r>
      </w:hyperlink>
      <w:r w:rsidRPr="0023736A">
        <w:rPr>
          <w:rFonts w:ascii="Arial" w:hAnsi="Arial" w:cs="Arial"/>
          <w:lang w:val="en-US"/>
        </w:rPr>
        <w:t xml:space="preserve"> (Accessed: 21 December 2025).</w:t>
      </w:r>
    </w:p>
    <w:p w14:paraId="3A740454" w14:textId="69FBBD27"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Statista (2024) </w:t>
      </w:r>
      <w:r w:rsidRPr="0023736A">
        <w:rPr>
          <w:rFonts w:ascii="Arial" w:hAnsi="Arial" w:cs="Arial"/>
          <w:i/>
          <w:iCs/>
          <w:lang w:val="en-US"/>
        </w:rPr>
        <w:t>Semiconductor Pricing and Global Inflation 2020-2025</w:t>
      </w:r>
      <w:r w:rsidRPr="0023736A">
        <w:rPr>
          <w:rFonts w:ascii="Arial" w:hAnsi="Arial" w:cs="Arial"/>
          <w:lang w:val="en-US"/>
        </w:rPr>
        <w:t xml:space="preserve">. Available at: </w:t>
      </w:r>
      <w:hyperlink r:id="rId26" w:tgtFrame="_blank" w:history="1">
        <w:r w:rsidRPr="0023736A">
          <w:rPr>
            <w:rStyle w:val="Hyperlink"/>
            <w:rFonts w:ascii="Arial" w:hAnsi="Arial" w:cs="Arial"/>
            <w:lang w:val="en-US"/>
          </w:rPr>
          <w:t>https://www.statista.com</w:t>
        </w:r>
      </w:hyperlink>
      <w:r w:rsidRPr="0023736A">
        <w:rPr>
          <w:rFonts w:ascii="Arial" w:hAnsi="Arial" w:cs="Arial"/>
          <w:lang w:val="en-US"/>
        </w:rPr>
        <w:t xml:space="preserve"> (Accessed: 21 December 2025).</w:t>
      </w:r>
    </w:p>
    <w:p w14:paraId="0FD6E40F" w14:textId="7994693D"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Strategic Management Journal (2022) ‘Restructuring for Resilience: A Study of Declining Titans’, 43(12), pp. 2450-2475. Available at: </w:t>
      </w:r>
      <w:hyperlink r:id="rId27" w:tgtFrame="_blank" w:history="1">
        <w:r w:rsidRPr="0023736A">
          <w:rPr>
            <w:rStyle w:val="Hyperlink"/>
            <w:rFonts w:ascii="Arial" w:hAnsi="Arial" w:cs="Arial"/>
            <w:lang w:val="en-US"/>
          </w:rPr>
          <w:t>https://onlinelibrary.wiley.com/journal/10970266</w:t>
        </w:r>
      </w:hyperlink>
      <w:r w:rsidRPr="0023736A">
        <w:rPr>
          <w:rFonts w:ascii="Arial" w:hAnsi="Arial" w:cs="Arial"/>
          <w:lang w:val="en-US"/>
        </w:rPr>
        <w:t xml:space="preserve"> (Accessed: 21 December 2025).</w:t>
      </w:r>
    </w:p>
    <w:p w14:paraId="41F7C93F" w14:textId="4D9654D3"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The Economist (2024) </w:t>
      </w:r>
      <w:r w:rsidRPr="0023736A">
        <w:rPr>
          <w:rFonts w:ascii="Arial" w:hAnsi="Arial" w:cs="Arial"/>
          <w:i/>
          <w:iCs/>
          <w:lang w:val="en-US"/>
        </w:rPr>
        <w:t>Transfer Pricing in the Age of AI</w:t>
      </w:r>
      <w:r w:rsidRPr="0023736A">
        <w:rPr>
          <w:rFonts w:ascii="Arial" w:hAnsi="Arial" w:cs="Arial"/>
          <w:lang w:val="en-US"/>
        </w:rPr>
        <w:t xml:space="preserve">. Available at: </w:t>
      </w:r>
      <w:hyperlink r:id="rId28" w:tgtFrame="_blank" w:history="1">
        <w:r w:rsidRPr="0023736A">
          <w:rPr>
            <w:rStyle w:val="Hyperlink"/>
            <w:rFonts w:ascii="Arial" w:hAnsi="Arial" w:cs="Arial"/>
            <w:lang w:val="en-US"/>
          </w:rPr>
          <w:t>https://www.economist.com</w:t>
        </w:r>
      </w:hyperlink>
      <w:r w:rsidRPr="0023736A">
        <w:rPr>
          <w:rFonts w:ascii="Arial" w:hAnsi="Arial" w:cs="Arial"/>
          <w:lang w:val="en-US"/>
        </w:rPr>
        <w:t xml:space="preserve"> (Accessed: 21 December 2025).</w:t>
      </w:r>
    </w:p>
    <w:p w14:paraId="59F05FC2" w14:textId="1B4112AC"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The Financial Times (2024) </w:t>
      </w:r>
      <w:r w:rsidRPr="0023736A">
        <w:rPr>
          <w:rFonts w:ascii="Arial" w:hAnsi="Arial" w:cs="Arial"/>
          <w:i/>
          <w:iCs/>
          <w:lang w:val="en-US"/>
        </w:rPr>
        <w:t>Corporate Restructuring: Lessons from the 2023 Tech Slump</w:t>
      </w:r>
      <w:r w:rsidRPr="0023736A">
        <w:rPr>
          <w:rFonts w:ascii="Arial" w:hAnsi="Arial" w:cs="Arial"/>
          <w:lang w:val="en-US"/>
        </w:rPr>
        <w:t xml:space="preserve">. Available at: </w:t>
      </w:r>
      <w:hyperlink r:id="rId29" w:tgtFrame="_blank" w:history="1">
        <w:r w:rsidRPr="0023736A">
          <w:rPr>
            <w:rStyle w:val="Hyperlink"/>
            <w:rFonts w:ascii="Arial" w:hAnsi="Arial" w:cs="Arial"/>
            <w:lang w:val="en-US"/>
          </w:rPr>
          <w:t>https://www.ft.com</w:t>
        </w:r>
      </w:hyperlink>
      <w:r w:rsidRPr="0023736A">
        <w:rPr>
          <w:rFonts w:ascii="Arial" w:hAnsi="Arial" w:cs="Arial"/>
          <w:lang w:val="en-US"/>
        </w:rPr>
        <w:t xml:space="preserve"> (Accessed: 21 December 2025).</w:t>
      </w:r>
    </w:p>
    <w:p w14:paraId="152EB76D" w14:textId="2A76192B"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Bloomberg (2023) </w:t>
      </w:r>
      <w:r w:rsidRPr="0023736A">
        <w:rPr>
          <w:rFonts w:ascii="Arial" w:hAnsi="Arial" w:cs="Arial"/>
          <w:i/>
          <w:iCs/>
          <w:lang w:val="en-US"/>
        </w:rPr>
        <w:t>Supply Chain Volatility and the Consumer Electronics Sector</w:t>
      </w:r>
      <w:r w:rsidRPr="0023736A">
        <w:rPr>
          <w:rFonts w:ascii="Arial" w:hAnsi="Arial" w:cs="Arial"/>
          <w:lang w:val="en-US"/>
        </w:rPr>
        <w:t xml:space="preserve">. Available at: </w:t>
      </w:r>
      <w:hyperlink r:id="rId30" w:tgtFrame="_blank" w:history="1">
        <w:r w:rsidRPr="0023736A">
          <w:rPr>
            <w:rStyle w:val="Hyperlink"/>
            <w:rFonts w:ascii="Arial" w:hAnsi="Arial" w:cs="Arial"/>
            <w:lang w:val="en-US"/>
          </w:rPr>
          <w:t>https://www.bloomberg.com</w:t>
        </w:r>
      </w:hyperlink>
      <w:r w:rsidRPr="0023736A">
        <w:rPr>
          <w:rFonts w:ascii="Arial" w:hAnsi="Arial" w:cs="Arial"/>
          <w:lang w:val="en-US"/>
        </w:rPr>
        <w:t xml:space="preserve"> (Accessed: 21 December 2025).</w:t>
      </w:r>
    </w:p>
    <w:p w14:paraId="6CC8D26A" w14:textId="77CB5614"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Forbes (2024) </w:t>
      </w:r>
      <w:r w:rsidRPr="0023736A">
        <w:rPr>
          <w:rFonts w:ascii="Arial" w:hAnsi="Arial" w:cs="Arial"/>
          <w:i/>
          <w:iCs/>
          <w:lang w:val="en-US"/>
        </w:rPr>
        <w:t>The Future of Supply Chain Finance in Tech</w:t>
      </w:r>
      <w:r w:rsidRPr="0023736A">
        <w:rPr>
          <w:rFonts w:ascii="Arial" w:hAnsi="Arial" w:cs="Arial"/>
          <w:lang w:val="en-US"/>
        </w:rPr>
        <w:t xml:space="preserve">. Available at: </w:t>
      </w:r>
      <w:hyperlink r:id="rId31" w:tgtFrame="_blank" w:history="1">
        <w:r w:rsidRPr="0023736A">
          <w:rPr>
            <w:rStyle w:val="Hyperlink"/>
            <w:rFonts w:ascii="Arial" w:hAnsi="Arial" w:cs="Arial"/>
            <w:lang w:val="en-US"/>
          </w:rPr>
          <w:t>https://www.forbes.com</w:t>
        </w:r>
      </w:hyperlink>
      <w:r w:rsidRPr="0023736A">
        <w:rPr>
          <w:rFonts w:ascii="Arial" w:hAnsi="Arial" w:cs="Arial"/>
          <w:lang w:val="en-US"/>
        </w:rPr>
        <w:t xml:space="preserve"> (Accessed: 21 December 2025).</w:t>
      </w:r>
    </w:p>
    <w:p w14:paraId="6F3D2883" w14:textId="4EB228CA"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lastRenderedPageBreak/>
        <w:t xml:space="preserve">Harvard Business Review (2021) ‘Improve Your Cash Conversion Cycle’, </w:t>
      </w:r>
      <w:r w:rsidRPr="0023736A">
        <w:rPr>
          <w:rFonts w:ascii="Arial" w:hAnsi="Arial" w:cs="Arial"/>
          <w:i/>
          <w:iCs/>
          <w:lang w:val="en-US"/>
        </w:rPr>
        <w:t>HBR Online</w:t>
      </w:r>
      <w:r w:rsidRPr="0023736A">
        <w:rPr>
          <w:rFonts w:ascii="Arial" w:hAnsi="Arial" w:cs="Arial"/>
          <w:lang w:val="en-US"/>
        </w:rPr>
        <w:t xml:space="preserve">. Available at: </w:t>
      </w:r>
      <w:hyperlink r:id="rId32" w:tgtFrame="_blank" w:history="1">
        <w:r w:rsidRPr="0023736A">
          <w:rPr>
            <w:rStyle w:val="Hyperlink"/>
            <w:rFonts w:ascii="Arial" w:hAnsi="Arial" w:cs="Arial"/>
            <w:lang w:val="en-US"/>
          </w:rPr>
          <w:t>https://hbr.org</w:t>
        </w:r>
      </w:hyperlink>
      <w:r w:rsidRPr="0023736A">
        <w:rPr>
          <w:rFonts w:ascii="Arial" w:hAnsi="Arial" w:cs="Arial"/>
          <w:lang w:val="en-US"/>
        </w:rPr>
        <w:t xml:space="preserve"> (Accessed: 21 December 2025).</w:t>
      </w:r>
    </w:p>
    <w:p w14:paraId="18481B1C" w14:textId="23D39A09"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IBISWorld (2024) </w:t>
      </w:r>
      <w:r w:rsidRPr="0023736A">
        <w:rPr>
          <w:rFonts w:ascii="Arial" w:hAnsi="Arial" w:cs="Arial"/>
          <w:i/>
          <w:iCs/>
          <w:lang w:val="en-US"/>
        </w:rPr>
        <w:t>Global Consumer Electronics Industry Analysis</w:t>
      </w:r>
      <w:r w:rsidRPr="0023736A">
        <w:rPr>
          <w:rFonts w:ascii="Arial" w:hAnsi="Arial" w:cs="Arial"/>
          <w:lang w:val="en-US"/>
        </w:rPr>
        <w:t xml:space="preserve">. Available at: </w:t>
      </w:r>
      <w:hyperlink r:id="rId33" w:tgtFrame="_blank" w:history="1">
        <w:r w:rsidRPr="0023736A">
          <w:rPr>
            <w:rStyle w:val="Hyperlink"/>
            <w:rFonts w:ascii="Arial" w:hAnsi="Arial" w:cs="Arial"/>
            <w:lang w:val="en-US"/>
          </w:rPr>
          <w:t>https://www.ibisworld.com</w:t>
        </w:r>
      </w:hyperlink>
      <w:r w:rsidRPr="0023736A">
        <w:rPr>
          <w:rFonts w:ascii="Arial" w:hAnsi="Arial" w:cs="Arial"/>
          <w:lang w:val="en-US"/>
        </w:rPr>
        <w:t xml:space="preserve"> (Accessed: 21 December 2025).</w:t>
      </w:r>
    </w:p>
    <w:p w14:paraId="2144BBD8" w14:textId="07C91E25"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MarketLine (2024) </w:t>
      </w:r>
      <w:r w:rsidRPr="0023736A">
        <w:rPr>
          <w:rFonts w:ascii="Arial" w:hAnsi="Arial" w:cs="Arial"/>
          <w:i/>
          <w:iCs/>
          <w:lang w:val="en-US"/>
        </w:rPr>
        <w:t>Technological Shifts in the Consumer Goods Market</w:t>
      </w:r>
      <w:r w:rsidRPr="0023736A">
        <w:rPr>
          <w:rFonts w:ascii="Arial" w:hAnsi="Arial" w:cs="Arial"/>
          <w:lang w:val="en-US"/>
        </w:rPr>
        <w:t xml:space="preserve">. Available at: </w:t>
      </w:r>
      <w:hyperlink r:id="rId34" w:tgtFrame="_blank" w:history="1">
        <w:r w:rsidRPr="0023736A">
          <w:rPr>
            <w:rStyle w:val="Hyperlink"/>
            <w:rFonts w:ascii="Arial" w:hAnsi="Arial" w:cs="Arial"/>
            <w:lang w:val="en-US"/>
          </w:rPr>
          <w:t>https://www.marketline.com</w:t>
        </w:r>
      </w:hyperlink>
      <w:r w:rsidRPr="0023736A">
        <w:rPr>
          <w:rFonts w:ascii="Arial" w:hAnsi="Arial" w:cs="Arial"/>
          <w:lang w:val="en-US"/>
        </w:rPr>
        <w:t xml:space="preserve"> (Accessed: 21 December 2025).</w:t>
      </w:r>
    </w:p>
    <w:p w14:paraId="64E7098F" w14:textId="499620DF"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Statista (2024) </w:t>
      </w:r>
      <w:r w:rsidRPr="0023736A">
        <w:rPr>
          <w:rFonts w:ascii="Arial" w:hAnsi="Arial" w:cs="Arial"/>
          <w:i/>
          <w:iCs/>
          <w:lang w:val="en-US"/>
        </w:rPr>
        <w:t>Days Sales Outstanding (DSO) Trends by Industry</w:t>
      </w:r>
      <w:r w:rsidRPr="0023736A">
        <w:rPr>
          <w:rFonts w:ascii="Arial" w:hAnsi="Arial" w:cs="Arial"/>
          <w:lang w:val="en-US"/>
        </w:rPr>
        <w:t xml:space="preserve">. Available at: </w:t>
      </w:r>
      <w:hyperlink r:id="rId35" w:tgtFrame="_blank" w:history="1">
        <w:r w:rsidRPr="0023736A">
          <w:rPr>
            <w:rStyle w:val="Hyperlink"/>
            <w:rFonts w:ascii="Arial" w:hAnsi="Arial" w:cs="Arial"/>
            <w:lang w:val="en-US"/>
          </w:rPr>
          <w:t>https://www.statista.com</w:t>
        </w:r>
      </w:hyperlink>
      <w:r w:rsidRPr="0023736A">
        <w:rPr>
          <w:rFonts w:ascii="Arial" w:hAnsi="Arial" w:cs="Arial"/>
          <w:lang w:val="en-US"/>
        </w:rPr>
        <w:t xml:space="preserve"> (Accessed: 21 December 2025).</w:t>
      </w:r>
    </w:p>
    <w:p w14:paraId="0E66A6B7" w14:textId="1F77E407"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Strategic Management Journal (2022) ‘Predictive Analytics in Working Capital Efficiency’, 43(8), pp. 1120-1145. Available at: </w:t>
      </w:r>
      <w:hyperlink r:id="rId36" w:tgtFrame="_blank" w:history="1">
        <w:r w:rsidRPr="0023736A">
          <w:rPr>
            <w:rStyle w:val="Hyperlink"/>
            <w:rFonts w:ascii="Arial" w:hAnsi="Arial" w:cs="Arial"/>
            <w:lang w:val="en-US"/>
          </w:rPr>
          <w:t>https://onlinelibrary.wiley.com/journal/10970266</w:t>
        </w:r>
      </w:hyperlink>
      <w:r w:rsidRPr="0023736A">
        <w:rPr>
          <w:rFonts w:ascii="Arial" w:hAnsi="Arial" w:cs="Arial"/>
          <w:lang w:val="en-US"/>
        </w:rPr>
        <w:t xml:space="preserve"> (Accessed: 21 December 2025).</w:t>
      </w:r>
    </w:p>
    <w:p w14:paraId="13168650" w14:textId="5573B24A"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The Economist (2024) </w:t>
      </w:r>
      <w:r w:rsidRPr="0023736A">
        <w:rPr>
          <w:rFonts w:ascii="Arial" w:hAnsi="Arial" w:cs="Arial"/>
          <w:i/>
          <w:iCs/>
          <w:lang w:val="en-US"/>
        </w:rPr>
        <w:t>Corporate Debt and the New Interest Rate Reality</w:t>
      </w:r>
      <w:r w:rsidRPr="0023736A">
        <w:rPr>
          <w:rFonts w:ascii="Arial" w:hAnsi="Arial" w:cs="Arial"/>
          <w:lang w:val="en-US"/>
        </w:rPr>
        <w:t xml:space="preserve">. Available at: </w:t>
      </w:r>
      <w:hyperlink r:id="rId37" w:tgtFrame="_blank" w:history="1">
        <w:r w:rsidRPr="0023736A">
          <w:rPr>
            <w:rStyle w:val="Hyperlink"/>
            <w:rFonts w:ascii="Arial" w:hAnsi="Arial" w:cs="Arial"/>
            <w:lang w:val="en-US"/>
          </w:rPr>
          <w:t>https://www.economist.com</w:t>
        </w:r>
      </w:hyperlink>
      <w:r w:rsidRPr="0023736A">
        <w:rPr>
          <w:rFonts w:ascii="Arial" w:hAnsi="Arial" w:cs="Arial"/>
          <w:lang w:val="en-US"/>
        </w:rPr>
        <w:t xml:space="preserve"> (Accessed: 21 December 2025).</w:t>
      </w:r>
    </w:p>
    <w:p w14:paraId="622B57A5" w14:textId="528BA13D"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The Financial Times (2024) </w:t>
      </w:r>
      <w:r w:rsidRPr="0023736A">
        <w:rPr>
          <w:rFonts w:ascii="Arial" w:hAnsi="Arial" w:cs="Arial"/>
          <w:i/>
          <w:iCs/>
          <w:lang w:val="en-US"/>
        </w:rPr>
        <w:t>Semiconductor Shortages and Supplier Relations</w:t>
      </w:r>
      <w:r w:rsidRPr="0023736A">
        <w:rPr>
          <w:rFonts w:ascii="Arial" w:hAnsi="Arial" w:cs="Arial"/>
          <w:lang w:val="en-US"/>
        </w:rPr>
        <w:t xml:space="preserve">. Available at: </w:t>
      </w:r>
      <w:hyperlink r:id="rId38" w:tgtFrame="_blank" w:history="1">
        <w:r w:rsidRPr="0023736A">
          <w:rPr>
            <w:rStyle w:val="Hyperlink"/>
            <w:rFonts w:ascii="Arial" w:hAnsi="Arial" w:cs="Arial"/>
            <w:lang w:val="en-US"/>
          </w:rPr>
          <w:t>https://www.ft.com</w:t>
        </w:r>
      </w:hyperlink>
      <w:r w:rsidRPr="0023736A">
        <w:rPr>
          <w:rFonts w:ascii="Arial" w:hAnsi="Arial" w:cs="Arial"/>
          <w:lang w:val="en-US"/>
        </w:rPr>
        <w:t xml:space="preserve"> (Accessed: 21 December 2025).</w:t>
      </w:r>
    </w:p>
    <w:p w14:paraId="18DE2E53" w14:textId="51B591A0"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Altman, E. I. (2020) ‘Retrospective on the Z-score model’, </w:t>
      </w:r>
      <w:r w:rsidRPr="0023736A">
        <w:rPr>
          <w:rFonts w:ascii="Arial" w:hAnsi="Arial" w:cs="Arial"/>
          <w:i/>
          <w:iCs/>
          <w:lang w:val="en-US"/>
        </w:rPr>
        <w:t>Journal of Corporate Finance</w:t>
      </w:r>
      <w:r w:rsidRPr="0023736A">
        <w:rPr>
          <w:rFonts w:ascii="Arial" w:hAnsi="Arial" w:cs="Arial"/>
          <w:lang w:val="en-US"/>
        </w:rPr>
        <w:t xml:space="preserve">, 64, pp. 101-115. Available at: </w:t>
      </w:r>
      <w:hyperlink r:id="rId39" w:tgtFrame="_blank" w:history="1">
        <w:r w:rsidRPr="0023736A">
          <w:rPr>
            <w:rStyle w:val="Hyperlink"/>
            <w:rFonts w:ascii="Arial" w:hAnsi="Arial" w:cs="Arial"/>
            <w:lang w:val="en-US"/>
          </w:rPr>
          <w:t>https://www.sciencedirect.com/journal/journal-of-corporate-finance</w:t>
        </w:r>
      </w:hyperlink>
      <w:r w:rsidRPr="0023736A">
        <w:rPr>
          <w:rFonts w:ascii="Arial" w:hAnsi="Arial" w:cs="Arial"/>
          <w:lang w:val="en-US"/>
        </w:rPr>
        <w:t xml:space="preserve"> (Accessed: 21 December 2025).</w:t>
      </w:r>
    </w:p>
    <w:p w14:paraId="1EA3E6E5" w14:textId="3DA0999E"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Bloomberg (2023) </w:t>
      </w:r>
      <w:r w:rsidRPr="0023736A">
        <w:rPr>
          <w:rFonts w:ascii="Arial" w:hAnsi="Arial" w:cs="Arial"/>
          <w:i/>
          <w:iCs/>
          <w:lang w:val="en-US"/>
        </w:rPr>
        <w:t>Global Electronics Slump Hits Major Manufacturers</w:t>
      </w:r>
      <w:r w:rsidRPr="0023736A">
        <w:rPr>
          <w:rFonts w:ascii="Arial" w:hAnsi="Arial" w:cs="Arial"/>
          <w:lang w:val="en-US"/>
        </w:rPr>
        <w:t xml:space="preserve">. Available at: </w:t>
      </w:r>
      <w:hyperlink r:id="rId40" w:tgtFrame="_blank" w:history="1">
        <w:r w:rsidRPr="0023736A">
          <w:rPr>
            <w:rStyle w:val="Hyperlink"/>
            <w:rFonts w:ascii="Arial" w:hAnsi="Arial" w:cs="Arial"/>
            <w:lang w:val="en-US"/>
          </w:rPr>
          <w:t>https://www.bloomberg.com</w:t>
        </w:r>
      </w:hyperlink>
      <w:r w:rsidRPr="0023736A">
        <w:rPr>
          <w:rFonts w:ascii="Arial" w:hAnsi="Arial" w:cs="Arial"/>
          <w:lang w:val="en-US"/>
        </w:rPr>
        <w:t xml:space="preserve"> (Accessed: 21 December 2025).</w:t>
      </w:r>
    </w:p>
    <w:p w14:paraId="10DD9046" w14:textId="55320ADA"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Financial Times (2024) </w:t>
      </w:r>
      <w:r w:rsidRPr="0023736A">
        <w:rPr>
          <w:rFonts w:ascii="Arial" w:hAnsi="Arial" w:cs="Arial"/>
          <w:i/>
          <w:iCs/>
          <w:lang w:val="en-US"/>
        </w:rPr>
        <w:t>The Rise of Gearing in a High-Rate Environment</w:t>
      </w:r>
      <w:r w:rsidRPr="0023736A">
        <w:rPr>
          <w:rFonts w:ascii="Arial" w:hAnsi="Arial" w:cs="Arial"/>
          <w:lang w:val="en-US"/>
        </w:rPr>
        <w:t xml:space="preserve">. Available at: </w:t>
      </w:r>
      <w:hyperlink r:id="rId41" w:tgtFrame="_blank" w:history="1">
        <w:r w:rsidRPr="0023736A">
          <w:rPr>
            <w:rStyle w:val="Hyperlink"/>
            <w:rFonts w:ascii="Arial" w:hAnsi="Arial" w:cs="Arial"/>
            <w:lang w:val="en-US"/>
          </w:rPr>
          <w:t>https://www.ft.com</w:t>
        </w:r>
      </w:hyperlink>
      <w:r w:rsidRPr="0023736A">
        <w:rPr>
          <w:rFonts w:ascii="Arial" w:hAnsi="Arial" w:cs="Arial"/>
          <w:lang w:val="en-US"/>
        </w:rPr>
        <w:t xml:space="preserve"> (Accessed: 21 December 2025).</w:t>
      </w:r>
    </w:p>
    <w:p w14:paraId="1EF47FEF" w14:textId="7BD73FD5"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Forbes (2024) </w:t>
      </w:r>
      <w:r w:rsidRPr="0023736A">
        <w:rPr>
          <w:rFonts w:ascii="Arial" w:hAnsi="Arial" w:cs="Arial"/>
          <w:i/>
          <w:iCs/>
          <w:lang w:val="en-US"/>
        </w:rPr>
        <w:t>The AI Pivot: How Consumer Electronics is Changing</w:t>
      </w:r>
      <w:r w:rsidRPr="0023736A">
        <w:rPr>
          <w:rFonts w:ascii="Arial" w:hAnsi="Arial" w:cs="Arial"/>
          <w:lang w:val="en-US"/>
        </w:rPr>
        <w:t xml:space="preserve">. Available at: </w:t>
      </w:r>
      <w:hyperlink r:id="rId42" w:tgtFrame="_blank" w:history="1">
        <w:r w:rsidRPr="0023736A">
          <w:rPr>
            <w:rStyle w:val="Hyperlink"/>
            <w:rFonts w:ascii="Arial" w:hAnsi="Arial" w:cs="Arial"/>
            <w:lang w:val="en-US"/>
          </w:rPr>
          <w:t>https://www.forbes.com</w:t>
        </w:r>
      </w:hyperlink>
      <w:r w:rsidRPr="0023736A">
        <w:rPr>
          <w:rFonts w:ascii="Arial" w:hAnsi="Arial" w:cs="Arial"/>
          <w:lang w:val="en-US"/>
        </w:rPr>
        <w:t xml:space="preserve"> (Accessed: 21 December 2025).</w:t>
      </w:r>
    </w:p>
    <w:p w14:paraId="24DCB7A3" w14:textId="0BB8CB23"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lastRenderedPageBreak/>
        <w:t xml:space="preserve">Harvard Business Review (2021) ‘Why Return on Equity Still Matters’, </w:t>
      </w:r>
      <w:r w:rsidRPr="0023736A">
        <w:rPr>
          <w:rFonts w:ascii="Arial" w:hAnsi="Arial" w:cs="Arial"/>
          <w:i/>
          <w:iCs/>
          <w:lang w:val="en-US"/>
        </w:rPr>
        <w:t>HBR Online</w:t>
      </w:r>
      <w:r w:rsidRPr="0023736A">
        <w:rPr>
          <w:rFonts w:ascii="Arial" w:hAnsi="Arial" w:cs="Arial"/>
          <w:lang w:val="en-US"/>
        </w:rPr>
        <w:t xml:space="preserve">. Available at: </w:t>
      </w:r>
      <w:hyperlink r:id="rId43" w:tgtFrame="_blank" w:history="1">
        <w:r w:rsidRPr="0023736A">
          <w:rPr>
            <w:rStyle w:val="Hyperlink"/>
            <w:rFonts w:ascii="Arial" w:hAnsi="Arial" w:cs="Arial"/>
            <w:lang w:val="en-US"/>
          </w:rPr>
          <w:t>https://hbr.org</w:t>
        </w:r>
      </w:hyperlink>
      <w:r w:rsidRPr="0023736A">
        <w:rPr>
          <w:rFonts w:ascii="Arial" w:hAnsi="Arial" w:cs="Arial"/>
          <w:lang w:val="en-US"/>
        </w:rPr>
        <w:t xml:space="preserve"> (Accessed: 21 December 2025).</w:t>
      </w:r>
    </w:p>
    <w:p w14:paraId="427DAA74" w14:textId="4B55C1D3"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IBISWorld (2024) </w:t>
      </w:r>
      <w:r w:rsidRPr="0023736A">
        <w:rPr>
          <w:rFonts w:ascii="Arial" w:hAnsi="Arial" w:cs="Arial"/>
          <w:i/>
          <w:iCs/>
          <w:lang w:val="en-US"/>
        </w:rPr>
        <w:t>Global Consumer Electronics Manufacturing Report</w:t>
      </w:r>
      <w:r w:rsidRPr="0023736A">
        <w:rPr>
          <w:rFonts w:ascii="Arial" w:hAnsi="Arial" w:cs="Arial"/>
          <w:lang w:val="en-US"/>
        </w:rPr>
        <w:t xml:space="preserve">. Available at: </w:t>
      </w:r>
      <w:hyperlink r:id="rId44" w:tgtFrame="_blank" w:history="1">
        <w:r w:rsidRPr="0023736A">
          <w:rPr>
            <w:rStyle w:val="Hyperlink"/>
            <w:rFonts w:ascii="Arial" w:hAnsi="Arial" w:cs="Arial"/>
            <w:lang w:val="en-US"/>
          </w:rPr>
          <w:t>https://www.ibisworld.com</w:t>
        </w:r>
      </w:hyperlink>
      <w:r w:rsidRPr="0023736A">
        <w:rPr>
          <w:rFonts w:ascii="Arial" w:hAnsi="Arial" w:cs="Arial"/>
          <w:lang w:val="en-US"/>
        </w:rPr>
        <w:t xml:space="preserve"> (Accessed: 21 December 2025).</w:t>
      </w:r>
    </w:p>
    <w:p w14:paraId="6A00ED7E" w14:textId="33F999C3"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MarketLine (2024) </w:t>
      </w:r>
      <w:r w:rsidRPr="0023736A">
        <w:rPr>
          <w:rFonts w:ascii="Arial" w:hAnsi="Arial" w:cs="Arial"/>
          <w:i/>
          <w:iCs/>
          <w:lang w:val="en-US"/>
        </w:rPr>
        <w:t>Industry Profile: Consumer Electronics in the UK</w:t>
      </w:r>
      <w:r w:rsidRPr="0023736A">
        <w:rPr>
          <w:rFonts w:ascii="Arial" w:hAnsi="Arial" w:cs="Arial"/>
          <w:lang w:val="en-US"/>
        </w:rPr>
        <w:t xml:space="preserve">. Available at: </w:t>
      </w:r>
      <w:hyperlink r:id="rId45" w:tgtFrame="_blank" w:history="1">
        <w:r w:rsidRPr="0023736A">
          <w:rPr>
            <w:rStyle w:val="Hyperlink"/>
            <w:rFonts w:ascii="Arial" w:hAnsi="Arial" w:cs="Arial"/>
            <w:lang w:val="en-US"/>
          </w:rPr>
          <w:t>https://www.marketline.com</w:t>
        </w:r>
      </w:hyperlink>
      <w:r w:rsidRPr="0023736A">
        <w:rPr>
          <w:rFonts w:ascii="Arial" w:hAnsi="Arial" w:cs="Arial"/>
          <w:lang w:val="en-US"/>
        </w:rPr>
        <w:t xml:space="preserve"> (Accessed: 21 December 2025).</w:t>
      </w:r>
    </w:p>
    <w:p w14:paraId="40A3F44F" w14:textId="098CAD14"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Statista (2024) </w:t>
      </w:r>
      <w:r w:rsidRPr="0023736A">
        <w:rPr>
          <w:rFonts w:ascii="Arial" w:hAnsi="Arial" w:cs="Arial"/>
          <w:i/>
          <w:iCs/>
          <w:lang w:val="en-US"/>
        </w:rPr>
        <w:t>Revenue of the Consumer Electronics Market Worldwide 2020-2028</w:t>
      </w:r>
      <w:r w:rsidRPr="0023736A">
        <w:rPr>
          <w:rFonts w:ascii="Arial" w:hAnsi="Arial" w:cs="Arial"/>
          <w:lang w:val="en-US"/>
        </w:rPr>
        <w:t xml:space="preserve">. Available at: </w:t>
      </w:r>
      <w:hyperlink r:id="rId46" w:tgtFrame="_blank" w:history="1">
        <w:r w:rsidRPr="0023736A">
          <w:rPr>
            <w:rStyle w:val="Hyperlink"/>
            <w:rFonts w:ascii="Arial" w:hAnsi="Arial" w:cs="Arial"/>
            <w:lang w:val="en-US"/>
          </w:rPr>
          <w:t>https://www.statista.com</w:t>
        </w:r>
      </w:hyperlink>
      <w:r w:rsidRPr="0023736A">
        <w:rPr>
          <w:rFonts w:ascii="Arial" w:hAnsi="Arial" w:cs="Arial"/>
          <w:lang w:val="en-US"/>
        </w:rPr>
        <w:t xml:space="preserve"> (Accessed: 21 December 2025).</w:t>
      </w:r>
    </w:p>
    <w:p w14:paraId="6CE04600" w14:textId="74D88692" w:rsidR="0023736A" w:rsidRPr="0023736A" w:rsidRDefault="0023736A" w:rsidP="00DB630A">
      <w:pPr>
        <w:pStyle w:val="NormalWeb"/>
        <w:spacing w:line="360" w:lineRule="auto"/>
        <w:rPr>
          <w:rFonts w:ascii="Arial" w:hAnsi="Arial" w:cs="Arial"/>
          <w:lang w:val="en-US"/>
        </w:rPr>
      </w:pPr>
      <w:r w:rsidRPr="0023736A">
        <w:rPr>
          <w:rFonts w:ascii="Arial" w:hAnsi="Arial" w:cs="Arial"/>
          <w:lang w:val="en-US"/>
        </w:rPr>
        <w:t xml:space="preserve">Strategic Management Journal (2022) ‘Resource Allocation and Corporate Turnarounds’, 43(4), pp. 880-905. Available at: </w:t>
      </w:r>
      <w:hyperlink r:id="rId47" w:tgtFrame="_blank" w:history="1">
        <w:r w:rsidRPr="0023736A">
          <w:rPr>
            <w:rStyle w:val="Hyperlink"/>
            <w:rFonts w:ascii="Arial" w:hAnsi="Arial" w:cs="Arial"/>
            <w:lang w:val="en-US"/>
          </w:rPr>
          <w:t>https://onlinelibrary.wiley.com/journal/10970266</w:t>
        </w:r>
      </w:hyperlink>
      <w:r w:rsidRPr="0023736A">
        <w:rPr>
          <w:rFonts w:ascii="Arial" w:hAnsi="Arial" w:cs="Arial"/>
          <w:lang w:val="en-US"/>
        </w:rPr>
        <w:t xml:space="preserve"> (Accessed: 21 December 2025).</w:t>
      </w:r>
    </w:p>
    <w:p w14:paraId="1F7C8366" w14:textId="54E83886" w:rsidR="003F4E8F" w:rsidRPr="003D0D2B" w:rsidRDefault="003F4E8F" w:rsidP="003F4E8F">
      <w:pPr>
        <w:pStyle w:val="NormalWeb"/>
        <w:spacing w:line="360" w:lineRule="auto"/>
        <w:rPr>
          <w:rFonts w:ascii="Arial" w:hAnsi="Arial" w:cs="Arial"/>
          <w:lang w:val="en-US"/>
        </w:rPr>
      </w:pPr>
    </w:p>
    <w:p w14:paraId="06C9969B" w14:textId="77777777" w:rsidR="003F4E8F" w:rsidRDefault="003F4E8F" w:rsidP="003F4E8F">
      <w:pPr>
        <w:pStyle w:val="NormalWeb"/>
        <w:spacing w:line="360" w:lineRule="auto"/>
        <w:rPr>
          <w:rFonts w:ascii="Arial" w:hAnsi="Arial" w:cs="Arial"/>
          <w:lang w:val="en-US"/>
        </w:rPr>
      </w:pPr>
    </w:p>
    <w:p w14:paraId="7EA374C6" w14:textId="77777777" w:rsidR="003F4E8F" w:rsidRDefault="003F4E8F" w:rsidP="003F4E8F">
      <w:pPr>
        <w:spacing w:after="160" w:line="278" w:lineRule="auto"/>
        <w:rPr>
          <w:rFonts w:ascii="Arial" w:eastAsia="Times New Roman" w:hAnsi="Arial" w:cs="Arial"/>
          <w:sz w:val="24"/>
          <w:szCs w:val="24"/>
          <w:lang w:val="en-US" w:eastAsia="en-GB"/>
        </w:rPr>
      </w:pPr>
      <w:r>
        <w:rPr>
          <w:rFonts w:ascii="Arial" w:hAnsi="Arial" w:cs="Arial"/>
          <w:lang w:val="en-US"/>
        </w:rPr>
        <w:br w:type="page"/>
      </w:r>
    </w:p>
    <w:p w14:paraId="5FC3C02C" w14:textId="77777777" w:rsidR="003F4E8F" w:rsidRDefault="003F4E8F" w:rsidP="003F4E8F">
      <w:pPr>
        <w:pStyle w:val="Heading1"/>
        <w:rPr>
          <w:lang w:val="en-US"/>
        </w:rPr>
      </w:pPr>
      <w:bookmarkStart w:id="58" w:name="_Toc217246346"/>
      <w:r w:rsidRPr="008330FB">
        <w:rPr>
          <w:lang w:val="en-US"/>
        </w:rPr>
        <w:lastRenderedPageBreak/>
        <w:t>Appendices</w:t>
      </w:r>
      <w:r>
        <w:rPr>
          <w:lang w:val="en-US"/>
        </w:rPr>
        <w:t>:</w:t>
      </w:r>
      <w:bookmarkEnd w:id="58"/>
    </w:p>
    <w:p w14:paraId="73B035B8" w14:textId="77777777" w:rsidR="003F4E8F" w:rsidRDefault="003F4E8F" w:rsidP="003F4E8F">
      <w:pPr>
        <w:pStyle w:val="Heading2"/>
      </w:pPr>
      <w:bookmarkStart w:id="59" w:name="_Toc217246347"/>
      <w:r w:rsidRPr="007C5E57">
        <w:t>Appendix A: Financial Ratio Tables</w:t>
      </w:r>
      <w:r w:rsidRPr="6C3A0363">
        <w:t>:</w:t>
      </w:r>
      <w:bookmarkEnd w:id="59"/>
    </w:p>
    <w:p w14:paraId="4A09B699" w14:textId="4DD99F43" w:rsidR="003F4E8F" w:rsidRPr="006E65DA" w:rsidRDefault="003F4E8F" w:rsidP="003F4E8F">
      <w:pPr>
        <w:jc w:val="both"/>
        <w:rPr>
          <w:rFonts w:ascii="Arial" w:hAnsi="Arial" w:cs="Arial"/>
          <w:b/>
          <w:bCs/>
          <w:sz w:val="24"/>
          <w:szCs w:val="24"/>
        </w:rPr>
      </w:pPr>
      <w:r w:rsidRPr="006E65DA">
        <w:rPr>
          <w:rFonts w:ascii="Arial" w:hAnsi="Arial" w:cs="Arial"/>
          <w:b/>
          <w:bCs/>
          <w:sz w:val="24"/>
          <w:szCs w:val="24"/>
        </w:rPr>
        <w:t xml:space="preserve">A1. </w:t>
      </w:r>
      <w:r w:rsidR="002C3AD7" w:rsidRPr="002C3AD7">
        <w:rPr>
          <w:rFonts w:ascii="Arial" w:hAnsi="Arial" w:cs="Arial"/>
          <w:b/>
          <w:bCs/>
          <w:sz w:val="24"/>
          <w:szCs w:val="24"/>
        </w:rPr>
        <w:t>Profitability and Return Ratios</w:t>
      </w:r>
    </w:p>
    <w:tbl>
      <w:tblPr>
        <w:tblStyle w:val="TableGrid"/>
        <w:tblW w:w="8279" w:type="dxa"/>
        <w:tblLook w:val="04A0" w:firstRow="1" w:lastRow="0" w:firstColumn="1" w:lastColumn="0" w:noHBand="0" w:noVBand="1"/>
      </w:tblPr>
      <w:tblGrid>
        <w:gridCol w:w="3358"/>
        <w:gridCol w:w="1040"/>
        <w:gridCol w:w="1040"/>
        <w:gridCol w:w="947"/>
        <w:gridCol w:w="947"/>
        <w:gridCol w:w="947"/>
      </w:tblGrid>
      <w:tr w:rsidR="00590727" w:rsidRPr="00590727" w14:paraId="527786A1" w14:textId="77777777" w:rsidTr="00590727">
        <w:trPr>
          <w:trHeight w:val="583"/>
        </w:trPr>
        <w:tc>
          <w:tcPr>
            <w:tcW w:w="0" w:type="auto"/>
            <w:hideMark/>
          </w:tcPr>
          <w:p w14:paraId="5F22E138" w14:textId="77777777" w:rsidR="00590727" w:rsidRPr="00590727" w:rsidRDefault="00590727" w:rsidP="00590727">
            <w:pPr>
              <w:jc w:val="both"/>
              <w:rPr>
                <w:rFonts w:ascii="Arial" w:hAnsi="Arial" w:cs="Arial"/>
                <w:sz w:val="24"/>
                <w:szCs w:val="24"/>
                <w:lang w:val="en-US"/>
              </w:rPr>
            </w:pPr>
            <w:r w:rsidRPr="00590727">
              <w:rPr>
                <w:rFonts w:ascii="Arial" w:hAnsi="Arial" w:cs="Arial"/>
                <w:b/>
                <w:bCs/>
                <w:sz w:val="24"/>
                <w:szCs w:val="24"/>
                <w:lang w:val="en-US"/>
              </w:rPr>
              <w:t>Component</w:t>
            </w:r>
          </w:p>
        </w:tc>
        <w:tc>
          <w:tcPr>
            <w:tcW w:w="0" w:type="auto"/>
            <w:hideMark/>
          </w:tcPr>
          <w:p w14:paraId="5826F99C" w14:textId="77777777" w:rsidR="00590727" w:rsidRPr="00590727" w:rsidRDefault="00590727" w:rsidP="00590727">
            <w:pPr>
              <w:jc w:val="both"/>
              <w:rPr>
                <w:rFonts w:ascii="Arial" w:hAnsi="Arial" w:cs="Arial"/>
                <w:sz w:val="24"/>
                <w:szCs w:val="24"/>
                <w:lang w:val="en-US"/>
              </w:rPr>
            </w:pPr>
            <w:r w:rsidRPr="00590727">
              <w:rPr>
                <w:rFonts w:ascii="Arial" w:hAnsi="Arial" w:cs="Arial"/>
                <w:b/>
                <w:bCs/>
                <w:sz w:val="24"/>
                <w:szCs w:val="24"/>
                <w:lang w:val="en-US"/>
              </w:rPr>
              <w:t>2024</w:t>
            </w:r>
          </w:p>
        </w:tc>
        <w:tc>
          <w:tcPr>
            <w:tcW w:w="0" w:type="auto"/>
            <w:hideMark/>
          </w:tcPr>
          <w:p w14:paraId="6A42AE76" w14:textId="77777777" w:rsidR="00590727" w:rsidRPr="00590727" w:rsidRDefault="00590727" w:rsidP="00590727">
            <w:pPr>
              <w:jc w:val="both"/>
              <w:rPr>
                <w:rFonts w:ascii="Arial" w:hAnsi="Arial" w:cs="Arial"/>
                <w:sz w:val="24"/>
                <w:szCs w:val="24"/>
                <w:lang w:val="en-US"/>
              </w:rPr>
            </w:pPr>
            <w:r w:rsidRPr="00590727">
              <w:rPr>
                <w:rFonts w:ascii="Arial" w:hAnsi="Arial" w:cs="Arial"/>
                <w:b/>
                <w:bCs/>
                <w:sz w:val="24"/>
                <w:szCs w:val="24"/>
                <w:lang w:val="en-US"/>
              </w:rPr>
              <w:t>2023</w:t>
            </w:r>
          </w:p>
        </w:tc>
        <w:tc>
          <w:tcPr>
            <w:tcW w:w="0" w:type="auto"/>
            <w:hideMark/>
          </w:tcPr>
          <w:p w14:paraId="1B2BC813" w14:textId="77777777" w:rsidR="00590727" w:rsidRPr="00590727" w:rsidRDefault="00590727" w:rsidP="00590727">
            <w:pPr>
              <w:jc w:val="both"/>
              <w:rPr>
                <w:rFonts w:ascii="Arial" w:hAnsi="Arial" w:cs="Arial"/>
                <w:sz w:val="24"/>
                <w:szCs w:val="24"/>
                <w:lang w:val="en-US"/>
              </w:rPr>
            </w:pPr>
            <w:r w:rsidRPr="00590727">
              <w:rPr>
                <w:rFonts w:ascii="Arial" w:hAnsi="Arial" w:cs="Arial"/>
                <w:b/>
                <w:bCs/>
                <w:sz w:val="24"/>
                <w:szCs w:val="24"/>
                <w:lang w:val="en-US"/>
              </w:rPr>
              <w:t>2022</w:t>
            </w:r>
          </w:p>
        </w:tc>
        <w:tc>
          <w:tcPr>
            <w:tcW w:w="0" w:type="auto"/>
            <w:hideMark/>
          </w:tcPr>
          <w:p w14:paraId="79A74742" w14:textId="77777777" w:rsidR="00590727" w:rsidRPr="00590727" w:rsidRDefault="00590727" w:rsidP="00590727">
            <w:pPr>
              <w:jc w:val="both"/>
              <w:rPr>
                <w:rFonts w:ascii="Arial" w:hAnsi="Arial" w:cs="Arial"/>
                <w:sz w:val="24"/>
                <w:szCs w:val="24"/>
                <w:lang w:val="en-US"/>
              </w:rPr>
            </w:pPr>
            <w:r w:rsidRPr="00590727">
              <w:rPr>
                <w:rFonts w:ascii="Arial" w:hAnsi="Arial" w:cs="Arial"/>
                <w:b/>
                <w:bCs/>
                <w:sz w:val="24"/>
                <w:szCs w:val="24"/>
                <w:lang w:val="en-US"/>
              </w:rPr>
              <w:t>2021</w:t>
            </w:r>
          </w:p>
        </w:tc>
        <w:tc>
          <w:tcPr>
            <w:tcW w:w="0" w:type="auto"/>
            <w:hideMark/>
          </w:tcPr>
          <w:p w14:paraId="21659E52" w14:textId="77777777" w:rsidR="00590727" w:rsidRPr="00590727" w:rsidRDefault="00590727" w:rsidP="00590727">
            <w:pPr>
              <w:jc w:val="both"/>
              <w:rPr>
                <w:rFonts w:ascii="Arial" w:hAnsi="Arial" w:cs="Arial"/>
                <w:sz w:val="24"/>
                <w:szCs w:val="24"/>
                <w:lang w:val="en-US"/>
              </w:rPr>
            </w:pPr>
            <w:r w:rsidRPr="00590727">
              <w:rPr>
                <w:rFonts w:ascii="Arial" w:hAnsi="Arial" w:cs="Arial"/>
                <w:b/>
                <w:bCs/>
                <w:sz w:val="24"/>
                <w:szCs w:val="24"/>
                <w:lang w:val="en-US"/>
              </w:rPr>
              <w:t>2020</w:t>
            </w:r>
          </w:p>
        </w:tc>
      </w:tr>
      <w:tr w:rsidR="00590727" w:rsidRPr="00590727" w14:paraId="604421B0" w14:textId="77777777" w:rsidTr="00590727">
        <w:trPr>
          <w:trHeight w:val="571"/>
        </w:trPr>
        <w:tc>
          <w:tcPr>
            <w:tcW w:w="0" w:type="auto"/>
            <w:hideMark/>
          </w:tcPr>
          <w:p w14:paraId="4E74BC55" w14:textId="77777777" w:rsidR="00590727" w:rsidRPr="00590727" w:rsidRDefault="00590727" w:rsidP="00590727">
            <w:pPr>
              <w:jc w:val="both"/>
              <w:rPr>
                <w:rFonts w:ascii="Arial" w:hAnsi="Arial" w:cs="Arial"/>
                <w:sz w:val="24"/>
                <w:szCs w:val="24"/>
                <w:lang w:val="en-US"/>
              </w:rPr>
            </w:pPr>
            <w:r w:rsidRPr="00590727">
              <w:rPr>
                <w:rFonts w:ascii="Arial" w:hAnsi="Arial" w:cs="Arial"/>
                <w:b/>
                <w:bCs/>
                <w:sz w:val="24"/>
                <w:szCs w:val="24"/>
                <w:lang w:val="en-US"/>
              </w:rPr>
              <w:t>Gross Margin (%)</w:t>
            </w:r>
          </w:p>
        </w:tc>
        <w:tc>
          <w:tcPr>
            <w:tcW w:w="0" w:type="auto"/>
            <w:hideMark/>
          </w:tcPr>
          <w:p w14:paraId="6F69EDA8"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28.87</w:t>
            </w:r>
          </w:p>
        </w:tc>
        <w:tc>
          <w:tcPr>
            <w:tcW w:w="0" w:type="auto"/>
            <w:hideMark/>
          </w:tcPr>
          <w:p w14:paraId="4DCF2BA2"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23.20</w:t>
            </w:r>
          </w:p>
        </w:tc>
        <w:tc>
          <w:tcPr>
            <w:tcW w:w="0" w:type="auto"/>
            <w:hideMark/>
          </w:tcPr>
          <w:p w14:paraId="1FC9CB62"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28.06</w:t>
            </w:r>
          </w:p>
        </w:tc>
        <w:tc>
          <w:tcPr>
            <w:tcW w:w="0" w:type="auto"/>
            <w:hideMark/>
          </w:tcPr>
          <w:p w14:paraId="1B8C26CD"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28.76</w:t>
            </w:r>
          </w:p>
        </w:tc>
        <w:tc>
          <w:tcPr>
            <w:tcW w:w="0" w:type="auto"/>
            <w:hideMark/>
          </w:tcPr>
          <w:p w14:paraId="6AB942CA"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28.67</w:t>
            </w:r>
          </w:p>
        </w:tc>
      </w:tr>
      <w:tr w:rsidR="00590727" w:rsidRPr="00590727" w14:paraId="22BA2A65" w14:textId="77777777" w:rsidTr="00590727">
        <w:trPr>
          <w:trHeight w:val="583"/>
        </w:trPr>
        <w:tc>
          <w:tcPr>
            <w:tcW w:w="0" w:type="auto"/>
            <w:hideMark/>
          </w:tcPr>
          <w:p w14:paraId="30CD42C4" w14:textId="77777777" w:rsidR="00590727" w:rsidRPr="00590727" w:rsidRDefault="00590727" w:rsidP="00590727">
            <w:pPr>
              <w:jc w:val="both"/>
              <w:rPr>
                <w:rFonts w:ascii="Arial" w:hAnsi="Arial" w:cs="Arial"/>
                <w:sz w:val="24"/>
                <w:szCs w:val="24"/>
                <w:lang w:val="en-US"/>
              </w:rPr>
            </w:pPr>
            <w:r w:rsidRPr="00590727">
              <w:rPr>
                <w:rFonts w:ascii="Arial" w:hAnsi="Arial" w:cs="Arial"/>
                <w:b/>
                <w:bCs/>
                <w:sz w:val="24"/>
                <w:szCs w:val="24"/>
                <w:lang w:val="en-US"/>
              </w:rPr>
              <w:t>Operating Margin (%)</w:t>
            </w:r>
          </w:p>
        </w:tc>
        <w:tc>
          <w:tcPr>
            <w:tcW w:w="0" w:type="auto"/>
            <w:hideMark/>
          </w:tcPr>
          <w:p w14:paraId="4D872D46"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-3.87</w:t>
            </w:r>
          </w:p>
        </w:tc>
        <w:tc>
          <w:tcPr>
            <w:tcW w:w="0" w:type="auto"/>
            <w:hideMark/>
          </w:tcPr>
          <w:p w14:paraId="55E0A8A0"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-20.29</w:t>
            </w:r>
          </w:p>
        </w:tc>
        <w:tc>
          <w:tcPr>
            <w:tcW w:w="0" w:type="auto"/>
            <w:hideMark/>
          </w:tcPr>
          <w:p w14:paraId="26B1E5EE"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2.68</w:t>
            </w:r>
          </w:p>
        </w:tc>
        <w:tc>
          <w:tcPr>
            <w:tcW w:w="0" w:type="auto"/>
            <w:hideMark/>
          </w:tcPr>
          <w:p w14:paraId="11CEB335"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3.87</w:t>
            </w:r>
          </w:p>
        </w:tc>
        <w:tc>
          <w:tcPr>
            <w:tcW w:w="0" w:type="auto"/>
            <w:hideMark/>
          </w:tcPr>
          <w:p w14:paraId="41BDA044"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6.06</w:t>
            </w:r>
          </w:p>
        </w:tc>
      </w:tr>
      <w:tr w:rsidR="00590727" w:rsidRPr="00590727" w14:paraId="1C2C8E22" w14:textId="77777777" w:rsidTr="00590727">
        <w:trPr>
          <w:trHeight w:val="583"/>
        </w:trPr>
        <w:tc>
          <w:tcPr>
            <w:tcW w:w="0" w:type="auto"/>
            <w:hideMark/>
          </w:tcPr>
          <w:p w14:paraId="5AF9286D" w14:textId="77777777" w:rsidR="00590727" w:rsidRPr="00590727" w:rsidRDefault="00590727" w:rsidP="00590727">
            <w:pPr>
              <w:jc w:val="both"/>
              <w:rPr>
                <w:rFonts w:ascii="Arial" w:hAnsi="Arial" w:cs="Arial"/>
                <w:sz w:val="24"/>
                <w:szCs w:val="24"/>
                <w:lang w:val="en-US"/>
              </w:rPr>
            </w:pPr>
            <w:r w:rsidRPr="00590727">
              <w:rPr>
                <w:rFonts w:ascii="Arial" w:hAnsi="Arial" w:cs="Arial"/>
                <w:b/>
                <w:bCs/>
                <w:sz w:val="24"/>
                <w:szCs w:val="24"/>
                <w:lang w:val="en-US"/>
              </w:rPr>
              <w:t>Net Profit Margin (%)</w:t>
            </w:r>
          </w:p>
        </w:tc>
        <w:tc>
          <w:tcPr>
            <w:tcW w:w="0" w:type="auto"/>
            <w:hideMark/>
          </w:tcPr>
          <w:p w14:paraId="2390BF3B"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-6.08</w:t>
            </w:r>
          </w:p>
        </w:tc>
        <w:tc>
          <w:tcPr>
            <w:tcW w:w="0" w:type="auto"/>
            <w:hideMark/>
          </w:tcPr>
          <w:p w14:paraId="030507EA"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-23.36</w:t>
            </w:r>
          </w:p>
        </w:tc>
        <w:tc>
          <w:tcPr>
            <w:tcW w:w="0" w:type="auto"/>
            <w:hideMark/>
          </w:tcPr>
          <w:p w14:paraId="730D4870"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0.07</w:t>
            </w:r>
          </w:p>
        </w:tc>
        <w:tc>
          <w:tcPr>
            <w:tcW w:w="0" w:type="auto"/>
            <w:hideMark/>
          </w:tcPr>
          <w:p w14:paraId="5FA0E5E0"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0.88</w:t>
            </w:r>
          </w:p>
        </w:tc>
        <w:tc>
          <w:tcPr>
            <w:tcW w:w="0" w:type="auto"/>
            <w:hideMark/>
          </w:tcPr>
          <w:p w14:paraId="3A9FB697"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6.27</w:t>
            </w:r>
          </w:p>
        </w:tc>
      </w:tr>
      <w:tr w:rsidR="00590727" w:rsidRPr="00590727" w14:paraId="701563D9" w14:textId="77777777" w:rsidTr="00590727">
        <w:trPr>
          <w:trHeight w:val="583"/>
        </w:trPr>
        <w:tc>
          <w:tcPr>
            <w:tcW w:w="0" w:type="auto"/>
            <w:hideMark/>
          </w:tcPr>
          <w:p w14:paraId="74556891" w14:textId="77777777" w:rsidR="00590727" w:rsidRPr="00590727" w:rsidRDefault="00590727" w:rsidP="00590727">
            <w:pPr>
              <w:jc w:val="both"/>
              <w:rPr>
                <w:rFonts w:ascii="Arial" w:hAnsi="Arial" w:cs="Arial"/>
                <w:sz w:val="24"/>
                <w:szCs w:val="24"/>
                <w:lang w:val="en-US"/>
              </w:rPr>
            </w:pPr>
            <w:r w:rsidRPr="00590727">
              <w:rPr>
                <w:rFonts w:ascii="Arial" w:hAnsi="Arial" w:cs="Arial"/>
                <w:b/>
                <w:bCs/>
                <w:sz w:val="24"/>
                <w:szCs w:val="24"/>
                <w:lang w:val="en-US"/>
              </w:rPr>
              <w:t>Return on Equity (ROE)</w:t>
            </w:r>
          </w:p>
        </w:tc>
        <w:tc>
          <w:tcPr>
            <w:tcW w:w="0" w:type="auto"/>
            <w:hideMark/>
          </w:tcPr>
          <w:p w14:paraId="0B99880D"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-15.69</w:t>
            </w:r>
          </w:p>
        </w:tc>
        <w:tc>
          <w:tcPr>
            <w:tcW w:w="0" w:type="auto"/>
            <w:hideMark/>
          </w:tcPr>
          <w:p w14:paraId="1C051A7D"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-54.91</w:t>
            </w:r>
          </w:p>
        </w:tc>
        <w:tc>
          <w:tcPr>
            <w:tcW w:w="0" w:type="auto"/>
            <w:hideMark/>
          </w:tcPr>
          <w:p w14:paraId="0AD5F6FE"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0.15</w:t>
            </w:r>
          </w:p>
        </w:tc>
        <w:tc>
          <w:tcPr>
            <w:tcW w:w="0" w:type="auto"/>
            <w:hideMark/>
          </w:tcPr>
          <w:p w14:paraId="4D712FFC"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1.92</w:t>
            </w:r>
          </w:p>
        </w:tc>
        <w:tc>
          <w:tcPr>
            <w:tcW w:w="0" w:type="auto"/>
            <w:hideMark/>
          </w:tcPr>
          <w:p w14:paraId="0A4ABBDB" w14:textId="77777777" w:rsidR="00590727" w:rsidRPr="00590727" w:rsidRDefault="00590727" w:rsidP="00590727">
            <w:pPr>
              <w:jc w:val="both"/>
              <w:rPr>
                <w:rFonts w:ascii="Arial" w:hAnsi="Arial" w:cs="Arial"/>
                <w:sz w:val="24"/>
                <w:szCs w:val="24"/>
                <w:lang w:val="en-US"/>
              </w:rPr>
            </w:pPr>
            <w:r w:rsidRPr="00590727">
              <w:rPr>
                <w:rFonts w:ascii="Arial" w:hAnsi="Arial" w:cs="Arial"/>
                <w:sz w:val="24"/>
                <w:szCs w:val="24"/>
                <w:lang w:val="en-US"/>
              </w:rPr>
              <w:t>12.31</w:t>
            </w:r>
          </w:p>
        </w:tc>
      </w:tr>
    </w:tbl>
    <w:p w14:paraId="467FBEB9" w14:textId="77777777" w:rsidR="002C3AD7" w:rsidRPr="006E65DA" w:rsidRDefault="002C3AD7" w:rsidP="003F4E8F">
      <w:pPr>
        <w:jc w:val="both"/>
        <w:rPr>
          <w:rFonts w:ascii="Arial" w:hAnsi="Arial" w:cs="Arial"/>
          <w:sz w:val="24"/>
          <w:szCs w:val="24"/>
        </w:rPr>
      </w:pPr>
    </w:p>
    <w:p w14:paraId="6A148FAB" w14:textId="77777777" w:rsidR="003F4E8F" w:rsidRPr="006E65DA" w:rsidRDefault="003F4E8F" w:rsidP="003F4E8F">
      <w:pPr>
        <w:jc w:val="both"/>
        <w:rPr>
          <w:rFonts w:ascii="Arial" w:hAnsi="Arial" w:cs="Arial"/>
          <w:b/>
          <w:bCs/>
          <w:sz w:val="24"/>
          <w:szCs w:val="24"/>
        </w:rPr>
      </w:pPr>
      <w:r w:rsidRPr="006E65DA">
        <w:rPr>
          <w:rFonts w:ascii="Arial" w:hAnsi="Arial" w:cs="Arial"/>
          <w:b/>
          <w:bCs/>
          <w:sz w:val="24"/>
          <w:szCs w:val="24"/>
        </w:rPr>
        <w:t>Graph:</w:t>
      </w:r>
    </w:p>
    <w:p w14:paraId="31D87B0C" w14:textId="118C7BEF" w:rsidR="003F4E8F" w:rsidRPr="006E65DA" w:rsidRDefault="0052367C" w:rsidP="003F4E8F">
      <w:pPr>
        <w:jc w:val="both"/>
        <w:rPr>
          <w:rFonts w:ascii="Arial" w:hAnsi="Arial" w:cs="Arial"/>
          <w:sz w:val="24"/>
          <w:szCs w:val="24"/>
        </w:rPr>
      </w:pPr>
      <w:r>
        <w:rPr>
          <w:noProof/>
          <w14:ligatures w14:val="standardContextual"/>
        </w:rPr>
        <w:drawing>
          <wp:inline distT="0" distB="0" distL="0" distR="0" wp14:anchorId="557B36E5" wp14:editId="72F5DC6F">
            <wp:extent cx="5654675" cy="3044825"/>
            <wp:effectExtent l="0" t="0" r="3175" b="3175"/>
            <wp:docPr id="51317162" name="Chart 1">
              <a:extLst xmlns:a="http://schemas.openxmlformats.org/drawingml/2006/main">
                <a:ext uri="{FF2B5EF4-FFF2-40B4-BE49-F238E27FC236}">
                  <a16:creationId xmlns:a16="http://schemas.microsoft.com/office/drawing/2014/main" id="{8979DAE6-7631-D8A2-7A4D-DDF0516F5A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58F552B9" w14:textId="28F820C9" w:rsidR="003F4E8F" w:rsidRPr="00AB7429" w:rsidRDefault="003F4E8F" w:rsidP="003F4E8F">
      <w:pPr>
        <w:jc w:val="both"/>
        <w:rPr>
          <w:rFonts w:ascii="Arial" w:hAnsi="Arial" w:cs="Arial"/>
          <w:b/>
          <w:bCs/>
          <w:sz w:val="24"/>
          <w:szCs w:val="24"/>
        </w:rPr>
      </w:pPr>
      <w:r w:rsidRPr="00AB7429">
        <w:rPr>
          <w:rFonts w:ascii="Arial" w:hAnsi="Arial" w:cs="Arial"/>
          <w:b/>
          <w:bCs/>
          <w:sz w:val="24"/>
          <w:szCs w:val="24"/>
        </w:rPr>
        <w:t xml:space="preserve">A2. </w:t>
      </w:r>
      <w:r w:rsidR="005B15F2" w:rsidRPr="00AB7429">
        <w:rPr>
          <w:rFonts w:ascii="Arial" w:hAnsi="Arial" w:cs="Arial"/>
          <w:b/>
          <w:bCs/>
          <w:sz w:val="24"/>
          <w:szCs w:val="24"/>
        </w:rPr>
        <w:t>Liquidity and Gearing (Solvency) Ratios</w:t>
      </w:r>
    </w:p>
    <w:tbl>
      <w:tblPr>
        <w:tblStyle w:val="TableGrid"/>
        <w:tblW w:w="0" w:type="auto"/>
        <w:tblLook w:val="04A0" w:firstRow="1" w:lastRow="0" w:firstColumn="1" w:lastColumn="0" w:noHBand="0" w:noVBand="1"/>
      </w:tblPr>
      <w:tblGrid>
        <w:gridCol w:w="2857"/>
        <w:gridCol w:w="817"/>
        <w:gridCol w:w="817"/>
        <w:gridCol w:w="817"/>
        <w:gridCol w:w="817"/>
        <w:gridCol w:w="817"/>
      </w:tblGrid>
      <w:tr w:rsidR="00B44BCE" w:rsidRPr="00B44BCE" w14:paraId="4B5E3923" w14:textId="77777777" w:rsidTr="00B44BCE">
        <w:tc>
          <w:tcPr>
            <w:tcW w:w="0" w:type="auto"/>
            <w:hideMark/>
          </w:tcPr>
          <w:p w14:paraId="757956DF" w14:textId="77777777" w:rsidR="00B44BCE" w:rsidRPr="00B44BCE" w:rsidRDefault="00B44BCE" w:rsidP="00B44BCE">
            <w:pPr>
              <w:jc w:val="both"/>
              <w:rPr>
                <w:rFonts w:ascii="Arial" w:hAnsi="Arial" w:cs="Arial"/>
                <w:sz w:val="24"/>
                <w:szCs w:val="24"/>
                <w:lang w:val="en-US"/>
              </w:rPr>
            </w:pPr>
            <w:r w:rsidRPr="00B44BCE">
              <w:rPr>
                <w:rFonts w:ascii="Arial" w:hAnsi="Arial" w:cs="Arial"/>
                <w:b/>
                <w:bCs/>
                <w:sz w:val="24"/>
                <w:szCs w:val="24"/>
                <w:lang w:val="en-US"/>
              </w:rPr>
              <w:t>Component</w:t>
            </w:r>
          </w:p>
        </w:tc>
        <w:tc>
          <w:tcPr>
            <w:tcW w:w="0" w:type="auto"/>
            <w:hideMark/>
          </w:tcPr>
          <w:p w14:paraId="4B068E9D" w14:textId="77777777" w:rsidR="00B44BCE" w:rsidRPr="00B44BCE" w:rsidRDefault="00B44BCE" w:rsidP="00B44BCE">
            <w:pPr>
              <w:jc w:val="both"/>
              <w:rPr>
                <w:rFonts w:ascii="Arial" w:hAnsi="Arial" w:cs="Arial"/>
                <w:sz w:val="24"/>
                <w:szCs w:val="24"/>
                <w:lang w:val="en-US"/>
              </w:rPr>
            </w:pPr>
            <w:r w:rsidRPr="00B44BCE">
              <w:rPr>
                <w:rFonts w:ascii="Arial" w:hAnsi="Arial" w:cs="Arial"/>
                <w:b/>
                <w:bCs/>
                <w:sz w:val="24"/>
                <w:szCs w:val="24"/>
                <w:lang w:val="en-US"/>
              </w:rPr>
              <w:t>2024</w:t>
            </w:r>
          </w:p>
        </w:tc>
        <w:tc>
          <w:tcPr>
            <w:tcW w:w="0" w:type="auto"/>
            <w:hideMark/>
          </w:tcPr>
          <w:p w14:paraId="559A0290" w14:textId="77777777" w:rsidR="00B44BCE" w:rsidRPr="00B44BCE" w:rsidRDefault="00B44BCE" w:rsidP="00B44BCE">
            <w:pPr>
              <w:jc w:val="both"/>
              <w:rPr>
                <w:rFonts w:ascii="Arial" w:hAnsi="Arial" w:cs="Arial"/>
                <w:sz w:val="24"/>
                <w:szCs w:val="24"/>
                <w:lang w:val="en-US"/>
              </w:rPr>
            </w:pPr>
            <w:r w:rsidRPr="00B44BCE">
              <w:rPr>
                <w:rFonts w:ascii="Arial" w:hAnsi="Arial" w:cs="Arial"/>
                <w:b/>
                <w:bCs/>
                <w:sz w:val="24"/>
                <w:szCs w:val="24"/>
                <w:lang w:val="en-US"/>
              </w:rPr>
              <w:t>2023</w:t>
            </w:r>
          </w:p>
        </w:tc>
        <w:tc>
          <w:tcPr>
            <w:tcW w:w="0" w:type="auto"/>
            <w:hideMark/>
          </w:tcPr>
          <w:p w14:paraId="10612CE0" w14:textId="77777777" w:rsidR="00B44BCE" w:rsidRPr="00B44BCE" w:rsidRDefault="00B44BCE" w:rsidP="00B44BCE">
            <w:pPr>
              <w:jc w:val="both"/>
              <w:rPr>
                <w:rFonts w:ascii="Arial" w:hAnsi="Arial" w:cs="Arial"/>
                <w:sz w:val="24"/>
                <w:szCs w:val="24"/>
                <w:lang w:val="en-US"/>
              </w:rPr>
            </w:pPr>
            <w:r w:rsidRPr="00B44BCE">
              <w:rPr>
                <w:rFonts w:ascii="Arial" w:hAnsi="Arial" w:cs="Arial"/>
                <w:b/>
                <w:bCs/>
                <w:sz w:val="24"/>
                <w:szCs w:val="24"/>
                <w:lang w:val="en-US"/>
              </w:rPr>
              <w:t>2022</w:t>
            </w:r>
          </w:p>
        </w:tc>
        <w:tc>
          <w:tcPr>
            <w:tcW w:w="0" w:type="auto"/>
            <w:hideMark/>
          </w:tcPr>
          <w:p w14:paraId="7B0349B0" w14:textId="77777777" w:rsidR="00B44BCE" w:rsidRPr="00B44BCE" w:rsidRDefault="00B44BCE" w:rsidP="00B44BCE">
            <w:pPr>
              <w:jc w:val="both"/>
              <w:rPr>
                <w:rFonts w:ascii="Arial" w:hAnsi="Arial" w:cs="Arial"/>
                <w:sz w:val="24"/>
                <w:szCs w:val="24"/>
                <w:lang w:val="en-US"/>
              </w:rPr>
            </w:pPr>
            <w:r w:rsidRPr="00B44BCE">
              <w:rPr>
                <w:rFonts w:ascii="Arial" w:hAnsi="Arial" w:cs="Arial"/>
                <w:b/>
                <w:bCs/>
                <w:sz w:val="24"/>
                <w:szCs w:val="24"/>
                <w:lang w:val="en-US"/>
              </w:rPr>
              <w:t>2021</w:t>
            </w:r>
          </w:p>
        </w:tc>
        <w:tc>
          <w:tcPr>
            <w:tcW w:w="0" w:type="auto"/>
            <w:hideMark/>
          </w:tcPr>
          <w:p w14:paraId="482EED9B" w14:textId="77777777" w:rsidR="00B44BCE" w:rsidRPr="00B44BCE" w:rsidRDefault="00B44BCE" w:rsidP="00B44BCE">
            <w:pPr>
              <w:jc w:val="both"/>
              <w:rPr>
                <w:rFonts w:ascii="Arial" w:hAnsi="Arial" w:cs="Arial"/>
                <w:sz w:val="24"/>
                <w:szCs w:val="24"/>
                <w:lang w:val="en-US"/>
              </w:rPr>
            </w:pPr>
            <w:r w:rsidRPr="00B44BCE">
              <w:rPr>
                <w:rFonts w:ascii="Arial" w:hAnsi="Arial" w:cs="Arial"/>
                <w:b/>
                <w:bCs/>
                <w:sz w:val="24"/>
                <w:szCs w:val="24"/>
                <w:lang w:val="en-US"/>
              </w:rPr>
              <w:t>2020</w:t>
            </w:r>
          </w:p>
        </w:tc>
      </w:tr>
      <w:tr w:rsidR="00B44BCE" w:rsidRPr="00B44BCE" w14:paraId="32086676" w14:textId="77777777" w:rsidTr="00B44BCE">
        <w:tc>
          <w:tcPr>
            <w:tcW w:w="0" w:type="auto"/>
            <w:hideMark/>
          </w:tcPr>
          <w:p w14:paraId="78C2C7C8" w14:textId="77777777" w:rsidR="00B44BCE" w:rsidRPr="00B44BCE" w:rsidRDefault="00B44BCE" w:rsidP="00B44BCE">
            <w:pPr>
              <w:jc w:val="both"/>
              <w:rPr>
                <w:rFonts w:ascii="Arial" w:hAnsi="Arial" w:cs="Arial"/>
                <w:sz w:val="24"/>
                <w:szCs w:val="24"/>
                <w:lang w:val="en-US"/>
              </w:rPr>
            </w:pPr>
            <w:r w:rsidRPr="00B44BCE">
              <w:rPr>
                <w:rFonts w:ascii="Arial" w:hAnsi="Arial" w:cs="Arial"/>
                <w:b/>
                <w:bCs/>
                <w:sz w:val="24"/>
                <w:szCs w:val="24"/>
                <w:lang w:val="en-US"/>
              </w:rPr>
              <w:t>Current Ratio</w:t>
            </w:r>
          </w:p>
        </w:tc>
        <w:tc>
          <w:tcPr>
            <w:tcW w:w="0" w:type="auto"/>
            <w:hideMark/>
          </w:tcPr>
          <w:p w14:paraId="63773C37"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1.53</w:t>
            </w:r>
          </w:p>
        </w:tc>
        <w:tc>
          <w:tcPr>
            <w:tcW w:w="0" w:type="auto"/>
            <w:hideMark/>
          </w:tcPr>
          <w:p w14:paraId="704DEDDB"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1.61</w:t>
            </w:r>
          </w:p>
        </w:tc>
        <w:tc>
          <w:tcPr>
            <w:tcW w:w="0" w:type="auto"/>
            <w:hideMark/>
          </w:tcPr>
          <w:p w14:paraId="78AAEFA1"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1.56</w:t>
            </w:r>
          </w:p>
        </w:tc>
        <w:tc>
          <w:tcPr>
            <w:tcW w:w="0" w:type="auto"/>
            <w:hideMark/>
          </w:tcPr>
          <w:p w14:paraId="50B7E41B"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1.56</w:t>
            </w:r>
          </w:p>
        </w:tc>
        <w:tc>
          <w:tcPr>
            <w:tcW w:w="0" w:type="auto"/>
            <w:hideMark/>
          </w:tcPr>
          <w:p w14:paraId="39B6B9F3"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1.82</w:t>
            </w:r>
          </w:p>
        </w:tc>
      </w:tr>
      <w:tr w:rsidR="00B44BCE" w:rsidRPr="00B44BCE" w14:paraId="4952E0BE" w14:textId="77777777" w:rsidTr="00B44BCE">
        <w:tc>
          <w:tcPr>
            <w:tcW w:w="0" w:type="auto"/>
            <w:hideMark/>
          </w:tcPr>
          <w:p w14:paraId="074F85C7" w14:textId="77777777" w:rsidR="00B44BCE" w:rsidRPr="00B44BCE" w:rsidRDefault="00B44BCE" w:rsidP="00B44BCE">
            <w:pPr>
              <w:jc w:val="both"/>
              <w:rPr>
                <w:rFonts w:ascii="Arial" w:hAnsi="Arial" w:cs="Arial"/>
                <w:sz w:val="24"/>
                <w:szCs w:val="24"/>
                <w:lang w:val="en-US"/>
              </w:rPr>
            </w:pPr>
            <w:r w:rsidRPr="00B44BCE">
              <w:rPr>
                <w:rFonts w:ascii="Arial" w:hAnsi="Arial" w:cs="Arial"/>
                <w:b/>
                <w:bCs/>
                <w:sz w:val="24"/>
                <w:szCs w:val="24"/>
                <w:lang w:val="en-US"/>
              </w:rPr>
              <w:t>Quick Ratio (Acid Test)</w:t>
            </w:r>
          </w:p>
        </w:tc>
        <w:tc>
          <w:tcPr>
            <w:tcW w:w="0" w:type="auto"/>
            <w:hideMark/>
          </w:tcPr>
          <w:p w14:paraId="10CBCCA8"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1.03</w:t>
            </w:r>
          </w:p>
        </w:tc>
        <w:tc>
          <w:tcPr>
            <w:tcW w:w="0" w:type="auto"/>
            <w:hideMark/>
          </w:tcPr>
          <w:p w14:paraId="757706B2"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1.06</w:t>
            </w:r>
          </w:p>
        </w:tc>
        <w:tc>
          <w:tcPr>
            <w:tcW w:w="0" w:type="auto"/>
            <w:hideMark/>
          </w:tcPr>
          <w:p w14:paraId="7248C74F"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0.91</w:t>
            </w:r>
          </w:p>
        </w:tc>
        <w:tc>
          <w:tcPr>
            <w:tcW w:w="0" w:type="auto"/>
            <w:hideMark/>
          </w:tcPr>
          <w:p w14:paraId="6D130A39"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0.94</w:t>
            </w:r>
          </w:p>
        </w:tc>
        <w:tc>
          <w:tcPr>
            <w:tcW w:w="0" w:type="auto"/>
            <w:hideMark/>
          </w:tcPr>
          <w:p w14:paraId="0E7C1589"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1.15</w:t>
            </w:r>
          </w:p>
        </w:tc>
      </w:tr>
      <w:tr w:rsidR="00B44BCE" w:rsidRPr="00B44BCE" w14:paraId="3DE5F6B4" w14:textId="77777777" w:rsidTr="00B44BCE">
        <w:tc>
          <w:tcPr>
            <w:tcW w:w="0" w:type="auto"/>
            <w:hideMark/>
          </w:tcPr>
          <w:p w14:paraId="0B84A6CD" w14:textId="77777777" w:rsidR="00B44BCE" w:rsidRPr="00B44BCE" w:rsidRDefault="00B44BCE" w:rsidP="00B44BCE">
            <w:pPr>
              <w:jc w:val="both"/>
              <w:rPr>
                <w:rFonts w:ascii="Arial" w:hAnsi="Arial" w:cs="Arial"/>
                <w:sz w:val="24"/>
                <w:szCs w:val="24"/>
                <w:lang w:val="en-US"/>
              </w:rPr>
            </w:pPr>
            <w:r w:rsidRPr="00B44BCE">
              <w:rPr>
                <w:rFonts w:ascii="Arial" w:hAnsi="Arial" w:cs="Arial"/>
                <w:b/>
                <w:bCs/>
                <w:sz w:val="24"/>
                <w:szCs w:val="24"/>
                <w:lang w:val="en-US"/>
              </w:rPr>
              <w:t>Debt-to-Equity</w:t>
            </w:r>
          </w:p>
        </w:tc>
        <w:tc>
          <w:tcPr>
            <w:tcW w:w="0" w:type="auto"/>
            <w:hideMark/>
          </w:tcPr>
          <w:p w14:paraId="7AFFCEC6"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1.11</w:t>
            </w:r>
          </w:p>
        </w:tc>
        <w:tc>
          <w:tcPr>
            <w:tcW w:w="0" w:type="auto"/>
            <w:hideMark/>
          </w:tcPr>
          <w:p w14:paraId="42AC8CFF"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0.99</w:t>
            </w:r>
          </w:p>
        </w:tc>
        <w:tc>
          <w:tcPr>
            <w:tcW w:w="0" w:type="auto"/>
            <w:hideMark/>
          </w:tcPr>
          <w:p w14:paraId="70A9F145"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0.88</w:t>
            </w:r>
          </w:p>
        </w:tc>
        <w:tc>
          <w:tcPr>
            <w:tcW w:w="0" w:type="auto"/>
            <w:hideMark/>
          </w:tcPr>
          <w:p w14:paraId="4299CDB7"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0.85</w:t>
            </w:r>
          </w:p>
        </w:tc>
        <w:tc>
          <w:tcPr>
            <w:tcW w:w="0" w:type="auto"/>
            <w:hideMark/>
          </w:tcPr>
          <w:p w14:paraId="2175C3D1"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0.63</w:t>
            </w:r>
          </w:p>
        </w:tc>
      </w:tr>
      <w:tr w:rsidR="00B44BCE" w:rsidRPr="00B44BCE" w14:paraId="79CD22DC" w14:textId="77777777" w:rsidTr="00B44BCE">
        <w:tc>
          <w:tcPr>
            <w:tcW w:w="0" w:type="auto"/>
            <w:hideMark/>
          </w:tcPr>
          <w:p w14:paraId="3A361FB2" w14:textId="77777777" w:rsidR="00B44BCE" w:rsidRPr="00B44BCE" w:rsidRDefault="00B44BCE" w:rsidP="00B44BCE">
            <w:pPr>
              <w:jc w:val="both"/>
              <w:rPr>
                <w:rFonts w:ascii="Arial" w:hAnsi="Arial" w:cs="Arial"/>
                <w:sz w:val="24"/>
                <w:szCs w:val="24"/>
                <w:lang w:val="en-US"/>
              </w:rPr>
            </w:pPr>
            <w:r w:rsidRPr="00B44BCE">
              <w:rPr>
                <w:rFonts w:ascii="Arial" w:hAnsi="Arial" w:cs="Arial"/>
                <w:b/>
                <w:bCs/>
                <w:sz w:val="24"/>
                <w:szCs w:val="24"/>
                <w:lang w:val="en-US"/>
              </w:rPr>
              <w:t>Gearing Ratio (%)</w:t>
            </w:r>
          </w:p>
        </w:tc>
        <w:tc>
          <w:tcPr>
            <w:tcW w:w="0" w:type="auto"/>
            <w:hideMark/>
          </w:tcPr>
          <w:p w14:paraId="496AD45E"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52.65</w:t>
            </w:r>
          </w:p>
        </w:tc>
        <w:tc>
          <w:tcPr>
            <w:tcW w:w="0" w:type="auto"/>
            <w:hideMark/>
          </w:tcPr>
          <w:p w14:paraId="2261F8C9"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49.72</w:t>
            </w:r>
          </w:p>
        </w:tc>
        <w:tc>
          <w:tcPr>
            <w:tcW w:w="0" w:type="auto"/>
            <w:hideMark/>
          </w:tcPr>
          <w:p w14:paraId="2391FA4F"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46.76</w:t>
            </w:r>
          </w:p>
        </w:tc>
        <w:tc>
          <w:tcPr>
            <w:tcW w:w="0" w:type="auto"/>
            <w:hideMark/>
          </w:tcPr>
          <w:p w14:paraId="323C6086"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45.93</w:t>
            </w:r>
          </w:p>
        </w:tc>
        <w:tc>
          <w:tcPr>
            <w:tcW w:w="0" w:type="auto"/>
            <w:hideMark/>
          </w:tcPr>
          <w:p w14:paraId="514FB485" w14:textId="77777777" w:rsidR="00B44BCE" w:rsidRPr="00B44BCE" w:rsidRDefault="00B44BCE" w:rsidP="00B44BCE">
            <w:pPr>
              <w:jc w:val="both"/>
              <w:rPr>
                <w:rFonts w:ascii="Arial" w:hAnsi="Arial" w:cs="Arial"/>
                <w:sz w:val="24"/>
                <w:szCs w:val="24"/>
                <w:lang w:val="en-US"/>
              </w:rPr>
            </w:pPr>
            <w:r w:rsidRPr="00B44BCE">
              <w:rPr>
                <w:rFonts w:ascii="Arial" w:hAnsi="Arial" w:cs="Arial"/>
                <w:sz w:val="24"/>
                <w:szCs w:val="24"/>
                <w:lang w:val="en-US"/>
              </w:rPr>
              <w:t>38.60</w:t>
            </w:r>
          </w:p>
        </w:tc>
      </w:tr>
    </w:tbl>
    <w:p w14:paraId="189EF6CE" w14:textId="77777777" w:rsidR="003F4E8F" w:rsidRDefault="003F4E8F" w:rsidP="003F4E8F">
      <w:pPr>
        <w:jc w:val="both"/>
        <w:rPr>
          <w:rFonts w:ascii="Arial" w:hAnsi="Arial" w:cs="Arial"/>
          <w:sz w:val="24"/>
          <w:szCs w:val="24"/>
        </w:rPr>
      </w:pPr>
    </w:p>
    <w:p w14:paraId="256F0285" w14:textId="77777777" w:rsidR="003F4E8F" w:rsidRPr="006E65DA" w:rsidRDefault="003F4E8F" w:rsidP="003F4E8F">
      <w:pPr>
        <w:jc w:val="both"/>
        <w:rPr>
          <w:rFonts w:ascii="Arial" w:hAnsi="Arial" w:cs="Arial"/>
          <w:b/>
          <w:bCs/>
          <w:sz w:val="24"/>
          <w:szCs w:val="24"/>
        </w:rPr>
      </w:pPr>
      <w:r w:rsidRPr="006E65DA">
        <w:rPr>
          <w:rFonts w:ascii="Arial" w:hAnsi="Arial" w:cs="Arial"/>
          <w:b/>
          <w:bCs/>
          <w:sz w:val="24"/>
          <w:szCs w:val="24"/>
        </w:rPr>
        <w:t>Graph:</w:t>
      </w:r>
    </w:p>
    <w:p w14:paraId="2EC07F4F" w14:textId="458AC2C5" w:rsidR="003F4E8F" w:rsidRDefault="004821ED" w:rsidP="003F4E8F">
      <w:pPr>
        <w:jc w:val="both"/>
        <w:rPr>
          <w:rFonts w:ascii="Arial" w:hAnsi="Arial" w:cs="Arial"/>
          <w:sz w:val="24"/>
          <w:szCs w:val="24"/>
        </w:rPr>
      </w:pPr>
      <w:r>
        <w:rPr>
          <w:noProof/>
          <w14:ligatures w14:val="standardContextual"/>
        </w:rPr>
        <w:drawing>
          <wp:inline distT="0" distB="0" distL="0" distR="0" wp14:anchorId="775EE744" wp14:editId="0EDB0488">
            <wp:extent cx="4572000" cy="2743200"/>
            <wp:effectExtent l="0" t="0" r="0" b="0"/>
            <wp:docPr id="1103736581" name="Chart 1">
              <a:extLst xmlns:a="http://schemas.openxmlformats.org/drawingml/2006/main">
                <a:ext uri="{FF2B5EF4-FFF2-40B4-BE49-F238E27FC236}">
                  <a16:creationId xmlns:a16="http://schemas.microsoft.com/office/drawing/2014/main" id="{A54DEF74-14B5-99D5-1FBD-4AEE7DF265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4692D533" w14:textId="55064739" w:rsidR="00497D50" w:rsidRDefault="00497D50" w:rsidP="003F4E8F">
      <w:pPr>
        <w:jc w:val="both"/>
        <w:rPr>
          <w:rFonts w:ascii="Arial" w:hAnsi="Arial" w:cs="Arial"/>
          <w:sz w:val="24"/>
          <w:szCs w:val="24"/>
        </w:rPr>
      </w:pPr>
      <w:r>
        <w:rPr>
          <w:noProof/>
          <w14:ligatures w14:val="standardContextual"/>
        </w:rPr>
        <w:drawing>
          <wp:inline distT="0" distB="0" distL="0" distR="0" wp14:anchorId="6CE72CC5" wp14:editId="7BAD8450">
            <wp:extent cx="4572000" cy="2743200"/>
            <wp:effectExtent l="0" t="0" r="0" b="0"/>
            <wp:docPr id="572681452" name="Chart 1">
              <a:extLst xmlns:a="http://schemas.openxmlformats.org/drawingml/2006/main">
                <a:ext uri="{FF2B5EF4-FFF2-40B4-BE49-F238E27FC236}">
                  <a16:creationId xmlns:a16="http://schemas.microsoft.com/office/drawing/2014/main" id="{5B43B609-3A70-D1CB-E7F9-9ED2B1008D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4AAAF07E" w14:textId="3FC92A12" w:rsidR="009459FC" w:rsidRPr="00EF7364" w:rsidRDefault="00385427" w:rsidP="003F4E8F">
      <w:pPr>
        <w:jc w:val="both"/>
        <w:rPr>
          <w:rFonts w:ascii="Arial" w:hAnsi="Arial" w:cs="Arial"/>
          <w:b/>
          <w:bCs/>
          <w:sz w:val="24"/>
          <w:szCs w:val="24"/>
        </w:rPr>
      </w:pPr>
      <w:r w:rsidRPr="00EF7364">
        <w:rPr>
          <w:rFonts w:ascii="Arial" w:hAnsi="Arial" w:cs="Arial"/>
          <w:b/>
          <w:bCs/>
          <w:sz w:val="24"/>
          <w:szCs w:val="24"/>
        </w:rPr>
        <w:t xml:space="preserve">A3. </w:t>
      </w:r>
      <w:r w:rsidR="009459FC" w:rsidRPr="00EF7364">
        <w:rPr>
          <w:rFonts w:ascii="Arial" w:hAnsi="Arial" w:cs="Arial"/>
          <w:b/>
          <w:bCs/>
          <w:sz w:val="24"/>
          <w:szCs w:val="24"/>
        </w:rPr>
        <w:t>Efficiency Ratios</w:t>
      </w:r>
    </w:p>
    <w:tbl>
      <w:tblPr>
        <w:tblStyle w:val="TableGrid"/>
        <w:tblW w:w="0" w:type="auto"/>
        <w:tblLook w:val="04A0" w:firstRow="1" w:lastRow="0" w:firstColumn="1" w:lastColumn="0" w:noHBand="0" w:noVBand="1"/>
      </w:tblPr>
      <w:tblGrid>
        <w:gridCol w:w="2356"/>
        <w:gridCol w:w="2642"/>
        <w:gridCol w:w="817"/>
        <w:gridCol w:w="817"/>
        <w:gridCol w:w="817"/>
        <w:gridCol w:w="817"/>
        <w:gridCol w:w="750"/>
      </w:tblGrid>
      <w:tr w:rsidR="00B67E36" w:rsidRPr="00B67E36" w14:paraId="2C7E4328" w14:textId="77777777" w:rsidTr="00B67E36">
        <w:tc>
          <w:tcPr>
            <w:tcW w:w="0" w:type="auto"/>
            <w:hideMark/>
          </w:tcPr>
          <w:p w14:paraId="1290E676" w14:textId="77777777" w:rsidR="00B67E36" w:rsidRPr="00B67E36" w:rsidRDefault="00B67E36" w:rsidP="00B67E36">
            <w:pPr>
              <w:jc w:val="both"/>
              <w:rPr>
                <w:rFonts w:ascii="Arial" w:hAnsi="Arial" w:cs="Arial"/>
                <w:sz w:val="24"/>
                <w:szCs w:val="24"/>
                <w:lang w:val="en-US"/>
              </w:rPr>
            </w:pPr>
            <w:r w:rsidRPr="00B67E36">
              <w:rPr>
                <w:rFonts w:ascii="Arial" w:hAnsi="Arial" w:cs="Arial"/>
                <w:b/>
                <w:bCs/>
                <w:sz w:val="24"/>
                <w:szCs w:val="24"/>
                <w:lang w:val="en-US"/>
              </w:rPr>
              <w:t>Metric</w:t>
            </w:r>
          </w:p>
        </w:tc>
        <w:tc>
          <w:tcPr>
            <w:tcW w:w="0" w:type="auto"/>
            <w:hideMark/>
          </w:tcPr>
          <w:p w14:paraId="5BE5F177" w14:textId="77777777" w:rsidR="00B67E36" w:rsidRPr="00B67E36" w:rsidRDefault="00B67E36" w:rsidP="00B67E36">
            <w:pPr>
              <w:jc w:val="both"/>
              <w:rPr>
                <w:rFonts w:ascii="Arial" w:hAnsi="Arial" w:cs="Arial"/>
                <w:sz w:val="24"/>
                <w:szCs w:val="24"/>
                <w:lang w:val="en-US"/>
              </w:rPr>
            </w:pPr>
            <w:r w:rsidRPr="00B67E36">
              <w:rPr>
                <w:rFonts w:ascii="Arial" w:hAnsi="Arial" w:cs="Arial"/>
                <w:b/>
                <w:bCs/>
                <w:sz w:val="24"/>
                <w:szCs w:val="24"/>
                <w:lang w:val="en-US"/>
              </w:rPr>
              <w:t>Formula</w:t>
            </w:r>
          </w:p>
        </w:tc>
        <w:tc>
          <w:tcPr>
            <w:tcW w:w="0" w:type="auto"/>
            <w:hideMark/>
          </w:tcPr>
          <w:p w14:paraId="1F6D4FB4" w14:textId="77777777" w:rsidR="00B67E36" w:rsidRPr="00B67E36" w:rsidRDefault="00B67E36" w:rsidP="00B67E36">
            <w:pPr>
              <w:jc w:val="both"/>
              <w:rPr>
                <w:rFonts w:ascii="Arial" w:hAnsi="Arial" w:cs="Arial"/>
                <w:sz w:val="24"/>
                <w:szCs w:val="24"/>
                <w:lang w:val="en-US"/>
              </w:rPr>
            </w:pPr>
            <w:r w:rsidRPr="00B67E36">
              <w:rPr>
                <w:rFonts w:ascii="Arial" w:hAnsi="Arial" w:cs="Arial"/>
                <w:b/>
                <w:bCs/>
                <w:sz w:val="24"/>
                <w:szCs w:val="24"/>
                <w:lang w:val="en-US"/>
              </w:rPr>
              <w:t>2024</w:t>
            </w:r>
          </w:p>
        </w:tc>
        <w:tc>
          <w:tcPr>
            <w:tcW w:w="0" w:type="auto"/>
            <w:hideMark/>
          </w:tcPr>
          <w:p w14:paraId="3F976E54" w14:textId="77777777" w:rsidR="00B67E36" w:rsidRPr="00B67E36" w:rsidRDefault="00B67E36" w:rsidP="00B67E36">
            <w:pPr>
              <w:jc w:val="both"/>
              <w:rPr>
                <w:rFonts w:ascii="Arial" w:hAnsi="Arial" w:cs="Arial"/>
                <w:sz w:val="24"/>
                <w:szCs w:val="24"/>
                <w:lang w:val="en-US"/>
              </w:rPr>
            </w:pPr>
            <w:r w:rsidRPr="00B67E36">
              <w:rPr>
                <w:rFonts w:ascii="Arial" w:hAnsi="Arial" w:cs="Arial"/>
                <w:b/>
                <w:bCs/>
                <w:sz w:val="24"/>
                <w:szCs w:val="24"/>
                <w:lang w:val="en-US"/>
              </w:rPr>
              <w:t>2023</w:t>
            </w:r>
          </w:p>
        </w:tc>
        <w:tc>
          <w:tcPr>
            <w:tcW w:w="0" w:type="auto"/>
            <w:hideMark/>
          </w:tcPr>
          <w:p w14:paraId="2F70605D" w14:textId="77777777" w:rsidR="00B67E36" w:rsidRPr="00B67E36" w:rsidRDefault="00B67E36" w:rsidP="00B67E36">
            <w:pPr>
              <w:jc w:val="both"/>
              <w:rPr>
                <w:rFonts w:ascii="Arial" w:hAnsi="Arial" w:cs="Arial"/>
                <w:sz w:val="24"/>
                <w:szCs w:val="24"/>
                <w:lang w:val="en-US"/>
              </w:rPr>
            </w:pPr>
            <w:r w:rsidRPr="00B67E36">
              <w:rPr>
                <w:rFonts w:ascii="Arial" w:hAnsi="Arial" w:cs="Arial"/>
                <w:b/>
                <w:bCs/>
                <w:sz w:val="24"/>
                <w:szCs w:val="24"/>
                <w:lang w:val="en-US"/>
              </w:rPr>
              <w:t>2022</w:t>
            </w:r>
          </w:p>
        </w:tc>
        <w:tc>
          <w:tcPr>
            <w:tcW w:w="0" w:type="auto"/>
            <w:hideMark/>
          </w:tcPr>
          <w:p w14:paraId="052D8D15" w14:textId="77777777" w:rsidR="00B67E36" w:rsidRPr="00B67E36" w:rsidRDefault="00B67E36" w:rsidP="00B67E36">
            <w:pPr>
              <w:jc w:val="both"/>
              <w:rPr>
                <w:rFonts w:ascii="Arial" w:hAnsi="Arial" w:cs="Arial"/>
                <w:sz w:val="24"/>
                <w:szCs w:val="24"/>
                <w:lang w:val="en-US"/>
              </w:rPr>
            </w:pPr>
            <w:r w:rsidRPr="00B67E36">
              <w:rPr>
                <w:rFonts w:ascii="Arial" w:hAnsi="Arial" w:cs="Arial"/>
                <w:b/>
                <w:bCs/>
                <w:sz w:val="24"/>
                <w:szCs w:val="24"/>
                <w:lang w:val="en-US"/>
              </w:rPr>
              <w:t>2021</w:t>
            </w:r>
          </w:p>
        </w:tc>
        <w:tc>
          <w:tcPr>
            <w:tcW w:w="0" w:type="auto"/>
            <w:hideMark/>
          </w:tcPr>
          <w:p w14:paraId="3F8A0212" w14:textId="77777777" w:rsidR="00B67E36" w:rsidRPr="00B67E36" w:rsidRDefault="00B67E36" w:rsidP="00B67E36">
            <w:pPr>
              <w:jc w:val="both"/>
              <w:rPr>
                <w:rFonts w:ascii="Arial" w:hAnsi="Arial" w:cs="Arial"/>
                <w:sz w:val="24"/>
                <w:szCs w:val="24"/>
                <w:lang w:val="en-US"/>
              </w:rPr>
            </w:pPr>
            <w:r w:rsidRPr="00B67E36">
              <w:rPr>
                <w:rFonts w:ascii="Arial" w:hAnsi="Arial" w:cs="Arial"/>
                <w:b/>
                <w:bCs/>
                <w:sz w:val="24"/>
                <w:szCs w:val="24"/>
                <w:lang w:val="en-US"/>
              </w:rPr>
              <w:t>2020</w:t>
            </w:r>
          </w:p>
        </w:tc>
      </w:tr>
      <w:tr w:rsidR="00B67E36" w:rsidRPr="00B67E36" w14:paraId="06D78C68" w14:textId="77777777" w:rsidTr="00B67E36">
        <w:tc>
          <w:tcPr>
            <w:tcW w:w="0" w:type="auto"/>
            <w:hideMark/>
          </w:tcPr>
          <w:p w14:paraId="02E32E7A" w14:textId="77777777" w:rsidR="00B67E36" w:rsidRPr="00B67E36" w:rsidRDefault="00B67E36" w:rsidP="00B67E36">
            <w:pPr>
              <w:jc w:val="both"/>
              <w:rPr>
                <w:rFonts w:ascii="Arial" w:hAnsi="Arial" w:cs="Arial"/>
                <w:sz w:val="24"/>
                <w:szCs w:val="24"/>
                <w:lang w:val="en-US"/>
              </w:rPr>
            </w:pPr>
            <w:r w:rsidRPr="00B67E36">
              <w:rPr>
                <w:rFonts w:ascii="Arial" w:hAnsi="Arial" w:cs="Arial"/>
                <w:b/>
                <w:bCs/>
                <w:sz w:val="24"/>
                <w:szCs w:val="24"/>
                <w:lang w:val="en-US"/>
              </w:rPr>
              <w:t>Asset Turnover</w:t>
            </w:r>
          </w:p>
        </w:tc>
        <w:tc>
          <w:tcPr>
            <w:tcW w:w="0" w:type="auto"/>
            <w:hideMark/>
          </w:tcPr>
          <w:p w14:paraId="607AA2BC"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Revenue / Total Assets</w:t>
            </w:r>
          </w:p>
        </w:tc>
        <w:tc>
          <w:tcPr>
            <w:tcW w:w="0" w:type="auto"/>
            <w:hideMark/>
          </w:tcPr>
          <w:p w14:paraId="5BC1EAC7"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1.22</w:t>
            </w:r>
          </w:p>
        </w:tc>
        <w:tc>
          <w:tcPr>
            <w:tcW w:w="0" w:type="auto"/>
            <w:hideMark/>
          </w:tcPr>
          <w:p w14:paraId="3958B507"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1.18</w:t>
            </w:r>
          </w:p>
        </w:tc>
        <w:tc>
          <w:tcPr>
            <w:tcW w:w="0" w:type="auto"/>
            <w:hideMark/>
          </w:tcPr>
          <w:p w14:paraId="1B259421"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1.08</w:t>
            </w:r>
          </w:p>
        </w:tc>
        <w:tc>
          <w:tcPr>
            <w:tcW w:w="0" w:type="auto"/>
            <w:hideMark/>
          </w:tcPr>
          <w:p w14:paraId="0BB06D83"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1.18</w:t>
            </w:r>
          </w:p>
        </w:tc>
        <w:tc>
          <w:tcPr>
            <w:tcW w:w="0" w:type="auto"/>
            <w:hideMark/>
          </w:tcPr>
          <w:p w14:paraId="0A6604EC"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1.20</w:t>
            </w:r>
          </w:p>
        </w:tc>
      </w:tr>
      <w:tr w:rsidR="00B67E36" w:rsidRPr="00B67E36" w14:paraId="109747FB" w14:textId="77777777" w:rsidTr="00B67E36">
        <w:tc>
          <w:tcPr>
            <w:tcW w:w="0" w:type="auto"/>
            <w:hideMark/>
          </w:tcPr>
          <w:p w14:paraId="16322DE0" w14:textId="77777777" w:rsidR="00B67E36" w:rsidRPr="00B67E36" w:rsidRDefault="00B67E36" w:rsidP="00B67E36">
            <w:pPr>
              <w:jc w:val="both"/>
              <w:rPr>
                <w:rFonts w:ascii="Arial" w:hAnsi="Arial" w:cs="Arial"/>
                <w:sz w:val="24"/>
                <w:szCs w:val="24"/>
                <w:lang w:val="en-US"/>
              </w:rPr>
            </w:pPr>
            <w:r w:rsidRPr="00B67E36">
              <w:rPr>
                <w:rFonts w:ascii="Arial" w:hAnsi="Arial" w:cs="Arial"/>
                <w:b/>
                <w:bCs/>
                <w:sz w:val="24"/>
                <w:szCs w:val="24"/>
                <w:lang w:val="en-US"/>
              </w:rPr>
              <w:t>Inventory Turnover</w:t>
            </w:r>
          </w:p>
        </w:tc>
        <w:tc>
          <w:tcPr>
            <w:tcW w:w="0" w:type="auto"/>
            <w:hideMark/>
          </w:tcPr>
          <w:p w14:paraId="1E16B7C7"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COGS / Average Inventory</w:t>
            </w:r>
          </w:p>
        </w:tc>
        <w:tc>
          <w:tcPr>
            <w:tcW w:w="0" w:type="auto"/>
            <w:hideMark/>
          </w:tcPr>
          <w:p w14:paraId="6895191E"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3.54</w:t>
            </w:r>
          </w:p>
        </w:tc>
        <w:tc>
          <w:tcPr>
            <w:tcW w:w="0" w:type="auto"/>
            <w:hideMark/>
          </w:tcPr>
          <w:p w14:paraId="3AF18D35"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3.66</w:t>
            </w:r>
          </w:p>
        </w:tc>
        <w:tc>
          <w:tcPr>
            <w:tcW w:w="0" w:type="auto"/>
            <w:hideMark/>
          </w:tcPr>
          <w:p w14:paraId="5FC30703"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2.79</w:t>
            </w:r>
          </w:p>
        </w:tc>
        <w:tc>
          <w:tcPr>
            <w:tcW w:w="0" w:type="auto"/>
            <w:hideMark/>
          </w:tcPr>
          <w:p w14:paraId="57F0F959"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3.19</w:t>
            </w:r>
          </w:p>
        </w:tc>
        <w:tc>
          <w:tcPr>
            <w:tcW w:w="0" w:type="auto"/>
            <w:hideMark/>
          </w:tcPr>
          <w:p w14:paraId="529A9D74"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3.64</w:t>
            </w:r>
          </w:p>
        </w:tc>
      </w:tr>
      <w:tr w:rsidR="00B67E36" w:rsidRPr="00B67E36" w14:paraId="31742666" w14:textId="77777777" w:rsidTr="00B67E36">
        <w:tc>
          <w:tcPr>
            <w:tcW w:w="0" w:type="auto"/>
            <w:hideMark/>
          </w:tcPr>
          <w:p w14:paraId="16B11DAF" w14:textId="77777777" w:rsidR="00B67E36" w:rsidRPr="00B67E36" w:rsidRDefault="00B67E36" w:rsidP="00B67E36">
            <w:pPr>
              <w:jc w:val="both"/>
              <w:rPr>
                <w:rFonts w:ascii="Arial" w:hAnsi="Arial" w:cs="Arial"/>
                <w:sz w:val="24"/>
                <w:szCs w:val="24"/>
                <w:lang w:val="en-US"/>
              </w:rPr>
            </w:pPr>
            <w:r w:rsidRPr="00B67E36">
              <w:rPr>
                <w:rFonts w:ascii="Arial" w:hAnsi="Arial" w:cs="Arial"/>
                <w:b/>
                <w:bCs/>
                <w:sz w:val="24"/>
                <w:szCs w:val="24"/>
                <w:lang w:val="en-US"/>
              </w:rPr>
              <w:t>Fixed Asset Turnover</w:t>
            </w:r>
          </w:p>
        </w:tc>
        <w:tc>
          <w:tcPr>
            <w:tcW w:w="0" w:type="auto"/>
            <w:hideMark/>
          </w:tcPr>
          <w:p w14:paraId="23CC9094"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Revenue / Net PPE</w:t>
            </w:r>
          </w:p>
        </w:tc>
        <w:tc>
          <w:tcPr>
            <w:tcW w:w="0" w:type="auto"/>
            <w:hideMark/>
          </w:tcPr>
          <w:p w14:paraId="79D3349C"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11.55</w:t>
            </w:r>
          </w:p>
        </w:tc>
        <w:tc>
          <w:tcPr>
            <w:tcW w:w="0" w:type="auto"/>
            <w:hideMark/>
          </w:tcPr>
          <w:p w14:paraId="36964360"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12.29</w:t>
            </w:r>
          </w:p>
        </w:tc>
        <w:tc>
          <w:tcPr>
            <w:tcW w:w="0" w:type="auto"/>
            <w:hideMark/>
          </w:tcPr>
          <w:p w14:paraId="3DA399B5"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15.87</w:t>
            </w:r>
          </w:p>
        </w:tc>
        <w:tc>
          <w:tcPr>
            <w:tcW w:w="0" w:type="auto"/>
            <w:hideMark/>
          </w:tcPr>
          <w:p w14:paraId="484C9ACE"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10.37</w:t>
            </w:r>
          </w:p>
        </w:tc>
        <w:tc>
          <w:tcPr>
            <w:tcW w:w="0" w:type="auto"/>
            <w:hideMark/>
          </w:tcPr>
          <w:p w14:paraId="3DDBB9D0" w14:textId="77777777" w:rsidR="00B67E36" w:rsidRPr="00B67E36" w:rsidRDefault="00B67E36" w:rsidP="00B67E36">
            <w:pPr>
              <w:jc w:val="both"/>
              <w:rPr>
                <w:rFonts w:ascii="Arial" w:hAnsi="Arial" w:cs="Arial"/>
                <w:sz w:val="24"/>
                <w:szCs w:val="24"/>
                <w:lang w:val="en-US"/>
              </w:rPr>
            </w:pPr>
            <w:r w:rsidRPr="00B67E36">
              <w:rPr>
                <w:rFonts w:ascii="Arial" w:hAnsi="Arial" w:cs="Arial"/>
                <w:sz w:val="24"/>
                <w:szCs w:val="24"/>
                <w:lang w:val="en-US"/>
              </w:rPr>
              <w:t>7.04</w:t>
            </w:r>
          </w:p>
        </w:tc>
      </w:tr>
    </w:tbl>
    <w:p w14:paraId="3EEDCCA5" w14:textId="628F53F3" w:rsidR="00385427" w:rsidRPr="00562D61" w:rsidRDefault="00385427" w:rsidP="003F4E8F">
      <w:pPr>
        <w:jc w:val="both"/>
        <w:rPr>
          <w:rFonts w:ascii="Arial" w:hAnsi="Arial" w:cs="Arial"/>
          <w:b/>
          <w:bCs/>
          <w:sz w:val="24"/>
          <w:szCs w:val="24"/>
        </w:rPr>
      </w:pPr>
      <w:r w:rsidRPr="00562D61">
        <w:rPr>
          <w:rFonts w:ascii="Arial" w:hAnsi="Arial" w:cs="Arial"/>
          <w:b/>
          <w:bCs/>
          <w:sz w:val="24"/>
          <w:szCs w:val="24"/>
        </w:rPr>
        <w:lastRenderedPageBreak/>
        <w:t>Graph:</w:t>
      </w:r>
    </w:p>
    <w:p w14:paraId="5FA337B3" w14:textId="07DE4596" w:rsidR="00B67E36" w:rsidRDefault="00166331" w:rsidP="003F4E8F">
      <w:pPr>
        <w:jc w:val="both"/>
        <w:rPr>
          <w:rFonts w:ascii="Arial" w:hAnsi="Arial" w:cs="Arial"/>
          <w:sz w:val="24"/>
          <w:szCs w:val="24"/>
        </w:rPr>
      </w:pPr>
      <w:r>
        <w:rPr>
          <w:noProof/>
          <w14:ligatures w14:val="standardContextual"/>
        </w:rPr>
        <w:drawing>
          <wp:inline distT="0" distB="0" distL="0" distR="0" wp14:anchorId="75203885" wp14:editId="4101A9CF">
            <wp:extent cx="5149850" cy="2870200"/>
            <wp:effectExtent l="0" t="0" r="12700" b="6350"/>
            <wp:docPr id="183556905" name="Chart 1">
              <a:extLst xmlns:a="http://schemas.openxmlformats.org/drawingml/2006/main">
                <a:ext uri="{FF2B5EF4-FFF2-40B4-BE49-F238E27FC236}">
                  <a16:creationId xmlns:a16="http://schemas.microsoft.com/office/drawing/2014/main" id="{77B87283-B2EA-B2EB-8A2C-8B8E565377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2BE58EBE" w14:textId="53FD1F62" w:rsidR="00077752" w:rsidRPr="001C6777" w:rsidRDefault="00385427" w:rsidP="00077752">
      <w:pPr>
        <w:jc w:val="both"/>
        <w:rPr>
          <w:rFonts w:ascii="Arial" w:hAnsi="Arial" w:cs="Arial"/>
          <w:b/>
          <w:bCs/>
          <w:sz w:val="24"/>
          <w:szCs w:val="24"/>
        </w:rPr>
      </w:pPr>
      <w:r w:rsidRPr="001C6777">
        <w:rPr>
          <w:rFonts w:ascii="Arial" w:hAnsi="Arial" w:cs="Arial"/>
          <w:b/>
          <w:bCs/>
          <w:sz w:val="24"/>
          <w:szCs w:val="24"/>
        </w:rPr>
        <w:t>A</w:t>
      </w:r>
      <w:r w:rsidR="00077752" w:rsidRPr="001C6777">
        <w:rPr>
          <w:rFonts w:ascii="Arial" w:hAnsi="Arial" w:cs="Arial"/>
          <w:b/>
          <w:bCs/>
          <w:sz w:val="24"/>
          <w:szCs w:val="24"/>
        </w:rPr>
        <w:t>4</w:t>
      </w:r>
      <w:r w:rsidRPr="001C6777">
        <w:rPr>
          <w:rFonts w:ascii="Arial" w:hAnsi="Arial" w:cs="Arial"/>
          <w:b/>
          <w:bCs/>
          <w:sz w:val="24"/>
          <w:szCs w:val="24"/>
        </w:rPr>
        <w:t xml:space="preserve">. </w:t>
      </w:r>
      <w:r w:rsidR="00EF7364" w:rsidRPr="001C6777">
        <w:rPr>
          <w:rFonts w:ascii="Arial" w:hAnsi="Arial" w:cs="Arial"/>
          <w:b/>
          <w:bCs/>
          <w:sz w:val="24"/>
          <w:szCs w:val="24"/>
        </w:rPr>
        <w:t>Gearing Ratios</w:t>
      </w:r>
    </w:p>
    <w:tbl>
      <w:tblPr>
        <w:tblStyle w:val="TableGrid"/>
        <w:tblW w:w="8663" w:type="dxa"/>
        <w:tblLook w:val="04A0" w:firstRow="1" w:lastRow="0" w:firstColumn="1" w:lastColumn="0" w:noHBand="0" w:noVBand="1"/>
      </w:tblPr>
      <w:tblGrid>
        <w:gridCol w:w="1719"/>
        <w:gridCol w:w="2859"/>
        <w:gridCol w:w="817"/>
        <w:gridCol w:w="817"/>
        <w:gridCol w:w="817"/>
        <w:gridCol w:w="817"/>
        <w:gridCol w:w="817"/>
      </w:tblGrid>
      <w:tr w:rsidR="001C6777" w:rsidRPr="001C6777" w14:paraId="68F9D567" w14:textId="77777777" w:rsidTr="008E7D2D">
        <w:trPr>
          <w:trHeight w:val="508"/>
        </w:trPr>
        <w:tc>
          <w:tcPr>
            <w:tcW w:w="0" w:type="auto"/>
            <w:hideMark/>
          </w:tcPr>
          <w:p w14:paraId="3AEF94AF" w14:textId="77777777" w:rsidR="001C6777" w:rsidRPr="001C6777" w:rsidRDefault="001C6777" w:rsidP="001C6777">
            <w:pPr>
              <w:jc w:val="both"/>
              <w:rPr>
                <w:rFonts w:ascii="Arial" w:hAnsi="Arial" w:cs="Arial"/>
                <w:sz w:val="24"/>
                <w:szCs w:val="24"/>
                <w:lang w:val="en-US"/>
              </w:rPr>
            </w:pPr>
            <w:r w:rsidRPr="001C6777">
              <w:rPr>
                <w:rFonts w:ascii="Arial" w:hAnsi="Arial" w:cs="Arial"/>
                <w:b/>
                <w:bCs/>
                <w:sz w:val="24"/>
                <w:szCs w:val="24"/>
                <w:lang w:val="en-US"/>
              </w:rPr>
              <w:t>Metric</w:t>
            </w:r>
          </w:p>
        </w:tc>
        <w:tc>
          <w:tcPr>
            <w:tcW w:w="0" w:type="auto"/>
            <w:hideMark/>
          </w:tcPr>
          <w:p w14:paraId="1427C9B4" w14:textId="77777777" w:rsidR="001C6777" w:rsidRPr="001C6777" w:rsidRDefault="001C6777" w:rsidP="001C6777">
            <w:pPr>
              <w:jc w:val="both"/>
              <w:rPr>
                <w:rFonts w:ascii="Arial" w:hAnsi="Arial" w:cs="Arial"/>
                <w:sz w:val="24"/>
                <w:szCs w:val="24"/>
                <w:lang w:val="en-US"/>
              </w:rPr>
            </w:pPr>
            <w:r w:rsidRPr="001C6777">
              <w:rPr>
                <w:rFonts w:ascii="Arial" w:hAnsi="Arial" w:cs="Arial"/>
                <w:b/>
                <w:bCs/>
                <w:sz w:val="24"/>
                <w:szCs w:val="24"/>
                <w:lang w:val="en-US"/>
              </w:rPr>
              <w:t>Formula</w:t>
            </w:r>
          </w:p>
        </w:tc>
        <w:tc>
          <w:tcPr>
            <w:tcW w:w="0" w:type="auto"/>
            <w:hideMark/>
          </w:tcPr>
          <w:p w14:paraId="5571C6D8" w14:textId="77777777" w:rsidR="001C6777" w:rsidRPr="001C6777" w:rsidRDefault="001C6777" w:rsidP="001C6777">
            <w:pPr>
              <w:jc w:val="both"/>
              <w:rPr>
                <w:rFonts w:ascii="Arial" w:hAnsi="Arial" w:cs="Arial"/>
                <w:sz w:val="24"/>
                <w:szCs w:val="24"/>
                <w:lang w:val="en-US"/>
              </w:rPr>
            </w:pPr>
            <w:r w:rsidRPr="001C6777">
              <w:rPr>
                <w:rFonts w:ascii="Arial" w:hAnsi="Arial" w:cs="Arial"/>
                <w:b/>
                <w:bCs/>
                <w:sz w:val="24"/>
                <w:szCs w:val="24"/>
                <w:lang w:val="en-US"/>
              </w:rPr>
              <w:t>2024</w:t>
            </w:r>
          </w:p>
        </w:tc>
        <w:tc>
          <w:tcPr>
            <w:tcW w:w="0" w:type="auto"/>
            <w:hideMark/>
          </w:tcPr>
          <w:p w14:paraId="08E63F1D" w14:textId="77777777" w:rsidR="001C6777" w:rsidRPr="001C6777" w:rsidRDefault="001C6777" w:rsidP="001C6777">
            <w:pPr>
              <w:jc w:val="both"/>
              <w:rPr>
                <w:rFonts w:ascii="Arial" w:hAnsi="Arial" w:cs="Arial"/>
                <w:sz w:val="24"/>
                <w:szCs w:val="24"/>
                <w:lang w:val="en-US"/>
              </w:rPr>
            </w:pPr>
            <w:r w:rsidRPr="001C6777">
              <w:rPr>
                <w:rFonts w:ascii="Arial" w:hAnsi="Arial" w:cs="Arial"/>
                <w:b/>
                <w:bCs/>
                <w:sz w:val="24"/>
                <w:szCs w:val="24"/>
                <w:lang w:val="en-US"/>
              </w:rPr>
              <w:t>2023</w:t>
            </w:r>
          </w:p>
        </w:tc>
        <w:tc>
          <w:tcPr>
            <w:tcW w:w="0" w:type="auto"/>
            <w:hideMark/>
          </w:tcPr>
          <w:p w14:paraId="040FEB91" w14:textId="77777777" w:rsidR="001C6777" w:rsidRPr="001C6777" w:rsidRDefault="001C6777" w:rsidP="001C6777">
            <w:pPr>
              <w:jc w:val="both"/>
              <w:rPr>
                <w:rFonts w:ascii="Arial" w:hAnsi="Arial" w:cs="Arial"/>
                <w:sz w:val="24"/>
                <w:szCs w:val="24"/>
                <w:lang w:val="en-US"/>
              </w:rPr>
            </w:pPr>
            <w:r w:rsidRPr="001C6777">
              <w:rPr>
                <w:rFonts w:ascii="Arial" w:hAnsi="Arial" w:cs="Arial"/>
                <w:b/>
                <w:bCs/>
                <w:sz w:val="24"/>
                <w:szCs w:val="24"/>
                <w:lang w:val="en-US"/>
              </w:rPr>
              <w:t>2022</w:t>
            </w:r>
          </w:p>
        </w:tc>
        <w:tc>
          <w:tcPr>
            <w:tcW w:w="0" w:type="auto"/>
            <w:hideMark/>
          </w:tcPr>
          <w:p w14:paraId="71CCDDB5" w14:textId="77777777" w:rsidR="001C6777" w:rsidRPr="001C6777" w:rsidRDefault="001C6777" w:rsidP="001C6777">
            <w:pPr>
              <w:jc w:val="both"/>
              <w:rPr>
                <w:rFonts w:ascii="Arial" w:hAnsi="Arial" w:cs="Arial"/>
                <w:sz w:val="24"/>
                <w:szCs w:val="24"/>
                <w:lang w:val="en-US"/>
              </w:rPr>
            </w:pPr>
            <w:r w:rsidRPr="001C6777">
              <w:rPr>
                <w:rFonts w:ascii="Arial" w:hAnsi="Arial" w:cs="Arial"/>
                <w:b/>
                <w:bCs/>
                <w:sz w:val="24"/>
                <w:szCs w:val="24"/>
                <w:lang w:val="en-US"/>
              </w:rPr>
              <w:t>2021</w:t>
            </w:r>
          </w:p>
        </w:tc>
        <w:tc>
          <w:tcPr>
            <w:tcW w:w="0" w:type="auto"/>
            <w:hideMark/>
          </w:tcPr>
          <w:p w14:paraId="5B626642" w14:textId="77777777" w:rsidR="001C6777" w:rsidRPr="001C6777" w:rsidRDefault="001C6777" w:rsidP="001C6777">
            <w:pPr>
              <w:jc w:val="both"/>
              <w:rPr>
                <w:rFonts w:ascii="Arial" w:hAnsi="Arial" w:cs="Arial"/>
                <w:sz w:val="24"/>
                <w:szCs w:val="24"/>
                <w:lang w:val="en-US"/>
              </w:rPr>
            </w:pPr>
            <w:r w:rsidRPr="001C6777">
              <w:rPr>
                <w:rFonts w:ascii="Arial" w:hAnsi="Arial" w:cs="Arial"/>
                <w:b/>
                <w:bCs/>
                <w:sz w:val="24"/>
                <w:szCs w:val="24"/>
                <w:lang w:val="en-US"/>
              </w:rPr>
              <w:t>2020</w:t>
            </w:r>
          </w:p>
        </w:tc>
      </w:tr>
      <w:tr w:rsidR="001C6777" w:rsidRPr="001C6777" w14:paraId="13848132" w14:textId="77777777" w:rsidTr="008E7D2D">
        <w:trPr>
          <w:trHeight w:val="811"/>
        </w:trPr>
        <w:tc>
          <w:tcPr>
            <w:tcW w:w="0" w:type="auto"/>
            <w:hideMark/>
          </w:tcPr>
          <w:p w14:paraId="537CD20B" w14:textId="77777777" w:rsidR="001C6777" w:rsidRPr="001C6777" w:rsidRDefault="001C6777" w:rsidP="001C6777">
            <w:pPr>
              <w:jc w:val="both"/>
              <w:rPr>
                <w:rFonts w:ascii="Arial" w:hAnsi="Arial" w:cs="Arial"/>
                <w:sz w:val="24"/>
                <w:szCs w:val="24"/>
                <w:lang w:val="en-US"/>
              </w:rPr>
            </w:pPr>
            <w:r w:rsidRPr="001C6777">
              <w:rPr>
                <w:rFonts w:ascii="Arial" w:hAnsi="Arial" w:cs="Arial"/>
                <w:b/>
                <w:bCs/>
                <w:sz w:val="24"/>
                <w:szCs w:val="24"/>
                <w:lang w:val="en-US"/>
              </w:rPr>
              <w:t>Debt-to-Equity</w:t>
            </w:r>
          </w:p>
        </w:tc>
        <w:tc>
          <w:tcPr>
            <w:tcW w:w="0" w:type="auto"/>
            <w:hideMark/>
          </w:tcPr>
          <w:p w14:paraId="7692D2F9"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Total Debt / Shareholders Equity</w:t>
            </w:r>
          </w:p>
        </w:tc>
        <w:tc>
          <w:tcPr>
            <w:tcW w:w="0" w:type="auto"/>
            <w:hideMark/>
          </w:tcPr>
          <w:p w14:paraId="79B498A2"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1.11</w:t>
            </w:r>
          </w:p>
        </w:tc>
        <w:tc>
          <w:tcPr>
            <w:tcW w:w="0" w:type="auto"/>
            <w:hideMark/>
          </w:tcPr>
          <w:p w14:paraId="20507A8F"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0.99</w:t>
            </w:r>
          </w:p>
        </w:tc>
        <w:tc>
          <w:tcPr>
            <w:tcW w:w="0" w:type="auto"/>
            <w:hideMark/>
          </w:tcPr>
          <w:p w14:paraId="4A7A9598"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0.88</w:t>
            </w:r>
          </w:p>
        </w:tc>
        <w:tc>
          <w:tcPr>
            <w:tcW w:w="0" w:type="auto"/>
            <w:hideMark/>
          </w:tcPr>
          <w:p w14:paraId="5BC9B34C"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0.85</w:t>
            </w:r>
          </w:p>
        </w:tc>
        <w:tc>
          <w:tcPr>
            <w:tcW w:w="0" w:type="auto"/>
            <w:hideMark/>
          </w:tcPr>
          <w:p w14:paraId="63F04499"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0.63</w:t>
            </w:r>
          </w:p>
        </w:tc>
      </w:tr>
      <w:tr w:rsidR="001C6777" w:rsidRPr="001C6777" w14:paraId="01CC0CDE" w14:textId="77777777" w:rsidTr="008E7D2D">
        <w:trPr>
          <w:trHeight w:val="820"/>
        </w:trPr>
        <w:tc>
          <w:tcPr>
            <w:tcW w:w="0" w:type="auto"/>
            <w:hideMark/>
          </w:tcPr>
          <w:p w14:paraId="5D5D05F2" w14:textId="77777777" w:rsidR="001C6777" w:rsidRPr="001C6777" w:rsidRDefault="001C6777" w:rsidP="001C6777">
            <w:pPr>
              <w:jc w:val="both"/>
              <w:rPr>
                <w:rFonts w:ascii="Arial" w:hAnsi="Arial" w:cs="Arial"/>
                <w:sz w:val="24"/>
                <w:szCs w:val="24"/>
                <w:lang w:val="en-US"/>
              </w:rPr>
            </w:pPr>
            <w:r w:rsidRPr="001C6777">
              <w:rPr>
                <w:rFonts w:ascii="Arial" w:hAnsi="Arial" w:cs="Arial"/>
                <w:b/>
                <w:bCs/>
                <w:sz w:val="24"/>
                <w:szCs w:val="24"/>
                <w:lang w:val="en-US"/>
              </w:rPr>
              <w:t>Gearing Ratio (%)</w:t>
            </w:r>
          </w:p>
        </w:tc>
        <w:tc>
          <w:tcPr>
            <w:tcW w:w="0" w:type="auto"/>
            <w:hideMark/>
          </w:tcPr>
          <w:p w14:paraId="54BA0A40"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(Debt / Debt + Equity) * 100</w:t>
            </w:r>
          </w:p>
        </w:tc>
        <w:tc>
          <w:tcPr>
            <w:tcW w:w="0" w:type="auto"/>
            <w:hideMark/>
          </w:tcPr>
          <w:p w14:paraId="00282454"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52.65</w:t>
            </w:r>
          </w:p>
        </w:tc>
        <w:tc>
          <w:tcPr>
            <w:tcW w:w="0" w:type="auto"/>
            <w:hideMark/>
          </w:tcPr>
          <w:p w14:paraId="1F064D49"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49.72</w:t>
            </w:r>
          </w:p>
        </w:tc>
        <w:tc>
          <w:tcPr>
            <w:tcW w:w="0" w:type="auto"/>
            <w:hideMark/>
          </w:tcPr>
          <w:p w14:paraId="4FCFA7C9"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46.76</w:t>
            </w:r>
          </w:p>
        </w:tc>
        <w:tc>
          <w:tcPr>
            <w:tcW w:w="0" w:type="auto"/>
            <w:hideMark/>
          </w:tcPr>
          <w:p w14:paraId="6C64B012"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45.93</w:t>
            </w:r>
          </w:p>
        </w:tc>
        <w:tc>
          <w:tcPr>
            <w:tcW w:w="0" w:type="auto"/>
            <w:hideMark/>
          </w:tcPr>
          <w:p w14:paraId="6DC38B83"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38.60</w:t>
            </w:r>
          </w:p>
        </w:tc>
      </w:tr>
      <w:tr w:rsidR="001C6777" w:rsidRPr="001C6777" w14:paraId="484BB5F2" w14:textId="77777777" w:rsidTr="008E7D2D">
        <w:trPr>
          <w:trHeight w:val="811"/>
        </w:trPr>
        <w:tc>
          <w:tcPr>
            <w:tcW w:w="0" w:type="auto"/>
            <w:hideMark/>
          </w:tcPr>
          <w:p w14:paraId="0C163FE6" w14:textId="77777777" w:rsidR="001C6777" w:rsidRPr="001C6777" w:rsidRDefault="001C6777" w:rsidP="001C6777">
            <w:pPr>
              <w:jc w:val="both"/>
              <w:rPr>
                <w:rFonts w:ascii="Arial" w:hAnsi="Arial" w:cs="Arial"/>
                <w:sz w:val="24"/>
                <w:szCs w:val="24"/>
                <w:lang w:val="en-US"/>
              </w:rPr>
            </w:pPr>
            <w:r w:rsidRPr="001C6777">
              <w:rPr>
                <w:rFonts w:ascii="Arial" w:hAnsi="Arial" w:cs="Arial"/>
                <w:b/>
                <w:bCs/>
                <w:sz w:val="24"/>
                <w:szCs w:val="24"/>
                <w:lang w:val="en-US"/>
              </w:rPr>
              <w:t>Interest Cover</w:t>
            </w:r>
          </w:p>
        </w:tc>
        <w:tc>
          <w:tcPr>
            <w:tcW w:w="0" w:type="auto"/>
            <w:hideMark/>
          </w:tcPr>
          <w:p w14:paraId="4C9E0437"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Operating Profit / Interest Expense</w:t>
            </w:r>
          </w:p>
        </w:tc>
        <w:tc>
          <w:tcPr>
            <w:tcW w:w="0" w:type="auto"/>
            <w:hideMark/>
          </w:tcPr>
          <w:p w14:paraId="6514A283"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-1.82</w:t>
            </w:r>
          </w:p>
        </w:tc>
        <w:tc>
          <w:tcPr>
            <w:tcW w:w="0" w:type="auto"/>
            <w:hideMark/>
          </w:tcPr>
          <w:p w14:paraId="63AB65C3"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-9.54</w:t>
            </w:r>
          </w:p>
        </w:tc>
        <w:tc>
          <w:tcPr>
            <w:tcW w:w="0" w:type="auto"/>
            <w:hideMark/>
          </w:tcPr>
          <w:p w14:paraId="416BD271"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1.63</w:t>
            </w:r>
          </w:p>
        </w:tc>
        <w:tc>
          <w:tcPr>
            <w:tcW w:w="0" w:type="auto"/>
            <w:hideMark/>
          </w:tcPr>
          <w:p w14:paraId="60750267"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2.51</w:t>
            </w:r>
          </w:p>
        </w:tc>
        <w:tc>
          <w:tcPr>
            <w:tcW w:w="0" w:type="auto"/>
            <w:hideMark/>
          </w:tcPr>
          <w:p w14:paraId="03EA22F5" w14:textId="77777777" w:rsidR="001C6777" w:rsidRPr="001C6777" w:rsidRDefault="001C6777" w:rsidP="001C6777">
            <w:pPr>
              <w:jc w:val="both"/>
              <w:rPr>
                <w:rFonts w:ascii="Arial" w:hAnsi="Arial" w:cs="Arial"/>
                <w:sz w:val="24"/>
                <w:szCs w:val="24"/>
                <w:lang w:val="en-US"/>
              </w:rPr>
            </w:pPr>
            <w:r w:rsidRPr="001C6777">
              <w:rPr>
                <w:rFonts w:ascii="Arial" w:hAnsi="Arial" w:cs="Arial"/>
                <w:sz w:val="24"/>
                <w:szCs w:val="24"/>
                <w:lang w:val="en-US"/>
              </w:rPr>
              <w:t>4.02</w:t>
            </w:r>
          </w:p>
        </w:tc>
      </w:tr>
    </w:tbl>
    <w:p w14:paraId="20A1EAF6" w14:textId="77777777" w:rsidR="00077752" w:rsidRPr="00077752" w:rsidRDefault="00077752" w:rsidP="00077752">
      <w:pPr>
        <w:jc w:val="both"/>
        <w:rPr>
          <w:rFonts w:ascii="Arial" w:hAnsi="Arial" w:cs="Arial"/>
          <w:sz w:val="24"/>
          <w:szCs w:val="24"/>
        </w:rPr>
      </w:pPr>
    </w:p>
    <w:p w14:paraId="7EBFB455" w14:textId="77777777" w:rsidR="00077752" w:rsidRPr="009756B9" w:rsidRDefault="00077752" w:rsidP="00077752">
      <w:pPr>
        <w:jc w:val="both"/>
        <w:rPr>
          <w:rFonts w:ascii="Arial" w:hAnsi="Arial" w:cs="Arial"/>
          <w:b/>
          <w:bCs/>
          <w:sz w:val="24"/>
          <w:szCs w:val="24"/>
        </w:rPr>
      </w:pPr>
      <w:r w:rsidRPr="009756B9">
        <w:rPr>
          <w:rFonts w:ascii="Arial" w:hAnsi="Arial" w:cs="Arial"/>
          <w:b/>
          <w:bCs/>
          <w:sz w:val="24"/>
          <w:szCs w:val="24"/>
        </w:rPr>
        <w:t>Graph:</w:t>
      </w:r>
    </w:p>
    <w:p w14:paraId="74ABA499" w14:textId="7EC350F4" w:rsidR="00385427" w:rsidRDefault="009756B9" w:rsidP="00385427">
      <w:pPr>
        <w:jc w:val="both"/>
        <w:rPr>
          <w:rFonts w:ascii="Arial" w:hAnsi="Arial" w:cs="Arial"/>
          <w:sz w:val="24"/>
          <w:szCs w:val="24"/>
        </w:rPr>
      </w:pPr>
      <w:r>
        <w:rPr>
          <w:noProof/>
          <w14:ligatures w14:val="standardContextual"/>
        </w:rPr>
        <w:drawing>
          <wp:inline distT="0" distB="0" distL="0" distR="0" wp14:anchorId="2605A989" wp14:editId="1EDD967C">
            <wp:extent cx="4152900" cy="2343150"/>
            <wp:effectExtent l="0" t="0" r="0" b="0"/>
            <wp:docPr id="1331336773" name="Chart 1">
              <a:extLst xmlns:a="http://schemas.openxmlformats.org/drawingml/2006/main">
                <a:ext uri="{FF2B5EF4-FFF2-40B4-BE49-F238E27FC236}">
                  <a16:creationId xmlns:a16="http://schemas.microsoft.com/office/drawing/2014/main" id="{B3E28AD5-6B85-2B01-E7BF-0556A5B98F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651B2B38" w14:textId="6E1CB128" w:rsidR="00077752" w:rsidRPr="00077752" w:rsidRDefault="00077752" w:rsidP="00077752">
      <w:pPr>
        <w:jc w:val="both"/>
        <w:rPr>
          <w:rFonts w:ascii="Arial" w:hAnsi="Arial" w:cs="Arial"/>
          <w:b/>
          <w:bCs/>
          <w:sz w:val="24"/>
          <w:szCs w:val="24"/>
        </w:rPr>
      </w:pPr>
      <w:r w:rsidRPr="00077752">
        <w:rPr>
          <w:rFonts w:ascii="Arial" w:hAnsi="Arial" w:cs="Arial"/>
          <w:b/>
          <w:bCs/>
          <w:sz w:val="24"/>
          <w:szCs w:val="24"/>
        </w:rPr>
        <w:lastRenderedPageBreak/>
        <w:t>A</w:t>
      </w:r>
      <w:r w:rsidR="00EF7364" w:rsidRPr="009756B9">
        <w:rPr>
          <w:rFonts w:ascii="Arial" w:hAnsi="Arial" w:cs="Arial"/>
          <w:b/>
          <w:bCs/>
          <w:sz w:val="24"/>
          <w:szCs w:val="24"/>
        </w:rPr>
        <w:t>5</w:t>
      </w:r>
      <w:r w:rsidRPr="00077752">
        <w:rPr>
          <w:rFonts w:ascii="Arial" w:hAnsi="Arial" w:cs="Arial"/>
          <w:b/>
          <w:bCs/>
          <w:sz w:val="24"/>
          <w:szCs w:val="24"/>
        </w:rPr>
        <w:t xml:space="preserve">. </w:t>
      </w:r>
      <w:r w:rsidR="00EF7364" w:rsidRPr="009756B9">
        <w:rPr>
          <w:rFonts w:ascii="Arial" w:hAnsi="Arial" w:cs="Arial"/>
          <w:b/>
          <w:bCs/>
          <w:sz w:val="24"/>
          <w:szCs w:val="24"/>
        </w:rPr>
        <w:t>Investment Ratios</w:t>
      </w:r>
    </w:p>
    <w:tbl>
      <w:tblPr>
        <w:tblStyle w:val="TableGrid"/>
        <w:tblW w:w="0" w:type="auto"/>
        <w:tblLook w:val="04A0" w:firstRow="1" w:lastRow="0" w:firstColumn="1" w:lastColumn="0" w:noHBand="0" w:noVBand="1"/>
      </w:tblPr>
      <w:tblGrid>
        <w:gridCol w:w="2239"/>
        <w:gridCol w:w="2372"/>
        <w:gridCol w:w="977"/>
        <w:gridCol w:w="977"/>
        <w:gridCol w:w="817"/>
        <w:gridCol w:w="817"/>
        <w:gridCol w:w="817"/>
      </w:tblGrid>
      <w:tr w:rsidR="006D0EF6" w:rsidRPr="006D0EF6" w14:paraId="22C1F25C" w14:textId="77777777" w:rsidTr="006D0EF6">
        <w:tc>
          <w:tcPr>
            <w:tcW w:w="0" w:type="auto"/>
            <w:hideMark/>
          </w:tcPr>
          <w:p w14:paraId="6D1C99C6" w14:textId="77777777" w:rsidR="006D0EF6" w:rsidRPr="006D0EF6" w:rsidRDefault="006D0EF6" w:rsidP="006D0EF6">
            <w:pPr>
              <w:jc w:val="both"/>
              <w:rPr>
                <w:rFonts w:ascii="Arial" w:hAnsi="Arial" w:cs="Arial"/>
                <w:sz w:val="24"/>
                <w:szCs w:val="24"/>
                <w:lang w:val="en-US"/>
              </w:rPr>
            </w:pPr>
            <w:r w:rsidRPr="006D0EF6">
              <w:rPr>
                <w:rFonts w:ascii="Arial" w:hAnsi="Arial" w:cs="Arial"/>
                <w:b/>
                <w:bCs/>
                <w:sz w:val="24"/>
                <w:szCs w:val="24"/>
                <w:lang w:val="en-US"/>
              </w:rPr>
              <w:t>Metric</w:t>
            </w:r>
          </w:p>
        </w:tc>
        <w:tc>
          <w:tcPr>
            <w:tcW w:w="0" w:type="auto"/>
            <w:hideMark/>
          </w:tcPr>
          <w:p w14:paraId="7D442B8D" w14:textId="77777777" w:rsidR="006D0EF6" w:rsidRPr="006D0EF6" w:rsidRDefault="006D0EF6" w:rsidP="006D0EF6">
            <w:pPr>
              <w:jc w:val="both"/>
              <w:rPr>
                <w:rFonts w:ascii="Arial" w:hAnsi="Arial" w:cs="Arial"/>
                <w:sz w:val="24"/>
                <w:szCs w:val="24"/>
                <w:lang w:val="en-US"/>
              </w:rPr>
            </w:pPr>
            <w:r w:rsidRPr="006D0EF6">
              <w:rPr>
                <w:rFonts w:ascii="Arial" w:hAnsi="Arial" w:cs="Arial"/>
                <w:b/>
                <w:bCs/>
                <w:sz w:val="24"/>
                <w:szCs w:val="24"/>
                <w:lang w:val="en-US"/>
              </w:rPr>
              <w:t>Formula</w:t>
            </w:r>
          </w:p>
        </w:tc>
        <w:tc>
          <w:tcPr>
            <w:tcW w:w="0" w:type="auto"/>
            <w:hideMark/>
          </w:tcPr>
          <w:p w14:paraId="3B47AC58" w14:textId="77777777" w:rsidR="006D0EF6" w:rsidRPr="006D0EF6" w:rsidRDefault="006D0EF6" w:rsidP="006D0EF6">
            <w:pPr>
              <w:jc w:val="both"/>
              <w:rPr>
                <w:rFonts w:ascii="Arial" w:hAnsi="Arial" w:cs="Arial"/>
                <w:sz w:val="24"/>
                <w:szCs w:val="24"/>
                <w:lang w:val="en-US"/>
              </w:rPr>
            </w:pPr>
            <w:r w:rsidRPr="006D0EF6">
              <w:rPr>
                <w:rFonts w:ascii="Arial" w:hAnsi="Arial" w:cs="Arial"/>
                <w:b/>
                <w:bCs/>
                <w:sz w:val="24"/>
                <w:szCs w:val="24"/>
                <w:lang w:val="en-US"/>
              </w:rPr>
              <w:t>2024</w:t>
            </w:r>
          </w:p>
        </w:tc>
        <w:tc>
          <w:tcPr>
            <w:tcW w:w="0" w:type="auto"/>
            <w:hideMark/>
          </w:tcPr>
          <w:p w14:paraId="47AB8A01" w14:textId="77777777" w:rsidR="006D0EF6" w:rsidRPr="006D0EF6" w:rsidRDefault="006D0EF6" w:rsidP="006D0EF6">
            <w:pPr>
              <w:jc w:val="both"/>
              <w:rPr>
                <w:rFonts w:ascii="Arial" w:hAnsi="Arial" w:cs="Arial"/>
                <w:sz w:val="24"/>
                <w:szCs w:val="24"/>
                <w:lang w:val="en-US"/>
              </w:rPr>
            </w:pPr>
            <w:r w:rsidRPr="006D0EF6">
              <w:rPr>
                <w:rFonts w:ascii="Arial" w:hAnsi="Arial" w:cs="Arial"/>
                <w:b/>
                <w:bCs/>
                <w:sz w:val="24"/>
                <w:szCs w:val="24"/>
                <w:lang w:val="en-US"/>
              </w:rPr>
              <w:t>2023</w:t>
            </w:r>
          </w:p>
        </w:tc>
        <w:tc>
          <w:tcPr>
            <w:tcW w:w="0" w:type="auto"/>
            <w:hideMark/>
          </w:tcPr>
          <w:p w14:paraId="1ADA20A2" w14:textId="77777777" w:rsidR="006D0EF6" w:rsidRPr="006D0EF6" w:rsidRDefault="006D0EF6" w:rsidP="006D0EF6">
            <w:pPr>
              <w:jc w:val="both"/>
              <w:rPr>
                <w:rFonts w:ascii="Arial" w:hAnsi="Arial" w:cs="Arial"/>
                <w:sz w:val="24"/>
                <w:szCs w:val="24"/>
                <w:lang w:val="en-US"/>
              </w:rPr>
            </w:pPr>
            <w:r w:rsidRPr="006D0EF6">
              <w:rPr>
                <w:rFonts w:ascii="Arial" w:hAnsi="Arial" w:cs="Arial"/>
                <w:b/>
                <w:bCs/>
                <w:sz w:val="24"/>
                <w:szCs w:val="24"/>
                <w:lang w:val="en-US"/>
              </w:rPr>
              <w:t>2022</w:t>
            </w:r>
          </w:p>
        </w:tc>
        <w:tc>
          <w:tcPr>
            <w:tcW w:w="0" w:type="auto"/>
            <w:hideMark/>
          </w:tcPr>
          <w:p w14:paraId="3D229947" w14:textId="77777777" w:rsidR="006D0EF6" w:rsidRPr="006D0EF6" w:rsidRDefault="006D0EF6" w:rsidP="006D0EF6">
            <w:pPr>
              <w:jc w:val="both"/>
              <w:rPr>
                <w:rFonts w:ascii="Arial" w:hAnsi="Arial" w:cs="Arial"/>
                <w:sz w:val="24"/>
                <w:szCs w:val="24"/>
                <w:lang w:val="en-US"/>
              </w:rPr>
            </w:pPr>
            <w:r w:rsidRPr="006D0EF6">
              <w:rPr>
                <w:rFonts w:ascii="Arial" w:hAnsi="Arial" w:cs="Arial"/>
                <w:b/>
                <w:bCs/>
                <w:sz w:val="24"/>
                <w:szCs w:val="24"/>
                <w:lang w:val="en-US"/>
              </w:rPr>
              <w:t>2021</w:t>
            </w:r>
          </w:p>
        </w:tc>
        <w:tc>
          <w:tcPr>
            <w:tcW w:w="0" w:type="auto"/>
            <w:hideMark/>
          </w:tcPr>
          <w:p w14:paraId="735F1BFF" w14:textId="77777777" w:rsidR="006D0EF6" w:rsidRPr="006D0EF6" w:rsidRDefault="006D0EF6" w:rsidP="006D0EF6">
            <w:pPr>
              <w:jc w:val="both"/>
              <w:rPr>
                <w:rFonts w:ascii="Arial" w:hAnsi="Arial" w:cs="Arial"/>
                <w:sz w:val="24"/>
                <w:szCs w:val="24"/>
                <w:lang w:val="en-US"/>
              </w:rPr>
            </w:pPr>
            <w:r w:rsidRPr="006D0EF6">
              <w:rPr>
                <w:rFonts w:ascii="Arial" w:hAnsi="Arial" w:cs="Arial"/>
                <w:b/>
                <w:bCs/>
                <w:sz w:val="24"/>
                <w:szCs w:val="24"/>
                <w:lang w:val="en-US"/>
              </w:rPr>
              <w:t>2020</w:t>
            </w:r>
          </w:p>
        </w:tc>
      </w:tr>
      <w:tr w:rsidR="006D0EF6" w:rsidRPr="006D0EF6" w14:paraId="2313F97F" w14:textId="77777777" w:rsidTr="006D0EF6">
        <w:tc>
          <w:tcPr>
            <w:tcW w:w="0" w:type="auto"/>
            <w:hideMark/>
          </w:tcPr>
          <w:p w14:paraId="057B7C7B" w14:textId="77777777" w:rsidR="006D0EF6" w:rsidRPr="006D0EF6" w:rsidRDefault="006D0EF6" w:rsidP="006D0EF6">
            <w:pPr>
              <w:jc w:val="both"/>
              <w:rPr>
                <w:rFonts w:ascii="Arial" w:hAnsi="Arial" w:cs="Arial"/>
                <w:sz w:val="24"/>
                <w:szCs w:val="24"/>
                <w:lang w:val="en-US"/>
              </w:rPr>
            </w:pPr>
            <w:r w:rsidRPr="006D0EF6">
              <w:rPr>
                <w:rFonts w:ascii="Arial" w:hAnsi="Arial" w:cs="Arial"/>
                <w:b/>
                <w:bCs/>
                <w:sz w:val="24"/>
                <w:szCs w:val="24"/>
                <w:lang w:val="en-US"/>
              </w:rPr>
              <w:t>Earnings Per Share (£)</w:t>
            </w:r>
          </w:p>
        </w:tc>
        <w:tc>
          <w:tcPr>
            <w:tcW w:w="0" w:type="auto"/>
            <w:hideMark/>
          </w:tcPr>
          <w:p w14:paraId="6D6331FA"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Net Income / Shares Outstanding</w:t>
            </w:r>
          </w:p>
        </w:tc>
        <w:tc>
          <w:tcPr>
            <w:tcW w:w="0" w:type="auto"/>
            <w:hideMark/>
          </w:tcPr>
          <w:p w14:paraId="118145F9"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(£1.85)</w:t>
            </w:r>
          </w:p>
        </w:tc>
        <w:tc>
          <w:tcPr>
            <w:tcW w:w="0" w:type="auto"/>
            <w:hideMark/>
          </w:tcPr>
          <w:p w14:paraId="27662891"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(£7.64)</w:t>
            </w:r>
          </w:p>
        </w:tc>
        <w:tc>
          <w:tcPr>
            <w:tcW w:w="0" w:type="auto"/>
            <w:hideMark/>
          </w:tcPr>
          <w:p w14:paraId="152F049E"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£0.03</w:t>
            </w:r>
          </w:p>
        </w:tc>
        <w:tc>
          <w:tcPr>
            <w:tcW w:w="0" w:type="auto"/>
            <w:hideMark/>
          </w:tcPr>
          <w:p w14:paraId="47D0CEE1"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£0.39</w:t>
            </w:r>
          </w:p>
        </w:tc>
        <w:tc>
          <w:tcPr>
            <w:tcW w:w="0" w:type="auto"/>
            <w:hideMark/>
          </w:tcPr>
          <w:p w14:paraId="309D7165"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£2.78</w:t>
            </w:r>
          </w:p>
        </w:tc>
      </w:tr>
      <w:tr w:rsidR="006D0EF6" w:rsidRPr="006D0EF6" w14:paraId="504F6A38" w14:textId="77777777" w:rsidTr="006D0EF6">
        <w:tc>
          <w:tcPr>
            <w:tcW w:w="0" w:type="auto"/>
            <w:hideMark/>
          </w:tcPr>
          <w:p w14:paraId="505753C1" w14:textId="77777777" w:rsidR="006D0EF6" w:rsidRPr="006D0EF6" w:rsidRDefault="006D0EF6" w:rsidP="006D0EF6">
            <w:pPr>
              <w:jc w:val="both"/>
              <w:rPr>
                <w:rFonts w:ascii="Arial" w:hAnsi="Arial" w:cs="Arial"/>
                <w:sz w:val="24"/>
                <w:szCs w:val="24"/>
                <w:lang w:val="en-US"/>
              </w:rPr>
            </w:pPr>
            <w:r w:rsidRPr="006D0EF6">
              <w:rPr>
                <w:rFonts w:ascii="Arial" w:hAnsi="Arial" w:cs="Arial"/>
                <w:b/>
                <w:bCs/>
                <w:sz w:val="24"/>
                <w:szCs w:val="24"/>
                <w:lang w:val="en-US"/>
              </w:rPr>
              <w:t>Dividend Yield (%)</w:t>
            </w:r>
          </w:p>
        </w:tc>
        <w:tc>
          <w:tcPr>
            <w:tcW w:w="0" w:type="auto"/>
            <w:hideMark/>
          </w:tcPr>
          <w:p w14:paraId="4134EC0E"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Dividend per Share / Price</w:t>
            </w:r>
          </w:p>
        </w:tc>
        <w:tc>
          <w:tcPr>
            <w:tcW w:w="0" w:type="auto"/>
            <w:hideMark/>
          </w:tcPr>
          <w:p w14:paraId="26509FDE"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1.1%</w:t>
            </w:r>
          </w:p>
        </w:tc>
        <w:tc>
          <w:tcPr>
            <w:tcW w:w="0" w:type="auto"/>
            <w:hideMark/>
          </w:tcPr>
          <w:p w14:paraId="7E11C5C3"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0.8%</w:t>
            </w:r>
          </w:p>
        </w:tc>
        <w:tc>
          <w:tcPr>
            <w:tcW w:w="0" w:type="auto"/>
            <w:hideMark/>
          </w:tcPr>
          <w:p w14:paraId="0ADCB9F0"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1.4%</w:t>
            </w:r>
          </w:p>
        </w:tc>
        <w:tc>
          <w:tcPr>
            <w:tcW w:w="0" w:type="auto"/>
            <w:hideMark/>
          </w:tcPr>
          <w:p w14:paraId="50D5D579"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1.8%</w:t>
            </w:r>
          </w:p>
        </w:tc>
        <w:tc>
          <w:tcPr>
            <w:tcW w:w="0" w:type="auto"/>
            <w:hideMark/>
          </w:tcPr>
          <w:p w14:paraId="366B6005"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2.2%</w:t>
            </w:r>
          </w:p>
        </w:tc>
      </w:tr>
      <w:tr w:rsidR="006D0EF6" w:rsidRPr="006D0EF6" w14:paraId="0A9F6CEF" w14:textId="77777777" w:rsidTr="006D0EF6">
        <w:tc>
          <w:tcPr>
            <w:tcW w:w="0" w:type="auto"/>
            <w:hideMark/>
          </w:tcPr>
          <w:p w14:paraId="11AACE59" w14:textId="77777777" w:rsidR="006D0EF6" w:rsidRPr="006D0EF6" w:rsidRDefault="006D0EF6" w:rsidP="006D0EF6">
            <w:pPr>
              <w:jc w:val="both"/>
              <w:rPr>
                <w:rFonts w:ascii="Arial" w:hAnsi="Arial" w:cs="Arial"/>
                <w:sz w:val="24"/>
                <w:szCs w:val="24"/>
                <w:lang w:val="en-US"/>
              </w:rPr>
            </w:pPr>
            <w:r w:rsidRPr="006D0EF6">
              <w:rPr>
                <w:rFonts w:ascii="Arial" w:hAnsi="Arial" w:cs="Arial"/>
                <w:b/>
                <w:bCs/>
                <w:sz w:val="24"/>
                <w:szCs w:val="24"/>
                <w:lang w:val="en-US"/>
              </w:rPr>
              <w:t>Price/Earnings (P/E)</w:t>
            </w:r>
          </w:p>
        </w:tc>
        <w:tc>
          <w:tcPr>
            <w:tcW w:w="0" w:type="auto"/>
            <w:hideMark/>
          </w:tcPr>
          <w:p w14:paraId="60BAE44D"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Market Price / EPS</w:t>
            </w:r>
          </w:p>
        </w:tc>
        <w:tc>
          <w:tcPr>
            <w:tcW w:w="0" w:type="auto"/>
            <w:hideMark/>
          </w:tcPr>
          <w:p w14:paraId="7CD5521C"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N/A</w:t>
            </w:r>
          </w:p>
        </w:tc>
        <w:tc>
          <w:tcPr>
            <w:tcW w:w="0" w:type="auto"/>
            <w:hideMark/>
          </w:tcPr>
          <w:p w14:paraId="1EBBEAD8"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N/A</w:t>
            </w:r>
          </w:p>
        </w:tc>
        <w:tc>
          <w:tcPr>
            <w:tcW w:w="0" w:type="auto"/>
            <w:hideMark/>
          </w:tcPr>
          <w:p w14:paraId="2A2D1EE3"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32.1</w:t>
            </w:r>
          </w:p>
        </w:tc>
        <w:tc>
          <w:tcPr>
            <w:tcW w:w="0" w:type="auto"/>
            <w:hideMark/>
          </w:tcPr>
          <w:p w14:paraId="2006A9B5"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18.5</w:t>
            </w:r>
          </w:p>
        </w:tc>
        <w:tc>
          <w:tcPr>
            <w:tcW w:w="0" w:type="auto"/>
            <w:hideMark/>
          </w:tcPr>
          <w:p w14:paraId="3AA943EB" w14:textId="77777777" w:rsidR="006D0EF6" w:rsidRPr="006D0EF6" w:rsidRDefault="006D0EF6" w:rsidP="006D0EF6">
            <w:pPr>
              <w:jc w:val="both"/>
              <w:rPr>
                <w:rFonts w:ascii="Arial" w:hAnsi="Arial" w:cs="Arial"/>
                <w:sz w:val="24"/>
                <w:szCs w:val="24"/>
                <w:lang w:val="en-US"/>
              </w:rPr>
            </w:pPr>
            <w:r w:rsidRPr="006D0EF6">
              <w:rPr>
                <w:rFonts w:ascii="Arial" w:hAnsi="Arial" w:cs="Arial"/>
                <w:sz w:val="24"/>
                <w:szCs w:val="24"/>
                <w:lang w:val="en-US"/>
              </w:rPr>
              <w:t>12.4</w:t>
            </w:r>
          </w:p>
        </w:tc>
      </w:tr>
    </w:tbl>
    <w:p w14:paraId="5E55E007" w14:textId="77777777" w:rsidR="00077752" w:rsidRPr="00077752" w:rsidRDefault="00077752" w:rsidP="00077752">
      <w:pPr>
        <w:jc w:val="both"/>
        <w:rPr>
          <w:rFonts w:ascii="Arial" w:hAnsi="Arial" w:cs="Arial"/>
          <w:sz w:val="24"/>
          <w:szCs w:val="24"/>
        </w:rPr>
      </w:pPr>
    </w:p>
    <w:p w14:paraId="1F8060D5" w14:textId="77777777" w:rsidR="00077752" w:rsidRPr="00077752" w:rsidRDefault="00077752" w:rsidP="00077752">
      <w:pPr>
        <w:jc w:val="both"/>
        <w:rPr>
          <w:rFonts w:ascii="Arial" w:hAnsi="Arial" w:cs="Arial"/>
          <w:b/>
          <w:bCs/>
          <w:sz w:val="24"/>
          <w:szCs w:val="24"/>
        </w:rPr>
      </w:pPr>
      <w:r w:rsidRPr="00077752">
        <w:rPr>
          <w:rFonts w:ascii="Arial" w:hAnsi="Arial" w:cs="Arial"/>
          <w:b/>
          <w:bCs/>
          <w:sz w:val="24"/>
          <w:szCs w:val="24"/>
        </w:rPr>
        <w:t>Graph:</w:t>
      </w:r>
    </w:p>
    <w:p w14:paraId="1B0FA1A0" w14:textId="683B85B6" w:rsidR="00077752" w:rsidRPr="00077752" w:rsidRDefault="00D301F7" w:rsidP="00077752">
      <w:pPr>
        <w:jc w:val="both"/>
        <w:rPr>
          <w:rFonts w:ascii="Arial" w:hAnsi="Arial" w:cs="Arial"/>
          <w:sz w:val="24"/>
          <w:szCs w:val="24"/>
        </w:rPr>
      </w:pPr>
      <w:r>
        <w:rPr>
          <w:noProof/>
          <w14:ligatures w14:val="standardContextual"/>
        </w:rPr>
        <w:drawing>
          <wp:inline distT="0" distB="0" distL="0" distR="0" wp14:anchorId="4E85905A" wp14:editId="74FFA27C">
            <wp:extent cx="4572000" cy="2743200"/>
            <wp:effectExtent l="0" t="0" r="0" b="0"/>
            <wp:docPr id="2040921651" name="Chart 1">
              <a:extLst xmlns:a="http://schemas.openxmlformats.org/drawingml/2006/main">
                <a:ext uri="{FF2B5EF4-FFF2-40B4-BE49-F238E27FC236}">
                  <a16:creationId xmlns:a16="http://schemas.microsoft.com/office/drawing/2014/main" id="{1EC1A2AD-183A-7286-EED8-D781F2A746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6A4EBFAB" w14:textId="77777777" w:rsidR="003F4E8F" w:rsidRPr="00031512" w:rsidRDefault="003F4E8F" w:rsidP="003F4E8F">
      <w:pPr>
        <w:pStyle w:val="Heading2"/>
        <w:rPr>
          <w:lang w:val="en-US"/>
        </w:rPr>
      </w:pPr>
      <w:bookmarkStart w:id="60" w:name="_Toc217246348"/>
      <w:r w:rsidRPr="00031512">
        <w:rPr>
          <w:lang w:val="en-US"/>
        </w:rPr>
        <w:t>Appendix B: Investment Appraisal</w:t>
      </w:r>
      <w:bookmarkEnd w:id="60"/>
    </w:p>
    <w:p w14:paraId="3CD7CE37" w14:textId="264B9B99" w:rsidR="00AD447E" w:rsidRPr="00075826" w:rsidRDefault="00075826" w:rsidP="00AD447E">
      <w:pPr>
        <w:rPr>
          <w:rFonts w:ascii="Arial" w:hAnsi="Arial" w:cs="Arial"/>
          <w:b/>
          <w:bCs/>
          <w:sz w:val="24"/>
          <w:szCs w:val="24"/>
          <w:lang w:val="en-US"/>
        </w:rPr>
      </w:pPr>
      <w:r w:rsidRPr="00075826">
        <w:rPr>
          <w:rFonts w:ascii="Arial" w:hAnsi="Arial" w:cs="Arial"/>
          <w:b/>
          <w:bCs/>
          <w:sz w:val="24"/>
          <w:szCs w:val="24"/>
          <w:lang w:val="en-US"/>
        </w:rPr>
        <w:t>Discounted Cash Flow</w:t>
      </w:r>
      <w:r w:rsidR="006832D4">
        <w:rPr>
          <w:rFonts w:ascii="Arial" w:hAnsi="Arial" w:cs="Arial"/>
          <w:b/>
          <w:bCs/>
          <w:sz w:val="24"/>
          <w:szCs w:val="24"/>
          <w:lang w:val="en-US"/>
        </w:rPr>
        <w:t>:</w:t>
      </w:r>
    </w:p>
    <w:tbl>
      <w:tblPr>
        <w:tblStyle w:val="TableGrid"/>
        <w:tblW w:w="0" w:type="auto"/>
        <w:tblLook w:val="04A0" w:firstRow="1" w:lastRow="0" w:firstColumn="1" w:lastColumn="0" w:noHBand="0" w:noVBand="1"/>
      </w:tblPr>
      <w:tblGrid>
        <w:gridCol w:w="2750"/>
        <w:gridCol w:w="977"/>
        <w:gridCol w:w="937"/>
        <w:gridCol w:w="937"/>
        <w:gridCol w:w="937"/>
        <w:gridCol w:w="937"/>
        <w:gridCol w:w="937"/>
      </w:tblGrid>
      <w:tr w:rsidR="00295AA6" w:rsidRPr="00295AA6" w14:paraId="6E18D609" w14:textId="77777777" w:rsidTr="00295AA6">
        <w:tc>
          <w:tcPr>
            <w:tcW w:w="0" w:type="auto"/>
            <w:hideMark/>
          </w:tcPr>
          <w:p w14:paraId="32E1023B"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Period</w:t>
            </w:r>
          </w:p>
        </w:tc>
        <w:tc>
          <w:tcPr>
            <w:tcW w:w="0" w:type="auto"/>
            <w:hideMark/>
          </w:tcPr>
          <w:p w14:paraId="7D1F656D"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Year 0</w:t>
            </w:r>
          </w:p>
        </w:tc>
        <w:tc>
          <w:tcPr>
            <w:tcW w:w="0" w:type="auto"/>
            <w:hideMark/>
          </w:tcPr>
          <w:p w14:paraId="3882F831"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Year 1</w:t>
            </w:r>
          </w:p>
        </w:tc>
        <w:tc>
          <w:tcPr>
            <w:tcW w:w="0" w:type="auto"/>
            <w:hideMark/>
          </w:tcPr>
          <w:p w14:paraId="1378315E"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Year 2</w:t>
            </w:r>
          </w:p>
        </w:tc>
        <w:tc>
          <w:tcPr>
            <w:tcW w:w="0" w:type="auto"/>
            <w:hideMark/>
          </w:tcPr>
          <w:p w14:paraId="050A9428"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Year 3</w:t>
            </w:r>
          </w:p>
        </w:tc>
        <w:tc>
          <w:tcPr>
            <w:tcW w:w="0" w:type="auto"/>
            <w:hideMark/>
          </w:tcPr>
          <w:p w14:paraId="01E26E12"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Year 4</w:t>
            </w:r>
          </w:p>
        </w:tc>
        <w:tc>
          <w:tcPr>
            <w:tcW w:w="0" w:type="auto"/>
            <w:hideMark/>
          </w:tcPr>
          <w:p w14:paraId="66A54A1B"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Year 5</w:t>
            </w:r>
          </w:p>
        </w:tc>
      </w:tr>
      <w:tr w:rsidR="00295AA6" w:rsidRPr="00295AA6" w14:paraId="5B57DC8D" w14:textId="77777777" w:rsidTr="00295AA6">
        <w:tc>
          <w:tcPr>
            <w:tcW w:w="0" w:type="auto"/>
            <w:hideMark/>
          </w:tcPr>
          <w:p w14:paraId="49D7FB26"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Discount Factor (10%)</w:t>
            </w:r>
          </w:p>
        </w:tc>
        <w:tc>
          <w:tcPr>
            <w:tcW w:w="0" w:type="auto"/>
            <w:hideMark/>
          </w:tcPr>
          <w:p w14:paraId="7DCABF96"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1.000</w:t>
            </w:r>
          </w:p>
        </w:tc>
        <w:tc>
          <w:tcPr>
            <w:tcW w:w="0" w:type="auto"/>
            <w:hideMark/>
          </w:tcPr>
          <w:p w14:paraId="6624D513"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0.909</w:t>
            </w:r>
          </w:p>
        </w:tc>
        <w:tc>
          <w:tcPr>
            <w:tcW w:w="0" w:type="auto"/>
            <w:hideMark/>
          </w:tcPr>
          <w:p w14:paraId="2E0F3636"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0.826</w:t>
            </w:r>
          </w:p>
        </w:tc>
        <w:tc>
          <w:tcPr>
            <w:tcW w:w="0" w:type="auto"/>
            <w:hideMark/>
          </w:tcPr>
          <w:p w14:paraId="189F7635"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0.751</w:t>
            </w:r>
          </w:p>
        </w:tc>
        <w:tc>
          <w:tcPr>
            <w:tcW w:w="0" w:type="auto"/>
            <w:hideMark/>
          </w:tcPr>
          <w:p w14:paraId="388698C2"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0.683</w:t>
            </w:r>
          </w:p>
        </w:tc>
        <w:tc>
          <w:tcPr>
            <w:tcW w:w="0" w:type="auto"/>
            <w:hideMark/>
          </w:tcPr>
          <w:p w14:paraId="1E9F2B96"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0.621</w:t>
            </w:r>
          </w:p>
        </w:tc>
      </w:tr>
      <w:tr w:rsidR="00295AA6" w:rsidRPr="00295AA6" w14:paraId="0E32F28C" w14:textId="77777777" w:rsidTr="00295AA6">
        <w:tc>
          <w:tcPr>
            <w:tcW w:w="0" w:type="auto"/>
            <w:hideMark/>
          </w:tcPr>
          <w:p w14:paraId="54B4FCDD"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Project A (PV £m)</w:t>
            </w:r>
          </w:p>
        </w:tc>
        <w:tc>
          <w:tcPr>
            <w:tcW w:w="0" w:type="auto"/>
            <w:hideMark/>
          </w:tcPr>
          <w:p w14:paraId="3E559CDA"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(40.00)</w:t>
            </w:r>
          </w:p>
        </w:tc>
        <w:tc>
          <w:tcPr>
            <w:tcW w:w="0" w:type="auto"/>
            <w:hideMark/>
          </w:tcPr>
          <w:p w14:paraId="756F269E"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9.09</w:t>
            </w:r>
          </w:p>
        </w:tc>
        <w:tc>
          <w:tcPr>
            <w:tcW w:w="0" w:type="auto"/>
            <w:hideMark/>
          </w:tcPr>
          <w:p w14:paraId="442969EB"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9.92</w:t>
            </w:r>
          </w:p>
        </w:tc>
        <w:tc>
          <w:tcPr>
            <w:tcW w:w="0" w:type="auto"/>
            <w:hideMark/>
          </w:tcPr>
          <w:p w14:paraId="03D13338"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10.52</w:t>
            </w:r>
          </w:p>
        </w:tc>
        <w:tc>
          <w:tcPr>
            <w:tcW w:w="0" w:type="auto"/>
            <w:hideMark/>
          </w:tcPr>
          <w:p w14:paraId="0BA68C77"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6.83</w:t>
            </w:r>
          </w:p>
        </w:tc>
        <w:tc>
          <w:tcPr>
            <w:tcW w:w="0" w:type="auto"/>
            <w:hideMark/>
          </w:tcPr>
          <w:p w14:paraId="0F676FA6"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4.97</w:t>
            </w:r>
          </w:p>
        </w:tc>
      </w:tr>
      <w:tr w:rsidR="00295AA6" w:rsidRPr="00295AA6" w14:paraId="334D5635" w14:textId="77777777" w:rsidTr="00295AA6">
        <w:tc>
          <w:tcPr>
            <w:tcW w:w="0" w:type="auto"/>
            <w:hideMark/>
          </w:tcPr>
          <w:p w14:paraId="538FA406"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Project B (PV £m)</w:t>
            </w:r>
          </w:p>
        </w:tc>
        <w:tc>
          <w:tcPr>
            <w:tcW w:w="0" w:type="auto"/>
            <w:hideMark/>
          </w:tcPr>
          <w:p w14:paraId="489458BD"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(30.00)</w:t>
            </w:r>
          </w:p>
        </w:tc>
        <w:tc>
          <w:tcPr>
            <w:tcW w:w="0" w:type="auto"/>
            <w:hideMark/>
          </w:tcPr>
          <w:p w14:paraId="7E1D2D56"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5.45</w:t>
            </w:r>
          </w:p>
        </w:tc>
        <w:tc>
          <w:tcPr>
            <w:tcW w:w="0" w:type="auto"/>
            <w:hideMark/>
          </w:tcPr>
          <w:p w14:paraId="406144E9"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4.96</w:t>
            </w:r>
          </w:p>
        </w:tc>
        <w:tc>
          <w:tcPr>
            <w:tcW w:w="0" w:type="auto"/>
            <w:hideMark/>
          </w:tcPr>
          <w:p w14:paraId="6E9D8478"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4.51</w:t>
            </w:r>
          </w:p>
        </w:tc>
        <w:tc>
          <w:tcPr>
            <w:tcW w:w="0" w:type="auto"/>
            <w:hideMark/>
          </w:tcPr>
          <w:p w14:paraId="2BEFEA07"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4.10</w:t>
            </w:r>
          </w:p>
        </w:tc>
        <w:tc>
          <w:tcPr>
            <w:tcW w:w="0" w:type="auto"/>
            <w:hideMark/>
          </w:tcPr>
          <w:p w14:paraId="2DF1E0E4"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3.73</w:t>
            </w:r>
          </w:p>
        </w:tc>
      </w:tr>
      <w:tr w:rsidR="00295AA6" w:rsidRPr="00295AA6" w14:paraId="55111CFC" w14:textId="77777777" w:rsidTr="00295AA6">
        <w:tc>
          <w:tcPr>
            <w:tcW w:w="0" w:type="auto"/>
            <w:hideMark/>
          </w:tcPr>
          <w:p w14:paraId="38F0FEC1" w14:textId="77777777" w:rsidR="00295AA6" w:rsidRPr="00295AA6" w:rsidRDefault="00295AA6" w:rsidP="00295AA6">
            <w:pPr>
              <w:rPr>
                <w:rFonts w:ascii="Arial" w:hAnsi="Arial" w:cs="Arial"/>
                <w:sz w:val="24"/>
                <w:szCs w:val="24"/>
                <w:lang w:val="en-US"/>
              </w:rPr>
            </w:pPr>
            <w:r w:rsidRPr="00295AA6">
              <w:rPr>
                <w:rFonts w:ascii="Arial" w:hAnsi="Arial" w:cs="Arial"/>
                <w:b/>
                <w:bCs/>
                <w:sz w:val="24"/>
                <w:szCs w:val="24"/>
                <w:lang w:val="en-US"/>
              </w:rPr>
              <w:t>Project C (PV £m)</w:t>
            </w:r>
          </w:p>
        </w:tc>
        <w:tc>
          <w:tcPr>
            <w:tcW w:w="0" w:type="auto"/>
            <w:hideMark/>
          </w:tcPr>
          <w:p w14:paraId="106A013E"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(50.00)</w:t>
            </w:r>
          </w:p>
        </w:tc>
        <w:tc>
          <w:tcPr>
            <w:tcW w:w="0" w:type="auto"/>
            <w:hideMark/>
          </w:tcPr>
          <w:p w14:paraId="4DBE53CE"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4.55</w:t>
            </w:r>
          </w:p>
        </w:tc>
        <w:tc>
          <w:tcPr>
            <w:tcW w:w="0" w:type="auto"/>
            <w:hideMark/>
          </w:tcPr>
          <w:p w14:paraId="19A1ED17"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8.26</w:t>
            </w:r>
          </w:p>
        </w:tc>
        <w:tc>
          <w:tcPr>
            <w:tcW w:w="0" w:type="auto"/>
            <w:hideMark/>
          </w:tcPr>
          <w:p w14:paraId="74114A5E"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15.02</w:t>
            </w:r>
          </w:p>
        </w:tc>
        <w:tc>
          <w:tcPr>
            <w:tcW w:w="0" w:type="auto"/>
            <w:hideMark/>
          </w:tcPr>
          <w:p w14:paraId="565EEF22"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17.08</w:t>
            </w:r>
          </w:p>
        </w:tc>
        <w:tc>
          <w:tcPr>
            <w:tcW w:w="0" w:type="auto"/>
            <w:hideMark/>
          </w:tcPr>
          <w:p w14:paraId="1308D647" w14:textId="77777777" w:rsidR="00295AA6" w:rsidRPr="00295AA6" w:rsidRDefault="00295AA6" w:rsidP="00295AA6">
            <w:pPr>
              <w:rPr>
                <w:rFonts w:ascii="Arial" w:hAnsi="Arial" w:cs="Arial"/>
                <w:sz w:val="24"/>
                <w:szCs w:val="24"/>
                <w:lang w:val="en-US"/>
              </w:rPr>
            </w:pPr>
            <w:r w:rsidRPr="00295AA6">
              <w:rPr>
                <w:rFonts w:ascii="Arial" w:hAnsi="Arial" w:cs="Arial"/>
                <w:sz w:val="24"/>
                <w:szCs w:val="24"/>
                <w:lang w:val="en-US"/>
              </w:rPr>
              <w:t>9.31</w:t>
            </w:r>
          </w:p>
        </w:tc>
      </w:tr>
    </w:tbl>
    <w:p w14:paraId="34B28AE8" w14:textId="77777777" w:rsidR="00094774" w:rsidRDefault="00094774" w:rsidP="00AD447E">
      <w:pPr>
        <w:rPr>
          <w:rFonts w:ascii="Arial" w:hAnsi="Arial" w:cs="Arial"/>
          <w:b/>
          <w:bCs/>
          <w:sz w:val="24"/>
          <w:szCs w:val="24"/>
        </w:rPr>
      </w:pPr>
    </w:p>
    <w:p w14:paraId="5903678C" w14:textId="77777777" w:rsidR="008E7D2D" w:rsidRDefault="008E7D2D" w:rsidP="00AD447E">
      <w:pPr>
        <w:rPr>
          <w:rFonts w:ascii="Arial" w:hAnsi="Arial" w:cs="Arial"/>
          <w:b/>
          <w:bCs/>
          <w:sz w:val="24"/>
          <w:szCs w:val="24"/>
        </w:rPr>
      </w:pPr>
    </w:p>
    <w:p w14:paraId="34851F52" w14:textId="35E2CDF1" w:rsidR="00295AA6" w:rsidRPr="001A40A8" w:rsidRDefault="001A40A8" w:rsidP="00AD447E">
      <w:pPr>
        <w:rPr>
          <w:rFonts w:ascii="Arial" w:hAnsi="Arial" w:cs="Arial"/>
          <w:b/>
          <w:bCs/>
          <w:sz w:val="24"/>
          <w:szCs w:val="24"/>
          <w:lang w:val="en-US"/>
        </w:rPr>
      </w:pPr>
      <w:r w:rsidRPr="001A40A8">
        <w:rPr>
          <w:rFonts w:ascii="Arial" w:hAnsi="Arial" w:cs="Arial"/>
          <w:b/>
          <w:bCs/>
          <w:sz w:val="24"/>
          <w:szCs w:val="24"/>
        </w:rPr>
        <w:lastRenderedPageBreak/>
        <w:t>Consolidated Excel Summary Output</w:t>
      </w:r>
      <w:r>
        <w:rPr>
          <w:rFonts w:ascii="Arial" w:hAnsi="Arial" w:cs="Arial"/>
          <w:b/>
          <w:bCs/>
          <w:sz w:val="24"/>
          <w:szCs w:val="24"/>
        </w:rPr>
        <w:t>:</w:t>
      </w:r>
    </w:p>
    <w:tbl>
      <w:tblPr>
        <w:tblStyle w:val="TableGrid"/>
        <w:tblW w:w="0" w:type="auto"/>
        <w:tblLook w:val="04A0" w:firstRow="1" w:lastRow="0" w:firstColumn="1" w:lastColumn="0" w:noHBand="0" w:noVBand="1"/>
      </w:tblPr>
      <w:tblGrid>
        <w:gridCol w:w="2904"/>
        <w:gridCol w:w="923"/>
        <w:gridCol w:w="1270"/>
        <w:gridCol w:w="1270"/>
        <w:gridCol w:w="1270"/>
      </w:tblGrid>
      <w:tr w:rsidR="00F42ABF" w:rsidRPr="00F42ABF" w14:paraId="0169453C" w14:textId="77777777" w:rsidTr="00F42ABF">
        <w:tc>
          <w:tcPr>
            <w:tcW w:w="0" w:type="auto"/>
            <w:hideMark/>
          </w:tcPr>
          <w:p w14:paraId="7DC87211"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Excel Formula Applied</w:t>
            </w:r>
          </w:p>
        </w:tc>
        <w:tc>
          <w:tcPr>
            <w:tcW w:w="0" w:type="auto"/>
            <w:hideMark/>
          </w:tcPr>
          <w:p w14:paraId="0DCCFAE1"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Metric</w:t>
            </w:r>
          </w:p>
        </w:tc>
        <w:tc>
          <w:tcPr>
            <w:tcW w:w="0" w:type="auto"/>
            <w:hideMark/>
          </w:tcPr>
          <w:p w14:paraId="0BC1313B"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Project A</w:t>
            </w:r>
          </w:p>
        </w:tc>
        <w:tc>
          <w:tcPr>
            <w:tcW w:w="0" w:type="auto"/>
            <w:hideMark/>
          </w:tcPr>
          <w:p w14:paraId="0D8A4D59"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Project B</w:t>
            </w:r>
          </w:p>
        </w:tc>
        <w:tc>
          <w:tcPr>
            <w:tcW w:w="0" w:type="auto"/>
            <w:hideMark/>
          </w:tcPr>
          <w:p w14:paraId="0DC6098E"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Project C</w:t>
            </w:r>
          </w:p>
        </w:tc>
      </w:tr>
      <w:tr w:rsidR="00F42ABF" w:rsidRPr="00F42ABF" w14:paraId="5D37D76B" w14:textId="77777777" w:rsidTr="00F42ABF">
        <w:tc>
          <w:tcPr>
            <w:tcW w:w="0" w:type="auto"/>
            <w:hideMark/>
          </w:tcPr>
          <w:p w14:paraId="3E91CE90" w14:textId="40D8DD1F" w:rsidR="00F42ABF" w:rsidRPr="00F42ABF" w:rsidRDefault="00F42ABF" w:rsidP="00F42ABF">
            <w:pPr>
              <w:rPr>
                <w:rFonts w:ascii="Arial" w:hAnsi="Arial" w:cs="Arial"/>
                <w:sz w:val="24"/>
                <w:szCs w:val="24"/>
                <w:lang w:val="en-US"/>
              </w:rPr>
            </w:pPr>
            <w:r w:rsidRPr="00F42ABF">
              <w:rPr>
                <w:rFonts w:ascii="Arial" w:hAnsi="Arial" w:cs="Arial"/>
                <w:sz w:val="24"/>
                <w:szCs w:val="24"/>
                <w:lang w:val="en-US"/>
              </w:rPr>
              <w:t>=</w:t>
            </w:r>
            <w:r w:rsidR="00094774" w:rsidRPr="00F42ABF">
              <w:rPr>
                <w:rFonts w:ascii="Arial" w:hAnsi="Arial" w:cs="Arial"/>
                <w:sz w:val="24"/>
                <w:szCs w:val="24"/>
                <w:lang w:val="en-US"/>
              </w:rPr>
              <w:t>SUM (</w:t>
            </w:r>
            <w:r w:rsidRPr="00F42ABF">
              <w:rPr>
                <w:rFonts w:ascii="Arial" w:hAnsi="Arial" w:cs="Arial"/>
                <w:sz w:val="24"/>
                <w:szCs w:val="24"/>
                <w:lang w:val="en-US"/>
              </w:rPr>
              <w:t>PV Range)</w:t>
            </w:r>
          </w:p>
        </w:tc>
        <w:tc>
          <w:tcPr>
            <w:tcW w:w="0" w:type="auto"/>
            <w:hideMark/>
          </w:tcPr>
          <w:p w14:paraId="7AAE33E4"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NPV</w:t>
            </w:r>
          </w:p>
        </w:tc>
        <w:tc>
          <w:tcPr>
            <w:tcW w:w="0" w:type="auto"/>
            <w:hideMark/>
          </w:tcPr>
          <w:p w14:paraId="0809A55F"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£1.32m</w:t>
            </w:r>
          </w:p>
        </w:tc>
        <w:tc>
          <w:tcPr>
            <w:tcW w:w="0" w:type="auto"/>
            <w:hideMark/>
          </w:tcPr>
          <w:p w14:paraId="7519E495"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(£7.26m)</w:t>
            </w:r>
          </w:p>
        </w:tc>
        <w:tc>
          <w:tcPr>
            <w:tcW w:w="0" w:type="auto"/>
            <w:hideMark/>
          </w:tcPr>
          <w:p w14:paraId="7D63155F"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£4.23m</w:t>
            </w:r>
          </w:p>
        </w:tc>
      </w:tr>
      <w:tr w:rsidR="00F42ABF" w:rsidRPr="00F42ABF" w14:paraId="1416950D" w14:textId="77777777" w:rsidTr="00F42ABF">
        <w:tc>
          <w:tcPr>
            <w:tcW w:w="0" w:type="auto"/>
            <w:hideMark/>
          </w:tcPr>
          <w:p w14:paraId="42501217" w14:textId="3DFB0097" w:rsidR="00F42ABF" w:rsidRPr="00F42ABF" w:rsidRDefault="00F42ABF" w:rsidP="00F42ABF">
            <w:pPr>
              <w:rPr>
                <w:rFonts w:ascii="Arial" w:hAnsi="Arial" w:cs="Arial"/>
                <w:sz w:val="24"/>
                <w:szCs w:val="24"/>
                <w:lang w:val="en-US"/>
              </w:rPr>
            </w:pPr>
            <w:r w:rsidRPr="00F42ABF">
              <w:rPr>
                <w:rFonts w:ascii="Arial" w:hAnsi="Arial" w:cs="Arial"/>
                <w:sz w:val="24"/>
                <w:szCs w:val="24"/>
                <w:lang w:val="en-US"/>
              </w:rPr>
              <w:t>=</w:t>
            </w:r>
            <w:r w:rsidR="00094774" w:rsidRPr="00F42ABF">
              <w:rPr>
                <w:rFonts w:ascii="Arial" w:hAnsi="Arial" w:cs="Arial"/>
                <w:sz w:val="24"/>
                <w:szCs w:val="24"/>
                <w:lang w:val="en-US"/>
              </w:rPr>
              <w:t>IRR (</w:t>
            </w:r>
            <w:r w:rsidRPr="00F42ABF">
              <w:rPr>
                <w:rFonts w:ascii="Arial" w:hAnsi="Arial" w:cs="Arial"/>
                <w:sz w:val="24"/>
                <w:szCs w:val="24"/>
                <w:lang w:val="en-US"/>
              </w:rPr>
              <w:t>Cash Flow Range)</w:t>
            </w:r>
          </w:p>
        </w:tc>
        <w:tc>
          <w:tcPr>
            <w:tcW w:w="0" w:type="auto"/>
            <w:hideMark/>
          </w:tcPr>
          <w:p w14:paraId="14D2DD9E"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IRR</w:t>
            </w:r>
          </w:p>
        </w:tc>
        <w:tc>
          <w:tcPr>
            <w:tcW w:w="0" w:type="auto"/>
            <w:hideMark/>
          </w:tcPr>
          <w:p w14:paraId="788CA108"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11.33%</w:t>
            </w:r>
          </w:p>
        </w:tc>
        <w:tc>
          <w:tcPr>
            <w:tcW w:w="0" w:type="auto"/>
            <w:hideMark/>
          </w:tcPr>
          <w:p w14:paraId="460A974F"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0.00%</w:t>
            </w:r>
          </w:p>
        </w:tc>
        <w:tc>
          <w:tcPr>
            <w:tcW w:w="0" w:type="auto"/>
            <w:hideMark/>
          </w:tcPr>
          <w:p w14:paraId="1F5B7EA7"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12.72%</w:t>
            </w:r>
          </w:p>
        </w:tc>
      </w:tr>
      <w:tr w:rsidR="00F42ABF" w:rsidRPr="00F42ABF" w14:paraId="1CFA06F4" w14:textId="77777777" w:rsidTr="00F42ABF">
        <w:tc>
          <w:tcPr>
            <w:tcW w:w="0" w:type="auto"/>
            <w:hideMark/>
          </w:tcPr>
          <w:p w14:paraId="4160D908" w14:textId="77777777" w:rsidR="00F42ABF" w:rsidRPr="00F42ABF" w:rsidRDefault="00F42ABF" w:rsidP="00F42ABF">
            <w:pPr>
              <w:rPr>
                <w:rFonts w:ascii="Arial" w:hAnsi="Arial" w:cs="Arial"/>
                <w:sz w:val="24"/>
                <w:szCs w:val="24"/>
                <w:lang w:val="en-US"/>
              </w:rPr>
            </w:pPr>
            <w:r w:rsidRPr="00F42ABF">
              <w:rPr>
                <w:rFonts w:ascii="Arial" w:hAnsi="Arial" w:cs="Arial"/>
                <w:sz w:val="24"/>
                <w:szCs w:val="24"/>
                <w:lang w:val="en-US"/>
              </w:rPr>
              <w:t>=(</w:t>
            </w:r>
            <w:proofErr w:type="spellStart"/>
            <w:r w:rsidRPr="00F42ABF">
              <w:rPr>
                <w:rFonts w:ascii="Arial" w:hAnsi="Arial" w:cs="Arial"/>
                <w:sz w:val="24"/>
                <w:szCs w:val="24"/>
                <w:lang w:val="en-US"/>
              </w:rPr>
              <w:t>NPV+Outlay</w:t>
            </w:r>
            <w:proofErr w:type="spellEnd"/>
            <w:r w:rsidRPr="00F42ABF">
              <w:rPr>
                <w:rFonts w:ascii="Arial" w:hAnsi="Arial" w:cs="Arial"/>
                <w:sz w:val="24"/>
                <w:szCs w:val="24"/>
                <w:lang w:val="en-US"/>
              </w:rPr>
              <w:t>)/Outlay</w:t>
            </w:r>
          </w:p>
        </w:tc>
        <w:tc>
          <w:tcPr>
            <w:tcW w:w="0" w:type="auto"/>
            <w:hideMark/>
          </w:tcPr>
          <w:p w14:paraId="3B72E26C"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PI</w:t>
            </w:r>
          </w:p>
        </w:tc>
        <w:tc>
          <w:tcPr>
            <w:tcW w:w="0" w:type="auto"/>
            <w:hideMark/>
          </w:tcPr>
          <w:p w14:paraId="41650CE5"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1.033</w:t>
            </w:r>
          </w:p>
        </w:tc>
        <w:tc>
          <w:tcPr>
            <w:tcW w:w="0" w:type="auto"/>
            <w:hideMark/>
          </w:tcPr>
          <w:p w14:paraId="5CAC87DA"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0.758</w:t>
            </w:r>
          </w:p>
        </w:tc>
        <w:tc>
          <w:tcPr>
            <w:tcW w:w="0" w:type="auto"/>
            <w:hideMark/>
          </w:tcPr>
          <w:p w14:paraId="61E4AE27"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1.085</w:t>
            </w:r>
          </w:p>
        </w:tc>
      </w:tr>
      <w:tr w:rsidR="00F42ABF" w:rsidRPr="00F42ABF" w14:paraId="3E40503B" w14:textId="77777777" w:rsidTr="00F42ABF">
        <w:tc>
          <w:tcPr>
            <w:tcW w:w="0" w:type="auto"/>
            <w:hideMark/>
          </w:tcPr>
          <w:p w14:paraId="3EE990FD" w14:textId="77777777" w:rsidR="00F42ABF" w:rsidRPr="00F42ABF" w:rsidRDefault="00F42ABF" w:rsidP="00F42ABF">
            <w:pPr>
              <w:rPr>
                <w:rFonts w:ascii="Arial" w:hAnsi="Arial" w:cs="Arial"/>
                <w:sz w:val="24"/>
                <w:szCs w:val="24"/>
                <w:lang w:val="en-US"/>
              </w:rPr>
            </w:pPr>
            <w:r w:rsidRPr="00F42ABF">
              <w:rPr>
                <w:rFonts w:ascii="Arial" w:hAnsi="Arial" w:cs="Arial"/>
                <w:sz w:val="24"/>
                <w:szCs w:val="24"/>
                <w:lang w:val="en-US"/>
              </w:rPr>
              <w:t>Avg Profit / Avg Inv</w:t>
            </w:r>
          </w:p>
        </w:tc>
        <w:tc>
          <w:tcPr>
            <w:tcW w:w="0" w:type="auto"/>
            <w:hideMark/>
          </w:tcPr>
          <w:p w14:paraId="216C054A"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ARR</w:t>
            </w:r>
          </w:p>
        </w:tc>
        <w:tc>
          <w:tcPr>
            <w:tcW w:w="0" w:type="auto"/>
            <w:hideMark/>
          </w:tcPr>
          <w:p w14:paraId="4813B762"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14.00%</w:t>
            </w:r>
          </w:p>
        </w:tc>
        <w:tc>
          <w:tcPr>
            <w:tcW w:w="0" w:type="auto"/>
            <w:hideMark/>
          </w:tcPr>
          <w:p w14:paraId="376EF9BA"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0.00%</w:t>
            </w:r>
          </w:p>
        </w:tc>
        <w:tc>
          <w:tcPr>
            <w:tcW w:w="0" w:type="auto"/>
            <w:hideMark/>
          </w:tcPr>
          <w:p w14:paraId="376F2738"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20.00%</w:t>
            </w:r>
          </w:p>
        </w:tc>
      </w:tr>
      <w:tr w:rsidR="00F42ABF" w:rsidRPr="00F42ABF" w14:paraId="15064A25" w14:textId="77777777" w:rsidTr="00F42ABF">
        <w:tc>
          <w:tcPr>
            <w:tcW w:w="0" w:type="auto"/>
            <w:hideMark/>
          </w:tcPr>
          <w:p w14:paraId="4452CCD0" w14:textId="77777777" w:rsidR="00F42ABF" w:rsidRPr="00F42ABF" w:rsidRDefault="00F42ABF" w:rsidP="00F42ABF">
            <w:pPr>
              <w:rPr>
                <w:rFonts w:ascii="Arial" w:hAnsi="Arial" w:cs="Arial"/>
                <w:sz w:val="24"/>
                <w:szCs w:val="24"/>
                <w:lang w:val="en-US"/>
              </w:rPr>
            </w:pPr>
            <w:r w:rsidRPr="00F42ABF">
              <w:rPr>
                <w:rFonts w:ascii="Arial" w:hAnsi="Arial" w:cs="Arial"/>
                <w:sz w:val="24"/>
                <w:szCs w:val="24"/>
                <w:lang w:val="en-US"/>
              </w:rPr>
              <w:t>Cumulative Calculation</w:t>
            </w:r>
          </w:p>
        </w:tc>
        <w:tc>
          <w:tcPr>
            <w:tcW w:w="0" w:type="auto"/>
            <w:hideMark/>
          </w:tcPr>
          <w:p w14:paraId="37881830"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PBP</w:t>
            </w:r>
          </w:p>
        </w:tc>
        <w:tc>
          <w:tcPr>
            <w:tcW w:w="0" w:type="auto"/>
            <w:hideMark/>
          </w:tcPr>
          <w:p w14:paraId="7B14ADFE"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3.4 yrs</w:t>
            </w:r>
          </w:p>
        </w:tc>
        <w:tc>
          <w:tcPr>
            <w:tcW w:w="0" w:type="auto"/>
            <w:hideMark/>
          </w:tcPr>
          <w:p w14:paraId="6363F131"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5.0 yrs</w:t>
            </w:r>
          </w:p>
        </w:tc>
        <w:tc>
          <w:tcPr>
            <w:tcW w:w="0" w:type="auto"/>
            <w:hideMark/>
          </w:tcPr>
          <w:p w14:paraId="0C28D1D3" w14:textId="77777777" w:rsidR="00F42ABF" w:rsidRPr="00F42ABF" w:rsidRDefault="00F42ABF" w:rsidP="00F42ABF">
            <w:pPr>
              <w:rPr>
                <w:rFonts w:ascii="Arial" w:hAnsi="Arial" w:cs="Arial"/>
                <w:sz w:val="24"/>
                <w:szCs w:val="24"/>
                <w:lang w:val="en-US"/>
              </w:rPr>
            </w:pPr>
            <w:r w:rsidRPr="00F42ABF">
              <w:rPr>
                <w:rFonts w:ascii="Arial" w:hAnsi="Arial" w:cs="Arial"/>
                <w:b/>
                <w:bCs/>
                <w:sz w:val="24"/>
                <w:szCs w:val="24"/>
                <w:lang w:val="en-US"/>
              </w:rPr>
              <w:t>3.6 yrs</w:t>
            </w:r>
          </w:p>
        </w:tc>
      </w:tr>
    </w:tbl>
    <w:p w14:paraId="20C3CF69" w14:textId="77777777" w:rsidR="00212ED5" w:rsidRDefault="00212ED5" w:rsidP="002642DD"/>
    <w:sectPr w:rsidR="00212ED5" w:rsidSect="003F4E8F">
      <w:footerReference w:type="default" r:id="rId54"/>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39ABD" w14:textId="77777777" w:rsidR="001B6056" w:rsidRDefault="001B6056">
      <w:pPr>
        <w:spacing w:after="0" w:line="240" w:lineRule="auto"/>
      </w:pPr>
      <w:r>
        <w:separator/>
      </w:r>
    </w:p>
  </w:endnote>
  <w:endnote w:type="continuationSeparator" w:id="0">
    <w:p w14:paraId="379BEEE2" w14:textId="77777777" w:rsidR="001B6056" w:rsidRDefault="001B6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6685E5D8" w14:textId="77777777" w:rsidR="003F4E8F" w:rsidRDefault="003F4E8F">
        <w:pPr>
          <w:pStyle w:val="Footer"/>
          <w:jc w:val="right"/>
        </w:pPr>
        <w:r>
          <w:fldChar w:fldCharType="begin"/>
        </w:r>
        <w:r>
          <w:instrText xml:space="preserve"> PAGE   \* MERGEFORMAT </w:instrText>
        </w:r>
        <w:r>
          <w:fldChar w:fldCharType="separate"/>
        </w:r>
        <w:r>
          <w:rPr>
            <w:noProof/>
          </w:rPr>
          <w:t>18</w:t>
        </w:r>
        <w:r>
          <w:rPr>
            <w:noProof/>
          </w:rPr>
          <w:fldChar w:fldCharType="end"/>
        </w:r>
      </w:p>
    </w:sdtContent>
  </w:sdt>
  <w:p w14:paraId="39CF75F9" w14:textId="77777777" w:rsidR="003F4E8F" w:rsidRDefault="003F4E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BDF562" w14:textId="77777777" w:rsidR="001B6056" w:rsidRDefault="001B6056">
      <w:pPr>
        <w:spacing w:after="0" w:line="240" w:lineRule="auto"/>
      </w:pPr>
      <w:r>
        <w:separator/>
      </w:r>
    </w:p>
  </w:footnote>
  <w:footnote w:type="continuationSeparator" w:id="0">
    <w:p w14:paraId="261348B6" w14:textId="77777777" w:rsidR="001B6056" w:rsidRDefault="001B60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D7C21"/>
    <w:multiLevelType w:val="hybridMultilevel"/>
    <w:tmpl w:val="B45CBC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DA6748"/>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76A22"/>
    <w:multiLevelType w:val="hybridMultilevel"/>
    <w:tmpl w:val="AD2C0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F571E7"/>
    <w:multiLevelType w:val="hybridMultilevel"/>
    <w:tmpl w:val="F0EE7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B80628"/>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EA671A"/>
    <w:multiLevelType w:val="hybridMultilevel"/>
    <w:tmpl w:val="23E696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CAA1342"/>
    <w:multiLevelType w:val="hybridMultilevel"/>
    <w:tmpl w:val="E6B43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0A25980"/>
    <w:multiLevelType w:val="multilevel"/>
    <w:tmpl w:val="07547BEC"/>
    <w:lvl w:ilvl="0">
      <w:start w:val="1"/>
      <w:numFmt w:val="lowerLetter"/>
      <w:lvlText w:val="%1)"/>
      <w:lvlJc w:val="left"/>
      <w:pPr>
        <w:tabs>
          <w:tab w:val="num" w:pos="1080"/>
        </w:tabs>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 w15:restartNumberingAfterBreak="0">
    <w:nsid w:val="13D5146A"/>
    <w:multiLevelType w:val="hybridMultilevel"/>
    <w:tmpl w:val="D640D3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3B4AC2"/>
    <w:multiLevelType w:val="hybridMultilevel"/>
    <w:tmpl w:val="529A46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09C4742"/>
    <w:multiLevelType w:val="hybridMultilevel"/>
    <w:tmpl w:val="CABE9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311005D"/>
    <w:multiLevelType w:val="hybridMultilevel"/>
    <w:tmpl w:val="21D2E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3F4662A"/>
    <w:multiLevelType w:val="hybridMultilevel"/>
    <w:tmpl w:val="686ED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43D4BEA"/>
    <w:multiLevelType w:val="hybridMultilevel"/>
    <w:tmpl w:val="2B688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6E70DA"/>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072BF1"/>
    <w:multiLevelType w:val="hybridMultilevel"/>
    <w:tmpl w:val="CA90B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9C507E3"/>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471471"/>
    <w:multiLevelType w:val="hybridMultilevel"/>
    <w:tmpl w:val="DD7C6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749028C"/>
    <w:multiLevelType w:val="hybridMultilevel"/>
    <w:tmpl w:val="BCAA7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92D072C"/>
    <w:multiLevelType w:val="hybridMultilevel"/>
    <w:tmpl w:val="80CEF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A322890"/>
    <w:multiLevelType w:val="hybridMultilevel"/>
    <w:tmpl w:val="F892B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ACA6543"/>
    <w:multiLevelType w:val="hybridMultilevel"/>
    <w:tmpl w:val="F2903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C6A4E9C"/>
    <w:multiLevelType w:val="hybridMultilevel"/>
    <w:tmpl w:val="08E44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E8A4F1F"/>
    <w:multiLevelType w:val="multilevel"/>
    <w:tmpl w:val="07547BEC"/>
    <w:lvl w:ilvl="0">
      <w:start w:val="1"/>
      <w:numFmt w:val="lowerLetter"/>
      <w:lvlText w:val="%1)"/>
      <w:lvlJc w:val="left"/>
      <w:pPr>
        <w:tabs>
          <w:tab w:val="num" w:pos="1080"/>
        </w:tabs>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4" w15:restartNumberingAfterBreak="0">
    <w:nsid w:val="4F245C5B"/>
    <w:multiLevelType w:val="hybridMultilevel"/>
    <w:tmpl w:val="97DE8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0470502"/>
    <w:multiLevelType w:val="hybridMultilevel"/>
    <w:tmpl w:val="BD3C1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2997BE3"/>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7331AB"/>
    <w:multiLevelType w:val="hybridMultilevel"/>
    <w:tmpl w:val="61E88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76C1770"/>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891794"/>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A36BAA"/>
    <w:multiLevelType w:val="hybridMultilevel"/>
    <w:tmpl w:val="653E85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8C477B0"/>
    <w:multiLevelType w:val="hybridMultilevel"/>
    <w:tmpl w:val="B91875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96D5996"/>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756E11"/>
    <w:multiLevelType w:val="hybridMultilevel"/>
    <w:tmpl w:val="88186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01B7908"/>
    <w:multiLevelType w:val="hybridMultilevel"/>
    <w:tmpl w:val="D53857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54C368A"/>
    <w:multiLevelType w:val="hybridMultilevel"/>
    <w:tmpl w:val="32FA1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1669496">
    <w:abstractNumId w:val="14"/>
  </w:num>
  <w:num w:numId="2" w16cid:durableId="1057625458">
    <w:abstractNumId w:val="29"/>
  </w:num>
  <w:num w:numId="3" w16cid:durableId="704329968">
    <w:abstractNumId w:val="2"/>
  </w:num>
  <w:num w:numId="4" w16cid:durableId="71589522">
    <w:abstractNumId w:val="7"/>
  </w:num>
  <w:num w:numId="5" w16cid:durableId="266815306">
    <w:abstractNumId w:val="18"/>
  </w:num>
  <w:num w:numId="6" w16cid:durableId="2083524778">
    <w:abstractNumId w:val="22"/>
  </w:num>
  <w:num w:numId="7" w16cid:durableId="559250586">
    <w:abstractNumId w:val="23"/>
  </w:num>
  <w:num w:numId="8" w16cid:durableId="655570929">
    <w:abstractNumId w:val="6"/>
  </w:num>
  <w:num w:numId="9" w16cid:durableId="622733876">
    <w:abstractNumId w:val="4"/>
  </w:num>
  <w:num w:numId="10" w16cid:durableId="848570280">
    <w:abstractNumId w:val="1"/>
  </w:num>
  <w:num w:numId="11" w16cid:durableId="533349950">
    <w:abstractNumId w:val="32"/>
  </w:num>
  <w:num w:numId="12" w16cid:durableId="160317432">
    <w:abstractNumId w:val="28"/>
  </w:num>
  <w:num w:numId="13" w16cid:durableId="999116578">
    <w:abstractNumId w:val="16"/>
  </w:num>
  <w:num w:numId="14" w16cid:durableId="670959520">
    <w:abstractNumId w:val="26"/>
  </w:num>
  <w:num w:numId="15" w16cid:durableId="1711220141">
    <w:abstractNumId w:val="15"/>
  </w:num>
  <w:num w:numId="16" w16cid:durableId="1515725905">
    <w:abstractNumId w:val="13"/>
  </w:num>
  <w:num w:numId="17" w16cid:durableId="720834225">
    <w:abstractNumId w:val="19"/>
  </w:num>
  <w:num w:numId="18" w16cid:durableId="311100132">
    <w:abstractNumId w:val="3"/>
  </w:num>
  <w:num w:numId="19" w16cid:durableId="292443630">
    <w:abstractNumId w:val="17"/>
  </w:num>
  <w:num w:numId="20" w16cid:durableId="197160685">
    <w:abstractNumId w:val="24"/>
  </w:num>
  <w:num w:numId="21" w16cid:durableId="2021083598">
    <w:abstractNumId w:val="11"/>
  </w:num>
  <w:num w:numId="22" w16cid:durableId="779297472">
    <w:abstractNumId w:val="33"/>
  </w:num>
  <w:num w:numId="23" w16cid:durableId="1194729052">
    <w:abstractNumId w:val="30"/>
  </w:num>
  <w:num w:numId="24" w16cid:durableId="374700742">
    <w:abstractNumId w:val="25"/>
  </w:num>
  <w:num w:numId="25" w16cid:durableId="2065178476">
    <w:abstractNumId w:val="9"/>
  </w:num>
  <w:num w:numId="26" w16cid:durableId="1587034355">
    <w:abstractNumId w:val="35"/>
  </w:num>
  <w:num w:numId="27" w16cid:durableId="136261616">
    <w:abstractNumId w:val="20"/>
  </w:num>
  <w:num w:numId="28" w16cid:durableId="1295066679">
    <w:abstractNumId w:val="21"/>
  </w:num>
  <w:num w:numId="29" w16cid:durableId="1166019659">
    <w:abstractNumId w:val="27"/>
  </w:num>
  <w:num w:numId="30" w16cid:durableId="107117269">
    <w:abstractNumId w:val="10"/>
  </w:num>
  <w:num w:numId="31" w16cid:durableId="514421099">
    <w:abstractNumId w:val="31"/>
  </w:num>
  <w:num w:numId="32" w16cid:durableId="1772312214">
    <w:abstractNumId w:val="0"/>
  </w:num>
  <w:num w:numId="33" w16cid:durableId="548079789">
    <w:abstractNumId w:val="5"/>
  </w:num>
  <w:num w:numId="34" w16cid:durableId="2054109097">
    <w:abstractNumId w:val="8"/>
  </w:num>
  <w:num w:numId="35" w16cid:durableId="504635926">
    <w:abstractNumId w:val="34"/>
  </w:num>
  <w:num w:numId="36" w16cid:durableId="109979584">
    <w:abstractNumId w:val="12"/>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AE1"/>
    <w:rsid w:val="00033007"/>
    <w:rsid w:val="000712B7"/>
    <w:rsid w:val="00075826"/>
    <w:rsid w:val="00077752"/>
    <w:rsid w:val="0008384C"/>
    <w:rsid w:val="00094774"/>
    <w:rsid w:val="000A0858"/>
    <w:rsid w:val="00122BCF"/>
    <w:rsid w:val="00166331"/>
    <w:rsid w:val="001947AB"/>
    <w:rsid w:val="001A1390"/>
    <w:rsid w:val="001A40A8"/>
    <w:rsid w:val="001B6056"/>
    <w:rsid w:val="001C6777"/>
    <w:rsid w:val="001C747E"/>
    <w:rsid w:val="001D577F"/>
    <w:rsid w:val="001D5EF2"/>
    <w:rsid w:val="00212ED5"/>
    <w:rsid w:val="0021396D"/>
    <w:rsid w:val="00223732"/>
    <w:rsid w:val="00231013"/>
    <w:rsid w:val="00236898"/>
    <w:rsid w:val="0023736A"/>
    <w:rsid w:val="00255B1C"/>
    <w:rsid w:val="00255FAC"/>
    <w:rsid w:val="002642DD"/>
    <w:rsid w:val="00270535"/>
    <w:rsid w:val="00271F08"/>
    <w:rsid w:val="00295AA6"/>
    <w:rsid w:val="002B2DD2"/>
    <w:rsid w:val="002C3AD7"/>
    <w:rsid w:val="00304C95"/>
    <w:rsid w:val="00361E3B"/>
    <w:rsid w:val="00385427"/>
    <w:rsid w:val="003E19CE"/>
    <w:rsid w:val="003E24CD"/>
    <w:rsid w:val="003F4E8F"/>
    <w:rsid w:val="003F58DD"/>
    <w:rsid w:val="00406AF9"/>
    <w:rsid w:val="004109E8"/>
    <w:rsid w:val="004209E7"/>
    <w:rsid w:val="00435C06"/>
    <w:rsid w:val="004404FC"/>
    <w:rsid w:val="004756B5"/>
    <w:rsid w:val="004821ED"/>
    <w:rsid w:val="00497D50"/>
    <w:rsid w:val="004A04BA"/>
    <w:rsid w:val="004B17BA"/>
    <w:rsid w:val="004B652F"/>
    <w:rsid w:val="004D0C61"/>
    <w:rsid w:val="004D6385"/>
    <w:rsid w:val="0052367C"/>
    <w:rsid w:val="00562D61"/>
    <w:rsid w:val="00565C17"/>
    <w:rsid w:val="00574C8C"/>
    <w:rsid w:val="00590727"/>
    <w:rsid w:val="00590AA7"/>
    <w:rsid w:val="005B15F2"/>
    <w:rsid w:val="005C70F7"/>
    <w:rsid w:val="005E607A"/>
    <w:rsid w:val="005F2B5B"/>
    <w:rsid w:val="0065695C"/>
    <w:rsid w:val="006832D4"/>
    <w:rsid w:val="0069408E"/>
    <w:rsid w:val="006A1DC4"/>
    <w:rsid w:val="006D0EF6"/>
    <w:rsid w:val="006E60BE"/>
    <w:rsid w:val="006F3DFB"/>
    <w:rsid w:val="00750EB8"/>
    <w:rsid w:val="0078538A"/>
    <w:rsid w:val="007C218A"/>
    <w:rsid w:val="0082206C"/>
    <w:rsid w:val="008253D8"/>
    <w:rsid w:val="008B5E00"/>
    <w:rsid w:val="008E727B"/>
    <w:rsid w:val="008E7D2D"/>
    <w:rsid w:val="00912B37"/>
    <w:rsid w:val="00916300"/>
    <w:rsid w:val="009270DF"/>
    <w:rsid w:val="0093166F"/>
    <w:rsid w:val="009405C4"/>
    <w:rsid w:val="009459FC"/>
    <w:rsid w:val="00966038"/>
    <w:rsid w:val="009756B9"/>
    <w:rsid w:val="00992200"/>
    <w:rsid w:val="009C514E"/>
    <w:rsid w:val="00A35CB9"/>
    <w:rsid w:val="00A63D2B"/>
    <w:rsid w:val="00A7047A"/>
    <w:rsid w:val="00A92677"/>
    <w:rsid w:val="00AA6CD7"/>
    <w:rsid w:val="00AB7429"/>
    <w:rsid w:val="00AC2230"/>
    <w:rsid w:val="00AC24F6"/>
    <w:rsid w:val="00AD447E"/>
    <w:rsid w:val="00AF6BF3"/>
    <w:rsid w:val="00B21842"/>
    <w:rsid w:val="00B25E18"/>
    <w:rsid w:val="00B36F6B"/>
    <w:rsid w:val="00B44BCE"/>
    <w:rsid w:val="00B545B9"/>
    <w:rsid w:val="00B67E36"/>
    <w:rsid w:val="00B7228B"/>
    <w:rsid w:val="00B846E2"/>
    <w:rsid w:val="00B96762"/>
    <w:rsid w:val="00BC1213"/>
    <w:rsid w:val="00BD6643"/>
    <w:rsid w:val="00C4576D"/>
    <w:rsid w:val="00C51F60"/>
    <w:rsid w:val="00C92C3C"/>
    <w:rsid w:val="00C94DBB"/>
    <w:rsid w:val="00C95F86"/>
    <w:rsid w:val="00CC5311"/>
    <w:rsid w:val="00CE4413"/>
    <w:rsid w:val="00D14A80"/>
    <w:rsid w:val="00D27302"/>
    <w:rsid w:val="00D301F7"/>
    <w:rsid w:val="00D336A0"/>
    <w:rsid w:val="00D81E20"/>
    <w:rsid w:val="00D94C08"/>
    <w:rsid w:val="00D954EE"/>
    <w:rsid w:val="00DA28F6"/>
    <w:rsid w:val="00DA6E67"/>
    <w:rsid w:val="00DB630A"/>
    <w:rsid w:val="00DF3835"/>
    <w:rsid w:val="00E3194A"/>
    <w:rsid w:val="00E40A5B"/>
    <w:rsid w:val="00E56A20"/>
    <w:rsid w:val="00E668C6"/>
    <w:rsid w:val="00E9427E"/>
    <w:rsid w:val="00EC0329"/>
    <w:rsid w:val="00ED633A"/>
    <w:rsid w:val="00EF7364"/>
    <w:rsid w:val="00F327A0"/>
    <w:rsid w:val="00F42ABF"/>
    <w:rsid w:val="00F709C8"/>
    <w:rsid w:val="00F86AE1"/>
    <w:rsid w:val="00FD4482"/>
    <w:rsid w:val="00FD6E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E4E26"/>
  <w15:chartTrackingRefBased/>
  <w15:docId w15:val="{3BB723D0-77A9-4FF8-8C3B-3177426F9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898"/>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3F4E8F"/>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3F4E8F"/>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3F4E8F"/>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F86AE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6AE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6A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6A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6A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6A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4E8F"/>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3F4E8F"/>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3F4E8F"/>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F86AE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6AE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6A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A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A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AE1"/>
    <w:rPr>
      <w:rFonts w:eastAsiaTheme="majorEastAsia" w:cstheme="majorBidi"/>
      <w:color w:val="272727" w:themeColor="text1" w:themeTint="D8"/>
    </w:rPr>
  </w:style>
  <w:style w:type="paragraph" w:styleId="Title">
    <w:name w:val="Title"/>
    <w:basedOn w:val="Normal"/>
    <w:next w:val="Normal"/>
    <w:link w:val="TitleChar"/>
    <w:uiPriority w:val="10"/>
    <w:qFormat/>
    <w:rsid w:val="00F86A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A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A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6A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AE1"/>
    <w:pPr>
      <w:spacing w:before="160"/>
      <w:jc w:val="center"/>
    </w:pPr>
    <w:rPr>
      <w:i/>
      <w:iCs/>
      <w:color w:val="404040" w:themeColor="text1" w:themeTint="BF"/>
    </w:rPr>
  </w:style>
  <w:style w:type="character" w:customStyle="1" w:styleId="QuoteChar">
    <w:name w:val="Quote Char"/>
    <w:basedOn w:val="DefaultParagraphFont"/>
    <w:link w:val="Quote"/>
    <w:uiPriority w:val="29"/>
    <w:rsid w:val="00F86AE1"/>
    <w:rPr>
      <w:i/>
      <w:iCs/>
      <w:color w:val="404040" w:themeColor="text1" w:themeTint="BF"/>
    </w:rPr>
  </w:style>
  <w:style w:type="paragraph" w:styleId="ListParagraph">
    <w:name w:val="List Paragraph"/>
    <w:basedOn w:val="Normal"/>
    <w:uiPriority w:val="34"/>
    <w:qFormat/>
    <w:rsid w:val="00F86AE1"/>
    <w:pPr>
      <w:ind w:left="720"/>
      <w:contextualSpacing/>
    </w:pPr>
  </w:style>
  <w:style w:type="character" w:styleId="IntenseEmphasis">
    <w:name w:val="Intense Emphasis"/>
    <w:basedOn w:val="DefaultParagraphFont"/>
    <w:uiPriority w:val="21"/>
    <w:qFormat/>
    <w:rsid w:val="00F86AE1"/>
    <w:rPr>
      <w:i/>
      <w:iCs/>
      <w:color w:val="2F5496" w:themeColor="accent1" w:themeShade="BF"/>
    </w:rPr>
  </w:style>
  <w:style w:type="paragraph" w:styleId="IntenseQuote">
    <w:name w:val="Intense Quote"/>
    <w:basedOn w:val="Normal"/>
    <w:next w:val="Normal"/>
    <w:link w:val="IntenseQuoteChar"/>
    <w:uiPriority w:val="30"/>
    <w:qFormat/>
    <w:rsid w:val="00F86AE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6AE1"/>
    <w:rPr>
      <w:i/>
      <w:iCs/>
      <w:color w:val="2F5496" w:themeColor="accent1" w:themeShade="BF"/>
    </w:rPr>
  </w:style>
  <w:style w:type="character" w:styleId="IntenseReference">
    <w:name w:val="Intense Reference"/>
    <w:basedOn w:val="DefaultParagraphFont"/>
    <w:uiPriority w:val="32"/>
    <w:qFormat/>
    <w:rsid w:val="00F86AE1"/>
    <w:rPr>
      <w:b/>
      <w:bCs/>
      <w:smallCaps/>
      <w:color w:val="2F5496" w:themeColor="accent1" w:themeShade="BF"/>
      <w:spacing w:val="5"/>
    </w:rPr>
  </w:style>
  <w:style w:type="paragraph" w:styleId="NormalWeb">
    <w:name w:val="Normal (Web)"/>
    <w:basedOn w:val="Normal"/>
    <w:uiPriority w:val="99"/>
    <w:unhideWhenUsed/>
    <w:rsid w:val="003F4E8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3F4E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E8F"/>
    <w:rPr>
      <w:kern w:val="0"/>
      <w:sz w:val="22"/>
      <w:szCs w:val="22"/>
      <w:lang w:val="en-GB"/>
      <w14:ligatures w14:val="none"/>
    </w:rPr>
  </w:style>
  <w:style w:type="paragraph" w:styleId="TOCHeading">
    <w:name w:val="TOC Heading"/>
    <w:basedOn w:val="Heading1"/>
    <w:next w:val="Normal"/>
    <w:uiPriority w:val="39"/>
    <w:unhideWhenUsed/>
    <w:qFormat/>
    <w:rsid w:val="003F4E8F"/>
    <w:pPr>
      <w:spacing w:before="480" w:after="0"/>
      <w:outlineLvl w:val="9"/>
    </w:pPr>
    <w:rPr>
      <w:b w:val="0"/>
      <w:bCs/>
      <w:sz w:val="28"/>
      <w:szCs w:val="28"/>
      <w:lang w:eastAsia="ja-JP"/>
    </w:rPr>
  </w:style>
  <w:style w:type="paragraph" w:styleId="TOC1">
    <w:name w:val="toc 1"/>
    <w:basedOn w:val="Normal"/>
    <w:next w:val="Normal"/>
    <w:autoRedefine/>
    <w:uiPriority w:val="39"/>
    <w:unhideWhenUsed/>
    <w:rsid w:val="003F4E8F"/>
    <w:pPr>
      <w:spacing w:after="100"/>
    </w:pPr>
  </w:style>
  <w:style w:type="character" w:styleId="Hyperlink">
    <w:name w:val="Hyperlink"/>
    <w:basedOn w:val="DefaultParagraphFont"/>
    <w:uiPriority w:val="99"/>
    <w:unhideWhenUsed/>
    <w:rsid w:val="003F4E8F"/>
    <w:rPr>
      <w:color w:val="0563C1" w:themeColor="hyperlink"/>
      <w:u w:val="single"/>
    </w:rPr>
  </w:style>
  <w:style w:type="paragraph" w:styleId="NoSpacing">
    <w:name w:val="No Spacing"/>
    <w:link w:val="NoSpacingChar"/>
    <w:uiPriority w:val="1"/>
    <w:qFormat/>
    <w:rsid w:val="003F4E8F"/>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3F4E8F"/>
    <w:rPr>
      <w:rFonts w:eastAsiaTheme="minorEastAsia"/>
      <w:kern w:val="0"/>
      <w:sz w:val="22"/>
      <w:szCs w:val="22"/>
      <w14:ligatures w14:val="none"/>
    </w:rPr>
  </w:style>
  <w:style w:type="character" w:customStyle="1" w:styleId="citation-198">
    <w:name w:val="citation-198"/>
    <w:basedOn w:val="DefaultParagraphFont"/>
    <w:rsid w:val="003F4E8F"/>
  </w:style>
  <w:style w:type="character" w:customStyle="1" w:styleId="citation-197">
    <w:name w:val="citation-197"/>
    <w:basedOn w:val="DefaultParagraphFont"/>
    <w:rsid w:val="003F4E8F"/>
  </w:style>
  <w:style w:type="character" w:customStyle="1" w:styleId="citation-194">
    <w:name w:val="citation-194"/>
    <w:basedOn w:val="DefaultParagraphFont"/>
    <w:rsid w:val="003F4E8F"/>
  </w:style>
  <w:style w:type="paragraph" w:styleId="TOC2">
    <w:name w:val="toc 2"/>
    <w:basedOn w:val="Normal"/>
    <w:next w:val="Normal"/>
    <w:autoRedefine/>
    <w:uiPriority w:val="39"/>
    <w:unhideWhenUsed/>
    <w:rsid w:val="003F4E8F"/>
    <w:pPr>
      <w:spacing w:after="100"/>
      <w:ind w:left="220"/>
    </w:pPr>
  </w:style>
  <w:style w:type="paragraph" w:styleId="Caption">
    <w:name w:val="caption"/>
    <w:basedOn w:val="Normal"/>
    <w:next w:val="Normal"/>
    <w:uiPriority w:val="35"/>
    <w:unhideWhenUsed/>
    <w:qFormat/>
    <w:rsid w:val="003F4E8F"/>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3F4E8F"/>
    <w:pPr>
      <w:spacing w:after="0"/>
    </w:pPr>
  </w:style>
  <w:style w:type="table" w:styleId="TableGrid">
    <w:name w:val="Table Grid"/>
    <w:basedOn w:val="TableNormal"/>
    <w:uiPriority w:val="39"/>
    <w:rsid w:val="003F4E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F4E8F"/>
    <w:rPr>
      <w:color w:val="666666"/>
    </w:rPr>
  </w:style>
  <w:style w:type="character" w:customStyle="1" w:styleId="UnresolvedMention1">
    <w:name w:val="Unresolved Mention1"/>
    <w:basedOn w:val="DefaultParagraphFont"/>
    <w:uiPriority w:val="99"/>
    <w:semiHidden/>
    <w:unhideWhenUsed/>
    <w:rsid w:val="003F4E8F"/>
    <w:rPr>
      <w:color w:val="605E5C"/>
      <w:shd w:val="clear" w:color="auto" w:fill="E1DFDD"/>
    </w:rPr>
  </w:style>
  <w:style w:type="paragraph" w:styleId="TOC3">
    <w:name w:val="toc 3"/>
    <w:basedOn w:val="Normal"/>
    <w:next w:val="Normal"/>
    <w:autoRedefine/>
    <w:uiPriority w:val="39"/>
    <w:unhideWhenUsed/>
    <w:rsid w:val="003F4E8F"/>
    <w:pPr>
      <w:spacing w:after="100"/>
      <w:ind w:left="440"/>
    </w:pPr>
  </w:style>
  <w:style w:type="paragraph" w:styleId="Header">
    <w:name w:val="header"/>
    <w:basedOn w:val="Normal"/>
    <w:link w:val="HeaderChar"/>
    <w:uiPriority w:val="99"/>
    <w:unhideWhenUsed/>
    <w:rsid w:val="003F4E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4E8F"/>
    <w:rPr>
      <w:kern w:val="0"/>
      <w:sz w:val="22"/>
      <w:szCs w:val="22"/>
      <w:lang w:val="en-GB"/>
      <w14:ligatures w14:val="none"/>
    </w:rPr>
  </w:style>
  <w:style w:type="character" w:styleId="Strong">
    <w:name w:val="Strong"/>
    <w:basedOn w:val="DefaultParagraphFont"/>
    <w:uiPriority w:val="22"/>
    <w:qFormat/>
    <w:rsid w:val="003F4E8F"/>
    <w:rPr>
      <w:b/>
      <w:bCs/>
    </w:rPr>
  </w:style>
  <w:style w:type="character" w:styleId="UnresolvedMention">
    <w:name w:val="Unresolved Mention"/>
    <w:basedOn w:val="DefaultParagraphFont"/>
    <w:uiPriority w:val="99"/>
    <w:semiHidden/>
    <w:unhideWhenUsed/>
    <w:rsid w:val="003F4E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bisworld.com" TargetMode="External"/><Relationship Id="rId18" Type="http://schemas.openxmlformats.org/officeDocument/2006/relationships/hyperlink" Target="https://www.ft.com" TargetMode="External"/><Relationship Id="rId26" Type="http://schemas.openxmlformats.org/officeDocument/2006/relationships/hyperlink" Target="https://www.statista.com" TargetMode="External"/><Relationship Id="rId39" Type="http://schemas.openxmlformats.org/officeDocument/2006/relationships/hyperlink" Target="https://www.sciencedirect.com/journal/journal-of-corporate-finance" TargetMode="External"/><Relationship Id="rId21" Type="http://schemas.openxmlformats.org/officeDocument/2006/relationships/hyperlink" Target="https://www.geaerospace.com/investor-relations" TargetMode="External"/><Relationship Id="rId34" Type="http://schemas.openxmlformats.org/officeDocument/2006/relationships/hyperlink" Target="https://www.marketline.com" TargetMode="External"/><Relationship Id="rId42" Type="http://schemas.openxmlformats.org/officeDocument/2006/relationships/hyperlink" Target="https://www.forbes.com" TargetMode="External"/><Relationship Id="rId47" Type="http://schemas.openxmlformats.org/officeDocument/2006/relationships/hyperlink" Target="https://onlinelibrary.wiley.com/journal/10970266" TargetMode="External"/><Relationship Id="rId50" Type="http://schemas.openxmlformats.org/officeDocument/2006/relationships/chart" Target="charts/chart3.xm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onlinelibrary.wiley.com/journal/10970266" TargetMode="External"/><Relationship Id="rId29" Type="http://schemas.openxmlformats.org/officeDocument/2006/relationships/hyperlink" Target="https://www.ft.com" TargetMode="External"/><Relationship Id="rId11" Type="http://schemas.openxmlformats.org/officeDocument/2006/relationships/hyperlink" Target="https://www.forbes.com" TargetMode="External"/><Relationship Id="rId24" Type="http://schemas.openxmlformats.org/officeDocument/2006/relationships/hyperlink" Target="https://www.imf.org" TargetMode="External"/><Relationship Id="rId32" Type="http://schemas.openxmlformats.org/officeDocument/2006/relationships/hyperlink" Target="https://hbr.org" TargetMode="External"/><Relationship Id="rId37" Type="http://schemas.openxmlformats.org/officeDocument/2006/relationships/hyperlink" Target="https://www.economist.com" TargetMode="External"/><Relationship Id="rId40" Type="http://schemas.openxmlformats.org/officeDocument/2006/relationships/hyperlink" Target="https://www.bloomberg.com" TargetMode="External"/><Relationship Id="rId45" Type="http://schemas.openxmlformats.org/officeDocument/2006/relationships/hyperlink" Target="https://www.marketline.com" TargetMode="External"/><Relationship Id="rId53" Type="http://schemas.openxmlformats.org/officeDocument/2006/relationships/chart" Target="charts/chart6.xml"/><Relationship Id="rId5" Type="http://schemas.openxmlformats.org/officeDocument/2006/relationships/footnotes" Target="footnotes.xml"/><Relationship Id="rId10" Type="http://schemas.openxmlformats.org/officeDocument/2006/relationships/hyperlink" Target="https://www.bloomberg.com" TargetMode="External"/><Relationship Id="rId19" Type="http://schemas.openxmlformats.org/officeDocument/2006/relationships/hyperlink" Target="https://www.bloomberg.com" TargetMode="External"/><Relationship Id="rId31" Type="http://schemas.openxmlformats.org/officeDocument/2006/relationships/hyperlink" Target="https://www.forbes.com" TargetMode="External"/><Relationship Id="rId44" Type="http://schemas.openxmlformats.org/officeDocument/2006/relationships/hyperlink" Target="https://www.ibisworld.com" TargetMode="External"/><Relationship Id="rId52" Type="http://schemas.openxmlformats.org/officeDocument/2006/relationships/chart" Target="charts/chart5.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marketline.com" TargetMode="External"/><Relationship Id="rId22" Type="http://schemas.openxmlformats.org/officeDocument/2006/relationships/hyperlink" Target="https://hbr.org" TargetMode="External"/><Relationship Id="rId27" Type="http://schemas.openxmlformats.org/officeDocument/2006/relationships/hyperlink" Target="https://onlinelibrary.wiley.com/journal/10970266" TargetMode="External"/><Relationship Id="rId30" Type="http://schemas.openxmlformats.org/officeDocument/2006/relationships/hyperlink" Target="https://www.bloomberg.com" TargetMode="External"/><Relationship Id="rId35" Type="http://schemas.openxmlformats.org/officeDocument/2006/relationships/hyperlink" Target="https://www.statista.com" TargetMode="External"/><Relationship Id="rId43" Type="http://schemas.openxmlformats.org/officeDocument/2006/relationships/hyperlink" Target="https://hbr.org" TargetMode="External"/><Relationship Id="rId48" Type="http://schemas.openxmlformats.org/officeDocument/2006/relationships/chart" Target="charts/chart1.xml"/><Relationship Id="rId56" Type="http://schemas.openxmlformats.org/officeDocument/2006/relationships/theme" Target="theme/theme1.xml"/><Relationship Id="rId8" Type="http://schemas.microsoft.com/office/2007/relationships/hdphoto" Target="media/hdphoto1.wdp"/><Relationship Id="rId51" Type="http://schemas.openxmlformats.org/officeDocument/2006/relationships/chart" Target="charts/chart4.xml"/><Relationship Id="rId3" Type="http://schemas.openxmlformats.org/officeDocument/2006/relationships/settings" Target="settings.xml"/><Relationship Id="rId12" Type="http://schemas.openxmlformats.org/officeDocument/2006/relationships/hyperlink" Target="https://hbr.org" TargetMode="External"/><Relationship Id="rId17" Type="http://schemas.openxmlformats.org/officeDocument/2006/relationships/hyperlink" Target="https://www.economist.com" TargetMode="External"/><Relationship Id="rId25" Type="http://schemas.openxmlformats.org/officeDocument/2006/relationships/hyperlink" Target="https://global.sharp/corporate/ir/" TargetMode="External"/><Relationship Id="rId33" Type="http://schemas.openxmlformats.org/officeDocument/2006/relationships/hyperlink" Target="https://www.ibisworld.com" TargetMode="External"/><Relationship Id="rId38" Type="http://schemas.openxmlformats.org/officeDocument/2006/relationships/hyperlink" Target="https://www.ft.com" TargetMode="External"/><Relationship Id="rId46" Type="http://schemas.openxmlformats.org/officeDocument/2006/relationships/hyperlink" Target="https://www.statista.com" TargetMode="External"/><Relationship Id="rId20" Type="http://schemas.openxmlformats.org/officeDocument/2006/relationships/hyperlink" Target="https://www.forbes.com" TargetMode="External"/><Relationship Id="rId41" Type="http://schemas.openxmlformats.org/officeDocument/2006/relationships/hyperlink" Target="https://www.ft.com"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statista.com" TargetMode="External"/><Relationship Id="rId23" Type="http://schemas.openxmlformats.org/officeDocument/2006/relationships/hyperlink" Target="https://www.ibisworld.com" TargetMode="External"/><Relationship Id="rId28" Type="http://schemas.openxmlformats.org/officeDocument/2006/relationships/hyperlink" Target="https://www.economist.com" TargetMode="External"/><Relationship Id="rId36" Type="http://schemas.openxmlformats.org/officeDocument/2006/relationships/hyperlink" Target="https://onlinelibrary.wiley.com/journal/10970266" TargetMode="External"/><Relationship Id="rId4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D:\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Summary%20Resul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Summary%20Resul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Summary%20Resul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1"/>
          <c:order val="0"/>
          <c:tx>
            <c:strRef>
              <c:f>Sheet1!$A$43</c:f>
              <c:strCache>
                <c:ptCount val="1"/>
                <c:pt idx="0">
                  <c:v>Gross Margin (%)</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a:sp3d contourW="9525">
              <a:contourClr>
                <a:schemeClr val="accent2">
                  <a:shade val="95000"/>
                </a:schemeClr>
              </a:contourClr>
            </a:sp3d>
          </c:spPr>
          <c:invertIfNegative val="0"/>
          <c:cat>
            <c:numRef>
              <c:f>Sheet1!$B$42:$F$42</c:f>
              <c:numCache>
                <c:formatCode>General</c:formatCode>
                <c:ptCount val="5"/>
                <c:pt idx="0">
                  <c:v>2024</c:v>
                </c:pt>
                <c:pt idx="1">
                  <c:v>2023</c:v>
                </c:pt>
                <c:pt idx="2">
                  <c:v>2022</c:v>
                </c:pt>
                <c:pt idx="3">
                  <c:v>2021</c:v>
                </c:pt>
                <c:pt idx="4">
                  <c:v>2020</c:v>
                </c:pt>
              </c:numCache>
            </c:numRef>
          </c:cat>
          <c:val>
            <c:numRef>
              <c:f>Sheet1!$B$43:$F$43</c:f>
              <c:numCache>
                <c:formatCode>General</c:formatCode>
                <c:ptCount val="5"/>
                <c:pt idx="0">
                  <c:v>28.87</c:v>
                </c:pt>
                <c:pt idx="1">
                  <c:v>23.2</c:v>
                </c:pt>
                <c:pt idx="2">
                  <c:v>28.06</c:v>
                </c:pt>
                <c:pt idx="3">
                  <c:v>28.76</c:v>
                </c:pt>
                <c:pt idx="4">
                  <c:v>28.67</c:v>
                </c:pt>
              </c:numCache>
            </c:numRef>
          </c:val>
          <c:extLst>
            <c:ext xmlns:c16="http://schemas.microsoft.com/office/drawing/2014/chart" uri="{C3380CC4-5D6E-409C-BE32-E72D297353CC}">
              <c16:uniqueId val="{00000000-FF3B-44D8-932F-DBEB4B254BBB}"/>
            </c:ext>
          </c:extLst>
        </c:ser>
        <c:ser>
          <c:idx val="2"/>
          <c:order val="1"/>
          <c:tx>
            <c:strRef>
              <c:f>Sheet1!$A$44</c:f>
              <c:strCache>
                <c:ptCount val="1"/>
                <c:pt idx="0">
                  <c:v>Operating Margin (%)</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a:sp3d contourW="9525">
              <a:contourClr>
                <a:schemeClr val="accent3">
                  <a:shade val="95000"/>
                </a:schemeClr>
              </a:contourClr>
            </a:sp3d>
          </c:spPr>
          <c:invertIfNegative val="0"/>
          <c:cat>
            <c:numRef>
              <c:f>Sheet1!$B$42:$F$42</c:f>
              <c:numCache>
                <c:formatCode>General</c:formatCode>
                <c:ptCount val="5"/>
                <c:pt idx="0">
                  <c:v>2024</c:v>
                </c:pt>
                <c:pt idx="1">
                  <c:v>2023</c:v>
                </c:pt>
                <c:pt idx="2">
                  <c:v>2022</c:v>
                </c:pt>
                <c:pt idx="3">
                  <c:v>2021</c:v>
                </c:pt>
                <c:pt idx="4">
                  <c:v>2020</c:v>
                </c:pt>
              </c:numCache>
            </c:numRef>
          </c:cat>
          <c:val>
            <c:numRef>
              <c:f>Sheet1!$B$44:$F$44</c:f>
              <c:numCache>
                <c:formatCode>General</c:formatCode>
                <c:ptCount val="5"/>
                <c:pt idx="0">
                  <c:v>-3.87</c:v>
                </c:pt>
                <c:pt idx="1">
                  <c:v>-20.29</c:v>
                </c:pt>
                <c:pt idx="2">
                  <c:v>2.68</c:v>
                </c:pt>
                <c:pt idx="3">
                  <c:v>3.87</c:v>
                </c:pt>
                <c:pt idx="4">
                  <c:v>6.06</c:v>
                </c:pt>
              </c:numCache>
            </c:numRef>
          </c:val>
          <c:extLst>
            <c:ext xmlns:c16="http://schemas.microsoft.com/office/drawing/2014/chart" uri="{C3380CC4-5D6E-409C-BE32-E72D297353CC}">
              <c16:uniqueId val="{00000001-FF3B-44D8-932F-DBEB4B254BBB}"/>
            </c:ext>
          </c:extLst>
        </c:ser>
        <c:ser>
          <c:idx val="3"/>
          <c:order val="2"/>
          <c:tx>
            <c:strRef>
              <c:f>Sheet1!$A$45</c:f>
              <c:strCache>
                <c:ptCount val="1"/>
                <c:pt idx="0">
                  <c:v>Net Profit Margin (%)</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a:sp3d contourW="9525">
              <a:contourClr>
                <a:schemeClr val="accent4">
                  <a:shade val="95000"/>
                </a:schemeClr>
              </a:contourClr>
            </a:sp3d>
          </c:spPr>
          <c:invertIfNegative val="0"/>
          <c:cat>
            <c:numRef>
              <c:f>Sheet1!$B$42:$F$42</c:f>
              <c:numCache>
                <c:formatCode>General</c:formatCode>
                <c:ptCount val="5"/>
                <c:pt idx="0">
                  <c:v>2024</c:v>
                </c:pt>
                <c:pt idx="1">
                  <c:v>2023</c:v>
                </c:pt>
                <c:pt idx="2">
                  <c:v>2022</c:v>
                </c:pt>
                <c:pt idx="3">
                  <c:v>2021</c:v>
                </c:pt>
                <c:pt idx="4">
                  <c:v>2020</c:v>
                </c:pt>
              </c:numCache>
            </c:numRef>
          </c:cat>
          <c:val>
            <c:numRef>
              <c:f>Sheet1!$B$45:$F$45</c:f>
              <c:numCache>
                <c:formatCode>General</c:formatCode>
                <c:ptCount val="5"/>
                <c:pt idx="0">
                  <c:v>-6.08</c:v>
                </c:pt>
                <c:pt idx="1">
                  <c:v>-23.36</c:v>
                </c:pt>
                <c:pt idx="2">
                  <c:v>7.0000000000000007E-2</c:v>
                </c:pt>
                <c:pt idx="3">
                  <c:v>0.88</c:v>
                </c:pt>
                <c:pt idx="4">
                  <c:v>6.27</c:v>
                </c:pt>
              </c:numCache>
            </c:numRef>
          </c:val>
          <c:extLst>
            <c:ext xmlns:c16="http://schemas.microsoft.com/office/drawing/2014/chart" uri="{C3380CC4-5D6E-409C-BE32-E72D297353CC}">
              <c16:uniqueId val="{00000002-FF3B-44D8-932F-DBEB4B254BBB}"/>
            </c:ext>
          </c:extLst>
        </c:ser>
        <c:ser>
          <c:idx val="4"/>
          <c:order val="3"/>
          <c:tx>
            <c:strRef>
              <c:f>Sheet1!$A$46</c:f>
              <c:strCache>
                <c:ptCount val="1"/>
                <c:pt idx="0">
                  <c:v>Return on Equity (ROE)</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a:sp3d contourW="9525">
              <a:contourClr>
                <a:schemeClr val="accent5">
                  <a:shade val="95000"/>
                </a:schemeClr>
              </a:contourClr>
            </a:sp3d>
          </c:spPr>
          <c:invertIfNegative val="0"/>
          <c:cat>
            <c:numRef>
              <c:f>Sheet1!$B$42:$F$42</c:f>
              <c:numCache>
                <c:formatCode>General</c:formatCode>
                <c:ptCount val="5"/>
                <c:pt idx="0">
                  <c:v>2024</c:v>
                </c:pt>
                <c:pt idx="1">
                  <c:v>2023</c:v>
                </c:pt>
                <c:pt idx="2">
                  <c:v>2022</c:v>
                </c:pt>
                <c:pt idx="3">
                  <c:v>2021</c:v>
                </c:pt>
                <c:pt idx="4">
                  <c:v>2020</c:v>
                </c:pt>
              </c:numCache>
            </c:numRef>
          </c:cat>
          <c:val>
            <c:numRef>
              <c:f>Sheet1!$B$46:$F$46</c:f>
              <c:numCache>
                <c:formatCode>General</c:formatCode>
                <c:ptCount val="5"/>
                <c:pt idx="0">
                  <c:v>-15.69</c:v>
                </c:pt>
                <c:pt idx="1">
                  <c:v>-54.91</c:v>
                </c:pt>
                <c:pt idx="2">
                  <c:v>0.15</c:v>
                </c:pt>
                <c:pt idx="3">
                  <c:v>1.92</c:v>
                </c:pt>
                <c:pt idx="4">
                  <c:v>12.31</c:v>
                </c:pt>
              </c:numCache>
            </c:numRef>
          </c:val>
          <c:extLst>
            <c:ext xmlns:c16="http://schemas.microsoft.com/office/drawing/2014/chart" uri="{C3380CC4-5D6E-409C-BE32-E72D297353CC}">
              <c16:uniqueId val="{00000003-FF3B-44D8-932F-DBEB4B254BBB}"/>
            </c:ext>
          </c:extLst>
        </c:ser>
        <c:dLbls>
          <c:showLegendKey val="0"/>
          <c:showVal val="0"/>
          <c:showCatName val="0"/>
          <c:showSerName val="0"/>
          <c:showPercent val="0"/>
          <c:showBubbleSize val="0"/>
        </c:dLbls>
        <c:gapWidth val="150"/>
        <c:shape val="box"/>
        <c:axId val="1275517152"/>
        <c:axId val="1275518112"/>
        <c:axId val="0"/>
      </c:bar3DChart>
      <c:catAx>
        <c:axId val="12755171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275518112"/>
        <c:crosses val="autoZero"/>
        <c:auto val="1"/>
        <c:lblAlgn val="ctr"/>
        <c:lblOffset val="100"/>
        <c:noMultiLvlLbl val="0"/>
      </c:catAx>
      <c:valAx>
        <c:axId val="1275518112"/>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275517152"/>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50000"/>
                    <a:lumOff val="50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stacked"/>
        <c:varyColors val="0"/>
        <c:ser>
          <c:idx val="1"/>
          <c:order val="0"/>
          <c:tx>
            <c:strRef>
              <c:f>Sheet1!$A$53</c:f>
              <c:strCache>
                <c:ptCount val="1"/>
                <c:pt idx="0">
                  <c:v>Current Ratio</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cat>
            <c:numRef>
              <c:f>Sheet1!$B$52:$F$52</c:f>
              <c:numCache>
                <c:formatCode>General</c:formatCode>
                <c:ptCount val="5"/>
                <c:pt idx="0">
                  <c:v>2024</c:v>
                </c:pt>
                <c:pt idx="1">
                  <c:v>2023</c:v>
                </c:pt>
                <c:pt idx="2">
                  <c:v>2022</c:v>
                </c:pt>
                <c:pt idx="3">
                  <c:v>2021</c:v>
                </c:pt>
                <c:pt idx="4">
                  <c:v>2020</c:v>
                </c:pt>
              </c:numCache>
            </c:numRef>
          </c:cat>
          <c:val>
            <c:numRef>
              <c:f>Sheet1!$B$53:$F$53</c:f>
              <c:numCache>
                <c:formatCode>General</c:formatCode>
                <c:ptCount val="5"/>
                <c:pt idx="0">
                  <c:v>1.53</c:v>
                </c:pt>
                <c:pt idx="1">
                  <c:v>1.61</c:v>
                </c:pt>
                <c:pt idx="2">
                  <c:v>1.56</c:v>
                </c:pt>
                <c:pt idx="3">
                  <c:v>1.56</c:v>
                </c:pt>
                <c:pt idx="4">
                  <c:v>1.82</c:v>
                </c:pt>
              </c:numCache>
            </c:numRef>
          </c:val>
          <c:extLst>
            <c:ext xmlns:c16="http://schemas.microsoft.com/office/drawing/2014/chart" uri="{C3380CC4-5D6E-409C-BE32-E72D297353CC}">
              <c16:uniqueId val="{00000000-D9B1-46A3-8216-4012EDA390E1}"/>
            </c:ext>
          </c:extLst>
        </c:ser>
        <c:ser>
          <c:idx val="2"/>
          <c:order val="1"/>
          <c:tx>
            <c:strRef>
              <c:f>Sheet1!$A$54</c:f>
              <c:strCache>
                <c:ptCount val="1"/>
                <c:pt idx="0">
                  <c:v>Quick Ratio (Acid Test)</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cat>
            <c:numRef>
              <c:f>Sheet1!$B$52:$F$52</c:f>
              <c:numCache>
                <c:formatCode>General</c:formatCode>
                <c:ptCount val="5"/>
                <c:pt idx="0">
                  <c:v>2024</c:v>
                </c:pt>
                <c:pt idx="1">
                  <c:v>2023</c:v>
                </c:pt>
                <c:pt idx="2">
                  <c:v>2022</c:v>
                </c:pt>
                <c:pt idx="3">
                  <c:v>2021</c:v>
                </c:pt>
                <c:pt idx="4">
                  <c:v>2020</c:v>
                </c:pt>
              </c:numCache>
            </c:numRef>
          </c:cat>
          <c:val>
            <c:numRef>
              <c:f>Sheet1!$B$54:$F$54</c:f>
              <c:numCache>
                <c:formatCode>General</c:formatCode>
                <c:ptCount val="5"/>
                <c:pt idx="0">
                  <c:v>1.03</c:v>
                </c:pt>
                <c:pt idx="1">
                  <c:v>1.06</c:v>
                </c:pt>
                <c:pt idx="2">
                  <c:v>0.91</c:v>
                </c:pt>
                <c:pt idx="3">
                  <c:v>0.94</c:v>
                </c:pt>
                <c:pt idx="4">
                  <c:v>1.1499999999999999</c:v>
                </c:pt>
              </c:numCache>
            </c:numRef>
          </c:val>
          <c:extLst>
            <c:ext xmlns:c16="http://schemas.microsoft.com/office/drawing/2014/chart" uri="{C3380CC4-5D6E-409C-BE32-E72D297353CC}">
              <c16:uniqueId val="{00000001-D9B1-46A3-8216-4012EDA390E1}"/>
            </c:ext>
          </c:extLst>
        </c:ser>
        <c:ser>
          <c:idx val="3"/>
          <c:order val="2"/>
          <c:tx>
            <c:strRef>
              <c:f>Sheet1!$A$55</c:f>
              <c:strCache>
                <c:ptCount val="1"/>
                <c:pt idx="0">
                  <c:v>Debt-to-Equity</c:v>
                </c:pt>
              </c:strCache>
            </c:strRef>
          </c:tx>
          <c:spPr>
            <a:pattFill prst="narHorz">
              <a:fgClr>
                <a:schemeClr val="accent4"/>
              </a:fgClr>
              <a:bgClr>
                <a:schemeClr val="accent4">
                  <a:lumMod val="20000"/>
                  <a:lumOff val="80000"/>
                </a:schemeClr>
              </a:bgClr>
            </a:pattFill>
            <a:ln>
              <a:noFill/>
            </a:ln>
            <a:effectLst>
              <a:innerShdw blurRad="114300">
                <a:schemeClr val="accent4"/>
              </a:innerShdw>
            </a:effectLst>
          </c:spPr>
          <c:invertIfNegative val="0"/>
          <c:cat>
            <c:numRef>
              <c:f>Sheet1!$B$52:$F$52</c:f>
              <c:numCache>
                <c:formatCode>General</c:formatCode>
                <c:ptCount val="5"/>
                <c:pt idx="0">
                  <c:v>2024</c:v>
                </c:pt>
                <c:pt idx="1">
                  <c:v>2023</c:v>
                </c:pt>
                <c:pt idx="2">
                  <c:v>2022</c:v>
                </c:pt>
                <c:pt idx="3">
                  <c:v>2021</c:v>
                </c:pt>
                <c:pt idx="4">
                  <c:v>2020</c:v>
                </c:pt>
              </c:numCache>
            </c:numRef>
          </c:cat>
          <c:val>
            <c:numRef>
              <c:f>Sheet1!$B$55:$F$55</c:f>
              <c:numCache>
                <c:formatCode>General</c:formatCode>
                <c:ptCount val="5"/>
                <c:pt idx="0">
                  <c:v>1.1100000000000001</c:v>
                </c:pt>
                <c:pt idx="1">
                  <c:v>0.99</c:v>
                </c:pt>
                <c:pt idx="2">
                  <c:v>0.88</c:v>
                </c:pt>
                <c:pt idx="3">
                  <c:v>0.85</c:v>
                </c:pt>
                <c:pt idx="4">
                  <c:v>0.63</c:v>
                </c:pt>
              </c:numCache>
            </c:numRef>
          </c:val>
          <c:extLst>
            <c:ext xmlns:c16="http://schemas.microsoft.com/office/drawing/2014/chart" uri="{C3380CC4-5D6E-409C-BE32-E72D297353CC}">
              <c16:uniqueId val="{00000002-D9B1-46A3-8216-4012EDA390E1}"/>
            </c:ext>
          </c:extLst>
        </c:ser>
        <c:dLbls>
          <c:showLegendKey val="0"/>
          <c:showVal val="0"/>
          <c:showCatName val="0"/>
          <c:showSerName val="0"/>
          <c:showPercent val="0"/>
          <c:showBubbleSize val="0"/>
        </c:dLbls>
        <c:gapWidth val="150"/>
        <c:overlap val="100"/>
        <c:axId val="1393302304"/>
        <c:axId val="1393291744"/>
      </c:barChart>
      <c:catAx>
        <c:axId val="1393302304"/>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291744"/>
        <c:crosses val="autoZero"/>
        <c:auto val="1"/>
        <c:lblAlgn val="ctr"/>
        <c:lblOffset val="100"/>
        <c:noMultiLvlLbl val="0"/>
      </c:catAx>
      <c:valAx>
        <c:axId val="1393291744"/>
        <c:scaling>
          <c:orientation val="minMax"/>
        </c:scaling>
        <c:delete val="0"/>
        <c:axPos val="l"/>
        <c:majorGridlines>
          <c:spPr>
            <a:ln>
              <a:solidFill>
                <a:schemeClr val="tx1">
                  <a:lumMod val="15000"/>
                  <a:lumOff val="85000"/>
                </a:schemeClr>
              </a:solidFill>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30230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4"/>
          <c:order val="0"/>
          <c:tx>
            <c:strRef>
              <c:f>Sheet1!$A$56</c:f>
              <c:strCache>
                <c:ptCount val="1"/>
                <c:pt idx="0">
                  <c:v>Gearing Ratio (%)</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numRef>
              <c:f>Sheet1!$B$52:$F$52</c:f>
              <c:numCache>
                <c:formatCode>General</c:formatCode>
                <c:ptCount val="5"/>
                <c:pt idx="0">
                  <c:v>2024</c:v>
                </c:pt>
                <c:pt idx="1">
                  <c:v>2023</c:v>
                </c:pt>
                <c:pt idx="2">
                  <c:v>2022</c:v>
                </c:pt>
                <c:pt idx="3">
                  <c:v>2021</c:v>
                </c:pt>
                <c:pt idx="4">
                  <c:v>2020</c:v>
                </c:pt>
              </c:numCache>
            </c:numRef>
          </c:cat>
          <c:val>
            <c:numRef>
              <c:f>Sheet1!$B$56:$F$56</c:f>
              <c:numCache>
                <c:formatCode>General</c:formatCode>
                <c:ptCount val="5"/>
                <c:pt idx="0">
                  <c:v>52.65</c:v>
                </c:pt>
                <c:pt idx="1">
                  <c:v>49.72</c:v>
                </c:pt>
                <c:pt idx="2">
                  <c:v>46.76</c:v>
                </c:pt>
                <c:pt idx="3">
                  <c:v>45.93</c:v>
                </c:pt>
                <c:pt idx="4">
                  <c:v>38.6</c:v>
                </c:pt>
              </c:numCache>
            </c:numRef>
          </c:val>
          <c:smooth val="0"/>
          <c:extLst>
            <c:ext xmlns:c16="http://schemas.microsoft.com/office/drawing/2014/chart" uri="{C3380CC4-5D6E-409C-BE32-E72D297353CC}">
              <c16:uniqueId val="{00000000-4B04-4C48-8DB9-3F9AAC2A16FE}"/>
            </c:ext>
          </c:extLst>
        </c:ser>
        <c:dLbls>
          <c:showLegendKey val="0"/>
          <c:showVal val="0"/>
          <c:showCatName val="0"/>
          <c:showSerName val="0"/>
          <c:showPercent val="0"/>
          <c:showBubbleSize val="0"/>
        </c:dLbls>
        <c:marker val="1"/>
        <c:smooth val="0"/>
        <c:axId val="1393290304"/>
        <c:axId val="1275495552"/>
      </c:lineChart>
      <c:catAx>
        <c:axId val="1393290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5495552"/>
        <c:crosses val="autoZero"/>
        <c:auto val="1"/>
        <c:lblAlgn val="ctr"/>
        <c:lblOffset val="100"/>
        <c:noMultiLvlLbl val="0"/>
      </c:catAx>
      <c:valAx>
        <c:axId val="1275495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290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1"/>
          <c:order val="0"/>
          <c:tx>
            <c:strRef>
              <c:f>Sheet1!$A$10</c:f>
              <c:strCache>
                <c:ptCount val="1"/>
                <c:pt idx="0">
                  <c:v>Asset Turnover</c:v>
                </c:pt>
              </c:strCache>
            </c:strRef>
          </c:tx>
          <c:spPr>
            <a:pattFill prst="ltDnDiag">
              <a:fgClr>
                <a:schemeClr val="accent4"/>
              </a:fgClr>
              <a:bgClr>
                <a:schemeClr val="accent4">
                  <a:lumMod val="20000"/>
                  <a:lumOff val="80000"/>
                </a:schemeClr>
              </a:bgClr>
            </a:pattFill>
            <a:ln>
              <a:solidFill>
                <a:schemeClr val="accent4"/>
              </a:solidFill>
            </a:ln>
            <a:effectLst/>
            <a:sp3d>
              <a:contourClr>
                <a:schemeClr val="accent4"/>
              </a:contourClr>
            </a:sp3d>
          </c:spPr>
          <c:invertIfNegative val="0"/>
          <c:cat>
            <c:numRef>
              <c:f>Sheet1!$B$9:$F$9</c:f>
              <c:numCache>
                <c:formatCode>General</c:formatCode>
                <c:ptCount val="5"/>
                <c:pt idx="0">
                  <c:v>2024</c:v>
                </c:pt>
                <c:pt idx="1">
                  <c:v>2023</c:v>
                </c:pt>
                <c:pt idx="2">
                  <c:v>2022</c:v>
                </c:pt>
                <c:pt idx="3">
                  <c:v>2021</c:v>
                </c:pt>
                <c:pt idx="4">
                  <c:v>2020</c:v>
                </c:pt>
              </c:numCache>
            </c:numRef>
          </c:cat>
          <c:val>
            <c:numRef>
              <c:f>Sheet1!$B$10:$F$10</c:f>
              <c:numCache>
                <c:formatCode>General</c:formatCode>
                <c:ptCount val="5"/>
                <c:pt idx="0">
                  <c:v>1.22</c:v>
                </c:pt>
                <c:pt idx="1">
                  <c:v>1.18</c:v>
                </c:pt>
                <c:pt idx="2">
                  <c:v>1.08</c:v>
                </c:pt>
                <c:pt idx="3">
                  <c:v>1.18</c:v>
                </c:pt>
                <c:pt idx="4">
                  <c:v>1.2</c:v>
                </c:pt>
              </c:numCache>
            </c:numRef>
          </c:val>
          <c:extLst>
            <c:ext xmlns:c16="http://schemas.microsoft.com/office/drawing/2014/chart" uri="{C3380CC4-5D6E-409C-BE32-E72D297353CC}">
              <c16:uniqueId val="{00000000-0EE5-4B3A-B3DB-445AA31080CC}"/>
            </c:ext>
          </c:extLst>
        </c:ser>
        <c:ser>
          <c:idx val="2"/>
          <c:order val="1"/>
          <c:tx>
            <c:strRef>
              <c:f>Sheet1!$A$11</c:f>
              <c:strCache>
                <c:ptCount val="1"/>
                <c:pt idx="0">
                  <c:v>Inventory Turnover</c:v>
                </c:pt>
              </c:strCache>
            </c:strRef>
          </c:tx>
          <c:spPr>
            <a:pattFill prst="ltDnDiag">
              <a:fgClr>
                <a:schemeClr val="accent6"/>
              </a:fgClr>
              <a:bgClr>
                <a:schemeClr val="accent6">
                  <a:lumMod val="20000"/>
                  <a:lumOff val="80000"/>
                </a:schemeClr>
              </a:bgClr>
            </a:pattFill>
            <a:ln>
              <a:solidFill>
                <a:schemeClr val="accent6"/>
              </a:solidFill>
            </a:ln>
            <a:effectLst/>
            <a:sp3d>
              <a:contourClr>
                <a:schemeClr val="accent6"/>
              </a:contourClr>
            </a:sp3d>
          </c:spPr>
          <c:invertIfNegative val="0"/>
          <c:cat>
            <c:numRef>
              <c:f>Sheet1!$B$9:$F$9</c:f>
              <c:numCache>
                <c:formatCode>General</c:formatCode>
                <c:ptCount val="5"/>
                <c:pt idx="0">
                  <c:v>2024</c:v>
                </c:pt>
                <c:pt idx="1">
                  <c:v>2023</c:v>
                </c:pt>
                <c:pt idx="2">
                  <c:v>2022</c:v>
                </c:pt>
                <c:pt idx="3">
                  <c:v>2021</c:v>
                </c:pt>
                <c:pt idx="4">
                  <c:v>2020</c:v>
                </c:pt>
              </c:numCache>
            </c:numRef>
          </c:cat>
          <c:val>
            <c:numRef>
              <c:f>Sheet1!$B$11:$F$11</c:f>
              <c:numCache>
                <c:formatCode>General</c:formatCode>
                <c:ptCount val="5"/>
                <c:pt idx="0">
                  <c:v>3.54</c:v>
                </c:pt>
                <c:pt idx="1">
                  <c:v>3.66</c:v>
                </c:pt>
                <c:pt idx="2">
                  <c:v>2.79</c:v>
                </c:pt>
                <c:pt idx="3">
                  <c:v>3.19</c:v>
                </c:pt>
                <c:pt idx="4">
                  <c:v>3.64</c:v>
                </c:pt>
              </c:numCache>
            </c:numRef>
          </c:val>
          <c:extLst>
            <c:ext xmlns:c16="http://schemas.microsoft.com/office/drawing/2014/chart" uri="{C3380CC4-5D6E-409C-BE32-E72D297353CC}">
              <c16:uniqueId val="{00000001-0EE5-4B3A-B3DB-445AA31080CC}"/>
            </c:ext>
          </c:extLst>
        </c:ser>
        <c:ser>
          <c:idx val="3"/>
          <c:order val="2"/>
          <c:tx>
            <c:strRef>
              <c:f>Sheet1!$A$12</c:f>
              <c:strCache>
                <c:ptCount val="1"/>
                <c:pt idx="0">
                  <c:v>Fixed Asset Turnover</c:v>
                </c:pt>
              </c:strCache>
            </c:strRef>
          </c:tx>
          <c:spPr>
            <a:pattFill prst="ltDnDiag">
              <a:fgClr>
                <a:schemeClr val="accent2">
                  <a:lumMod val="60000"/>
                </a:schemeClr>
              </a:fgClr>
              <a:bgClr>
                <a:schemeClr val="accent2">
                  <a:lumMod val="60000"/>
                  <a:lumMod val="20000"/>
                  <a:lumOff val="80000"/>
                </a:schemeClr>
              </a:bgClr>
            </a:pattFill>
            <a:ln>
              <a:solidFill>
                <a:schemeClr val="accent2">
                  <a:lumMod val="60000"/>
                </a:schemeClr>
              </a:solidFill>
            </a:ln>
            <a:effectLst/>
            <a:sp3d>
              <a:contourClr>
                <a:schemeClr val="accent2">
                  <a:lumMod val="60000"/>
                </a:schemeClr>
              </a:contourClr>
            </a:sp3d>
          </c:spPr>
          <c:invertIfNegative val="0"/>
          <c:cat>
            <c:numRef>
              <c:f>Sheet1!$B$9:$F$9</c:f>
              <c:numCache>
                <c:formatCode>General</c:formatCode>
                <c:ptCount val="5"/>
                <c:pt idx="0">
                  <c:v>2024</c:v>
                </c:pt>
                <c:pt idx="1">
                  <c:v>2023</c:v>
                </c:pt>
                <c:pt idx="2">
                  <c:v>2022</c:v>
                </c:pt>
                <c:pt idx="3">
                  <c:v>2021</c:v>
                </c:pt>
                <c:pt idx="4">
                  <c:v>2020</c:v>
                </c:pt>
              </c:numCache>
            </c:numRef>
          </c:cat>
          <c:val>
            <c:numRef>
              <c:f>Sheet1!$B$12:$F$12</c:f>
              <c:numCache>
                <c:formatCode>General</c:formatCode>
                <c:ptCount val="5"/>
                <c:pt idx="0">
                  <c:v>11.55</c:v>
                </c:pt>
                <c:pt idx="1">
                  <c:v>12.29</c:v>
                </c:pt>
                <c:pt idx="2">
                  <c:v>15.87</c:v>
                </c:pt>
                <c:pt idx="3">
                  <c:v>10.37</c:v>
                </c:pt>
                <c:pt idx="4">
                  <c:v>7.04</c:v>
                </c:pt>
              </c:numCache>
            </c:numRef>
          </c:val>
          <c:extLst>
            <c:ext xmlns:c16="http://schemas.microsoft.com/office/drawing/2014/chart" uri="{C3380CC4-5D6E-409C-BE32-E72D297353CC}">
              <c16:uniqueId val="{00000002-0EE5-4B3A-B3DB-445AA31080CC}"/>
            </c:ext>
          </c:extLst>
        </c:ser>
        <c:dLbls>
          <c:showLegendKey val="0"/>
          <c:showVal val="0"/>
          <c:showCatName val="0"/>
          <c:showSerName val="0"/>
          <c:showPercent val="0"/>
          <c:showBubbleSize val="0"/>
        </c:dLbls>
        <c:gapWidth val="160"/>
        <c:gapDepth val="0"/>
        <c:shape val="box"/>
        <c:axId val="1626495088"/>
        <c:axId val="1626491248"/>
        <c:axId val="0"/>
      </c:bar3DChart>
      <c:catAx>
        <c:axId val="16264950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6491248"/>
        <c:crosses val="autoZero"/>
        <c:auto val="1"/>
        <c:lblAlgn val="ctr"/>
        <c:lblOffset val="100"/>
        <c:noMultiLvlLbl val="0"/>
      </c:catAx>
      <c:valAx>
        <c:axId val="1626491248"/>
        <c:scaling>
          <c:orientation val="minMax"/>
        </c:scaling>
        <c:delete val="0"/>
        <c:axPos val="l"/>
        <c:title>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6495088"/>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Sheet1!$A$17</c:f>
              <c:strCache>
                <c:ptCount val="1"/>
                <c:pt idx="0">
                  <c:v>Debt-to-Equity</c:v>
                </c:pt>
              </c:strCache>
            </c:strRef>
          </c:tx>
          <c:spPr>
            <a:ln w="28575" cap="rnd">
              <a:solidFill>
                <a:schemeClr val="accent1"/>
              </a:solidFill>
              <a:round/>
            </a:ln>
            <a:effectLst/>
          </c:spPr>
          <c:marker>
            <c:symbol val="none"/>
          </c:marker>
          <c:cat>
            <c:numRef>
              <c:f>Sheet1!$B$16:$F$16</c:f>
              <c:numCache>
                <c:formatCode>General</c:formatCode>
                <c:ptCount val="5"/>
                <c:pt idx="0">
                  <c:v>2024</c:v>
                </c:pt>
                <c:pt idx="1">
                  <c:v>2023</c:v>
                </c:pt>
                <c:pt idx="2">
                  <c:v>2022</c:v>
                </c:pt>
                <c:pt idx="3">
                  <c:v>2021</c:v>
                </c:pt>
                <c:pt idx="4">
                  <c:v>2020</c:v>
                </c:pt>
              </c:numCache>
            </c:numRef>
          </c:cat>
          <c:val>
            <c:numRef>
              <c:f>Sheet1!$B$17:$F$17</c:f>
              <c:numCache>
                <c:formatCode>General</c:formatCode>
                <c:ptCount val="5"/>
                <c:pt idx="0">
                  <c:v>1.1100000000000001</c:v>
                </c:pt>
                <c:pt idx="1">
                  <c:v>0.99</c:v>
                </c:pt>
                <c:pt idx="2">
                  <c:v>0.88</c:v>
                </c:pt>
                <c:pt idx="3">
                  <c:v>0.85</c:v>
                </c:pt>
                <c:pt idx="4">
                  <c:v>0.63</c:v>
                </c:pt>
              </c:numCache>
            </c:numRef>
          </c:val>
          <c:smooth val="0"/>
          <c:extLst>
            <c:ext xmlns:c16="http://schemas.microsoft.com/office/drawing/2014/chart" uri="{C3380CC4-5D6E-409C-BE32-E72D297353CC}">
              <c16:uniqueId val="{00000000-49BF-47BB-A0CC-E71682746471}"/>
            </c:ext>
          </c:extLst>
        </c:ser>
        <c:ser>
          <c:idx val="1"/>
          <c:order val="1"/>
          <c:tx>
            <c:strRef>
              <c:f>Sheet1!$A$18</c:f>
              <c:strCache>
                <c:ptCount val="1"/>
                <c:pt idx="0">
                  <c:v>Gearing Ratio (%)</c:v>
                </c:pt>
              </c:strCache>
            </c:strRef>
          </c:tx>
          <c:spPr>
            <a:ln w="28575" cap="rnd">
              <a:solidFill>
                <a:schemeClr val="accent2"/>
              </a:solidFill>
              <a:round/>
            </a:ln>
            <a:effectLst/>
          </c:spPr>
          <c:marker>
            <c:symbol val="none"/>
          </c:marker>
          <c:cat>
            <c:numRef>
              <c:f>Sheet1!$B$16:$F$16</c:f>
              <c:numCache>
                <c:formatCode>General</c:formatCode>
                <c:ptCount val="5"/>
                <c:pt idx="0">
                  <c:v>2024</c:v>
                </c:pt>
                <c:pt idx="1">
                  <c:v>2023</c:v>
                </c:pt>
                <c:pt idx="2">
                  <c:v>2022</c:v>
                </c:pt>
                <c:pt idx="3">
                  <c:v>2021</c:v>
                </c:pt>
                <c:pt idx="4">
                  <c:v>2020</c:v>
                </c:pt>
              </c:numCache>
            </c:numRef>
          </c:cat>
          <c:val>
            <c:numRef>
              <c:f>Sheet1!$B$18:$F$18</c:f>
              <c:numCache>
                <c:formatCode>General</c:formatCode>
                <c:ptCount val="5"/>
                <c:pt idx="0">
                  <c:v>52.65</c:v>
                </c:pt>
                <c:pt idx="1">
                  <c:v>49.72</c:v>
                </c:pt>
                <c:pt idx="2">
                  <c:v>46.76</c:v>
                </c:pt>
                <c:pt idx="3">
                  <c:v>45.93</c:v>
                </c:pt>
                <c:pt idx="4">
                  <c:v>38.6</c:v>
                </c:pt>
              </c:numCache>
            </c:numRef>
          </c:val>
          <c:smooth val="0"/>
          <c:extLst>
            <c:ext xmlns:c16="http://schemas.microsoft.com/office/drawing/2014/chart" uri="{C3380CC4-5D6E-409C-BE32-E72D297353CC}">
              <c16:uniqueId val="{00000001-49BF-47BB-A0CC-E71682746471}"/>
            </c:ext>
          </c:extLst>
        </c:ser>
        <c:ser>
          <c:idx val="2"/>
          <c:order val="2"/>
          <c:tx>
            <c:strRef>
              <c:f>Sheet1!$A$19</c:f>
              <c:strCache>
                <c:ptCount val="1"/>
                <c:pt idx="0">
                  <c:v>Interest Cover</c:v>
                </c:pt>
              </c:strCache>
            </c:strRef>
          </c:tx>
          <c:spPr>
            <a:ln w="28575" cap="rnd">
              <a:solidFill>
                <a:schemeClr val="accent3"/>
              </a:solidFill>
              <a:round/>
            </a:ln>
            <a:effectLst/>
          </c:spPr>
          <c:marker>
            <c:symbol val="none"/>
          </c:marker>
          <c:cat>
            <c:numRef>
              <c:f>Sheet1!$B$16:$F$16</c:f>
              <c:numCache>
                <c:formatCode>General</c:formatCode>
                <c:ptCount val="5"/>
                <c:pt idx="0">
                  <c:v>2024</c:v>
                </c:pt>
                <c:pt idx="1">
                  <c:v>2023</c:v>
                </c:pt>
                <c:pt idx="2">
                  <c:v>2022</c:v>
                </c:pt>
                <c:pt idx="3">
                  <c:v>2021</c:v>
                </c:pt>
                <c:pt idx="4">
                  <c:v>2020</c:v>
                </c:pt>
              </c:numCache>
            </c:numRef>
          </c:cat>
          <c:val>
            <c:numRef>
              <c:f>Sheet1!$B$19:$F$19</c:f>
              <c:numCache>
                <c:formatCode>General</c:formatCode>
                <c:ptCount val="5"/>
                <c:pt idx="0">
                  <c:v>-1.82</c:v>
                </c:pt>
                <c:pt idx="1">
                  <c:v>-9.5399999999999991</c:v>
                </c:pt>
                <c:pt idx="2">
                  <c:v>1.63</c:v>
                </c:pt>
                <c:pt idx="3">
                  <c:v>2.5099999999999998</c:v>
                </c:pt>
                <c:pt idx="4">
                  <c:v>4.0199999999999996</c:v>
                </c:pt>
              </c:numCache>
            </c:numRef>
          </c:val>
          <c:smooth val="0"/>
          <c:extLst>
            <c:ext xmlns:c16="http://schemas.microsoft.com/office/drawing/2014/chart" uri="{C3380CC4-5D6E-409C-BE32-E72D297353CC}">
              <c16:uniqueId val="{00000002-49BF-47BB-A0CC-E71682746471}"/>
            </c:ext>
          </c:extLst>
        </c:ser>
        <c:dLbls>
          <c:showLegendKey val="0"/>
          <c:showVal val="0"/>
          <c:showCatName val="0"/>
          <c:showSerName val="0"/>
          <c:showPercent val="0"/>
          <c:showBubbleSize val="0"/>
        </c:dLbls>
        <c:smooth val="0"/>
        <c:axId val="1626509008"/>
        <c:axId val="1626514288"/>
      </c:lineChart>
      <c:catAx>
        <c:axId val="1626509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6514288"/>
        <c:crosses val="autoZero"/>
        <c:auto val="1"/>
        <c:lblAlgn val="ctr"/>
        <c:lblOffset val="100"/>
        <c:noMultiLvlLbl val="0"/>
      </c:catAx>
      <c:valAx>
        <c:axId val="1626514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65090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Sheet1!$A$23</c:f>
              <c:strCache>
                <c:ptCount val="1"/>
                <c:pt idx="0">
                  <c:v>Earnings Per Share (£)</c:v>
                </c:pt>
              </c:strCache>
            </c:strRef>
          </c:tx>
          <c:spPr>
            <a:solidFill>
              <a:schemeClr val="accent1"/>
            </a:solidFill>
            <a:ln>
              <a:noFill/>
            </a:ln>
            <a:effectLst/>
          </c:spPr>
          <c:invertIfNegative val="0"/>
          <c:cat>
            <c:numRef>
              <c:f>Sheet1!$B$22:$F$22</c:f>
              <c:numCache>
                <c:formatCode>General</c:formatCode>
                <c:ptCount val="5"/>
                <c:pt idx="0">
                  <c:v>2024</c:v>
                </c:pt>
                <c:pt idx="1">
                  <c:v>2023</c:v>
                </c:pt>
                <c:pt idx="2">
                  <c:v>2022</c:v>
                </c:pt>
                <c:pt idx="3">
                  <c:v>2021</c:v>
                </c:pt>
                <c:pt idx="4">
                  <c:v>2020</c:v>
                </c:pt>
              </c:numCache>
            </c:numRef>
          </c:cat>
          <c:val>
            <c:numRef>
              <c:f>Sheet1!$B$23:$F$23</c:f>
              <c:numCache>
                <c:formatCode>"£"#,##0.00_);[Red]\("£"#,##0.00\)</c:formatCode>
                <c:ptCount val="5"/>
                <c:pt idx="0">
                  <c:v>-1.85</c:v>
                </c:pt>
                <c:pt idx="1">
                  <c:v>-7.64</c:v>
                </c:pt>
                <c:pt idx="2">
                  <c:v>0.03</c:v>
                </c:pt>
                <c:pt idx="3">
                  <c:v>0.39</c:v>
                </c:pt>
                <c:pt idx="4">
                  <c:v>2.78</c:v>
                </c:pt>
              </c:numCache>
            </c:numRef>
          </c:val>
          <c:extLst>
            <c:ext xmlns:c16="http://schemas.microsoft.com/office/drawing/2014/chart" uri="{C3380CC4-5D6E-409C-BE32-E72D297353CC}">
              <c16:uniqueId val="{00000000-F8CB-4F44-B9A6-F8AA7C3B7F4E}"/>
            </c:ext>
          </c:extLst>
        </c:ser>
        <c:ser>
          <c:idx val="1"/>
          <c:order val="1"/>
          <c:tx>
            <c:strRef>
              <c:f>Sheet1!$A$24</c:f>
              <c:strCache>
                <c:ptCount val="1"/>
                <c:pt idx="0">
                  <c:v>Dividend Yield (%)</c:v>
                </c:pt>
              </c:strCache>
            </c:strRef>
          </c:tx>
          <c:spPr>
            <a:solidFill>
              <a:schemeClr val="accent2"/>
            </a:solidFill>
            <a:ln>
              <a:noFill/>
            </a:ln>
            <a:effectLst/>
          </c:spPr>
          <c:invertIfNegative val="0"/>
          <c:cat>
            <c:numRef>
              <c:f>Sheet1!$B$22:$F$22</c:f>
              <c:numCache>
                <c:formatCode>General</c:formatCode>
                <c:ptCount val="5"/>
                <c:pt idx="0">
                  <c:v>2024</c:v>
                </c:pt>
                <c:pt idx="1">
                  <c:v>2023</c:v>
                </c:pt>
                <c:pt idx="2">
                  <c:v>2022</c:v>
                </c:pt>
                <c:pt idx="3">
                  <c:v>2021</c:v>
                </c:pt>
                <c:pt idx="4">
                  <c:v>2020</c:v>
                </c:pt>
              </c:numCache>
            </c:numRef>
          </c:cat>
          <c:val>
            <c:numRef>
              <c:f>Sheet1!$B$24:$F$24</c:f>
              <c:numCache>
                <c:formatCode>0.00%</c:formatCode>
                <c:ptCount val="5"/>
                <c:pt idx="0">
                  <c:v>1.0999999999999999E-2</c:v>
                </c:pt>
                <c:pt idx="1">
                  <c:v>8.0000000000000002E-3</c:v>
                </c:pt>
                <c:pt idx="2">
                  <c:v>1.4E-2</c:v>
                </c:pt>
                <c:pt idx="3">
                  <c:v>1.7999999999999999E-2</c:v>
                </c:pt>
                <c:pt idx="4">
                  <c:v>2.1999999999999999E-2</c:v>
                </c:pt>
              </c:numCache>
            </c:numRef>
          </c:val>
          <c:extLst>
            <c:ext xmlns:c16="http://schemas.microsoft.com/office/drawing/2014/chart" uri="{C3380CC4-5D6E-409C-BE32-E72D297353CC}">
              <c16:uniqueId val="{00000001-F8CB-4F44-B9A6-F8AA7C3B7F4E}"/>
            </c:ext>
          </c:extLst>
        </c:ser>
        <c:ser>
          <c:idx val="2"/>
          <c:order val="2"/>
          <c:tx>
            <c:strRef>
              <c:f>Sheet1!$A$25</c:f>
              <c:strCache>
                <c:ptCount val="1"/>
                <c:pt idx="0">
                  <c:v>Price/Earnings (P/E)</c:v>
                </c:pt>
              </c:strCache>
            </c:strRef>
          </c:tx>
          <c:spPr>
            <a:solidFill>
              <a:schemeClr val="accent3"/>
            </a:solidFill>
            <a:ln>
              <a:noFill/>
            </a:ln>
            <a:effectLst/>
          </c:spPr>
          <c:invertIfNegative val="0"/>
          <c:cat>
            <c:numRef>
              <c:f>Sheet1!$B$22:$F$22</c:f>
              <c:numCache>
                <c:formatCode>General</c:formatCode>
                <c:ptCount val="5"/>
                <c:pt idx="0">
                  <c:v>2024</c:v>
                </c:pt>
                <c:pt idx="1">
                  <c:v>2023</c:v>
                </c:pt>
                <c:pt idx="2">
                  <c:v>2022</c:v>
                </c:pt>
                <c:pt idx="3">
                  <c:v>2021</c:v>
                </c:pt>
                <c:pt idx="4">
                  <c:v>2020</c:v>
                </c:pt>
              </c:numCache>
            </c:numRef>
          </c:cat>
          <c:val>
            <c:numRef>
              <c:f>Sheet1!$B$25:$F$25</c:f>
              <c:numCache>
                <c:formatCode>General</c:formatCode>
                <c:ptCount val="5"/>
                <c:pt idx="0">
                  <c:v>0</c:v>
                </c:pt>
                <c:pt idx="1">
                  <c:v>0</c:v>
                </c:pt>
                <c:pt idx="2">
                  <c:v>32.1</c:v>
                </c:pt>
                <c:pt idx="3">
                  <c:v>18.5</c:v>
                </c:pt>
                <c:pt idx="4">
                  <c:v>12.4</c:v>
                </c:pt>
              </c:numCache>
            </c:numRef>
          </c:val>
          <c:extLst>
            <c:ext xmlns:c16="http://schemas.microsoft.com/office/drawing/2014/chart" uri="{C3380CC4-5D6E-409C-BE32-E72D297353CC}">
              <c16:uniqueId val="{00000002-F8CB-4F44-B9A6-F8AA7C3B7F4E}"/>
            </c:ext>
          </c:extLst>
        </c:ser>
        <c:dLbls>
          <c:showLegendKey val="0"/>
          <c:showVal val="0"/>
          <c:showCatName val="0"/>
          <c:showSerName val="0"/>
          <c:showPercent val="0"/>
          <c:showBubbleSize val="0"/>
        </c:dLbls>
        <c:gapWidth val="150"/>
        <c:overlap val="100"/>
        <c:axId val="1626510448"/>
        <c:axId val="1626508528"/>
      </c:barChart>
      <c:catAx>
        <c:axId val="1626510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6508528"/>
        <c:crosses val="autoZero"/>
        <c:auto val="1"/>
        <c:lblAlgn val="ctr"/>
        <c:lblOffset val="100"/>
        <c:noMultiLvlLbl val="0"/>
      </c:catAx>
      <c:valAx>
        <c:axId val="1626508528"/>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6510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9">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ln w="19050" cap="flat" cmpd="sng" algn="ctr">
        <a:solidFill>
          <a:schemeClr val="tx1">
            <a:lumMod val="25000"/>
            <a:lumOff val="75000"/>
          </a:schemeClr>
        </a:solidFill>
        <a:round/>
      </a:ln>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35</Pages>
  <Words>7544</Words>
  <Characters>43005</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Shaikhul Alam Shanto</dc:creator>
  <cp:keywords/>
  <dc:description/>
  <cp:lastModifiedBy>Jashim Uddin</cp:lastModifiedBy>
  <cp:revision>166</cp:revision>
  <dcterms:created xsi:type="dcterms:W3CDTF">2025-12-21T05:40:00Z</dcterms:created>
  <dcterms:modified xsi:type="dcterms:W3CDTF">2025-12-21T15:51:00Z</dcterms:modified>
</cp:coreProperties>
</file>