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3A27FA" w14:textId="77777777" w:rsidR="000D59F4" w:rsidRPr="005C6194" w:rsidRDefault="000D59F4" w:rsidP="72C1E8D1">
      <w:pPr>
        <w:spacing w:line="360" w:lineRule="auto"/>
        <w:jc w:val="both"/>
        <w:rPr>
          <w:rFonts w:ascii="Arial" w:eastAsia="Arial" w:hAnsi="Arial" w:cs="Arial"/>
          <w:sz w:val="22"/>
          <w:szCs w:val="22"/>
        </w:rPr>
      </w:pPr>
    </w:p>
    <w:p w14:paraId="0CD0E708" w14:textId="6B9C74CF" w:rsidR="002C336F" w:rsidRPr="00363FD7" w:rsidRDefault="002C336F" w:rsidP="72C1E8D1">
      <w:pPr>
        <w:spacing w:line="360" w:lineRule="auto"/>
        <w:jc w:val="center"/>
        <w:rPr>
          <w:rFonts w:ascii="Arial" w:eastAsia="Arial" w:hAnsi="Arial" w:cs="Arial"/>
          <w:b/>
          <w:bCs/>
          <w:sz w:val="26"/>
          <w:szCs w:val="26"/>
        </w:rPr>
      </w:pPr>
      <w:r w:rsidRPr="00363FD7">
        <w:rPr>
          <w:rFonts w:ascii="Arial" w:eastAsia="Arial" w:hAnsi="Arial" w:cs="Arial"/>
          <w:b/>
          <w:bCs/>
          <w:sz w:val="26"/>
          <w:szCs w:val="26"/>
        </w:rPr>
        <w:t>BMHP</w:t>
      </w:r>
      <w:r w:rsidR="00E619E4" w:rsidRPr="00363FD7">
        <w:rPr>
          <w:rFonts w:ascii="Arial" w:eastAsia="Arial" w:hAnsi="Arial" w:cs="Arial"/>
          <w:b/>
          <w:bCs/>
          <w:sz w:val="26"/>
          <w:szCs w:val="26"/>
        </w:rPr>
        <w:t>5019</w:t>
      </w:r>
      <w:r w:rsidRPr="00363FD7">
        <w:rPr>
          <w:rFonts w:ascii="Arial" w:eastAsia="Arial" w:hAnsi="Arial" w:cs="Arial"/>
          <w:b/>
          <w:bCs/>
          <w:sz w:val="26"/>
          <w:szCs w:val="26"/>
        </w:rPr>
        <w:t>_BIRM – Introduction to Independent Research Skills</w:t>
      </w:r>
    </w:p>
    <w:p w14:paraId="39A0CDF8" w14:textId="5E4D3228" w:rsidR="002C336F" w:rsidRPr="00363FD7" w:rsidRDefault="002C336F" w:rsidP="72C1E8D1">
      <w:pPr>
        <w:spacing w:line="360" w:lineRule="auto"/>
        <w:jc w:val="center"/>
        <w:rPr>
          <w:rFonts w:ascii="Arial" w:eastAsia="Arial" w:hAnsi="Arial" w:cs="Arial"/>
          <w:b/>
          <w:bCs/>
          <w:sz w:val="26"/>
          <w:szCs w:val="26"/>
        </w:rPr>
      </w:pPr>
      <w:bookmarkStart w:id="0" w:name="_Int_3PmdtNPm"/>
      <w:r w:rsidRPr="00363FD7">
        <w:rPr>
          <w:rFonts w:ascii="Arial" w:eastAsia="Arial" w:hAnsi="Arial" w:cs="Arial"/>
          <w:b/>
          <w:bCs/>
          <w:sz w:val="26"/>
          <w:szCs w:val="26"/>
        </w:rPr>
        <w:t>Component</w:t>
      </w:r>
      <w:bookmarkEnd w:id="0"/>
      <w:r w:rsidRPr="00363FD7">
        <w:rPr>
          <w:rFonts w:ascii="Arial" w:eastAsia="Arial" w:hAnsi="Arial" w:cs="Arial"/>
          <w:b/>
          <w:bCs/>
          <w:sz w:val="26"/>
          <w:szCs w:val="26"/>
        </w:rPr>
        <w:t xml:space="preserve"> 1 Template.</w:t>
      </w:r>
    </w:p>
    <w:p w14:paraId="7134573B" w14:textId="3341F6D0" w:rsidR="002C336F" w:rsidRPr="00363FD7" w:rsidRDefault="001F04CD" w:rsidP="72C1E8D1">
      <w:pPr>
        <w:spacing w:line="360" w:lineRule="auto"/>
        <w:jc w:val="center"/>
        <w:rPr>
          <w:rFonts w:ascii="Arial" w:eastAsia="Arial" w:hAnsi="Arial" w:cs="Arial"/>
          <w:b/>
          <w:bCs/>
          <w:sz w:val="26"/>
          <w:szCs w:val="26"/>
        </w:rPr>
      </w:pPr>
      <w:r w:rsidRPr="00363FD7">
        <w:rPr>
          <w:rFonts w:ascii="Arial" w:eastAsia="Arial" w:hAnsi="Arial" w:cs="Arial"/>
          <w:b/>
          <w:bCs/>
          <w:sz w:val="26"/>
          <w:szCs w:val="26"/>
        </w:rPr>
        <w:t>400-word</w:t>
      </w:r>
      <w:r w:rsidR="002C336F" w:rsidRPr="00363FD7">
        <w:rPr>
          <w:rFonts w:ascii="Arial" w:eastAsia="Arial" w:hAnsi="Arial" w:cs="Arial"/>
          <w:b/>
          <w:bCs/>
          <w:sz w:val="26"/>
          <w:szCs w:val="26"/>
        </w:rPr>
        <w:t xml:space="preserve"> Scoping review proposal.</w:t>
      </w:r>
    </w:p>
    <w:p w14:paraId="51A9D612" w14:textId="713CC644" w:rsidR="000D59F4" w:rsidRPr="00363FD7" w:rsidRDefault="000D59F4" w:rsidP="68702C07">
      <w:pPr>
        <w:spacing w:line="360" w:lineRule="auto"/>
        <w:jc w:val="both"/>
        <w:rPr>
          <w:rFonts w:ascii="Arial" w:eastAsia="Arial" w:hAnsi="Arial" w:cs="Arial"/>
          <w:b/>
          <w:bCs/>
          <w:sz w:val="26"/>
          <w:szCs w:val="26"/>
        </w:rPr>
      </w:pPr>
    </w:p>
    <w:p w14:paraId="17A5BD19" w14:textId="2E0A6151" w:rsidR="00CD5733" w:rsidRPr="00363FD7" w:rsidRDefault="00CD5733" w:rsidP="72C1E8D1">
      <w:pPr>
        <w:spacing w:line="360" w:lineRule="auto"/>
        <w:jc w:val="center"/>
        <w:rPr>
          <w:rFonts w:ascii="Arial" w:eastAsia="Arial" w:hAnsi="Arial" w:cs="Arial"/>
          <w:b/>
          <w:bCs/>
          <w:sz w:val="26"/>
          <w:szCs w:val="26"/>
        </w:rPr>
      </w:pPr>
      <w:r w:rsidRPr="00363FD7">
        <w:rPr>
          <w:rFonts w:ascii="Arial" w:eastAsia="Arial" w:hAnsi="Arial" w:cs="Arial"/>
          <w:b/>
          <w:bCs/>
          <w:sz w:val="26"/>
          <w:szCs w:val="26"/>
        </w:rPr>
        <w:t>Student Name:</w:t>
      </w:r>
      <w:r w:rsidR="00F87A74" w:rsidRPr="00363FD7">
        <w:rPr>
          <w:rFonts w:ascii="Arial" w:eastAsia="Arial" w:hAnsi="Arial" w:cs="Arial"/>
          <w:b/>
          <w:bCs/>
          <w:sz w:val="26"/>
          <w:szCs w:val="26"/>
        </w:rPr>
        <w:t xml:space="preserve"> Misba Mahmood</w:t>
      </w:r>
    </w:p>
    <w:p w14:paraId="0E46F21D" w14:textId="5F443791" w:rsidR="00CD5733" w:rsidRPr="00363FD7" w:rsidRDefault="00CD5733" w:rsidP="72C1E8D1">
      <w:pPr>
        <w:spacing w:line="360" w:lineRule="auto"/>
        <w:jc w:val="center"/>
        <w:rPr>
          <w:rFonts w:ascii="Arial" w:eastAsia="Arial" w:hAnsi="Arial" w:cs="Arial"/>
          <w:b/>
          <w:bCs/>
          <w:sz w:val="26"/>
          <w:szCs w:val="26"/>
        </w:rPr>
      </w:pPr>
      <w:r w:rsidRPr="00363FD7">
        <w:rPr>
          <w:rFonts w:ascii="Arial" w:eastAsia="Arial" w:hAnsi="Arial" w:cs="Arial"/>
          <w:b/>
          <w:bCs/>
          <w:sz w:val="26"/>
          <w:szCs w:val="26"/>
        </w:rPr>
        <w:t>Student Number:</w:t>
      </w:r>
      <w:r w:rsidR="00F87A74" w:rsidRPr="00363FD7">
        <w:rPr>
          <w:rFonts w:ascii="Arial" w:eastAsia="Arial" w:hAnsi="Arial" w:cs="Arial"/>
          <w:b/>
          <w:bCs/>
          <w:sz w:val="26"/>
          <w:szCs w:val="26"/>
        </w:rPr>
        <w:t xml:space="preserve"> 2413669</w:t>
      </w:r>
    </w:p>
    <w:p w14:paraId="77AF3DE5" w14:textId="77777777" w:rsidR="000D59F4" w:rsidRPr="005C6194" w:rsidRDefault="000D59F4" w:rsidP="72C1E8D1">
      <w:pPr>
        <w:spacing w:line="360" w:lineRule="auto"/>
        <w:jc w:val="both"/>
        <w:rPr>
          <w:rFonts w:ascii="Arial" w:eastAsia="Arial" w:hAnsi="Arial" w:cs="Arial"/>
          <w:sz w:val="22"/>
          <w:szCs w:val="22"/>
        </w:rPr>
      </w:pPr>
    </w:p>
    <w:p w14:paraId="564B2B85" w14:textId="0051C07D" w:rsidR="000D59F4" w:rsidRPr="005C6194" w:rsidRDefault="000D59F4" w:rsidP="68702C07">
      <w:pPr>
        <w:spacing w:line="360" w:lineRule="auto"/>
        <w:jc w:val="both"/>
        <w:rPr>
          <w:rFonts w:ascii="Arial" w:eastAsia="Arial" w:hAnsi="Arial" w:cs="Arial"/>
          <w:sz w:val="22"/>
          <w:szCs w:val="22"/>
        </w:rPr>
      </w:pPr>
    </w:p>
    <w:p w14:paraId="269E36AA" w14:textId="58DDEB66" w:rsidR="002C336F" w:rsidRPr="0055436B" w:rsidRDefault="43EB6520" w:rsidP="003D6478">
      <w:pPr>
        <w:pStyle w:val="Heading1"/>
        <w:spacing w:line="360" w:lineRule="auto"/>
        <w:jc w:val="both"/>
        <w:rPr>
          <w:rFonts w:ascii="Arial" w:eastAsia="Arial" w:hAnsi="Arial" w:cs="Arial"/>
          <w:b/>
          <w:bCs/>
          <w:color w:val="auto"/>
          <w:sz w:val="28"/>
          <w:szCs w:val="28"/>
        </w:rPr>
      </w:pPr>
      <w:r w:rsidRPr="68702C07">
        <w:rPr>
          <w:rFonts w:ascii="Arial" w:eastAsia="Arial" w:hAnsi="Arial" w:cs="Arial"/>
          <w:b/>
          <w:bCs/>
          <w:color w:val="auto"/>
          <w:sz w:val="28"/>
          <w:szCs w:val="28"/>
        </w:rPr>
        <w:t>Title</w:t>
      </w:r>
    </w:p>
    <w:p w14:paraId="05E55BCD" w14:textId="0FBFE676" w:rsidR="68702C07" w:rsidRDefault="68702C07" w:rsidP="68702C07"/>
    <w:p w14:paraId="50326E0B" w14:textId="4E0DEDA8" w:rsidR="002C336F" w:rsidRPr="0055436B" w:rsidRDefault="562CD49D" w:rsidP="003D6478">
      <w:pPr>
        <w:spacing w:line="360" w:lineRule="auto"/>
        <w:jc w:val="both"/>
        <w:rPr>
          <w:rFonts w:ascii="Arial" w:eastAsia="Arial" w:hAnsi="Arial" w:cs="Arial"/>
          <w:b/>
          <w:bCs/>
          <w:sz w:val="28"/>
          <w:szCs w:val="28"/>
        </w:rPr>
      </w:pPr>
      <w:r w:rsidRPr="0055436B">
        <w:rPr>
          <w:rFonts w:ascii="Arial" w:eastAsia="Arial" w:hAnsi="Arial" w:cs="Arial"/>
          <w:b/>
          <w:bCs/>
          <w:sz w:val="28"/>
          <w:szCs w:val="28"/>
        </w:rPr>
        <w:t>A Scoping Review of PTSD Following Bereavement Among Ethnic Minority Women in the UK: Cultural Barriers and Access to Mental Health Support</w:t>
      </w:r>
    </w:p>
    <w:p w14:paraId="2F0966B6" w14:textId="77777777" w:rsidR="00AB56CE" w:rsidRPr="003D6478" w:rsidRDefault="00AB56CE" w:rsidP="003D6478">
      <w:pPr>
        <w:spacing w:line="360" w:lineRule="auto"/>
        <w:jc w:val="both"/>
        <w:rPr>
          <w:rFonts w:ascii="Arial" w:eastAsia="Arial" w:hAnsi="Arial" w:cs="Arial"/>
          <w:b/>
          <w:bCs/>
          <w:sz w:val="22"/>
          <w:szCs w:val="22"/>
        </w:rPr>
      </w:pPr>
    </w:p>
    <w:p w14:paraId="141068E1" w14:textId="7D653801" w:rsidR="002C336F" w:rsidRPr="0055436B" w:rsidRDefault="562CD49D" w:rsidP="003D6478">
      <w:pPr>
        <w:pStyle w:val="Heading1"/>
        <w:spacing w:line="360" w:lineRule="auto"/>
        <w:jc w:val="both"/>
        <w:rPr>
          <w:rFonts w:ascii="Arial" w:eastAsia="Arial" w:hAnsi="Arial" w:cs="Arial"/>
          <w:b/>
          <w:bCs/>
          <w:color w:val="auto"/>
          <w:sz w:val="28"/>
          <w:szCs w:val="28"/>
        </w:rPr>
      </w:pPr>
      <w:r w:rsidRPr="0055436B">
        <w:rPr>
          <w:rFonts w:ascii="Arial" w:eastAsia="Arial" w:hAnsi="Arial" w:cs="Arial"/>
          <w:b/>
          <w:bCs/>
          <w:color w:val="auto"/>
          <w:sz w:val="28"/>
          <w:szCs w:val="28"/>
        </w:rPr>
        <w:t>Background and Rationale</w:t>
      </w:r>
    </w:p>
    <w:p w14:paraId="1F5CE630" w14:textId="52ADD388" w:rsidR="002C336F" w:rsidRPr="003D6478" w:rsidRDefault="562CD49D" w:rsidP="003D6478">
      <w:pPr>
        <w:spacing w:line="360" w:lineRule="auto"/>
        <w:jc w:val="both"/>
        <w:rPr>
          <w:rFonts w:ascii="Arial" w:eastAsia="Arial" w:hAnsi="Arial" w:cs="Arial"/>
          <w:sz w:val="22"/>
          <w:szCs w:val="22"/>
        </w:rPr>
      </w:pPr>
      <w:r w:rsidRPr="003D6478">
        <w:rPr>
          <w:rFonts w:ascii="Arial" w:eastAsia="Arial" w:hAnsi="Arial" w:cs="Arial"/>
          <w:sz w:val="22"/>
          <w:szCs w:val="22"/>
        </w:rPr>
        <w:t xml:space="preserve">Bereavement is a significant life event that can negatively affect psychological wellbeing and may contribute to conditions such as post-traumatic stress disorder (PTSD), depression and prolonged grief (Morina et al., 2010). Research suggests that women may be particularly vulnerable to trauma-related symptoms following the loss of a close family member, especially when support is unavailable or delayed (Boelen et al., 2020). Bereavement experiences </w:t>
      </w:r>
      <w:bookmarkStart w:id="1" w:name="_Int_6lEXOB4N"/>
      <w:r w:rsidRPr="003D6478">
        <w:rPr>
          <w:rFonts w:ascii="Arial" w:eastAsia="Arial" w:hAnsi="Arial" w:cs="Arial"/>
          <w:sz w:val="22"/>
          <w:szCs w:val="22"/>
        </w:rPr>
        <w:t>are influenced</w:t>
      </w:r>
      <w:bookmarkEnd w:id="1"/>
      <w:r w:rsidRPr="003D6478">
        <w:rPr>
          <w:rFonts w:ascii="Arial" w:eastAsia="Arial" w:hAnsi="Arial" w:cs="Arial"/>
          <w:sz w:val="22"/>
          <w:szCs w:val="22"/>
        </w:rPr>
        <w:t xml:space="preserve"> by social, cultural</w:t>
      </w:r>
      <w:r w:rsidR="7D38F7B7" w:rsidRPr="138888FF">
        <w:rPr>
          <w:rFonts w:ascii="Arial" w:eastAsia="Arial" w:hAnsi="Arial" w:cs="Arial"/>
          <w:sz w:val="22"/>
          <w:szCs w:val="22"/>
        </w:rPr>
        <w:t>,</w:t>
      </w:r>
      <w:r w:rsidRPr="003D6478">
        <w:rPr>
          <w:rFonts w:ascii="Arial" w:eastAsia="Arial" w:hAnsi="Arial" w:cs="Arial"/>
          <w:sz w:val="22"/>
          <w:szCs w:val="22"/>
        </w:rPr>
        <w:t xml:space="preserve"> and environmental factors, meaning individuals from different ethnic backgrounds may experience grief and recovery differently.</w:t>
      </w:r>
    </w:p>
    <w:p w14:paraId="3AF80FB4" w14:textId="29B1ABAD" w:rsidR="002C336F" w:rsidRPr="003D6478" w:rsidRDefault="562CD49D" w:rsidP="003D6478">
      <w:pPr>
        <w:spacing w:line="360" w:lineRule="auto"/>
        <w:jc w:val="both"/>
        <w:rPr>
          <w:rFonts w:ascii="Arial" w:eastAsia="Arial" w:hAnsi="Arial" w:cs="Arial"/>
          <w:sz w:val="22"/>
          <w:szCs w:val="22"/>
        </w:rPr>
      </w:pPr>
      <w:r w:rsidRPr="003D6478">
        <w:rPr>
          <w:rFonts w:ascii="Arial" w:eastAsia="Arial" w:hAnsi="Arial" w:cs="Arial"/>
          <w:sz w:val="22"/>
          <w:szCs w:val="22"/>
        </w:rPr>
        <w:t xml:space="preserve">This topic is relevant to health and social care because mental health inequalities </w:t>
      </w:r>
      <w:bookmarkStart w:id="2" w:name="_Int_Oq2cIfCh"/>
      <w:r w:rsidRPr="003D6478">
        <w:rPr>
          <w:rFonts w:ascii="Arial" w:eastAsia="Arial" w:hAnsi="Arial" w:cs="Arial"/>
          <w:sz w:val="22"/>
          <w:szCs w:val="22"/>
        </w:rPr>
        <w:t>remain</w:t>
      </w:r>
      <w:bookmarkEnd w:id="2"/>
      <w:r w:rsidRPr="003D6478">
        <w:rPr>
          <w:rFonts w:ascii="Arial" w:eastAsia="Arial" w:hAnsi="Arial" w:cs="Arial"/>
          <w:sz w:val="22"/>
          <w:szCs w:val="22"/>
        </w:rPr>
        <w:t xml:space="preserve"> a significant concern within the United Kingdom. Ethnic minority groups are less likely to access mental health services and may face barriers such as stigma, language difficulties</w:t>
      </w:r>
      <w:r w:rsidR="3AB115EA" w:rsidRPr="138888FF">
        <w:rPr>
          <w:rFonts w:ascii="Arial" w:eastAsia="Arial" w:hAnsi="Arial" w:cs="Arial"/>
          <w:sz w:val="22"/>
          <w:szCs w:val="22"/>
        </w:rPr>
        <w:t>,</w:t>
      </w:r>
      <w:r w:rsidRPr="003D6478">
        <w:rPr>
          <w:rFonts w:ascii="Arial" w:eastAsia="Arial" w:hAnsi="Arial" w:cs="Arial"/>
          <w:sz w:val="22"/>
          <w:szCs w:val="22"/>
        </w:rPr>
        <w:t xml:space="preserve"> and a lack of culturally </w:t>
      </w:r>
      <w:bookmarkStart w:id="3" w:name="_Int_fO7EDODY"/>
      <w:r w:rsidRPr="003D6478">
        <w:rPr>
          <w:rFonts w:ascii="Arial" w:eastAsia="Arial" w:hAnsi="Arial" w:cs="Arial"/>
          <w:sz w:val="22"/>
          <w:szCs w:val="22"/>
        </w:rPr>
        <w:t>appropriate support</w:t>
      </w:r>
      <w:bookmarkEnd w:id="3"/>
      <w:r w:rsidRPr="003D6478">
        <w:rPr>
          <w:rFonts w:ascii="Arial" w:eastAsia="Arial" w:hAnsi="Arial" w:cs="Arial"/>
          <w:sz w:val="22"/>
          <w:szCs w:val="22"/>
        </w:rPr>
        <w:t xml:space="preserve"> (Roberts et al., 2011; Schnyder et al., 2016). National </w:t>
      </w:r>
      <w:r w:rsidRPr="003D6478">
        <w:rPr>
          <w:rFonts w:ascii="Arial" w:eastAsia="Arial" w:hAnsi="Arial" w:cs="Arial"/>
          <w:sz w:val="22"/>
          <w:szCs w:val="22"/>
        </w:rPr>
        <w:lastRenderedPageBreak/>
        <w:t>guidance also highlights the importance of recognising and treating PTSD to improve mental health outcomes and quality of life (NICE, 2018).</w:t>
      </w:r>
    </w:p>
    <w:p w14:paraId="7B01B9B7" w14:textId="43CFCDDC" w:rsidR="002C336F" w:rsidRPr="003D6478" w:rsidRDefault="562CD49D" w:rsidP="003D6478">
      <w:pPr>
        <w:spacing w:line="360" w:lineRule="auto"/>
        <w:jc w:val="both"/>
        <w:rPr>
          <w:rFonts w:ascii="Arial" w:eastAsia="Arial" w:hAnsi="Arial" w:cs="Arial"/>
          <w:sz w:val="22"/>
          <w:szCs w:val="22"/>
        </w:rPr>
      </w:pPr>
      <w:r w:rsidRPr="003D6478">
        <w:rPr>
          <w:rFonts w:ascii="Arial" w:eastAsia="Arial" w:hAnsi="Arial" w:cs="Arial"/>
          <w:sz w:val="22"/>
          <w:szCs w:val="22"/>
        </w:rPr>
        <w:t xml:space="preserve">Evidence suggests that bereavement outcomes may differ across ethnic groups. Koffman et al. (2005) found that bereaved Black Caribbean individuals in the UK experienced higher levels of anxiety and depression following bereavement than White individuals, despite reporting similar levels of grief. The study also identified financial, legal and housing concerns that contributed to psychological distress. Similarly, Mayland et al. (2021) </w:t>
      </w:r>
      <w:bookmarkStart w:id="4" w:name="_Int_E4DfDw4T"/>
      <w:r w:rsidRPr="003D6478">
        <w:rPr>
          <w:rFonts w:ascii="Arial" w:eastAsia="Arial" w:hAnsi="Arial" w:cs="Arial"/>
          <w:sz w:val="22"/>
          <w:szCs w:val="22"/>
        </w:rPr>
        <w:t>identified</w:t>
      </w:r>
      <w:bookmarkEnd w:id="4"/>
      <w:r w:rsidRPr="003D6478">
        <w:rPr>
          <w:rFonts w:ascii="Arial" w:eastAsia="Arial" w:hAnsi="Arial" w:cs="Arial"/>
          <w:sz w:val="22"/>
          <w:szCs w:val="22"/>
        </w:rPr>
        <w:t xml:space="preserve"> inequalities in access to bereavement support services among ethnic minority communities and highlighted the limited evidence available regarding culturally </w:t>
      </w:r>
      <w:bookmarkStart w:id="5" w:name="_Int_XSODskTo"/>
      <w:r w:rsidRPr="003D6478">
        <w:rPr>
          <w:rFonts w:ascii="Arial" w:eastAsia="Arial" w:hAnsi="Arial" w:cs="Arial"/>
          <w:sz w:val="22"/>
          <w:szCs w:val="22"/>
        </w:rPr>
        <w:t>appropriate bereavement</w:t>
      </w:r>
      <w:bookmarkEnd w:id="5"/>
      <w:r w:rsidRPr="003D6478">
        <w:rPr>
          <w:rFonts w:ascii="Arial" w:eastAsia="Arial" w:hAnsi="Arial" w:cs="Arial"/>
          <w:sz w:val="22"/>
          <w:szCs w:val="22"/>
        </w:rPr>
        <w:t xml:space="preserve"> care.</w:t>
      </w:r>
    </w:p>
    <w:p w14:paraId="6B160B9D" w14:textId="31DFAA03" w:rsidR="002C336F" w:rsidRPr="003D6478" w:rsidRDefault="336929C0" w:rsidP="003D6478">
      <w:pPr>
        <w:spacing w:line="360" w:lineRule="auto"/>
        <w:jc w:val="both"/>
        <w:rPr>
          <w:rFonts w:ascii="Arial" w:hAnsi="Arial" w:cs="Arial"/>
          <w:sz w:val="22"/>
          <w:szCs w:val="22"/>
        </w:rPr>
      </w:pPr>
      <w:bookmarkStart w:id="6" w:name="_Int_7g8K699w"/>
      <w:r w:rsidRPr="003D6478">
        <w:rPr>
          <w:rFonts w:ascii="Arial" w:eastAsia="Arial" w:hAnsi="Arial" w:cs="Arial"/>
          <w:sz w:val="22"/>
          <w:szCs w:val="22"/>
        </w:rPr>
        <w:t>Despite increasing awareness of mental health inequalities, there</w:t>
      </w:r>
      <w:bookmarkEnd w:id="6"/>
      <w:r w:rsidRPr="003D6478">
        <w:rPr>
          <w:rFonts w:ascii="Arial" w:eastAsia="Arial" w:hAnsi="Arial" w:cs="Arial"/>
          <w:sz w:val="22"/>
          <w:szCs w:val="22"/>
        </w:rPr>
        <w:t xml:space="preserve"> appears to </w:t>
      </w:r>
      <w:bookmarkStart w:id="7" w:name="_Int_Xa2ifKUZ"/>
      <w:r w:rsidRPr="003D6478">
        <w:rPr>
          <w:rFonts w:ascii="Arial" w:eastAsia="Arial" w:hAnsi="Arial" w:cs="Arial"/>
          <w:sz w:val="22"/>
          <w:szCs w:val="22"/>
        </w:rPr>
        <w:t>be limited</w:t>
      </w:r>
      <w:bookmarkEnd w:id="7"/>
      <w:r w:rsidRPr="003D6478">
        <w:rPr>
          <w:rFonts w:ascii="Arial" w:eastAsia="Arial" w:hAnsi="Arial" w:cs="Arial"/>
          <w:sz w:val="22"/>
          <w:szCs w:val="22"/>
        </w:rPr>
        <w:t xml:space="preserve"> research focusing specifically on PTSD and bereavement-related mental health difficulties among ethnic minority women in the UK. Consequently, conducting a scoping review will help to map the available evidence, </w:t>
      </w:r>
      <w:bookmarkStart w:id="8" w:name="_Int_rQlAUrb9"/>
      <w:r w:rsidRPr="003D6478">
        <w:rPr>
          <w:rFonts w:ascii="Arial" w:eastAsia="Arial" w:hAnsi="Arial" w:cs="Arial"/>
          <w:sz w:val="22"/>
          <w:szCs w:val="22"/>
        </w:rPr>
        <w:t>identify</w:t>
      </w:r>
      <w:bookmarkEnd w:id="8"/>
      <w:r w:rsidRPr="003D6478">
        <w:rPr>
          <w:rFonts w:ascii="Arial" w:eastAsia="Arial" w:hAnsi="Arial" w:cs="Arial"/>
          <w:sz w:val="22"/>
          <w:szCs w:val="22"/>
        </w:rPr>
        <w:t xml:space="preserve"> recurring themes and </w:t>
      </w:r>
      <w:bookmarkStart w:id="9" w:name="_Int_HbhTDwYf"/>
      <w:r w:rsidRPr="003D6478">
        <w:rPr>
          <w:rFonts w:ascii="Arial" w:eastAsia="Arial" w:hAnsi="Arial" w:cs="Arial"/>
          <w:sz w:val="22"/>
          <w:szCs w:val="22"/>
        </w:rPr>
        <w:t>determine</w:t>
      </w:r>
      <w:bookmarkEnd w:id="9"/>
      <w:r w:rsidRPr="003D6478">
        <w:rPr>
          <w:rFonts w:ascii="Arial" w:eastAsia="Arial" w:hAnsi="Arial" w:cs="Arial"/>
          <w:sz w:val="22"/>
          <w:szCs w:val="22"/>
        </w:rPr>
        <w:t xml:space="preserve"> gaps in current knowledge that may inform future health and social care practice.</w:t>
      </w:r>
    </w:p>
    <w:p w14:paraId="49D60792" w14:textId="2CB24442" w:rsidR="68702C07" w:rsidRDefault="68702C07" w:rsidP="68702C07">
      <w:pPr>
        <w:spacing w:line="360" w:lineRule="auto"/>
        <w:jc w:val="both"/>
        <w:rPr>
          <w:rFonts w:ascii="Arial" w:eastAsia="Arial" w:hAnsi="Arial" w:cs="Arial"/>
          <w:sz w:val="22"/>
          <w:szCs w:val="22"/>
        </w:rPr>
      </w:pPr>
    </w:p>
    <w:p w14:paraId="4F434902" w14:textId="54809B01" w:rsidR="002C336F" w:rsidRPr="0055436B" w:rsidRDefault="562CD49D" w:rsidP="003D6478">
      <w:pPr>
        <w:pStyle w:val="Heading1"/>
        <w:spacing w:line="360" w:lineRule="auto"/>
        <w:jc w:val="both"/>
        <w:rPr>
          <w:rFonts w:ascii="Arial" w:eastAsia="Arial" w:hAnsi="Arial" w:cs="Arial"/>
          <w:b/>
          <w:bCs/>
          <w:color w:val="auto"/>
          <w:sz w:val="28"/>
          <w:szCs w:val="28"/>
        </w:rPr>
      </w:pPr>
      <w:r w:rsidRPr="0055436B">
        <w:rPr>
          <w:rFonts w:ascii="Arial" w:eastAsia="Arial" w:hAnsi="Arial" w:cs="Arial"/>
          <w:b/>
          <w:bCs/>
          <w:color w:val="auto"/>
          <w:sz w:val="28"/>
          <w:szCs w:val="28"/>
        </w:rPr>
        <w:t>Research Aim and Objectives</w:t>
      </w:r>
    </w:p>
    <w:p w14:paraId="72B2F75D" w14:textId="0CE4345F" w:rsidR="002C336F" w:rsidRPr="0055436B" w:rsidRDefault="562CD49D" w:rsidP="003D6478">
      <w:pPr>
        <w:pStyle w:val="Heading2"/>
        <w:spacing w:line="360" w:lineRule="auto"/>
        <w:jc w:val="both"/>
        <w:rPr>
          <w:rFonts w:ascii="Arial" w:eastAsia="Arial" w:hAnsi="Arial" w:cs="Arial"/>
          <w:b/>
          <w:bCs/>
          <w:color w:val="auto"/>
          <w:sz w:val="28"/>
          <w:szCs w:val="28"/>
        </w:rPr>
      </w:pPr>
      <w:r w:rsidRPr="0055436B">
        <w:rPr>
          <w:rFonts w:ascii="Arial" w:eastAsia="Arial" w:hAnsi="Arial" w:cs="Arial"/>
          <w:b/>
          <w:bCs/>
          <w:color w:val="auto"/>
          <w:sz w:val="28"/>
          <w:szCs w:val="28"/>
        </w:rPr>
        <w:t>Aim</w:t>
      </w:r>
    </w:p>
    <w:p w14:paraId="16E4271C" w14:textId="77777777" w:rsidR="00613167" w:rsidRPr="007A45F2" w:rsidRDefault="00613167" w:rsidP="008242CC">
      <w:pPr>
        <w:pStyle w:val="p1"/>
        <w:spacing w:line="360" w:lineRule="auto"/>
        <w:jc w:val="both"/>
        <w:rPr>
          <w:rFonts w:ascii="Arial" w:hAnsi="Arial" w:cs="Arial"/>
          <w:sz w:val="22"/>
          <w:szCs w:val="22"/>
        </w:rPr>
      </w:pPr>
      <w:r w:rsidRPr="007A45F2">
        <w:rPr>
          <w:rFonts w:ascii="Arial" w:hAnsi="Arial" w:cs="Arial"/>
          <w:sz w:val="22"/>
          <w:szCs w:val="22"/>
        </w:rPr>
        <w:t>The primary aim of this scoping review is to map existing research on PTSD and bereavement-related mental health difficulties among ethnic minority women in the UK.</w:t>
      </w:r>
    </w:p>
    <w:p w14:paraId="4068A0AF" w14:textId="77777777" w:rsidR="00613167" w:rsidRPr="0055436B" w:rsidRDefault="00613167" w:rsidP="00613167">
      <w:pPr>
        <w:rPr>
          <w:sz w:val="28"/>
          <w:szCs w:val="28"/>
        </w:rPr>
      </w:pPr>
    </w:p>
    <w:p w14:paraId="3192E6D6" w14:textId="200B0F2A" w:rsidR="002C336F" w:rsidRPr="0055436B" w:rsidRDefault="562CD49D" w:rsidP="003D6478">
      <w:pPr>
        <w:pStyle w:val="Heading2"/>
        <w:spacing w:line="360" w:lineRule="auto"/>
        <w:jc w:val="both"/>
        <w:rPr>
          <w:rFonts w:ascii="Arial" w:eastAsia="Arial" w:hAnsi="Arial" w:cs="Arial"/>
          <w:b/>
          <w:bCs/>
          <w:color w:val="auto"/>
          <w:sz w:val="28"/>
          <w:szCs w:val="28"/>
        </w:rPr>
      </w:pPr>
      <w:r w:rsidRPr="0055436B">
        <w:rPr>
          <w:rFonts w:ascii="Arial" w:eastAsia="Arial" w:hAnsi="Arial" w:cs="Arial"/>
          <w:b/>
          <w:bCs/>
          <w:color w:val="auto"/>
          <w:sz w:val="28"/>
          <w:szCs w:val="28"/>
        </w:rPr>
        <w:t>Objectives</w:t>
      </w:r>
    </w:p>
    <w:p w14:paraId="4529CB9A" w14:textId="35DE2892" w:rsidR="002C336F" w:rsidRPr="003D6478" w:rsidRDefault="562CD49D" w:rsidP="003D6478">
      <w:pPr>
        <w:pStyle w:val="ListParagraph"/>
        <w:numPr>
          <w:ilvl w:val="0"/>
          <w:numId w:val="1"/>
        </w:numPr>
        <w:spacing w:after="0" w:line="360" w:lineRule="auto"/>
        <w:jc w:val="both"/>
        <w:rPr>
          <w:rFonts w:ascii="Arial" w:eastAsia="Arial" w:hAnsi="Arial" w:cs="Arial"/>
          <w:sz w:val="22"/>
          <w:szCs w:val="22"/>
        </w:rPr>
      </w:pPr>
      <w:r w:rsidRPr="003D6478">
        <w:rPr>
          <w:rFonts w:ascii="Arial" w:eastAsia="Arial" w:hAnsi="Arial" w:cs="Arial"/>
          <w:sz w:val="22"/>
          <w:szCs w:val="22"/>
        </w:rPr>
        <w:t xml:space="preserve">To </w:t>
      </w:r>
      <w:bookmarkStart w:id="10" w:name="_Int_WVlm4ANl"/>
      <w:r w:rsidRPr="003D6478">
        <w:rPr>
          <w:rFonts w:ascii="Arial" w:eastAsia="Arial" w:hAnsi="Arial" w:cs="Arial"/>
          <w:sz w:val="22"/>
          <w:szCs w:val="22"/>
        </w:rPr>
        <w:t>identify</w:t>
      </w:r>
      <w:bookmarkEnd w:id="10"/>
      <w:r w:rsidRPr="003D6478">
        <w:rPr>
          <w:rFonts w:ascii="Arial" w:eastAsia="Arial" w:hAnsi="Arial" w:cs="Arial"/>
          <w:sz w:val="22"/>
          <w:szCs w:val="22"/>
        </w:rPr>
        <w:t xml:space="preserve"> key themes relating to PTSD and bereavement-related mental health difficulties among ethnic minority women.</w:t>
      </w:r>
    </w:p>
    <w:p w14:paraId="3528C43D" w14:textId="328B75B7" w:rsidR="002C336F" w:rsidRPr="003D6478" w:rsidRDefault="562CD49D" w:rsidP="003D6478">
      <w:pPr>
        <w:pStyle w:val="ListParagraph"/>
        <w:numPr>
          <w:ilvl w:val="0"/>
          <w:numId w:val="1"/>
        </w:numPr>
        <w:spacing w:after="0" w:line="360" w:lineRule="auto"/>
        <w:jc w:val="both"/>
        <w:rPr>
          <w:rFonts w:ascii="Arial" w:eastAsia="Arial" w:hAnsi="Arial" w:cs="Arial"/>
          <w:sz w:val="22"/>
          <w:szCs w:val="22"/>
        </w:rPr>
      </w:pPr>
      <w:r w:rsidRPr="003D6478">
        <w:rPr>
          <w:rFonts w:ascii="Arial" w:eastAsia="Arial" w:hAnsi="Arial" w:cs="Arial"/>
          <w:sz w:val="22"/>
          <w:szCs w:val="22"/>
        </w:rPr>
        <w:t>To explore cultural, social and structural barriers affecting access to mental health support.</w:t>
      </w:r>
    </w:p>
    <w:p w14:paraId="5C8A7963" w14:textId="0CB39F40" w:rsidR="00235BAD" w:rsidRPr="00235BAD" w:rsidRDefault="43EB6520" w:rsidP="68702C07">
      <w:pPr>
        <w:pStyle w:val="ListParagraph"/>
        <w:numPr>
          <w:ilvl w:val="0"/>
          <w:numId w:val="1"/>
        </w:numPr>
        <w:spacing w:after="0" w:line="360" w:lineRule="auto"/>
        <w:jc w:val="both"/>
        <w:rPr>
          <w:rFonts w:ascii="Arial" w:eastAsia="Arial" w:hAnsi="Arial" w:cs="Arial"/>
          <w:sz w:val="22"/>
          <w:szCs w:val="22"/>
        </w:rPr>
      </w:pPr>
      <w:r w:rsidRPr="68702C07">
        <w:rPr>
          <w:rFonts w:ascii="Arial" w:eastAsia="Arial" w:hAnsi="Arial" w:cs="Arial"/>
          <w:sz w:val="22"/>
          <w:szCs w:val="22"/>
        </w:rPr>
        <w:t xml:space="preserve">To </w:t>
      </w:r>
      <w:bookmarkStart w:id="11" w:name="_Int_BddeQkkB"/>
      <w:r w:rsidRPr="68702C07">
        <w:rPr>
          <w:rFonts w:ascii="Arial" w:eastAsia="Arial" w:hAnsi="Arial" w:cs="Arial"/>
          <w:sz w:val="22"/>
          <w:szCs w:val="22"/>
        </w:rPr>
        <w:t>identify</w:t>
      </w:r>
      <w:bookmarkEnd w:id="11"/>
      <w:r w:rsidRPr="68702C07">
        <w:rPr>
          <w:rFonts w:ascii="Arial" w:eastAsia="Arial" w:hAnsi="Arial" w:cs="Arial"/>
          <w:sz w:val="22"/>
          <w:szCs w:val="22"/>
        </w:rPr>
        <w:t xml:space="preserve"> gaps within the existing literature and implications for health and social care practice.</w:t>
      </w:r>
    </w:p>
    <w:p w14:paraId="3CEEA530" w14:textId="098AC790" w:rsidR="00235BAD" w:rsidRPr="00235BAD" w:rsidRDefault="562CD49D" w:rsidP="77B61334">
      <w:pPr>
        <w:pStyle w:val="Heading1"/>
        <w:spacing w:line="360" w:lineRule="auto"/>
        <w:jc w:val="both"/>
        <w:rPr>
          <w:rFonts w:ascii="Arial" w:eastAsia="Arial" w:hAnsi="Arial" w:cs="Arial"/>
          <w:b/>
          <w:color w:val="auto"/>
          <w:sz w:val="28"/>
          <w:szCs w:val="28"/>
        </w:rPr>
      </w:pPr>
      <w:r w:rsidRPr="0055436B">
        <w:rPr>
          <w:rFonts w:ascii="Arial" w:eastAsia="Arial" w:hAnsi="Arial" w:cs="Arial"/>
          <w:b/>
          <w:bCs/>
          <w:color w:val="auto"/>
          <w:sz w:val="28"/>
          <w:szCs w:val="28"/>
        </w:rPr>
        <w:lastRenderedPageBreak/>
        <w:t>Methodology</w:t>
      </w:r>
    </w:p>
    <w:p w14:paraId="21D32C8E" w14:textId="3FD88F90" w:rsidR="002C336F" w:rsidRPr="0055436B" w:rsidRDefault="562CD49D" w:rsidP="003D6478">
      <w:pPr>
        <w:pStyle w:val="Heading2"/>
        <w:spacing w:line="360" w:lineRule="auto"/>
        <w:jc w:val="both"/>
        <w:rPr>
          <w:rFonts w:ascii="Arial" w:eastAsia="Arial" w:hAnsi="Arial" w:cs="Arial"/>
          <w:b/>
          <w:bCs/>
          <w:color w:val="auto"/>
          <w:sz w:val="28"/>
          <w:szCs w:val="28"/>
        </w:rPr>
      </w:pPr>
      <w:r w:rsidRPr="0055436B">
        <w:rPr>
          <w:rFonts w:ascii="Arial" w:eastAsia="Arial" w:hAnsi="Arial" w:cs="Arial"/>
          <w:b/>
          <w:bCs/>
          <w:color w:val="auto"/>
          <w:sz w:val="28"/>
          <w:szCs w:val="28"/>
        </w:rPr>
        <w:t>Scoping Review Framework</w:t>
      </w:r>
    </w:p>
    <w:p w14:paraId="62921AC0" w14:textId="1898F32F" w:rsidR="002C336F" w:rsidRPr="003D6478" w:rsidRDefault="562CD49D" w:rsidP="003D6478">
      <w:pPr>
        <w:spacing w:line="360" w:lineRule="auto"/>
        <w:jc w:val="both"/>
        <w:rPr>
          <w:rFonts w:ascii="Arial" w:eastAsia="Arial" w:hAnsi="Arial" w:cs="Arial"/>
          <w:sz w:val="22"/>
          <w:szCs w:val="22"/>
        </w:rPr>
      </w:pPr>
      <w:r w:rsidRPr="003D6478">
        <w:rPr>
          <w:rFonts w:ascii="Arial" w:eastAsia="Arial" w:hAnsi="Arial" w:cs="Arial"/>
          <w:sz w:val="22"/>
          <w:szCs w:val="22"/>
        </w:rPr>
        <w:t xml:space="preserve">This study will adopt a scoping review </w:t>
      </w:r>
      <w:bookmarkStart w:id="12" w:name="_Int_1nQhUw41"/>
      <w:r w:rsidRPr="003D6478">
        <w:rPr>
          <w:rFonts w:ascii="Arial" w:eastAsia="Arial" w:hAnsi="Arial" w:cs="Arial"/>
          <w:sz w:val="22"/>
          <w:szCs w:val="22"/>
        </w:rPr>
        <w:t>methodology</w:t>
      </w:r>
      <w:bookmarkEnd w:id="12"/>
      <w:r w:rsidRPr="003D6478">
        <w:rPr>
          <w:rFonts w:ascii="Arial" w:eastAsia="Arial" w:hAnsi="Arial" w:cs="Arial"/>
          <w:sz w:val="22"/>
          <w:szCs w:val="22"/>
        </w:rPr>
        <w:t xml:space="preserve"> guided by the framework developed by Arksey and O'Malley (2005) and supported by the Joanna Briggs Institute guidance for evidence synthesis (Peters et al., 2020).</w:t>
      </w:r>
    </w:p>
    <w:p w14:paraId="52BCDC94" w14:textId="298AA241" w:rsidR="002C336F" w:rsidRPr="003D6478" w:rsidRDefault="002C336F" w:rsidP="003D6478">
      <w:pPr>
        <w:spacing w:line="360" w:lineRule="auto"/>
        <w:jc w:val="both"/>
        <w:rPr>
          <w:rFonts w:ascii="Arial" w:eastAsia="Arial" w:hAnsi="Arial" w:cs="Arial"/>
          <w:sz w:val="22"/>
          <w:szCs w:val="22"/>
        </w:rPr>
      </w:pPr>
    </w:p>
    <w:p w14:paraId="0A288256" w14:textId="6C6FD58A" w:rsidR="002C336F" w:rsidRPr="0055436B" w:rsidRDefault="562CD49D" w:rsidP="003D6478">
      <w:pPr>
        <w:pStyle w:val="Heading2"/>
        <w:spacing w:line="360" w:lineRule="auto"/>
        <w:jc w:val="both"/>
        <w:rPr>
          <w:rFonts w:ascii="Arial" w:eastAsia="Arial" w:hAnsi="Arial" w:cs="Arial"/>
          <w:b/>
          <w:bCs/>
          <w:color w:val="auto"/>
          <w:sz w:val="28"/>
          <w:szCs w:val="28"/>
        </w:rPr>
      </w:pPr>
      <w:r w:rsidRPr="0055436B">
        <w:rPr>
          <w:rFonts w:ascii="Arial" w:eastAsia="Arial" w:hAnsi="Arial" w:cs="Arial"/>
          <w:b/>
          <w:bCs/>
          <w:color w:val="auto"/>
          <w:sz w:val="28"/>
          <w:szCs w:val="28"/>
        </w:rPr>
        <w:t>Research Question</w:t>
      </w:r>
    </w:p>
    <w:p w14:paraId="61B7FB1E" w14:textId="676CD299" w:rsidR="002C336F" w:rsidRPr="003D6478" w:rsidRDefault="562CD49D" w:rsidP="003D6478">
      <w:pPr>
        <w:spacing w:line="360" w:lineRule="auto"/>
        <w:jc w:val="both"/>
        <w:rPr>
          <w:rFonts w:ascii="Arial" w:eastAsia="Arial" w:hAnsi="Arial" w:cs="Arial"/>
          <w:b/>
          <w:bCs/>
          <w:sz w:val="22"/>
          <w:szCs w:val="22"/>
        </w:rPr>
      </w:pPr>
      <w:r w:rsidRPr="003D6478">
        <w:rPr>
          <w:rFonts w:ascii="Arial" w:eastAsia="Arial" w:hAnsi="Arial" w:cs="Arial"/>
          <w:b/>
          <w:bCs/>
          <w:sz w:val="22"/>
          <w:szCs w:val="22"/>
        </w:rPr>
        <w:t xml:space="preserve">What evidence exists </w:t>
      </w:r>
      <w:bookmarkStart w:id="13" w:name="_Int_MRKExhA5"/>
      <w:r w:rsidRPr="003D6478">
        <w:rPr>
          <w:rFonts w:ascii="Arial" w:eastAsia="Arial" w:hAnsi="Arial" w:cs="Arial"/>
          <w:b/>
          <w:bCs/>
          <w:sz w:val="22"/>
          <w:szCs w:val="22"/>
        </w:rPr>
        <w:t>regarding</w:t>
      </w:r>
      <w:bookmarkEnd w:id="13"/>
      <w:r w:rsidRPr="003D6478">
        <w:rPr>
          <w:rFonts w:ascii="Arial" w:eastAsia="Arial" w:hAnsi="Arial" w:cs="Arial"/>
          <w:b/>
          <w:bCs/>
          <w:sz w:val="22"/>
          <w:szCs w:val="22"/>
        </w:rPr>
        <w:t xml:space="preserve"> PTSD and other bereavement-related mental health difficulties among ethnic minority women in the UK, and what cultural barriers affect access to support services?</w:t>
      </w:r>
    </w:p>
    <w:p w14:paraId="06D468BB" w14:textId="1FF796C0" w:rsidR="002C336F" w:rsidRPr="003D6478" w:rsidRDefault="002C336F" w:rsidP="003D6478">
      <w:pPr>
        <w:spacing w:line="360" w:lineRule="auto"/>
        <w:jc w:val="both"/>
        <w:rPr>
          <w:rFonts w:ascii="Arial" w:eastAsia="Arial" w:hAnsi="Arial" w:cs="Arial"/>
          <w:b/>
          <w:bCs/>
          <w:sz w:val="22"/>
          <w:szCs w:val="22"/>
        </w:rPr>
      </w:pPr>
    </w:p>
    <w:p w14:paraId="34A80E39" w14:textId="7997F46E" w:rsidR="002C336F" w:rsidRDefault="562CD49D" w:rsidP="003D6478">
      <w:pPr>
        <w:pStyle w:val="Heading2"/>
        <w:spacing w:line="360" w:lineRule="auto"/>
        <w:jc w:val="both"/>
        <w:rPr>
          <w:rFonts w:ascii="Arial" w:eastAsia="Arial" w:hAnsi="Arial" w:cs="Arial"/>
          <w:b/>
          <w:bCs/>
          <w:color w:val="auto"/>
          <w:sz w:val="26"/>
          <w:szCs w:val="26"/>
        </w:rPr>
      </w:pPr>
      <w:r w:rsidRPr="0055436B">
        <w:rPr>
          <w:rFonts w:ascii="Arial" w:eastAsia="Arial" w:hAnsi="Arial" w:cs="Arial"/>
          <w:b/>
          <w:bCs/>
          <w:color w:val="auto"/>
          <w:sz w:val="26"/>
          <w:szCs w:val="26"/>
        </w:rPr>
        <w:t>Inclusion and Exclusion Criteria</w:t>
      </w:r>
    </w:p>
    <w:tbl>
      <w:tblPr>
        <w:tblpPr w:leftFromText="180" w:rightFromText="180" w:vertAnchor="page" w:horzAnchor="margin" w:tblpY="7754"/>
        <w:tblOverlap w:val="neve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4894"/>
        <w:gridCol w:w="4116"/>
      </w:tblGrid>
      <w:tr w:rsidR="00CA78F5" w:rsidRPr="00071ED5" w14:paraId="40997C8E" w14:textId="77777777" w:rsidTr="00CA78F5">
        <w:trPr>
          <w:trHeight w:val="162"/>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tcPr>
          <w:p w14:paraId="1F8A56EF" w14:textId="77777777" w:rsidR="00CA78F5" w:rsidRPr="00B36CBF" w:rsidRDefault="00CA78F5" w:rsidP="00CA78F5">
            <w:pPr>
              <w:spacing w:before="100" w:beforeAutospacing="1" w:after="100" w:afterAutospacing="1" w:line="240" w:lineRule="auto"/>
              <w:rPr>
                <w:rFonts w:ascii="Arial" w:eastAsiaTheme="minorEastAsia" w:hAnsi="Arial" w:cs="Arial"/>
                <w:b/>
                <w:bCs/>
                <w:kern w:val="0"/>
                <w:sz w:val="28"/>
                <w:szCs w:val="28"/>
                <w:lang w:eastAsia="en-GB"/>
                <w14:ligatures w14:val="none"/>
              </w:rPr>
            </w:pPr>
            <w:r w:rsidRPr="00B36CBF">
              <w:rPr>
                <w:rFonts w:ascii="Arial" w:eastAsiaTheme="minorEastAsia" w:hAnsi="Arial" w:cs="Arial"/>
                <w:b/>
                <w:bCs/>
                <w:kern w:val="0"/>
                <w:sz w:val="28"/>
                <w:szCs w:val="28"/>
                <w:lang w:eastAsia="en-GB"/>
                <w14:ligatures w14:val="none"/>
              </w:rPr>
              <w:t xml:space="preserve">Inclusion </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tcPr>
          <w:p w14:paraId="1935D0D7" w14:textId="77777777" w:rsidR="00CA78F5" w:rsidRPr="00B36CBF" w:rsidRDefault="00CA78F5" w:rsidP="00CA78F5">
            <w:pPr>
              <w:spacing w:before="100" w:beforeAutospacing="1" w:after="100" w:afterAutospacing="1" w:line="240" w:lineRule="auto"/>
              <w:rPr>
                <w:rFonts w:ascii="Arial" w:eastAsiaTheme="minorEastAsia" w:hAnsi="Arial" w:cs="Arial"/>
                <w:b/>
                <w:bCs/>
                <w:kern w:val="0"/>
                <w:sz w:val="28"/>
                <w:szCs w:val="28"/>
                <w:lang w:eastAsia="en-GB"/>
                <w14:ligatures w14:val="none"/>
              </w:rPr>
            </w:pPr>
            <w:r w:rsidRPr="00B36CBF">
              <w:rPr>
                <w:rFonts w:ascii="Arial" w:eastAsiaTheme="minorEastAsia" w:hAnsi="Arial" w:cs="Arial"/>
                <w:b/>
                <w:bCs/>
                <w:kern w:val="0"/>
                <w:sz w:val="28"/>
                <w:szCs w:val="28"/>
                <w:lang w:eastAsia="en-GB"/>
                <w14:ligatures w14:val="none"/>
              </w:rPr>
              <w:t xml:space="preserve">Exclusion </w:t>
            </w:r>
          </w:p>
        </w:tc>
      </w:tr>
      <w:tr w:rsidR="00CA78F5" w:rsidRPr="00D40604" w14:paraId="04682026" w14:textId="77777777" w:rsidTr="00CA78F5">
        <w:trPr>
          <w:trHeight w:val="162"/>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B4C331E" w14:textId="77777777" w:rsidR="00CA78F5" w:rsidRPr="00D40604" w:rsidRDefault="00CA78F5" w:rsidP="00CA78F5">
            <w:pPr>
              <w:spacing w:before="100" w:beforeAutospacing="1" w:after="100" w:afterAutospacing="1" w:line="240" w:lineRule="auto"/>
              <w:rPr>
                <w:rFonts w:ascii="Arial" w:eastAsiaTheme="minorEastAsia" w:hAnsi="Arial" w:cs="Arial"/>
                <w:kern w:val="0"/>
                <w:sz w:val="22"/>
                <w:szCs w:val="22"/>
                <w:lang w:eastAsia="en-GB"/>
                <w14:ligatures w14:val="none"/>
              </w:rPr>
            </w:pPr>
            <w:r w:rsidRPr="00D40604">
              <w:rPr>
                <w:rFonts w:ascii="Arial" w:eastAsiaTheme="minorEastAsia" w:hAnsi="Arial" w:cs="Arial"/>
                <w:kern w:val="0"/>
                <w:sz w:val="22"/>
                <w:szCs w:val="22"/>
                <w:lang w:eastAsia="en-GB"/>
                <w14:ligatures w14:val="none"/>
              </w:rPr>
              <w:t>Peer-reviewed articles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551F672" w14:textId="77777777" w:rsidR="00CA78F5" w:rsidRPr="00D40604" w:rsidRDefault="00CA78F5" w:rsidP="00CA78F5">
            <w:pPr>
              <w:spacing w:before="100" w:beforeAutospacing="1" w:after="100" w:afterAutospacing="1" w:line="240" w:lineRule="auto"/>
              <w:rPr>
                <w:rFonts w:ascii="Arial" w:eastAsiaTheme="minorEastAsia" w:hAnsi="Arial" w:cs="Arial"/>
                <w:kern w:val="0"/>
                <w:sz w:val="22"/>
                <w:szCs w:val="22"/>
                <w:lang w:eastAsia="en-GB"/>
                <w14:ligatures w14:val="none"/>
              </w:rPr>
            </w:pPr>
            <w:r w:rsidRPr="00D40604">
              <w:rPr>
                <w:rFonts w:ascii="Arial" w:eastAsiaTheme="minorEastAsia" w:hAnsi="Arial" w:cs="Arial"/>
                <w:kern w:val="0"/>
                <w:sz w:val="22"/>
                <w:szCs w:val="22"/>
                <w:lang w:eastAsia="en-GB"/>
                <w14:ligatures w14:val="none"/>
              </w:rPr>
              <w:t>Non-peer-reviewed articles</w:t>
            </w:r>
          </w:p>
        </w:tc>
      </w:tr>
      <w:tr w:rsidR="00CA78F5" w:rsidRPr="00D40604" w14:paraId="5FAFEBCD" w14:textId="77777777" w:rsidTr="00CA78F5">
        <w:trPr>
          <w:trHeight w:val="154"/>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9A61624" w14:textId="77777777" w:rsidR="00CA78F5" w:rsidRPr="00D40604" w:rsidRDefault="00CA78F5" w:rsidP="00CA78F5">
            <w:pPr>
              <w:spacing w:before="100" w:beforeAutospacing="1" w:after="100" w:afterAutospacing="1" w:line="240" w:lineRule="auto"/>
              <w:rPr>
                <w:rFonts w:ascii="Arial" w:eastAsiaTheme="minorEastAsia" w:hAnsi="Arial" w:cs="Arial"/>
                <w:kern w:val="0"/>
                <w:sz w:val="22"/>
                <w:szCs w:val="22"/>
                <w:lang w:eastAsia="en-GB"/>
                <w14:ligatures w14:val="none"/>
              </w:rPr>
            </w:pPr>
            <w:r w:rsidRPr="00D40604">
              <w:rPr>
                <w:rFonts w:ascii="Arial" w:eastAsiaTheme="minorEastAsia" w:hAnsi="Arial" w:cs="Arial"/>
                <w:kern w:val="0"/>
                <w:sz w:val="22"/>
                <w:szCs w:val="22"/>
                <w:lang w:eastAsia="en-GB"/>
                <w14:ligatures w14:val="none"/>
              </w:rPr>
              <w:t>Published in English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3AC2FBA" w14:textId="77777777" w:rsidR="00CA78F5" w:rsidRPr="00D40604" w:rsidRDefault="00CA78F5" w:rsidP="00CA78F5">
            <w:pPr>
              <w:spacing w:before="100" w:beforeAutospacing="1" w:after="100" w:afterAutospacing="1" w:line="240" w:lineRule="auto"/>
              <w:rPr>
                <w:rFonts w:ascii="Arial" w:eastAsiaTheme="minorEastAsia" w:hAnsi="Arial" w:cs="Arial"/>
                <w:kern w:val="0"/>
                <w:sz w:val="22"/>
                <w:szCs w:val="22"/>
                <w:lang w:eastAsia="en-GB"/>
                <w14:ligatures w14:val="none"/>
              </w:rPr>
            </w:pPr>
            <w:r w:rsidRPr="00D40604">
              <w:rPr>
                <w:rFonts w:ascii="Arial" w:eastAsiaTheme="minorEastAsia" w:hAnsi="Arial" w:cs="Arial"/>
                <w:kern w:val="0"/>
                <w:sz w:val="22"/>
                <w:szCs w:val="22"/>
                <w:lang w:eastAsia="en-GB"/>
                <w14:ligatures w14:val="none"/>
              </w:rPr>
              <w:t>Articles not published in English</w:t>
            </w:r>
          </w:p>
        </w:tc>
      </w:tr>
      <w:tr w:rsidR="00CA78F5" w:rsidRPr="00D40604" w14:paraId="58C0869C" w14:textId="77777777" w:rsidTr="00CA78F5">
        <w:trPr>
          <w:trHeight w:val="162"/>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AF613A0" w14:textId="77777777" w:rsidR="00CA78F5" w:rsidRPr="00D40604" w:rsidRDefault="00CA78F5" w:rsidP="00CA78F5">
            <w:pPr>
              <w:spacing w:before="100" w:beforeAutospacing="1" w:after="100" w:afterAutospacing="1" w:line="240" w:lineRule="auto"/>
              <w:rPr>
                <w:rFonts w:ascii="Arial" w:eastAsiaTheme="minorEastAsia" w:hAnsi="Arial" w:cs="Arial"/>
                <w:kern w:val="0"/>
                <w:sz w:val="22"/>
                <w:szCs w:val="22"/>
                <w:lang w:eastAsia="en-GB"/>
                <w14:ligatures w14:val="none"/>
              </w:rPr>
            </w:pPr>
            <w:r w:rsidRPr="00D40604">
              <w:rPr>
                <w:rFonts w:ascii="Arial" w:eastAsiaTheme="minorEastAsia" w:hAnsi="Arial" w:cs="Arial"/>
                <w:kern w:val="0"/>
                <w:sz w:val="22"/>
                <w:szCs w:val="22"/>
                <w:lang w:eastAsia="en-GB"/>
                <w14:ligatures w14:val="none"/>
              </w:rPr>
              <w:t>Published between 2005 and 202</w:t>
            </w:r>
            <w:r>
              <w:rPr>
                <w:rFonts w:ascii="Arial" w:eastAsiaTheme="minorEastAsia" w:hAnsi="Arial" w:cs="Arial"/>
                <w:kern w:val="0"/>
                <w:sz w:val="22"/>
                <w:szCs w:val="22"/>
                <w:lang w:eastAsia="en-GB"/>
                <w14:ligatures w14:val="none"/>
              </w:rPr>
              <w:t>6</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D5BE081" w14:textId="77777777" w:rsidR="00CA78F5" w:rsidRPr="00D40604" w:rsidRDefault="00CA78F5" w:rsidP="00CA78F5">
            <w:pPr>
              <w:spacing w:before="100" w:beforeAutospacing="1" w:after="100" w:afterAutospacing="1" w:line="240" w:lineRule="auto"/>
              <w:rPr>
                <w:rFonts w:ascii="Arial" w:eastAsiaTheme="minorEastAsia" w:hAnsi="Arial" w:cs="Arial"/>
                <w:kern w:val="0"/>
                <w:sz w:val="22"/>
                <w:szCs w:val="22"/>
                <w:lang w:eastAsia="en-GB"/>
                <w14:ligatures w14:val="none"/>
              </w:rPr>
            </w:pPr>
            <w:r w:rsidRPr="00D40604">
              <w:rPr>
                <w:rFonts w:ascii="Arial" w:eastAsiaTheme="minorEastAsia" w:hAnsi="Arial" w:cs="Arial"/>
                <w:kern w:val="0"/>
                <w:sz w:val="22"/>
                <w:szCs w:val="22"/>
                <w:lang w:eastAsia="en-GB"/>
                <w14:ligatures w14:val="none"/>
              </w:rPr>
              <w:t>Published before 2005</w:t>
            </w:r>
          </w:p>
        </w:tc>
      </w:tr>
      <w:tr w:rsidR="00CA78F5" w:rsidRPr="00D40604" w14:paraId="2B96CF4B" w14:textId="77777777" w:rsidTr="00CA78F5">
        <w:trPr>
          <w:trHeight w:val="310"/>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CF8EF07" w14:textId="77777777" w:rsidR="00CA78F5" w:rsidRPr="00D40604" w:rsidRDefault="00CA78F5" w:rsidP="00CA78F5">
            <w:pPr>
              <w:spacing w:before="100" w:beforeAutospacing="1" w:after="100" w:afterAutospacing="1" w:line="240" w:lineRule="auto"/>
              <w:rPr>
                <w:rFonts w:ascii="Arial" w:eastAsiaTheme="minorEastAsia" w:hAnsi="Arial" w:cs="Arial"/>
                <w:kern w:val="0"/>
                <w:sz w:val="22"/>
                <w:szCs w:val="22"/>
                <w:lang w:eastAsia="en-GB"/>
                <w14:ligatures w14:val="none"/>
              </w:rPr>
            </w:pPr>
            <w:r w:rsidRPr="00D40604">
              <w:rPr>
                <w:rFonts w:ascii="Arial" w:eastAsiaTheme="minorEastAsia" w:hAnsi="Arial" w:cs="Arial"/>
                <w:kern w:val="0"/>
                <w:sz w:val="22"/>
                <w:szCs w:val="22"/>
                <w:lang w:eastAsia="en-GB"/>
                <w14:ligatures w14:val="none"/>
              </w:rPr>
              <w:t>Focus on PTSD, bereavement, or grief</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4F6D003" w14:textId="77777777" w:rsidR="00CA78F5" w:rsidRPr="00D40604" w:rsidRDefault="00CA78F5" w:rsidP="00CA78F5">
            <w:pPr>
              <w:spacing w:before="100" w:beforeAutospacing="1" w:after="100" w:afterAutospacing="1" w:line="240" w:lineRule="auto"/>
              <w:rPr>
                <w:rFonts w:ascii="Arial" w:eastAsiaTheme="minorEastAsia" w:hAnsi="Arial" w:cs="Arial"/>
                <w:kern w:val="0"/>
                <w:sz w:val="22"/>
                <w:szCs w:val="22"/>
                <w:lang w:eastAsia="en-GB"/>
                <w14:ligatures w14:val="none"/>
              </w:rPr>
            </w:pPr>
            <w:r w:rsidRPr="00D40604">
              <w:rPr>
                <w:rFonts w:ascii="Arial" w:eastAsiaTheme="minorEastAsia" w:hAnsi="Arial" w:cs="Arial"/>
                <w:kern w:val="0"/>
                <w:sz w:val="22"/>
                <w:szCs w:val="22"/>
                <w:lang w:eastAsia="en-GB"/>
                <w14:ligatures w14:val="none"/>
              </w:rPr>
              <w:t>Studies not related to PTSD, bereavement, or grief</w:t>
            </w:r>
          </w:p>
        </w:tc>
      </w:tr>
      <w:tr w:rsidR="00CA78F5" w:rsidRPr="00D40604" w14:paraId="74A27758" w14:textId="77777777" w:rsidTr="00CA78F5">
        <w:trPr>
          <w:trHeight w:val="310"/>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39B3FAB" w14:textId="77777777" w:rsidR="00CA78F5" w:rsidRPr="00D40604" w:rsidRDefault="00CA78F5" w:rsidP="00CA78F5">
            <w:pPr>
              <w:spacing w:before="100" w:beforeAutospacing="1" w:after="100" w:afterAutospacing="1" w:line="240" w:lineRule="auto"/>
              <w:rPr>
                <w:rFonts w:ascii="Arial" w:eastAsiaTheme="minorEastAsia" w:hAnsi="Arial" w:cs="Arial"/>
                <w:kern w:val="0"/>
                <w:sz w:val="22"/>
                <w:szCs w:val="22"/>
                <w:lang w:eastAsia="en-GB"/>
                <w14:ligatures w14:val="none"/>
              </w:rPr>
            </w:pPr>
            <w:r w:rsidRPr="00D40604">
              <w:rPr>
                <w:rFonts w:ascii="Arial" w:eastAsiaTheme="minorEastAsia" w:hAnsi="Arial" w:cs="Arial"/>
                <w:kern w:val="0"/>
                <w:sz w:val="22"/>
                <w:szCs w:val="22"/>
                <w:lang w:eastAsia="en-GB"/>
                <w14:ligatures w14:val="none"/>
              </w:rPr>
              <w:t>Focus on ethnic minority women or ethnic minority communities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5E671A5" w14:textId="77777777" w:rsidR="00CA78F5" w:rsidRPr="00D40604" w:rsidRDefault="00CA78F5" w:rsidP="00CA78F5">
            <w:pPr>
              <w:spacing w:before="100" w:beforeAutospacing="1" w:after="100" w:afterAutospacing="1" w:line="240" w:lineRule="auto"/>
              <w:rPr>
                <w:rFonts w:ascii="Arial" w:eastAsiaTheme="minorEastAsia" w:hAnsi="Arial" w:cs="Arial"/>
                <w:kern w:val="0"/>
                <w:sz w:val="22"/>
                <w:szCs w:val="22"/>
                <w:lang w:eastAsia="en-GB"/>
                <w14:ligatures w14:val="none"/>
              </w:rPr>
            </w:pPr>
            <w:r w:rsidRPr="00D40604">
              <w:rPr>
                <w:rFonts w:ascii="Arial" w:eastAsiaTheme="minorEastAsia" w:hAnsi="Arial" w:cs="Arial"/>
                <w:kern w:val="0"/>
                <w:sz w:val="22"/>
                <w:szCs w:val="22"/>
                <w:lang w:eastAsia="en-GB"/>
                <w14:ligatures w14:val="none"/>
              </w:rPr>
              <w:t>Studies with no relevance to ethnicity or cultural factors</w:t>
            </w:r>
          </w:p>
        </w:tc>
      </w:tr>
      <w:tr w:rsidR="00CA78F5" w:rsidRPr="00D40604" w14:paraId="6FF83F3F" w14:textId="77777777" w:rsidTr="00CA78F5">
        <w:trPr>
          <w:trHeight w:val="318"/>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7C951D9" w14:textId="77777777" w:rsidR="00CA78F5" w:rsidRPr="00D40604" w:rsidRDefault="00CA78F5" w:rsidP="00CA78F5">
            <w:pPr>
              <w:spacing w:before="100" w:beforeAutospacing="1" w:after="100" w:afterAutospacing="1" w:line="240" w:lineRule="auto"/>
              <w:rPr>
                <w:rFonts w:ascii="Arial" w:eastAsiaTheme="minorEastAsia" w:hAnsi="Arial" w:cs="Arial"/>
                <w:kern w:val="0"/>
                <w:sz w:val="22"/>
                <w:szCs w:val="22"/>
                <w:lang w:eastAsia="en-GB"/>
                <w14:ligatures w14:val="none"/>
              </w:rPr>
            </w:pPr>
            <w:r w:rsidRPr="00D40604">
              <w:rPr>
                <w:rFonts w:ascii="Arial" w:eastAsiaTheme="minorEastAsia" w:hAnsi="Arial" w:cs="Arial"/>
                <w:kern w:val="0"/>
                <w:sz w:val="22"/>
                <w:szCs w:val="22"/>
                <w:lang w:eastAsia="en-GB"/>
                <w14:ligatures w14:val="none"/>
              </w:rPr>
              <w:t>Focus on mental health support, service access or cultural barriers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155B472" w14:textId="77777777" w:rsidR="00CA78F5" w:rsidRPr="00D40604" w:rsidRDefault="00CA78F5" w:rsidP="00CA78F5">
            <w:pPr>
              <w:spacing w:before="100" w:beforeAutospacing="1" w:after="100" w:afterAutospacing="1" w:line="240" w:lineRule="auto"/>
              <w:rPr>
                <w:rFonts w:ascii="Arial" w:eastAsiaTheme="minorEastAsia" w:hAnsi="Arial" w:cs="Arial"/>
                <w:kern w:val="0"/>
                <w:sz w:val="22"/>
                <w:szCs w:val="22"/>
                <w:lang w:eastAsia="en-GB"/>
                <w14:ligatures w14:val="none"/>
              </w:rPr>
            </w:pPr>
            <w:r w:rsidRPr="00D40604">
              <w:rPr>
                <w:rFonts w:ascii="Arial" w:eastAsiaTheme="minorEastAsia" w:hAnsi="Arial" w:cs="Arial"/>
                <w:kern w:val="0"/>
                <w:sz w:val="22"/>
                <w:szCs w:val="22"/>
                <w:lang w:eastAsia="en-GB"/>
                <w14:ligatures w14:val="none"/>
              </w:rPr>
              <w:t>Studies unrelated to mental health support</w:t>
            </w:r>
          </w:p>
        </w:tc>
      </w:tr>
      <w:tr w:rsidR="00CA78F5" w:rsidRPr="00D40604" w14:paraId="410FDD9A" w14:textId="77777777" w:rsidTr="00CA78F5">
        <w:trPr>
          <w:trHeight w:val="310"/>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19F38D1" w14:textId="77777777" w:rsidR="00CA78F5" w:rsidRPr="00D40604" w:rsidRDefault="00CA78F5" w:rsidP="00CA78F5">
            <w:pPr>
              <w:spacing w:before="100" w:beforeAutospacing="1" w:after="100" w:afterAutospacing="1" w:line="240" w:lineRule="auto"/>
              <w:rPr>
                <w:rFonts w:ascii="Arial" w:eastAsiaTheme="minorEastAsia" w:hAnsi="Arial" w:cs="Arial"/>
                <w:kern w:val="0"/>
                <w:sz w:val="22"/>
                <w:szCs w:val="22"/>
                <w:lang w:eastAsia="en-GB"/>
                <w14:ligatures w14:val="none"/>
              </w:rPr>
            </w:pPr>
            <w:r w:rsidRPr="00D40604">
              <w:rPr>
                <w:rFonts w:ascii="Arial" w:eastAsiaTheme="minorEastAsia" w:hAnsi="Arial" w:cs="Arial"/>
                <w:kern w:val="0"/>
                <w:sz w:val="22"/>
                <w:szCs w:val="22"/>
                <w:lang w:eastAsia="en-GB"/>
                <w14:ligatures w14:val="none"/>
              </w:rPr>
              <w:t>UK-based studies where available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453772D" w14:textId="77777777" w:rsidR="00CA78F5" w:rsidRPr="00D40604" w:rsidRDefault="00CA78F5" w:rsidP="00CA78F5">
            <w:pPr>
              <w:spacing w:before="100" w:beforeAutospacing="1" w:after="100" w:afterAutospacing="1" w:line="240" w:lineRule="auto"/>
              <w:rPr>
                <w:rFonts w:ascii="Arial" w:eastAsiaTheme="minorEastAsia" w:hAnsi="Arial" w:cs="Arial"/>
                <w:kern w:val="0"/>
                <w:sz w:val="22"/>
                <w:szCs w:val="22"/>
                <w:lang w:eastAsia="en-GB"/>
                <w14:ligatures w14:val="none"/>
              </w:rPr>
            </w:pPr>
            <w:r w:rsidRPr="00D40604">
              <w:rPr>
                <w:rFonts w:ascii="Arial" w:eastAsiaTheme="minorEastAsia" w:hAnsi="Arial" w:cs="Arial"/>
                <w:kern w:val="0"/>
                <w:sz w:val="22"/>
                <w:szCs w:val="22"/>
                <w:lang w:eastAsia="en-GB"/>
                <w14:ligatures w14:val="none"/>
              </w:rPr>
              <w:t>Studies with no relevance to the UK context</w:t>
            </w:r>
          </w:p>
        </w:tc>
      </w:tr>
      <w:tr w:rsidR="00CA78F5" w:rsidRPr="00D40604" w14:paraId="137967BA" w14:textId="77777777" w:rsidTr="00CA78F5">
        <w:trPr>
          <w:trHeight w:val="318"/>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8B53823" w14:textId="77777777" w:rsidR="00CA78F5" w:rsidRPr="00D40604" w:rsidRDefault="00CA78F5" w:rsidP="00CA78F5">
            <w:pPr>
              <w:spacing w:before="100" w:beforeAutospacing="1" w:after="100" w:afterAutospacing="1" w:line="240" w:lineRule="auto"/>
              <w:rPr>
                <w:rFonts w:ascii="Arial" w:eastAsiaTheme="minorEastAsia" w:hAnsi="Arial" w:cs="Arial"/>
                <w:kern w:val="0"/>
                <w:sz w:val="22"/>
                <w:szCs w:val="22"/>
                <w:lang w:eastAsia="en-GB"/>
                <w14:ligatures w14:val="none"/>
              </w:rPr>
            </w:pPr>
            <w:r w:rsidRPr="00D40604">
              <w:rPr>
                <w:rFonts w:ascii="Arial" w:eastAsiaTheme="minorEastAsia" w:hAnsi="Arial" w:cs="Arial"/>
                <w:kern w:val="0"/>
                <w:sz w:val="22"/>
                <w:szCs w:val="22"/>
                <w:lang w:eastAsia="en-GB"/>
                <w14:ligatures w14:val="none"/>
              </w:rPr>
              <w:t>Relevant to health and social care practice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B374C5C" w14:textId="77777777" w:rsidR="00CA78F5" w:rsidRPr="00D40604" w:rsidRDefault="00CA78F5" w:rsidP="00CA78F5">
            <w:pPr>
              <w:spacing w:before="100" w:beforeAutospacing="1" w:after="100" w:afterAutospacing="1" w:line="240" w:lineRule="auto"/>
              <w:rPr>
                <w:rFonts w:ascii="Arial" w:eastAsiaTheme="minorEastAsia" w:hAnsi="Arial" w:cs="Arial"/>
                <w:kern w:val="0"/>
                <w:sz w:val="22"/>
                <w:szCs w:val="22"/>
                <w:lang w:eastAsia="en-GB"/>
                <w14:ligatures w14:val="none"/>
              </w:rPr>
            </w:pPr>
            <w:r w:rsidRPr="00D40604">
              <w:rPr>
                <w:rFonts w:ascii="Arial" w:eastAsiaTheme="minorEastAsia" w:hAnsi="Arial" w:cs="Arial"/>
                <w:kern w:val="0"/>
                <w:sz w:val="22"/>
                <w:szCs w:val="22"/>
                <w:lang w:eastAsia="en-GB"/>
                <w14:ligatures w14:val="none"/>
              </w:rPr>
              <w:t>Studies unrelated to health and social care</w:t>
            </w:r>
          </w:p>
        </w:tc>
      </w:tr>
    </w:tbl>
    <w:p w14:paraId="4242EC4F" w14:textId="77777777" w:rsidR="009845AA" w:rsidRDefault="009845AA" w:rsidP="003D6478">
      <w:pPr>
        <w:pStyle w:val="Heading2"/>
        <w:spacing w:line="360" w:lineRule="auto"/>
        <w:jc w:val="both"/>
        <w:rPr>
          <w:rFonts w:ascii="Arial" w:eastAsia="Arial" w:hAnsi="Arial" w:cs="Arial"/>
          <w:b/>
          <w:bCs/>
          <w:color w:val="auto"/>
          <w:sz w:val="28"/>
          <w:szCs w:val="28"/>
        </w:rPr>
      </w:pPr>
    </w:p>
    <w:p w14:paraId="3B916024" w14:textId="2473D4F6" w:rsidR="002C336F" w:rsidRPr="00F60CAB" w:rsidRDefault="562CD49D" w:rsidP="003D6478">
      <w:pPr>
        <w:pStyle w:val="Heading2"/>
        <w:spacing w:line="360" w:lineRule="auto"/>
        <w:jc w:val="both"/>
        <w:rPr>
          <w:rFonts w:ascii="Arial" w:eastAsia="Arial" w:hAnsi="Arial" w:cs="Arial"/>
          <w:b/>
          <w:bCs/>
          <w:color w:val="auto"/>
          <w:sz w:val="28"/>
          <w:szCs w:val="28"/>
        </w:rPr>
      </w:pPr>
      <w:r w:rsidRPr="00F60CAB">
        <w:rPr>
          <w:rFonts w:ascii="Arial" w:eastAsia="Arial" w:hAnsi="Arial" w:cs="Arial"/>
          <w:b/>
          <w:bCs/>
          <w:color w:val="auto"/>
          <w:sz w:val="28"/>
          <w:szCs w:val="28"/>
        </w:rPr>
        <w:t>Data Collection and Analysis</w:t>
      </w:r>
    </w:p>
    <w:p w14:paraId="106ABA30" w14:textId="758DD302" w:rsidR="002C336F" w:rsidRPr="003D6478" w:rsidRDefault="562CD49D" w:rsidP="003D6478">
      <w:pPr>
        <w:spacing w:line="360" w:lineRule="auto"/>
        <w:jc w:val="both"/>
        <w:rPr>
          <w:rFonts w:ascii="Arial" w:eastAsia="Arial" w:hAnsi="Arial" w:cs="Arial"/>
          <w:sz w:val="22"/>
          <w:szCs w:val="22"/>
        </w:rPr>
      </w:pPr>
      <w:r w:rsidRPr="003D6478">
        <w:rPr>
          <w:rFonts w:ascii="Arial" w:eastAsia="Arial" w:hAnsi="Arial" w:cs="Arial"/>
          <w:sz w:val="22"/>
          <w:szCs w:val="22"/>
        </w:rPr>
        <w:t xml:space="preserve">Literature will </w:t>
      </w:r>
      <w:bookmarkStart w:id="14" w:name="_Int_OcbpvKcK"/>
      <w:r w:rsidRPr="003D6478">
        <w:rPr>
          <w:rFonts w:ascii="Arial" w:eastAsia="Arial" w:hAnsi="Arial" w:cs="Arial"/>
          <w:sz w:val="22"/>
          <w:szCs w:val="22"/>
        </w:rPr>
        <w:t>be searched</w:t>
      </w:r>
      <w:bookmarkEnd w:id="14"/>
      <w:r w:rsidRPr="003D6478">
        <w:rPr>
          <w:rFonts w:ascii="Arial" w:eastAsia="Arial" w:hAnsi="Arial" w:cs="Arial"/>
          <w:sz w:val="22"/>
          <w:szCs w:val="22"/>
        </w:rPr>
        <w:t xml:space="preserve"> using the UWTSD Library Search database, Google Scholar and PubMed. Search terms may include “PTSD”, “bereavement”, “grief”, “ethnic minority women”, “South Asian women”, “mental health support” and “cultural barriers”. Findings will </w:t>
      </w:r>
      <w:bookmarkStart w:id="15" w:name="_Int_EECJuw2f"/>
      <w:r w:rsidRPr="003D6478">
        <w:rPr>
          <w:rFonts w:ascii="Arial" w:eastAsia="Arial" w:hAnsi="Arial" w:cs="Arial"/>
          <w:sz w:val="22"/>
          <w:szCs w:val="22"/>
        </w:rPr>
        <w:t>be analysed</w:t>
      </w:r>
      <w:bookmarkEnd w:id="15"/>
      <w:r w:rsidRPr="003D6478">
        <w:rPr>
          <w:rFonts w:ascii="Arial" w:eastAsia="Arial" w:hAnsi="Arial" w:cs="Arial"/>
          <w:sz w:val="22"/>
          <w:szCs w:val="22"/>
        </w:rPr>
        <w:t xml:space="preserve"> using thematic analysis to </w:t>
      </w:r>
      <w:bookmarkStart w:id="16" w:name="_Int_8Gr5Sgcj"/>
      <w:r w:rsidRPr="003D6478">
        <w:rPr>
          <w:rFonts w:ascii="Arial" w:eastAsia="Arial" w:hAnsi="Arial" w:cs="Arial"/>
          <w:sz w:val="22"/>
          <w:szCs w:val="22"/>
        </w:rPr>
        <w:t>identify</w:t>
      </w:r>
      <w:bookmarkEnd w:id="16"/>
      <w:r w:rsidRPr="003D6478">
        <w:rPr>
          <w:rFonts w:ascii="Arial" w:eastAsia="Arial" w:hAnsi="Arial" w:cs="Arial"/>
          <w:sz w:val="22"/>
          <w:szCs w:val="22"/>
        </w:rPr>
        <w:t xml:space="preserve"> recurring themes and patterns across the literature (Aveyard, 2019).</w:t>
      </w:r>
    </w:p>
    <w:p w14:paraId="75106993" w14:textId="528C0B48" w:rsidR="002C336F" w:rsidRPr="00BC768E" w:rsidRDefault="002C336F" w:rsidP="003D6478">
      <w:pPr>
        <w:spacing w:line="360" w:lineRule="auto"/>
        <w:jc w:val="both"/>
        <w:rPr>
          <w:rFonts w:ascii="Arial" w:eastAsia="Arial" w:hAnsi="Arial" w:cs="Arial"/>
          <w:sz w:val="22"/>
          <w:szCs w:val="22"/>
        </w:rPr>
      </w:pPr>
    </w:p>
    <w:p w14:paraId="6918EE00" w14:textId="4AF21F6D" w:rsidR="002C336F" w:rsidRPr="00F60CAB" w:rsidRDefault="562CD49D" w:rsidP="003D6478">
      <w:pPr>
        <w:pStyle w:val="Heading1"/>
        <w:spacing w:line="360" w:lineRule="auto"/>
        <w:jc w:val="both"/>
        <w:rPr>
          <w:rFonts w:ascii="Arial" w:eastAsia="Arial" w:hAnsi="Arial" w:cs="Arial"/>
          <w:b/>
          <w:bCs/>
          <w:color w:val="auto"/>
          <w:sz w:val="28"/>
          <w:szCs w:val="28"/>
        </w:rPr>
      </w:pPr>
      <w:r w:rsidRPr="00F60CAB">
        <w:rPr>
          <w:rFonts w:ascii="Arial" w:eastAsia="Arial" w:hAnsi="Arial" w:cs="Arial"/>
          <w:b/>
          <w:bCs/>
          <w:color w:val="auto"/>
          <w:sz w:val="28"/>
          <w:szCs w:val="28"/>
        </w:rPr>
        <w:t>Ethical Considerations</w:t>
      </w:r>
    </w:p>
    <w:p w14:paraId="0C593CAA" w14:textId="4A2F5681" w:rsidR="002C336F" w:rsidRPr="00740A6B" w:rsidRDefault="562CD49D" w:rsidP="003778AC">
      <w:pPr>
        <w:pStyle w:val="p1"/>
        <w:spacing w:line="360" w:lineRule="auto"/>
        <w:jc w:val="both"/>
        <w:rPr>
          <w:rFonts w:ascii="Arial" w:hAnsi="Arial" w:cs="Arial"/>
          <w:sz w:val="22"/>
          <w:szCs w:val="22"/>
        </w:rPr>
      </w:pPr>
      <w:r w:rsidRPr="003D6478">
        <w:rPr>
          <w:rFonts w:ascii="Arial" w:eastAsia="Arial" w:hAnsi="Arial" w:cs="Arial"/>
          <w:sz w:val="22"/>
          <w:szCs w:val="22"/>
        </w:rPr>
        <w:t xml:space="preserve">As this study is based on secondary research, no participants will </w:t>
      </w:r>
      <w:bookmarkStart w:id="17" w:name="_Int_RB4dyC5p"/>
      <w:r w:rsidRPr="003D6478">
        <w:rPr>
          <w:rFonts w:ascii="Arial" w:eastAsia="Arial" w:hAnsi="Arial" w:cs="Arial"/>
          <w:sz w:val="22"/>
          <w:szCs w:val="22"/>
        </w:rPr>
        <w:t>be recruited</w:t>
      </w:r>
      <w:bookmarkEnd w:id="17"/>
      <w:r w:rsidRPr="003D6478">
        <w:rPr>
          <w:rFonts w:ascii="Arial" w:eastAsia="Arial" w:hAnsi="Arial" w:cs="Arial"/>
          <w:sz w:val="22"/>
          <w:szCs w:val="22"/>
        </w:rPr>
        <w:t xml:space="preserve">. </w:t>
      </w:r>
      <w:r w:rsidR="00CD507B" w:rsidRPr="00740A6B">
        <w:rPr>
          <w:rFonts w:ascii="Arial" w:hAnsi="Arial" w:cs="Arial"/>
          <w:sz w:val="22"/>
          <w:szCs w:val="22"/>
        </w:rPr>
        <w:t xml:space="preserve">Ethical practice will be </w:t>
      </w:r>
      <w:bookmarkStart w:id="18" w:name="_Int_TjDADjqX"/>
      <w:r w:rsidR="00CD507B" w:rsidRPr="00740A6B">
        <w:rPr>
          <w:rFonts w:ascii="Arial" w:hAnsi="Arial" w:cs="Arial"/>
          <w:sz w:val="22"/>
          <w:szCs w:val="22"/>
        </w:rPr>
        <w:t>maintained</w:t>
      </w:r>
      <w:bookmarkEnd w:id="18"/>
      <w:r w:rsidR="00CD507B" w:rsidRPr="00740A6B">
        <w:rPr>
          <w:rFonts w:ascii="Arial" w:hAnsi="Arial" w:cs="Arial"/>
          <w:sz w:val="22"/>
          <w:szCs w:val="22"/>
        </w:rPr>
        <w:t xml:space="preserve"> </w:t>
      </w:r>
      <w:bookmarkStart w:id="19" w:name="_Int_jWv2QjpR"/>
      <w:r w:rsidR="00CD507B" w:rsidRPr="00740A6B">
        <w:rPr>
          <w:rFonts w:ascii="Arial" w:hAnsi="Arial" w:cs="Arial"/>
          <w:sz w:val="22"/>
          <w:szCs w:val="22"/>
        </w:rPr>
        <w:t>through the use of</w:t>
      </w:r>
      <w:bookmarkEnd w:id="19"/>
      <w:r w:rsidR="00CD507B" w:rsidRPr="00740A6B">
        <w:rPr>
          <w:rFonts w:ascii="Arial" w:hAnsi="Arial" w:cs="Arial"/>
          <w:sz w:val="22"/>
          <w:szCs w:val="22"/>
        </w:rPr>
        <w:t xml:space="preserve"> credible academic sources, </w:t>
      </w:r>
      <w:bookmarkStart w:id="20" w:name="_Int_0eh4iOZ8"/>
      <w:r w:rsidR="00CD507B" w:rsidRPr="00740A6B">
        <w:rPr>
          <w:rFonts w:ascii="Arial" w:hAnsi="Arial" w:cs="Arial"/>
          <w:sz w:val="22"/>
          <w:szCs w:val="22"/>
        </w:rPr>
        <w:t>accurate</w:t>
      </w:r>
      <w:bookmarkEnd w:id="20"/>
      <w:r w:rsidR="00CD507B" w:rsidRPr="00740A6B">
        <w:rPr>
          <w:rFonts w:ascii="Arial" w:hAnsi="Arial" w:cs="Arial"/>
          <w:sz w:val="22"/>
          <w:szCs w:val="22"/>
        </w:rPr>
        <w:t xml:space="preserve"> referencing, avoidance of plagiarism and honest reporting of findings.</w:t>
      </w:r>
      <w:r w:rsidR="00740A6B">
        <w:rPr>
          <w:rFonts w:ascii="Arial" w:hAnsi="Arial" w:cs="Arial"/>
          <w:sz w:val="22"/>
          <w:szCs w:val="22"/>
        </w:rPr>
        <w:t xml:space="preserve"> </w:t>
      </w:r>
      <w:r w:rsidRPr="003D6478">
        <w:rPr>
          <w:rFonts w:ascii="Arial" w:eastAsia="Arial" w:hAnsi="Arial" w:cs="Arial"/>
          <w:sz w:val="22"/>
          <w:szCs w:val="22"/>
        </w:rPr>
        <w:t>The review will follow principles of academic integrity and ethical research practice.</w:t>
      </w:r>
    </w:p>
    <w:p w14:paraId="3652DD22" w14:textId="08DD80E7" w:rsidR="002C336F" w:rsidRDefault="002C336F" w:rsidP="003D6478">
      <w:pPr>
        <w:spacing w:line="360" w:lineRule="auto"/>
        <w:jc w:val="both"/>
        <w:rPr>
          <w:rFonts w:ascii="Arial" w:eastAsia="Arial" w:hAnsi="Arial" w:cs="Arial"/>
          <w:b/>
          <w:bCs/>
          <w:sz w:val="22"/>
          <w:szCs w:val="22"/>
        </w:rPr>
      </w:pPr>
    </w:p>
    <w:p w14:paraId="2DB2F488" w14:textId="77777777" w:rsidR="00F60CAB" w:rsidRDefault="00F60CAB" w:rsidP="003D6478">
      <w:pPr>
        <w:spacing w:line="360" w:lineRule="auto"/>
        <w:jc w:val="both"/>
        <w:rPr>
          <w:rFonts w:ascii="Arial" w:eastAsia="Arial" w:hAnsi="Arial" w:cs="Arial"/>
          <w:b/>
          <w:bCs/>
          <w:sz w:val="22"/>
          <w:szCs w:val="22"/>
        </w:rPr>
      </w:pPr>
    </w:p>
    <w:p w14:paraId="6F3A34F2" w14:textId="77777777" w:rsidR="00F60CAB" w:rsidRDefault="00F60CAB" w:rsidP="003D6478">
      <w:pPr>
        <w:spacing w:line="360" w:lineRule="auto"/>
        <w:jc w:val="both"/>
        <w:rPr>
          <w:rFonts w:ascii="Arial" w:eastAsia="Arial" w:hAnsi="Arial" w:cs="Arial"/>
          <w:b/>
          <w:bCs/>
          <w:sz w:val="22"/>
          <w:szCs w:val="22"/>
        </w:rPr>
      </w:pPr>
    </w:p>
    <w:p w14:paraId="63D587B3" w14:textId="77777777" w:rsidR="00F60CAB" w:rsidRDefault="00F60CAB" w:rsidP="003D6478">
      <w:pPr>
        <w:spacing w:line="360" w:lineRule="auto"/>
        <w:jc w:val="both"/>
        <w:rPr>
          <w:rFonts w:ascii="Arial" w:eastAsia="Arial" w:hAnsi="Arial" w:cs="Arial"/>
          <w:b/>
          <w:bCs/>
          <w:sz w:val="22"/>
          <w:szCs w:val="22"/>
        </w:rPr>
      </w:pPr>
    </w:p>
    <w:p w14:paraId="1FA4CC77" w14:textId="77777777" w:rsidR="00F60CAB" w:rsidRDefault="00F60CAB" w:rsidP="003D6478">
      <w:pPr>
        <w:spacing w:line="360" w:lineRule="auto"/>
        <w:jc w:val="both"/>
        <w:rPr>
          <w:rFonts w:ascii="Arial" w:eastAsia="Arial" w:hAnsi="Arial" w:cs="Arial"/>
          <w:b/>
          <w:bCs/>
          <w:sz w:val="22"/>
          <w:szCs w:val="22"/>
        </w:rPr>
      </w:pPr>
    </w:p>
    <w:p w14:paraId="36948CBA" w14:textId="77777777" w:rsidR="00F60CAB" w:rsidRDefault="00F60CAB" w:rsidP="003D6478">
      <w:pPr>
        <w:spacing w:line="360" w:lineRule="auto"/>
        <w:jc w:val="both"/>
        <w:rPr>
          <w:rFonts w:ascii="Arial" w:eastAsia="Arial" w:hAnsi="Arial" w:cs="Arial"/>
          <w:b/>
          <w:bCs/>
          <w:sz w:val="22"/>
          <w:szCs w:val="22"/>
        </w:rPr>
      </w:pPr>
    </w:p>
    <w:p w14:paraId="7B50B1DC" w14:textId="77777777" w:rsidR="00F60CAB" w:rsidRDefault="00F60CAB" w:rsidP="003D6478">
      <w:pPr>
        <w:spacing w:line="360" w:lineRule="auto"/>
        <w:jc w:val="both"/>
        <w:rPr>
          <w:rFonts w:ascii="Arial" w:eastAsia="Arial" w:hAnsi="Arial" w:cs="Arial"/>
          <w:b/>
          <w:bCs/>
          <w:sz w:val="22"/>
          <w:szCs w:val="22"/>
        </w:rPr>
      </w:pPr>
    </w:p>
    <w:p w14:paraId="423227A6" w14:textId="77777777" w:rsidR="00F60CAB" w:rsidRDefault="00F60CAB" w:rsidP="003D6478">
      <w:pPr>
        <w:spacing w:line="360" w:lineRule="auto"/>
        <w:jc w:val="both"/>
        <w:rPr>
          <w:rFonts w:ascii="Arial" w:eastAsia="Arial" w:hAnsi="Arial" w:cs="Arial"/>
          <w:b/>
          <w:bCs/>
          <w:sz w:val="22"/>
          <w:szCs w:val="22"/>
        </w:rPr>
      </w:pPr>
    </w:p>
    <w:p w14:paraId="282A49A9" w14:textId="77777777" w:rsidR="00F60CAB" w:rsidRDefault="00F60CAB" w:rsidP="003D6478">
      <w:pPr>
        <w:spacing w:line="360" w:lineRule="auto"/>
        <w:jc w:val="both"/>
        <w:rPr>
          <w:rFonts w:ascii="Arial" w:eastAsia="Arial" w:hAnsi="Arial" w:cs="Arial"/>
          <w:b/>
          <w:bCs/>
          <w:sz w:val="22"/>
          <w:szCs w:val="22"/>
        </w:rPr>
      </w:pPr>
    </w:p>
    <w:p w14:paraId="59F9E222" w14:textId="77777777" w:rsidR="00F60CAB" w:rsidRDefault="00F60CAB" w:rsidP="003D6478">
      <w:pPr>
        <w:spacing w:line="360" w:lineRule="auto"/>
        <w:jc w:val="both"/>
        <w:rPr>
          <w:rFonts w:ascii="Arial" w:eastAsia="Arial" w:hAnsi="Arial" w:cs="Arial"/>
          <w:b/>
          <w:bCs/>
          <w:sz w:val="22"/>
          <w:szCs w:val="22"/>
        </w:rPr>
      </w:pPr>
    </w:p>
    <w:p w14:paraId="61395530" w14:textId="5930BA44" w:rsidR="00BD4E74" w:rsidRPr="00BD4E74" w:rsidRDefault="00BD4E74" w:rsidP="68702C07">
      <w:pPr>
        <w:spacing w:line="360" w:lineRule="auto"/>
        <w:jc w:val="both"/>
        <w:rPr>
          <w:rFonts w:ascii="Arial" w:eastAsia="Arial" w:hAnsi="Arial" w:cs="Arial"/>
          <w:b/>
          <w:bCs/>
          <w:sz w:val="22"/>
          <w:szCs w:val="22"/>
        </w:rPr>
      </w:pPr>
    </w:p>
    <w:p w14:paraId="3B7AB3A9" w14:textId="1F985FC8" w:rsidR="68702C07" w:rsidRDefault="68702C07" w:rsidP="68702C07">
      <w:pPr>
        <w:spacing w:line="360" w:lineRule="auto"/>
        <w:jc w:val="both"/>
        <w:rPr>
          <w:rFonts w:ascii="Arial" w:eastAsia="Arial" w:hAnsi="Arial" w:cs="Arial"/>
          <w:b/>
          <w:bCs/>
          <w:sz w:val="22"/>
          <w:szCs w:val="22"/>
        </w:rPr>
      </w:pPr>
    </w:p>
    <w:p w14:paraId="5B6BDBDD" w14:textId="77777777" w:rsidR="00CA78F5" w:rsidRDefault="00CA78F5" w:rsidP="003D6478">
      <w:pPr>
        <w:pStyle w:val="Heading3"/>
        <w:spacing w:line="360" w:lineRule="auto"/>
        <w:jc w:val="both"/>
        <w:rPr>
          <w:rFonts w:ascii="Arial" w:eastAsia="Arial" w:hAnsi="Arial" w:cs="Arial"/>
          <w:b/>
          <w:bCs/>
          <w:color w:val="auto"/>
        </w:rPr>
      </w:pPr>
    </w:p>
    <w:p w14:paraId="25EC8B02" w14:textId="01E3E3B9" w:rsidR="002C336F" w:rsidRPr="00F60CAB" w:rsidRDefault="6E7C4460" w:rsidP="003D6478">
      <w:pPr>
        <w:pStyle w:val="Heading3"/>
        <w:spacing w:line="360" w:lineRule="auto"/>
        <w:jc w:val="both"/>
        <w:rPr>
          <w:rFonts w:ascii="Arial" w:eastAsia="Arial" w:hAnsi="Arial" w:cs="Arial"/>
          <w:b/>
          <w:bCs/>
          <w:color w:val="auto"/>
        </w:rPr>
      </w:pPr>
      <w:r w:rsidRPr="00F60CAB">
        <w:rPr>
          <w:rFonts w:ascii="Arial" w:eastAsia="Arial" w:hAnsi="Arial" w:cs="Arial"/>
          <w:b/>
          <w:bCs/>
          <w:color w:val="auto"/>
        </w:rPr>
        <w:t>Reference List</w:t>
      </w:r>
    </w:p>
    <w:p w14:paraId="27B4B763" w14:textId="3DF671FF" w:rsidR="002C336F" w:rsidRPr="003D6478" w:rsidRDefault="002C336F" w:rsidP="003D6478">
      <w:pPr>
        <w:spacing w:line="360" w:lineRule="auto"/>
        <w:jc w:val="both"/>
        <w:rPr>
          <w:rFonts w:ascii="Arial" w:hAnsi="Arial" w:cs="Arial"/>
          <w:sz w:val="22"/>
          <w:szCs w:val="22"/>
        </w:rPr>
      </w:pPr>
    </w:p>
    <w:p w14:paraId="181870B5" w14:textId="148F90FC" w:rsidR="002C336F" w:rsidRPr="003D6478" w:rsidRDefault="07C106F3" w:rsidP="003D6478">
      <w:pPr>
        <w:spacing w:line="360" w:lineRule="auto"/>
        <w:jc w:val="both"/>
        <w:rPr>
          <w:rFonts w:ascii="Arial" w:eastAsia="Arial" w:hAnsi="Arial" w:cs="Arial"/>
          <w:sz w:val="22"/>
          <w:szCs w:val="22"/>
        </w:rPr>
      </w:pPr>
      <w:r w:rsidRPr="003D6478">
        <w:rPr>
          <w:rFonts w:ascii="Arial" w:eastAsia="Arial" w:hAnsi="Arial" w:cs="Arial"/>
          <w:sz w:val="22"/>
          <w:szCs w:val="22"/>
        </w:rPr>
        <w:t xml:space="preserve">Aveyard, H. (2019) </w:t>
      </w:r>
      <w:r w:rsidRPr="003D6478">
        <w:rPr>
          <w:rFonts w:ascii="Arial" w:eastAsia="Arial" w:hAnsi="Arial" w:cs="Arial"/>
          <w:i/>
          <w:iCs/>
          <w:sz w:val="22"/>
          <w:szCs w:val="22"/>
        </w:rPr>
        <w:t>Doing a Literature Review in Health and Social Care: A Practical Guide</w:t>
      </w:r>
      <w:r w:rsidRPr="003D6478">
        <w:rPr>
          <w:rFonts w:ascii="Arial" w:eastAsia="Arial" w:hAnsi="Arial" w:cs="Arial"/>
          <w:sz w:val="22"/>
          <w:szCs w:val="22"/>
        </w:rPr>
        <w:t>. 4th edn. Maidenhead: Open University Press.</w:t>
      </w:r>
    </w:p>
    <w:p w14:paraId="2934DCB9" w14:textId="027B0EDE" w:rsidR="002C336F" w:rsidRPr="003D6478" w:rsidRDefault="002C336F" w:rsidP="003D6478">
      <w:pPr>
        <w:spacing w:line="360" w:lineRule="auto"/>
        <w:jc w:val="both"/>
        <w:rPr>
          <w:rFonts w:ascii="Arial" w:eastAsia="Arial" w:hAnsi="Arial" w:cs="Arial"/>
          <w:sz w:val="22"/>
          <w:szCs w:val="22"/>
        </w:rPr>
      </w:pPr>
    </w:p>
    <w:p w14:paraId="49B15CC3" w14:textId="6179E8BB" w:rsidR="002C336F" w:rsidRPr="003D6478" w:rsidRDefault="07C106F3" w:rsidP="003D6478">
      <w:pPr>
        <w:spacing w:line="360" w:lineRule="auto"/>
        <w:jc w:val="both"/>
        <w:rPr>
          <w:rFonts w:ascii="Arial" w:eastAsia="Arial" w:hAnsi="Arial" w:cs="Arial"/>
          <w:sz w:val="22"/>
          <w:szCs w:val="22"/>
        </w:rPr>
      </w:pPr>
      <w:r w:rsidRPr="003D6478">
        <w:rPr>
          <w:rFonts w:ascii="Arial" w:eastAsia="Arial" w:hAnsi="Arial" w:cs="Arial"/>
          <w:sz w:val="22"/>
          <w:szCs w:val="22"/>
        </w:rPr>
        <w:t xml:space="preserve">Arksey, H. and O'Malley, L. (2005) ‘Scoping studies: towards a methodological framework’, </w:t>
      </w:r>
      <w:r w:rsidRPr="003D6478">
        <w:rPr>
          <w:rFonts w:ascii="Arial" w:eastAsia="Arial" w:hAnsi="Arial" w:cs="Arial"/>
          <w:i/>
          <w:iCs/>
          <w:sz w:val="22"/>
          <w:szCs w:val="22"/>
        </w:rPr>
        <w:t>International Journal of Social Research Methodology</w:t>
      </w:r>
      <w:r w:rsidRPr="003D6478">
        <w:rPr>
          <w:rFonts w:ascii="Arial" w:eastAsia="Arial" w:hAnsi="Arial" w:cs="Arial"/>
          <w:sz w:val="22"/>
          <w:szCs w:val="22"/>
        </w:rPr>
        <w:t>, 8(1), pp. 19–32.</w:t>
      </w:r>
    </w:p>
    <w:p w14:paraId="05F3213E" w14:textId="4BE69EE1" w:rsidR="002C336F" w:rsidRPr="003D6478" w:rsidRDefault="002C336F" w:rsidP="003D6478">
      <w:pPr>
        <w:spacing w:line="360" w:lineRule="auto"/>
        <w:jc w:val="both"/>
        <w:rPr>
          <w:rFonts w:ascii="Arial" w:eastAsia="Arial" w:hAnsi="Arial" w:cs="Arial"/>
          <w:sz w:val="22"/>
          <w:szCs w:val="22"/>
        </w:rPr>
      </w:pPr>
    </w:p>
    <w:p w14:paraId="3C8C2D82" w14:textId="74345990" w:rsidR="002C336F" w:rsidRPr="003D6478" w:rsidRDefault="07C106F3" w:rsidP="003D6478">
      <w:pPr>
        <w:spacing w:line="360" w:lineRule="auto"/>
        <w:jc w:val="both"/>
        <w:rPr>
          <w:rFonts w:ascii="Arial" w:eastAsia="Arial" w:hAnsi="Arial" w:cs="Arial"/>
          <w:sz w:val="22"/>
          <w:szCs w:val="22"/>
        </w:rPr>
      </w:pPr>
      <w:r w:rsidRPr="003D6478">
        <w:rPr>
          <w:rFonts w:ascii="Arial" w:eastAsia="Arial" w:hAnsi="Arial" w:cs="Arial"/>
          <w:sz w:val="22"/>
          <w:szCs w:val="22"/>
        </w:rPr>
        <w:t xml:space="preserve">Boelen, P.A., Lenferink, L.I.M., Nickerson, A. and Smid, G.E. (2020) ‘Evaluation of distinctiveness of symptoms of prolonged grief, PTSD and depression after bereavement’, </w:t>
      </w:r>
      <w:r w:rsidRPr="003D6478">
        <w:rPr>
          <w:rFonts w:ascii="Arial" w:eastAsia="Arial" w:hAnsi="Arial" w:cs="Arial"/>
          <w:i/>
          <w:iCs/>
          <w:sz w:val="22"/>
          <w:szCs w:val="22"/>
        </w:rPr>
        <w:t>Journal of Affective Disorders</w:t>
      </w:r>
      <w:r w:rsidRPr="003D6478">
        <w:rPr>
          <w:rFonts w:ascii="Arial" w:eastAsia="Arial" w:hAnsi="Arial" w:cs="Arial"/>
          <w:sz w:val="22"/>
          <w:szCs w:val="22"/>
        </w:rPr>
        <w:t>, 268, pp. 1–7.</w:t>
      </w:r>
    </w:p>
    <w:p w14:paraId="1DC5D341" w14:textId="0DBC39E3" w:rsidR="002C336F" w:rsidRPr="003D6478" w:rsidRDefault="002C336F" w:rsidP="003D6478">
      <w:pPr>
        <w:spacing w:line="360" w:lineRule="auto"/>
        <w:jc w:val="both"/>
        <w:rPr>
          <w:rFonts w:ascii="Arial" w:eastAsia="Arial" w:hAnsi="Arial" w:cs="Arial"/>
          <w:sz w:val="22"/>
          <w:szCs w:val="22"/>
        </w:rPr>
      </w:pPr>
    </w:p>
    <w:p w14:paraId="06064C11" w14:textId="02B978F6" w:rsidR="002C336F" w:rsidRPr="003D6478" w:rsidRDefault="07C106F3" w:rsidP="003D6478">
      <w:pPr>
        <w:spacing w:line="360" w:lineRule="auto"/>
        <w:jc w:val="both"/>
        <w:rPr>
          <w:rFonts w:ascii="Arial" w:eastAsia="Arial" w:hAnsi="Arial" w:cs="Arial"/>
          <w:sz w:val="22"/>
          <w:szCs w:val="22"/>
        </w:rPr>
      </w:pPr>
      <w:r w:rsidRPr="003D6478">
        <w:rPr>
          <w:rFonts w:ascii="Arial" w:eastAsia="Arial" w:hAnsi="Arial" w:cs="Arial"/>
          <w:sz w:val="22"/>
          <w:szCs w:val="22"/>
        </w:rPr>
        <w:t xml:space="preserve">Koffman, J., Donaldson, N., Hotopf, M. and Higginson, I.J. (2005) ‘Does ethnicity matter? Bereavement outcomes in two ethnic groups living in the United Kingdom’, </w:t>
      </w:r>
      <w:r w:rsidRPr="003D6478">
        <w:rPr>
          <w:rFonts w:ascii="Arial" w:eastAsia="Arial" w:hAnsi="Arial" w:cs="Arial"/>
          <w:i/>
          <w:iCs/>
          <w:sz w:val="22"/>
          <w:szCs w:val="22"/>
        </w:rPr>
        <w:t>Palliative and Supportive Care</w:t>
      </w:r>
      <w:r w:rsidRPr="003D6478">
        <w:rPr>
          <w:rFonts w:ascii="Arial" w:eastAsia="Arial" w:hAnsi="Arial" w:cs="Arial"/>
          <w:sz w:val="22"/>
          <w:szCs w:val="22"/>
        </w:rPr>
        <w:t>, 3(3), pp. 183–190.</w:t>
      </w:r>
    </w:p>
    <w:p w14:paraId="462F9DF4" w14:textId="4FEE1C6A" w:rsidR="002C336F" w:rsidRPr="003D6478" w:rsidRDefault="002C336F" w:rsidP="003D6478">
      <w:pPr>
        <w:spacing w:line="360" w:lineRule="auto"/>
        <w:jc w:val="both"/>
        <w:rPr>
          <w:rFonts w:ascii="Arial" w:eastAsia="Arial" w:hAnsi="Arial" w:cs="Arial"/>
          <w:sz w:val="22"/>
          <w:szCs w:val="22"/>
        </w:rPr>
      </w:pPr>
    </w:p>
    <w:p w14:paraId="5249F995" w14:textId="14B5D3C4" w:rsidR="002C336F" w:rsidRPr="003D6478" w:rsidRDefault="07C106F3" w:rsidP="003D6478">
      <w:pPr>
        <w:spacing w:line="360" w:lineRule="auto"/>
        <w:jc w:val="both"/>
        <w:rPr>
          <w:rFonts w:ascii="Arial" w:eastAsia="Arial" w:hAnsi="Arial" w:cs="Arial"/>
          <w:sz w:val="22"/>
          <w:szCs w:val="22"/>
        </w:rPr>
      </w:pPr>
      <w:r w:rsidRPr="003D6478">
        <w:rPr>
          <w:rFonts w:ascii="Arial" w:eastAsia="Arial" w:hAnsi="Arial" w:cs="Arial"/>
          <w:sz w:val="22"/>
          <w:szCs w:val="22"/>
        </w:rPr>
        <w:t xml:space="preserve">Mayland, C.R., Powell, R.A., Clarke, G.C., Ebenso, B. and Allsop, M.J. (2021) ‘Bereavement care for ethnic minority communities: A systematic review of access to, models of, outcomes from, and satisfaction with, service provision’, </w:t>
      </w:r>
      <w:r w:rsidRPr="003D6478">
        <w:rPr>
          <w:rFonts w:ascii="Arial" w:eastAsia="Arial" w:hAnsi="Arial" w:cs="Arial"/>
          <w:i/>
          <w:iCs/>
          <w:sz w:val="22"/>
          <w:szCs w:val="22"/>
        </w:rPr>
        <w:t>PLoS ONE</w:t>
      </w:r>
      <w:r w:rsidRPr="003D6478">
        <w:rPr>
          <w:rFonts w:ascii="Arial" w:eastAsia="Arial" w:hAnsi="Arial" w:cs="Arial"/>
          <w:sz w:val="22"/>
          <w:szCs w:val="22"/>
        </w:rPr>
        <w:t>, 16(6), e0252188.</w:t>
      </w:r>
    </w:p>
    <w:p w14:paraId="0D2751C6" w14:textId="41580959" w:rsidR="002C336F" w:rsidRPr="003D6478" w:rsidRDefault="002C336F" w:rsidP="003D6478">
      <w:pPr>
        <w:spacing w:line="360" w:lineRule="auto"/>
        <w:jc w:val="both"/>
        <w:rPr>
          <w:rFonts w:ascii="Arial" w:eastAsia="Arial" w:hAnsi="Arial" w:cs="Arial"/>
          <w:sz w:val="22"/>
          <w:szCs w:val="22"/>
        </w:rPr>
      </w:pPr>
    </w:p>
    <w:p w14:paraId="10A0D9B3" w14:textId="6EB07D87" w:rsidR="002C336F" w:rsidRPr="003D6478" w:rsidRDefault="07C106F3" w:rsidP="003D6478">
      <w:pPr>
        <w:spacing w:line="360" w:lineRule="auto"/>
        <w:jc w:val="both"/>
        <w:rPr>
          <w:rFonts w:ascii="Arial" w:eastAsia="Arial" w:hAnsi="Arial" w:cs="Arial"/>
          <w:sz w:val="22"/>
          <w:szCs w:val="22"/>
        </w:rPr>
      </w:pPr>
      <w:r w:rsidRPr="003D6478">
        <w:rPr>
          <w:rFonts w:ascii="Arial" w:eastAsia="Arial" w:hAnsi="Arial" w:cs="Arial"/>
          <w:sz w:val="22"/>
          <w:szCs w:val="22"/>
        </w:rPr>
        <w:t xml:space="preserve">Morina, N., Rudari, V., Bleichhardt, G. and Prigerson, H.G. (2010) ‘Prolonged grief disorder, depression and PTSD among bereaved survivors’, </w:t>
      </w:r>
      <w:r w:rsidRPr="003D6478">
        <w:rPr>
          <w:rFonts w:ascii="Arial" w:eastAsia="Arial" w:hAnsi="Arial" w:cs="Arial"/>
          <w:i/>
          <w:iCs/>
          <w:sz w:val="22"/>
          <w:szCs w:val="22"/>
        </w:rPr>
        <w:t>BMC Psychiatry</w:t>
      </w:r>
      <w:r w:rsidRPr="003D6478">
        <w:rPr>
          <w:rFonts w:ascii="Arial" w:eastAsia="Arial" w:hAnsi="Arial" w:cs="Arial"/>
          <w:sz w:val="22"/>
          <w:szCs w:val="22"/>
        </w:rPr>
        <w:t>, 10(88), pp. 1–9.</w:t>
      </w:r>
    </w:p>
    <w:p w14:paraId="0C8D89A6" w14:textId="59FE076A" w:rsidR="002C336F" w:rsidRPr="003D6478" w:rsidRDefault="07C106F3" w:rsidP="003D6478">
      <w:pPr>
        <w:spacing w:line="360" w:lineRule="auto"/>
        <w:jc w:val="both"/>
        <w:rPr>
          <w:rFonts w:ascii="Arial" w:eastAsia="Arial" w:hAnsi="Arial" w:cs="Arial"/>
          <w:sz w:val="22"/>
          <w:szCs w:val="22"/>
        </w:rPr>
      </w:pPr>
      <w:r w:rsidRPr="003D6478">
        <w:rPr>
          <w:rFonts w:ascii="Arial" w:eastAsia="Arial" w:hAnsi="Arial" w:cs="Arial"/>
          <w:sz w:val="22"/>
          <w:szCs w:val="22"/>
        </w:rPr>
        <w:t xml:space="preserve">National Institute for Health and Care Excellence (NICE) (2018) </w:t>
      </w:r>
      <w:bookmarkStart w:id="21" w:name="_Int_pzqk4OXy"/>
      <w:r w:rsidRPr="003D6478">
        <w:rPr>
          <w:rFonts w:ascii="Arial" w:eastAsia="Arial" w:hAnsi="Arial" w:cs="Arial"/>
          <w:i/>
          <w:iCs/>
          <w:sz w:val="22"/>
          <w:szCs w:val="22"/>
        </w:rPr>
        <w:t>Post-traumatic</w:t>
      </w:r>
      <w:bookmarkEnd w:id="21"/>
      <w:r w:rsidRPr="003D6478">
        <w:rPr>
          <w:rFonts w:ascii="Arial" w:eastAsia="Arial" w:hAnsi="Arial" w:cs="Arial"/>
          <w:i/>
          <w:iCs/>
          <w:sz w:val="22"/>
          <w:szCs w:val="22"/>
        </w:rPr>
        <w:t xml:space="preserve"> stress disorder (NG116)</w:t>
      </w:r>
      <w:r w:rsidRPr="003D6478">
        <w:rPr>
          <w:rFonts w:ascii="Arial" w:eastAsia="Arial" w:hAnsi="Arial" w:cs="Arial"/>
          <w:sz w:val="22"/>
          <w:szCs w:val="22"/>
        </w:rPr>
        <w:t xml:space="preserve">. Available at: </w:t>
      </w:r>
      <w:hyperlink r:id="rId7">
        <w:r w:rsidRPr="003D6478">
          <w:rPr>
            <w:rStyle w:val="Hyperlink"/>
            <w:rFonts w:ascii="Arial" w:eastAsia="Arial" w:hAnsi="Arial" w:cs="Arial"/>
            <w:sz w:val="22"/>
            <w:szCs w:val="22"/>
          </w:rPr>
          <w:t>https://www.nice.org.uk/guidance/ng116</w:t>
        </w:r>
      </w:hyperlink>
      <w:r w:rsidRPr="003D6478">
        <w:rPr>
          <w:rFonts w:ascii="Arial" w:eastAsia="Arial" w:hAnsi="Arial" w:cs="Arial"/>
          <w:sz w:val="22"/>
          <w:szCs w:val="22"/>
        </w:rPr>
        <w:t xml:space="preserve"> (Accessed: 5 June 2026).</w:t>
      </w:r>
    </w:p>
    <w:p w14:paraId="29E6E90D" w14:textId="1E1D3906" w:rsidR="002C336F" w:rsidRPr="003D6478" w:rsidRDefault="002C336F" w:rsidP="003D6478">
      <w:pPr>
        <w:spacing w:line="360" w:lineRule="auto"/>
        <w:jc w:val="both"/>
        <w:rPr>
          <w:rFonts w:ascii="Arial" w:eastAsia="Arial" w:hAnsi="Arial" w:cs="Arial"/>
          <w:sz w:val="22"/>
          <w:szCs w:val="22"/>
        </w:rPr>
      </w:pPr>
    </w:p>
    <w:p w14:paraId="41F1C384" w14:textId="193BE89B" w:rsidR="002C336F" w:rsidRPr="003D6478" w:rsidRDefault="07C106F3" w:rsidP="003D6478">
      <w:pPr>
        <w:spacing w:line="360" w:lineRule="auto"/>
        <w:jc w:val="both"/>
        <w:rPr>
          <w:rFonts w:ascii="Arial" w:eastAsia="Arial" w:hAnsi="Arial" w:cs="Arial"/>
          <w:sz w:val="22"/>
          <w:szCs w:val="22"/>
        </w:rPr>
      </w:pPr>
      <w:r w:rsidRPr="003D6478">
        <w:rPr>
          <w:rFonts w:ascii="Arial" w:eastAsia="Arial" w:hAnsi="Arial" w:cs="Arial"/>
          <w:sz w:val="22"/>
          <w:szCs w:val="22"/>
        </w:rPr>
        <w:t xml:space="preserve">Peters, M.D.J., Godfrey, C., McInerney, P., Munn, Z., Tricco, A.C. and Khalil, H. (2020) ‘Chapter 11: Scoping Reviews’. In: Aromataris, E. and Munn, Z. (eds.) </w:t>
      </w:r>
      <w:r w:rsidRPr="003D6478">
        <w:rPr>
          <w:rFonts w:ascii="Arial" w:eastAsia="Arial" w:hAnsi="Arial" w:cs="Arial"/>
          <w:i/>
          <w:iCs/>
          <w:sz w:val="22"/>
          <w:szCs w:val="22"/>
        </w:rPr>
        <w:t>JBI Manual for Evidence Synthesis</w:t>
      </w:r>
      <w:r w:rsidRPr="003D6478">
        <w:rPr>
          <w:rFonts w:ascii="Arial" w:eastAsia="Arial" w:hAnsi="Arial" w:cs="Arial"/>
          <w:sz w:val="22"/>
          <w:szCs w:val="22"/>
        </w:rPr>
        <w:t xml:space="preserve">. Available at: </w:t>
      </w:r>
      <w:hyperlink r:id="rId8">
        <w:r w:rsidRPr="003D6478">
          <w:rPr>
            <w:rStyle w:val="Hyperlink"/>
            <w:rFonts w:ascii="Arial" w:eastAsia="Arial" w:hAnsi="Arial" w:cs="Arial"/>
            <w:sz w:val="22"/>
            <w:szCs w:val="22"/>
          </w:rPr>
          <w:t>https://jbi-global-wiki.refined.site/space/MANUAL</w:t>
        </w:r>
      </w:hyperlink>
      <w:r w:rsidRPr="003D6478">
        <w:rPr>
          <w:rFonts w:ascii="Arial" w:eastAsia="Arial" w:hAnsi="Arial" w:cs="Arial"/>
          <w:sz w:val="22"/>
          <w:szCs w:val="22"/>
        </w:rPr>
        <w:t xml:space="preserve"> (Accessed: 5 June 2026).</w:t>
      </w:r>
    </w:p>
    <w:p w14:paraId="0E97217D" w14:textId="2B857C7B" w:rsidR="002C336F" w:rsidRPr="003D6478" w:rsidRDefault="002C336F" w:rsidP="003D6478">
      <w:pPr>
        <w:spacing w:line="360" w:lineRule="auto"/>
        <w:jc w:val="both"/>
        <w:rPr>
          <w:rFonts w:ascii="Arial" w:eastAsia="Arial" w:hAnsi="Arial" w:cs="Arial"/>
          <w:sz w:val="22"/>
          <w:szCs w:val="22"/>
        </w:rPr>
      </w:pPr>
    </w:p>
    <w:p w14:paraId="5DCEC65D" w14:textId="02FBFC6E" w:rsidR="002C336F" w:rsidRPr="003D6478" w:rsidRDefault="07C106F3" w:rsidP="003D6478">
      <w:pPr>
        <w:spacing w:line="360" w:lineRule="auto"/>
        <w:jc w:val="both"/>
        <w:rPr>
          <w:rFonts w:ascii="Arial" w:eastAsia="Arial" w:hAnsi="Arial" w:cs="Arial"/>
          <w:sz w:val="22"/>
          <w:szCs w:val="22"/>
        </w:rPr>
      </w:pPr>
      <w:r w:rsidRPr="003D6478">
        <w:rPr>
          <w:rFonts w:ascii="Arial" w:eastAsia="Arial" w:hAnsi="Arial" w:cs="Arial"/>
          <w:sz w:val="22"/>
          <w:szCs w:val="22"/>
        </w:rPr>
        <w:t xml:space="preserve">Roberts, A.L., Gilman, S.E., Breslau, J., Breslau, </w:t>
      </w:r>
      <w:bookmarkStart w:id="22" w:name="_Int_fPgmfm5C"/>
      <w:r w:rsidRPr="003D6478">
        <w:rPr>
          <w:rFonts w:ascii="Arial" w:eastAsia="Arial" w:hAnsi="Arial" w:cs="Arial"/>
          <w:sz w:val="22"/>
          <w:szCs w:val="22"/>
        </w:rPr>
        <w:t>N.</w:t>
      </w:r>
      <w:bookmarkEnd w:id="22"/>
      <w:r w:rsidRPr="003D6478">
        <w:rPr>
          <w:rFonts w:ascii="Arial" w:eastAsia="Arial" w:hAnsi="Arial" w:cs="Arial"/>
          <w:sz w:val="22"/>
          <w:szCs w:val="22"/>
        </w:rPr>
        <w:t xml:space="preserve"> and Koenen, K.C. (2011) ‘Race/ethnic differences in exposure to traumatic events, development of PTSD and treatment-seeking for PTSD’, </w:t>
      </w:r>
      <w:r w:rsidRPr="003D6478">
        <w:rPr>
          <w:rFonts w:ascii="Arial" w:eastAsia="Arial" w:hAnsi="Arial" w:cs="Arial"/>
          <w:i/>
          <w:iCs/>
          <w:sz w:val="22"/>
          <w:szCs w:val="22"/>
        </w:rPr>
        <w:t>Psychological Medicine</w:t>
      </w:r>
      <w:r w:rsidRPr="003D6478">
        <w:rPr>
          <w:rFonts w:ascii="Arial" w:eastAsia="Arial" w:hAnsi="Arial" w:cs="Arial"/>
          <w:sz w:val="22"/>
          <w:szCs w:val="22"/>
        </w:rPr>
        <w:t>, 41(1), pp. 71–83.</w:t>
      </w:r>
    </w:p>
    <w:p w14:paraId="78369483" w14:textId="541CB9E0" w:rsidR="002C336F" w:rsidRPr="003D6478" w:rsidRDefault="002C336F" w:rsidP="003D6478">
      <w:pPr>
        <w:spacing w:line="360" w:lineRule="auto"/>
        <w:jc w:val="both"/>
        <w:rPr>
          <w:rFonts w:ascii="Arial" w:eastAsia="Arial" w:hAnsi="Arial" w:cs="Arial"/>
          <w:sz w:val="22"/>
          <w:szCs w:val="22"/>
        </w:rPr>
      </w:pPr>
    </w:p>
    <w:p w14:paraId="7B99E1D1" w14:textId="3CE3A7D6" w:rsidR="002C336F" w:rsidRPr="003D6478" w:rsidRDefault="07C106F3" w:rsidP="003D6478">
      <w:pPr>
        <w:spacing w:line="360" w:lineRule="auto"/>
        <w:jc w:val="both"/>
        <w:rPr>
          <w:rFonts w:ascii="Arial" w:eastAsia="Arial" w:hAnsi="Arial" w:cs="Arial"/>
          <w:sz w:val="22"/>
          <w:szCs w:val="22"/>
        </w:rPr>
      </w:pPr>
      <w:r w:rsidRPr="003D6478">
        <w:rPr>
          <w:rFonts w:ascii="Arial" w:eastAsia="Arial" w:hAnsi="Arial" w:cs="Arial"/>
          <w:sz w:val="22"/>
          <w:szCs w:val="22"/>
        </w:rPr>
        <w:t xml:space="preserve">Schnyder, U., Bryant, R.A., Ehlers, A., Foa, E.B., Hasanovic, M., Hinkka, S. and Nickerson, A. (2016) ‘Culture-sensitive psychotraumatology’, </w:t>
      </w:r>
      <w:r w:rsidRPr="003D6478">
        <w:rPr>
          <w:rFonts w:ascii="Arial" w:eastAsia="Arial" w:hAnsi="Arial" w:cs="Arial"/>
          <w:i/>
          <w:iCs/>
          <w:sz w:val="22"/>
          <w:szCs w:val="22"/>
        </w:rPr>
        <w:t>European Journal of Psychotraumatology</w:t>
      </w:r>
      <w:r w:rsidRPr="003D6478">
        <w:rPr>
          <w:rFonts w:ascii="Arial" w:eastAsia="Arial" w:hAnsi="Arial" w:cs="Arial"/>
          <w:sz w:val="22"/>
          <w:szCs w:val="22"/>
        </w:rPr>
        <w:t>, 7(1), pp. 1–8.</w:t>
      </w:r>
    </w:p>
    <w:p w14:paraId="7512E0AD" w14:textId="41C9F76E" w:rsidR="002C336F" w:rsidRPr="00804374" w:rsidRDefault="002C336F" w:rsidP="72C1E8D1">
      <w:pPr>
        <w:spacing w:line="360" w:lineRule="auto"/>
        <w:jc w:val="both"/>
        <w:rPr>
          <w:rFonts w:ascii="Arial" w:eastAsia="Arial" w:hAnsi="Arial" w:cs="Arial"/>
          <w:sz w:val="22"/>
          <w:szCs w:val="22"/>
        </w:rPr>
      </w:pPr>
    </w:p>
    <w:p w14:paraId="44652DF0" w14:textId="0AD10205" w:rsidR="002C336F" w:rsidRPr="00804374" w:rsidRDefault="002C336F" w:rsidP="72C1E8D1">
      <w:pPr>
        <w:spacing w:line="360" w:lineRule="auto"/>
        <w:jc w:val="both"/>
        <w:rPr>
          <w:rFonts w:ascii="Arial" w:eastAsia="Arial" w:hAnsi="Arial" w:cs="Arial"/>
          <w:sz w:val="22"/>
          <w:szCs w:val="22"/>
        </w:rPr>
      </w:pPr>
    </w:p>
    <w:p w14:paraId="6D5874F2" w14:textId="77777777" w:rsidR="000D59F4" w:rsidRPr="005C6194" w:rsidRDefault="000D59F4" w:rsidP="72C1E8D1">
      <w:pPr>
        <w:spacing w:line="360" w:lineRule="auto"/>
        <w:jc w:val="both"/>
        <w:rPr>
          <w:rFonts w:ascii="Arial" w:eastAsia="Arial" w:hAnsi="Arial" w:cs="Arial"/>
          <w:sz w:val="22"/>
          <w:szCs w:val="22"/>
        </w:rPr>
      </w:pPr>
    </w:p>
    <w:p w14:paraId="6032738F" w14:textId="5CF502B1" w:rsidR="002C336F" w:rsidRPr="005C6194" w:rsidRDefault="002C336F" w:rsidP="72C1E8D1">
      <w:pPr>
        <w:spacing w:line="360" w:lineRule="auto"/>
        <w:jc w:val="both"/>
        <w:rPr>
          <w:rFonts w:ascii="Arial" w:eastAsia="Arial" w:hAnsi="Arial" w:cs="Arial"/>
          <w:sz w:val="22"/>
          <w:szCs w:val="22"/>
        </w:rPr>
      </w:pPr>
    </w:p>
    <w:sectPr w:rsidR="002C336F" w:rsidRPr="005C6194">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E8CE68" w14:textId="77777777" w:rsidR="00C3600D" w:rsidRDefault="00C3600D" w:rsidP="00805CE3">
      <w:pPr>
        <w:spacing w:after="0" w:line="240" w:lineRule="auto"/>
      </w:pPr>
      <w:r>
        <w:separator/>
      </w:r>
    </w:p>
  </w:endnote>
  <w:endnote w:type="continuationSeparator" w:id="0">
    <w:p w14:paraId="6D1CC507" w14:textId="77777777" w:rsidR="00C3600D" w:rsidRDefault="00C3600D" w:rsidP="00805C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9953047"/>
      <w:docPartObj>
        <w:docPartGallery w:val="Page Numbers (Bottom of Page)"/>
        <w:docPartUnique/>
      </w:docPartObj>
    </w:sdtPr>
    <w:sdtContent>
      <w:p w14:paraId="72F34DB2" w14:textId="2CA76DF0" w:rsidR="00805CE3" w:rsidRDefault="00805CE3" w:rsidP="00416FC7">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90D00B4" w14:textId="77777777" w:rsidR="00805CE3" w:rsidRDefault="00805CE3" w:rsidP="00805CE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94333466"/>
      <w:docPartObj>
        <w:docPartGallery w:val="Page Numbers (Bottom of Page)"/>
        <w:docPartUnique/>
      </w:docPartObj>
    </w:sdtPr>
    <w:sdtContent>
      <w:p w14:paraId="45281113" w14:textId="1A542356" w:rsidR="00805CE3" w:rsidRDefault="00805CE3" w:rsidP="00416FC7">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76780D8" w14:textId="77777777" w:rsidR="00805CE3" w:rsidRDefault="00805CE3" w:rsidP="00805CE3">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221779" w14:textId="77777777" w:rsidR="00805CE3" w:rsidRDefault="00805C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C5654C" w14:textId="77777777" w:rsidR="00C3600D" w:rsidRDefault="00C3600D" w:rsidP="00805CE3">
      <w:pPr>
        <w:spacing w:after="0" w:line="240" w:lineRule="auto"/>
      </w:pPr>
      <w:r>
        <w:separator/>
      </w:r>
    </w:p>
  </w:footnote>
  <w:footnote w:type="continuationSeparator" w:id="0">
    <w:p w14:paraId="01208AA4" w14:textId="77777777" w:rsidR="00C3600D" w:rsidRDefault="00C3600D" w:rsidP="00805C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C8D9BD" w14:textId="77777777" w:rsidR="00805CE3" w:rsidRDefault="00805CE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280A4B" w14:textId="77777777" w:rsidR="00805CE3" w:rsidRDefault="00805CE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656BC1" w14:textId="77777777" w:rsidR="00805CE3" w:rsidRDefault="00805CE3">
    <w:pPr>
      <w:pStyle w:val="Header"/>
    </w:pPr>
  </w:p>
</w:hdr>
</file>

<file path=word/intelligence2.xml><?xml version="1.0" encoding="utf-8"?>
<int2:intelligence xmlns:int2="http://schemas.microsoft.com/office/intelligence/2020/intelligence" xmlns:oel="http://schemas.microsoft.com/office/2019/extlst">
  <int2:observations>
    <int2:textHash int2:hashCode="Y8xwGE02uOSIvi" int2:id="5KKEp3W2">
      <int2:state int2:value="Rejected" int2:type="spell"/>
    </int2:textHash>
    <int2:textHash int2:hashCode="Y7rxyEYEGk+h8X" int2:id="9uQ7zmlO">
      <int2:state int2:value="Rejected" int2:type="spell"/>
    </int2:textHash>
    <int2:textHash int2:hashCode="TVNRLLhH2I+2zh" int2:id="HTrL1ehl">
      <int2:state int2:value="Rejected" int2:type="spell"/>
    </int2:textHash>
    <int2:textHash int2:hashCode="jNwy3S0g9f3dja" int2:id="JVEP8RAV">
      <int2:state int2:value="Rejected" int2:type="spell"/>
    </int2:textHash>
    <int2:textHash int2:hashCode="tgIFvtQuV1Jk9r" int2:id="MqqvuaXj">
      <int2:state int2:value="Rejected" int2:type="spell"/>
    </int2:textHash>
    <int2:textHash int2:hashCode="XRvw+KATqieBQ2" int2:id="NsOSLyw8">
      <int2:state int2:value="Rejected" int2:type="spell"/>
    </int2:textHash>
    <int2:textHash int2:hashCode="SL/ieCCCkINOdP" int2:id="TUmc7lw2">
      <int2:state int2:value="Rejected" int2:type="spell"/>
    </int2:textHash>
    <int2:textHash int2:hashCode="TaUNCpEh0sOBot" int2:id="kTJy5aHv">
      <int2:state int2:value="Rejected" int2:type="spell"/>
    </int2:textHash>
    <int2:textHash int2:hashCode="Bu47oI6OPH30Fp" int2:id="kZCZBLrc">
      <int2:state int2:value="Rejected" int2:type="spell"/>
    </int2:textHash>
    <int2:textHash int2:hashCode="e94jhGmMgMkO26" int2:id="qPGtOrTo">
      <int2:state int2:value="Rejected" int2:type="spell"/>
    </int2:textHash>
    <int2:textHash int2:hashCode="gWpM8TaoroPx6R" int2:id="yuiYgNvc">
      <int2:state int2:value="Rejected" int2:type="spell"/>
    </int2:textHash>
    <int2:bookmark int2:bookmarkName="_Int_BddeQkkB" int2:invalidationBookmarkName="" int2:hashCode="m/D4/19di8v/ud" int2:id="0DAF2abs">
      <int2:state int2:value="Rejected" int2:type="style"/>
    </int2:bookmark>
    <int2:bookmark int2:bookmarkName="_Int_1nQhUw41" int2:invalidationBookmarkName="" int2:hashCode="XnBZUbOy6FEQ0N" int2:id="3W6RS884">
      <int2:state int2:value="Rejected" int2:type="style"/>
    </int2:bookmark>
    <int2:bookmark int2:bookmarkName="_Int_fO7EDODY" int2:invalidationBookmarkName="" int2:hashCode="mBjmn2kT3SH8Cg" int2:id="5fC760n2">
      <int2:state int2:value="Rejected" int2:type="style"/>
    </int2:bookmark>
    <int2:bookmark int2:bookmarkName="_Int_MRKExhA5" int2:invalidationBookmarkName="" int2:hashCode="43K/JlIt1QZTyM" int2:id="5qqLkBsR">
      <int2:state int2:value="Rejected" int2:type="style"/>
    </int2:bookmark>
    <int2:bookmark int2:bookmarkName="_Int_jWv2QjpR" int2:invalidationBookmarkName="" int2:hashCode="O30PzcGzgilo0B" int2:id="5v3f634i">
      <int2:state int2:value="Rejected" int2:type="style"/>
    </int2:bookmark>
    <int2:bookmark int2:bookmarkName="_Int_pzqk4OXy" int2:invalidationBookmarkName="" int2:hashCode="YYibKW0Yy0Mk9n" int2:id="BTwcJ3ov">
      <int2:state int2:value="Rejected" int2:type="gram"/>
    </int2:bookmark>
    <int2:bookmark int2:bookmarkName="_Int_0eh4iOZ8" int2:invalidationBookmarkName="" int2:hashCode="csj3W2JXL1myG9" int2:id="CRqNd2e3">
      <int2:state int2:value="Rejected" int2:type="style"/>
    </int2:bookmark>
    <int2:bookmark int2:bookmarkName="_Int_Oq2cIfCh" int2:invalidationBookmarkName="" int2:hashCode="dkmkRuVDysnpuX" int2:id="Cjgu2M1R">
      <int2:state int2:value="Rejected" int2:type="style"/>
    </int2:bookmark>
    <int2:bookmark int2:bookmarkName="_Int_TjDADjqX" int2:invalidationBookmarkName="" int2:hashCode="tnsYK9K0bgIv58" int2:id="EH2Gdk33">
      <int2:state int2:value="Rejected" int2:type="style"/>
    </int2:bookmark>
    <int2:bookmark int2:bookmarkName="_Int_OcbpvKcK" int2:invalidationBookmarkName="" int2:hashCode="uM7+ttafA4Mlv/" int2:id="JbbzRmSc">
      <int2:state int2:value="Rejected" int2:type="style"/>
    </int2:bookmark>
    <int2:bookmark int2:bookmarkName="_Int_3PmdtNPm" int2:invalidationBookmarkName="" int2:hashCode="ySxSngcxxX79dV" int2:id="KiKFj6Zt">
      <int2:state int2:value="Rejected" int2:type="style"/>
    </int2:bookmark>
    <int2:bookmark int2:bookmarkName="_Int_EECJuw2f" int2:invalidationBookmarkName="" int2:hashCode="hX/45hd2EspNt9" int2:id="NejXjewH">
      <int2:state int2:value="Rejected" int2:type="style"/>
    </int2:bookmark>
    <int2:bookmark int2:bookmarkName="_Int_RB4dyC5p" int2:invalidationBookmarkName="" int2:hashCode="iglNtIaL8oLiQR" int2:id="PU2bV70r">
      <int2:state int2:value="Rejected" int2:type="style"/>
    </int2:bookmark>
    <int2:bookmark int2:bookmarkName="_Int_8Gr5Sgcj" int2:invalidationBookmarkName="" int2:hashCode="m/D4/19di8v/ud" int2:id="R3wu4c27">
      <int2:state int2:value="Rejected" int2:type="style"/>
    </int2:bookmark>
    <int2:bookmark int2:bookmarkName="_Int_fPgmfm5C" int2:invalidationBookmarkName="" int2:hashCode="1wvXvcZNNvM3vk" int2:id="RjZSthCv">
      <int2:state int2:value="Rejected" int2:type="style"/>
    </int2:bookmark>
    <int2:bookmark int2:bookmarkName="_Int_rQlAUrb9" int2:invalidationBookmarkName="" int2:hashCode="m/D4/19di8v/ud" int2:id="YowZQNS0">
      <int2:state int2:value="Rejected" int2:type="style"/>
    </int2:bookmark>
    <int2:bookmark int2:bookmarkName="_Int_6lEXOB4N" int2:invalidationBookmarkName="" int2:hashCode="yKDJq+Wfh/D8zr" int2:id="afUDks0A">
      <int2:state int2:value="Rejected" int2:type="style"/>
    </int2:bookmark>
    <int2:bookmark int2:bookmarkName="_Int_XSODskTo" int2:invalidationBookmarkName="" int2:hashCode="zWK7QUXf3oD1Im" int2:id="eYqIaT27">
      <int2:state int2:value="Rejected" int2:type="style"/>
    </int2:bookmark>
    <int2:bookmark int2:bookmarkName="_Int_E4DfDw4T" int2:invalidationBookmarkName="" int2:hashCode="ZanletI6wlweVG" int2:id="hRnUmUQl">
      <int2:state int2:value="Rejected" int2:type="style"/>
    </int2:bookmark>
    <int2:bookmark int2:bookmarkName="_Int_Xa2ifKUZ" int2:invalidationBookmarkName="" int2:hashCode="RGqULZzFiJtYZr" int2:id="kamWg90i">
      <int2:state int2:value="Rejected" int2:type="style"/>
    </int2:bookmark>
    <int2:bookmark int2:bookmarkName="_Int_WVlm4ANl" int2:invalidationBookmarkName="" int2:hashCode="m/D4/19di8v/ud" int2:id="mys1JUnv">
      <int2:state int2:value="Rejected" int2:type="style"/>
    </int2:bookmark>
    <int2:bookmark int2:bookmarkName="_Int_7g8K699w" int2:invalidationBookmarkName="" int2:hashCode="g7+Z3iRo4okbT/" int2:id="ntDZjvmb">
      <int2:state int2:value="Rejected" int2:type="style"/>
    </int2:bookmark>
    <int2:bookmark int2:bookmarkName="_Int_HbhTDwYf" int2:invalidationBookmarkName="" int2:hashCode="351r0XWD+hEdsL" int2:id="zX8Fw8Fj">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806F05"/>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BF5858"/>
    <w:multiLevelType w:val="multilevel"/>
    <w:tmpl w:val="DBCA9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0E75C0"/>
    <w:multiLevelType w:val="hybridMultilevel"/>
    <w:tmpl w:val="FFFFFFFF"/>
    <w:lvl w:ilvl="0" w:tplc="E16CAEEC">
      <w:start w:val="1"/>
      <w:numFmt w:val="decimal"/>
      <w:lvlText w:val="%1."/>
      <w:lvlJc w:val="left"/>
      <w:pPr>
        <w:ind w:left="720" w:hanging="360"/>
      </w:pPr>
    </w:lvl>
    <w:lvl w:ilvl="1" w:tplc="1946DECE">
      <w:start w:val="1"/>
      <w:numFmt w:val="lowerLetter"/>
      <w:lvlText w:val="%2."/>
      <w:lvlJc w:val="left"/>
      <w:pPr>
        <w:ind w:left="1440" w:hanging="360"/>
      </w:pPr>
    </w:lvl>
    <w:lvl w:ilvl="2" w:tplc="2984F172">
      <w:start w:val="1"/>
      <w:numFmt w:val="lowerRoman"/>
      <w:lvlText w:val="%3."/>
      <w:lvlJc w:val="right"/>
      <w:pPr>
        <w:ind w:left="2160" w:hanging="180"/>
      </w:pPr>
    </w:lvl>
    <w:lvl w:ilvl="3" w:tplc="4F8C3C52">
      <w:start w:val="1"/>
      <w:numFmt w:val="decimal"/>
      <w:lvlText w:val="%4."/>
      <w:lvlJc w:val="left"/>
      <w:pPr>
        <w:ind w:left="2880" w:hanging="360"/>
      </w:pPr>
    </w:lvl>
    <w:lvl w:ilvl="4" w:tplc="7122A98C">
      <w:start w:val="1"/>
      <w:numFmt w:val="lowerLetter"/>
      <w:lvlText w:val="%5."/>
      <w:lvlJc w:val="left"/>
      <w:pPr>
        <w:ind w:left="3600" w:hanging="360"/>
      </w:pPr>
    </w:lvl>
    <w:lvl w:ilvl="5" w:tplc="DBE0A27C">
      <w:start w:val="1"/>
      <w:numFmt w:val="lowerRoman"/>
      <w:lvlText w:val="%6."/>
      <w:lvlJc w:val="right"/>
      <w:pPr>
        <w:ind w:left="4320" w:hanging="180"/>
      </w:pPr>
    </w:lvl>
    <w:lvl w:ilvl="6" w:tplc="1F94C598">
      <w:start w:val="1"/>
      <w:numFmt w:val="decimal"/>
      <w:lvlText w:val="%7."/>
      <w:lvlJc w:val="left"/>
      <w:pPr>
        <w:ind w:left="5040" w:hanging="360"/>
      </w:pPr>
    </w:lvl>
    <w:lvl w:ilvl="7" w:tplc="E2A0AA40">
      <w:start w:val="1"/>
      <w:numFmt w:val="lowerLetter"/>
      <w:lvlText w:val="%8."/>
      <w:lvlJc w:val="left"/>
      <w:pPr>
        <w:ind w:left="5760" w:hanging="360"/>
      </w:pPr>
    </w:lvl>
    <w:lvl w:ilvl="8" w:tplc="EE422168">
      <w:start w:val="1"/>
      <w:numFmt w:val="lowerRoman"/>
      <w:lvlText w:val="%9."/>
      <w:lvlJc w:val="right"/>
      <w:pPr>
        <w:ind w:left="6480" w:hanging="180"/>
      </w:pPr>
    </w:lvl>
  </w:abstractNum>
  <w:abstractNum w:abstractNumId="3" w15:restartNumberingAfterBreak="0">
    <w:nsid w:val="40693944"/>
    <w:multiLevelType w:val="multilevel"/>
    <w:tmpl w:val="41389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3897F83"/>
    <w:multiLevelType w:val="multilevel"/>
    <w:tmpl w:val="5486FA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9F07CA0"/>
    <w:multiLevelType w:val="multilevel"/>
    <w:tmpl w:val="AFB409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D335DFD"/>
    <w:multiLevelType w:val="multilevel"/>
    <w:tmpl w:val="E6561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948307">
    <w:abstractNumId w:val="2"/>
  </w:num>
  <w:num w:numId="2" w16cid:durableId="2090687978">
    <w:abstractNumId w:val="3"/>
  </w:num>
  <w:num w:numId="3" w16cid:durableId="544566509">
    <w:abstractNumId w:val="4"/>
  </w:num>
  <w:num w:numId="4" w16cid:durableId="1913393191">
    <w:abstractNumId w:val="1"/>
  </w:num>
  <w:num w:numId="5" w16cid:durableId="1016731017">
    <w:abstractNumId w:val="5"/>
  </w:num>
  <w:num w:numId="6" w16cid:durableId="1466853792">
    <w:abstractNumId w:val="6"/>
  </w:num>
  <w:num w:numId="7" w16cid:durableId="17335809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36F"/>
    <w:rsid w:val="00071ED5"/>
    <w:rsid w:val="000A31C6"/>
    <w:rsid w:val="000C297D"/>
    <w:rsid w:val="000D59F4"/>
    <w:rsid w:val="001406A2"/>
    <w:rsid w:val="00153616"/>
    <w:rsid w:val="00157845"/>
    <w:rsid w:val="001A7A67"/>
    <w:rsid w:val="001C2F91"/>
    <w:rsid w:val="001F04CD"/>
    <w:rsid w:val="001F13E0"/>
    <w:rsid w:val="00200CEC"/>
    <w:rsid w:val="00204331"/>
    <w:rsid w:val="002216A1"/>
    <w:rsid w:val="00235BAD"/>
    <w:rsid w:val="0023786D"/>
    <w:rsid w:val="00241050"/>
    <w:rsid w:val="002734D1"/>
    <w:rsid w:val="002C336F"/>
    <w:rsid w:val="002E2704"/>
    <w:rsid w:val="00363FD7"/>
    <w:rsid w:val="00367A6D"/>
    <w:rsid w:val="003778AC"/>
    <w:rsid w:val="003A49FB"/>
    <w:rsid w:val="003A5859"/>
    <w:rsid w:val="003A5F9E"/>
    <w:rsid w:val="003B7822"/>
    <w:rsid w:val="003D6478"/>
    <w:rsid w:val="003F4A87"/>
    <w:rsid w:val="00403F3C"/>
    <w:rsid w:val="00455E1F"/>
    <w:rsid w:val="004A2BE1"/>
    <w:rsid w:val="004C4264"/>
    <w:rsid w:val="005505BF"/>
    <w:rsid w:val="0055436B"/>
    <w:rsid w:val="00556648"/>
    <w:rsid w:val="005A3037"/>
    <w:rsid w:val="005C6194"/>
    <w:rsid w:val="005D0934"/>
    <w:rsid w:val="005D2A43"/>
    <w:rsid w:val="006071F9"/>
    <w:rsid w:val="00613167"/>
    <w:rsid w:val="0061707C"/>
    <w:rsid w:val="00620E89"/>
    <w:rsid w:val="006561E0"/>
    <w:rsid w:val="006F6A0D"/>
    <w:rsid w:val="00740A6B"/>
    <w:rsid w:val="00763237"/>
    <w:rsid w:val="007A45F2"/>
    <w:rsid w:val="007B2A6C"/>
    <w:rsid w:val="007F679F"/>
    <w:rsid w:val="00804374"/>
    <w:rsid w:val="00805CE3"/>
    <w:rsid w:val="008161E3"/>
    <w:rsid w:val="008242CC"/>
    <w:rsid w:val="00844BD5"/>
    <w:rsid w:val="0088233A"/>
    <w:rsid w:val="008E54EB"/>
    <w:rsid w:val="008F68AD"/>
    <w:rsid w:val="00903643"/>
    <w:rsid w:val="00914F2D"/>
    <w:rsid w:val="00983E1B"/>
    <w:rsid w:val="009845AA"/>
    <w:rsid w:val="00995FDF"/>
    <w:rsid w:val="009A052E"/>
    <w:rsid w:val="009C6D47"/>
    <w:rsid w:val="00AB56CE"/>
    <w:rsid w:val="00B00EBC"/>
    <w:rsid w:val="00B15825"/>
    <w:rsid w:val="00B36CBF"/>
    <w:rsid w:val="00B65AE1"/>
    <w:rsid w:val="00B74659"/>
    <w:rsid w:val="00B9009C"/>
    <w:rsid w:val="00B91458"/>
    <w:rsid w:val="00BC16B4"/>
    <w:rsid w:val="00BC768E"/>
    <w:rsid w:val="00BD4E74"/>
    <w:rsid w:val="00BD6E1B"/>
    <w:rsid w:val="00C04E29"/>
    <w:rsid w:val="00C3600D"/>
    <w:rsid w:val="00C61ACB"/>
    <w:rsid w:val="00C802B6"/>
    <w:rsid w:val="00C97E39"/>
    <w:rsid w:val="00CA78F5"/>
    <w:rsid w:val="00CB1DE6"/>
    <w:rsid w:val="00CD507B"/>
    <w:rsid w:val="00CD5733"/>
    <w:rsid w:val="00CF0E45"/>
    <w:rsid w:val="00CF4881"/>
    <w:rsid w:val="00CF5BEB"/>
    <w:rsid w:val="00CF7A97"/>
    <w:rsid w:val="00D12003"/>
    <w:rsid w:val="00D1567C"/>
    <w:rsid w:val="00D40604"/>
    <w:rsid w:val="00E619E4"/>
    <w:rsid w:val="00EB3139"/>
    <w:rsid w:val="00F60CAB"/>
    <w:rsid w:val="00F76E2D"/>
    <w:rsid w:val="00F87A74"/>
    <w:rsid w:val="00F9058E"/>
    <w:rsid w:val="00FD226E"/>
    <w:rsid w:val="00FF4ECE"/>
    <w:rsid w:val="057C7765"/>
    <w:rsid w:val="077801D3"/>
    <w:rsid w:val="07C106F3"/>
    <w:rsid w:val="0B1AA467"/>
    <w:rsid w:val="0C23BB05"/>
    <w:rsid w:val="138888FF"/>
    <w:rsid w:val="157E9BD1"/>
    <w:rsid w:val="1A35EC66"/>
    <w:rsid w:val="1E0AFD68"/>
    <w:rsid w:val="200B8CD6"/>
    <w:rsid w:val="206936E3"/>
    <w:rsid w:val="22B0DC1B"/>
    <w:rsid w:val="288E6BF2"/>
    <w:rsid w:val="28AA6D78"/>
    <w:rsid w:val="28F069AA"/>
    <w:rsid w:val="2DD4D52D"/>
    <w:rsid w:val="2E98E4FD"/>
    <w:rsid w:val="336929C0"/>
    <w:rsid w:val="362672F4"/>
    <w:rsid w:val="37B180E1"/>
    <w:rsid w:val="3872FBC0"/>
    <w:rsid w:val="3AB115EA"/>
    <w:rsid w:val="3F815C96"/>
    <w:rsid w:val="422C43C8"/>
    <w:rsid w:val="432D3D74"/>
    <w:rsid w:val="43EB6520"/>
    <w:rsid w:val="4991A442"/>
    <w:rsid w:val="562CD49D"/>
    <w:rsid w:val="5CC71166"/>
    <w:rsid w:val="5F0CE85A"/>
    <w:rsid w:val="6435F421"/>
    <w:rsid w:val="68702C07"/>
    <w:rsid w:val="6A037C99"/>
    <w:rsid w:val="6AC6C8C0"/>
    <w:rsid w:val="6E7C4460"/>
    <w:rsid w:val="72C1E8D1"/>
    <w:rsid w:val="74322FC9"/>
    <w:rsid w:val="74B71A9B"/>
    <w:rsid w:val="76FADC0E"/>
    <w:rsid w:val="76FBFBD3"/>
    <w:rsid w:val="77B61334"/>
    <w:rsid w:val="7D38F7B7"/>
    <w:rsid w:val="7EF350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360CC"/>
  <w15:chartTrackingRefBased/>
  <w15:docId w15:val="{3E8DFC26-9DB8-4E5E-A89E-22401090E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33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C33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C33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33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33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33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33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33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33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3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33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33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33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33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33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33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33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336F"/>
    <w:rPr>
      <w:rFonts w:eastAsiaTheme="majorEastAsia" w:cstheme="majorBidi"/>
      <w:color w:val="272727" w:themeColor="text1" w:themeTint="D8"/>
    </w:rPr>
  </w:style>
  <w:style w:type="paragraph" w:styleId="Title">
    <w:name w:val="Title"/>
    <w:basedOn w:val="Normal"/>
    <w:next w:val="Normal"/>
    <w:link w:val="TitleChar"/>
    <w:uiPriority w:val="10"/>
    <w:qFormat/>
    <w:rsid w:val="002C33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33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33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33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336F"/>
    <w:pPr>
      <w:spacing w:before="160"/>
      <w:jc w:val="center"/>
    </w:pPr>
    <w:rPr>
      <w:i/>
      <w:iCs/>
      <w:color w:val="404040" w:themeColor="text1" w:themeTint="BF"/>
    </w:rPr>
  </w:style>
  <w:style w:type="character" w:customStyle="1" w:styleId="QuoteChar">
    <w:name w:val="Quote Char"/>
    <w:basedOn w:val="DefaultParagraphFont"/>
    <w:link w:val="Quote"/>
    <w:uiPriority w:val="29"/>
    <w:rsid w:val="002C336F"/>
    <w:rPr>
      <w:i/>
      <w:iCs/>
      <w:color w:val="404040" w:themeColor="text1" w:themeTint="BF"/>
    </w:rPr>
  </w:style>
  <w:style w:type="paragraph" w:styleId="ListParagraph">
    <w:name w:val="List Paragraph"/>
    <w:basedOn w:val="Normal"/>
    <w:uiPriority w:val="34"/>
    <w:qFormat/>
    <w:rsid w:val="002C336F"/>
    <w:pPr>
      <w:ind w:left="720"/>
      <w:contextualSpacing/>
    </w:pPr>
  </w:style>
  <w:style w:type="character" w:styleId="IntenseEmphasis">
    <w:name w:val="Intense Emphasis"/>
    <w:basedOn w:val="DefaultParagraphFont"/>
    <w:uiPriority w:val="21"/>
    <w:qFormat/>
    <w:rsid w:val="002C336F"/>
    <w:rPr>
      <w:i/>
      <w:iCs/>
      <w:color w:val="0F4761" w:themeColor="accent1" w:themeShade="BF"/>
    </w:rPr>
  </w:style>
  <w:style w:type="paragraph" w:styleId="IntenseQuote">
    <w:name w:val="Intense Quote"/>
    <w:basedOn w:val="Normal"/>
    <w:next w:val="Normal"/>
    <w:link w:val="IntenseQuoteChar"/>
    <w:uiPriority w:val="30"/>
    <w:qFormat/>
    <w:rsid w:val="002C33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336F"/>
    <w:rPr>
      <w:i/>
      <w:iCs/>
      <w:color w:val="0F4761" w:themeColor="accent1" w:themeShade="BF"/>
    </w:rPr>
  </w:style>
  <w:style w:type="character" w:styleId="IntenseReference">
    <w:name w:val="Intense Reference"/>
    <w:basedOn w:val="DefaultParagraphFont"/>
    <w:uiPriority w:val="32"/>
    <w:qFormat/>
    <w:rsid w:val="002C336F"/>
    <w:rPr>
      <w:b/>
      <w:bCs/>
      <w:smallCaps/>
      <w:color w:val="0F4761" w:themeColor="accent1" w:themeShade="BF"/>
      <w:spacing w:val="5"/>
    </w:rPr>
  </w:style>
  <w:style w:type="paragraph" w:customStyle="1" w:styleId="p1">
    <w:name w:val="p1"/>
    <w:basedOn w:val="Normal"/>
    <w:rsid w:val="003A5F9E"/>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customStyle="1" w:styleId="s1">
    <w:name w:val="s1"/>
    <w:basedOn w:val="DefaultParagraphFont"/>
    <w:rsid w:val="006F6A0D"/>
  </w:style>
  <w:style w:type="paragraph" w:customStyle="1" w:styleId="p3">
    <w:name w:val="p3"/>
    <w:basedOn w:val="Normal"/>
    <w:rsid w:val="006F6A0D"/>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paragraph" w:customStyle="1" w:styleId="p4">
    <w:name w:val="p4"/>
    <w:basedOn w:val="Normal"/>
    <w:rsid w:val="006F6A0D"/>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paragraph" w:customStyle="1" w:styleId="p5">
    <w:name w:val="p5"/>
    <w:basedOn w:val="Normal"/>
    <w:rsid w:val="006F6A0D"/>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paragraph" w:customStyle="1" w:styleId="p2">
    <w:name w:val="p2"/>
    <w:basedOn w:val="Normal"/>
    <w:rsid w:val="0061707C"/>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customStyle="1" w:styleId="s2">
    <w:name w:val="s2"/>
    <w:basedOn w:val="DefaultParagraphFont"/>
    <w:rsid w:val="0061707C"/>
  </w:style>
  <w:style w:type="character" w:styleId="Hyperlink">
    <w:name w:val="Hyperlink"/>
    <w:basedOn w:val="DefaultParagraphFont"/>
    <w:uiPriority w:val="99"/>
    <w:unhideWhenUsed/>
    <w:rsid w:val="72C1E8D1"/>
    <w:rPr>
      <w:color w:val="467886"/>
      <w:u w:val="single"/>
    </w:rPr>
  </w:style>
  <w:style w:type="table" w:styleId="TableGrid">
    <w:name w:val="Table Grid"/>
    <w:basedOn w:val="TableNormal"/>
    <w:uiPriority w:val="59"/>
    <w:rsid w:val="003B782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805C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5CE3"/>
  </w:style>
  <w:style w:type="paragraph" w:styleId="Footer">
    <w:name w:val="footer"/>
    <w:basedOn w:val="Normal"/>
    <w:link w:val="FooterChar"/>
    <w:uiPriority w:val="99"/>
    <w:unhideWhenUsed/>
    <w:rsid w:val="00805C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5CE3"/>
  </w:style>
  <w:style w:type="character" w:styleId="PageNumber">
    <w:name w:val="page number"/>
    <w:basedOn w:val="DefaultParagraphFont"/>
    <w:uiPriority w:val="99"/>
    <w:semiHidden/>
    <w:unhideWhenUsed/>
    <w:rsid w:val="00805C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113255">
      <w:bodyDiv w:val="1"/>
      <w:marLeft w:val="0"/>
      <w:marRight w:val="0"/>
      <w:marTop w:val="0"/>
      <w:marBottom w:val="0"/>
      <w:divBdr>
        <w:top w:val="none" w:sz="0" w:space="0" w:color="auto"/>
        <w:left w:val="none" w:sz="0" w:space="0" w:color="auto"/>
        <w:bottom w:val="none" w:sz="0" w:space="0" w:color="auto"/>
        <w:right w:val="none" w:sz="0" w:space="0" w:color="auto"/>
      </w:divBdr>
    </w:div>
    <w:div w:id="447699003">
      <w:bodyDiv w:val="1"/>
      <w:marLeft w:val="0"/>
      <w:marRight w:val="0"/>
      <w:marTop w:val="0"/>
      <w:marBottom w:val="0"/>
      <w:divBdr>
        <w:top w:val="none" w:sz="0" w:space="0" w:color="auto"/>
        <w:left w:val="none" w:sz="0" w:space="0" w:color="auto"/>
        <w:bottom w:val="none" w:sz="0" w:space="0" w:color="auto"/>
        <w:right w:val="none" w:sz="0" w:space="0" w:color="auto"/>
      </w:divBdr>
    </w:div>
    <w:div w:id="816193310">
      <w:bodyDiv w:val="1"/>
      <w:marLeft w:val="0"/>
      <w:marRight w:val="0"/>
      <w:marTop w:val="0"/>
      <w:marBottom w:val="0"/>
      <w:divBdr>
        <w:top w:val="none" w:sz="0" w:space="0" w:color="auto"/>
        <w:left w:val="none" w:sz="0" w:space="0" w:color="auto"/>
        <w:bottom w:val="none" w:sz="0" w:space="0" w:color="auto"/>
        <w:right w:val="none" w:sz="0" w:space="0" w:color="auto"/>
      </w:divBdr>
    </w:div>
    <w:div w:id="860051188">
      <w:bodyDiv w:val="1"/>
      <w:marLeft w:val="0"/>
      <w:marRight w:val="0"/>
      <w:marTop w:val="0"/>
      <w:marBottom w:val="0"/>
      <w:divBdr>
        <w:top w:val="none" w:sz="0" w:space="0" w:color="auto"/>
        <w:left w:val="none" w:sz="0" w:space="0" w:color="auto"/>
        <w:bottom w:val="none" w:sz="0" w:space="0" w:color="auto"/>
        <w:right w:val="none" w:sz="0" w:space="0" w:color="auto"/>
      </w:divBdr>
    </w:div>
    <w:div w:id="960304187">
      <w:bodyDiv w:val="1"/>
      <w:marLeft w:val="0"/>
      <w:marRight w:val="0"/>
      <w:marTop w:val="0"/>
      <w:marBottom w:val="0"/>
      <w:divBdr>
        <w:top w:val="none" w:sz="0" w:space="0" w:color="auto"/>
        <w:left w:val="none" w:sz="0" w:space="0" w:color="auto"/>
        <w:bottom w:val="none" w:sz="0" w:space="0" w:color="auto"/>
        <w:right w:val="none" w:sz="0" w:space="0" w:color="auto"/>
      </w:divBdr>
    </w:div>
    <w:div w:id="1349717344">
      <w:bodyDiv w:val="1"/>
      <w:marLeft w:val="0"/>
      <w:marRight w:val="0"/>
      <w:marTop w:val="0"/>
      <w:marBottom w:val="0"/>
      <w:divBdr>
        <w:top w:val="none" w:sz="0" w:space="0" w:color="auto"/>
        <w:left w:val="none" w:sz="0" w:space="0" w:color="auto"/>
        <w:bottom w:val="none" w:sz="0" w:space="0" w:color="auto"/>
        <w:right w:val="none" w:sz="0" w:space="0" w:color="auto"/>
      </w:divBdr>
    </w:div>
    <w:div w:id="1376273506">
      <w:bodyDiv w:val="1"/>
      <w:marLeft w:val="0"/>
      <w:marRight w:val="0"/>
      <w:marTop w:val="0"/>
      <w:marBottom w:val="0"/>
      <w:divBdr>
        <w:top w:val="none" w:sz="0" w:space="0" w:color="auto"/>
        <w:left w:val="none" w:sz="0" w:space="0" w:color="auto"/>
        <w:bottom w:val="none" w:sz="0" w:space="0" w:color="auto"/>
        <w:right w:val="none" w:sz="0" w:space="0" w:color="auto"/>
      </w:divBdr>
    </w:div>
    <w:div w:id="1611737829">
      <w:bodyDiv w:val="1"/>
      <w:marLeft w:val="0"/>
      <w:marRight w:val="0"/>
      <w:marTop w:val="0"/>
      <w:marBottom w:val="0"/>
      <w:divBdr>
        <w:top w:val="none" w:sz="0" w:space="0" w:color="auto"/>
        <w:left w:val="none" w:sz="0" w:space="0" w:color="auto"/>
        <w:bottom w:val="none" w:sz="0" w:space="0" w:color="auto"/>
        <w:right w:val="none" w:sz="0" w:space="0" w:color="auto"/>
      </w:divBdr>
    </w:div>
    <w:div w:id="1711878914">
      <w:bodyDiv w:val="1"/>
      <w:marLeft w:val="0"/>
      <w:marRight w:val="0"/>
      <w:marTop w:val="0"/>
      <w:marBottom w:val="0"/>
      <w:divBdr>
        <w:top w:val="none" w:sz="0" w:space="0" w:color="auto"/>
        <w:left w:val="none" w:sz="0" w:space="0" w:color="auto"/>
        <w:bottom w:val="none" w:sz="0" w:space="0" w:color="auto"/>
        <w:right w:val="none" w:sz="0" w:space="0" w:color="auto"/>
      </w:divBdr>
    </w:div>
    <w:div w:id="1810244957">
      <w:bodyDiv w:val="1"/>
      <w:marLeft w:val="0"/>
      <w:marRight w:val="0"/>
      <w:marTop w:val="0"/>
      <w:marBottom w:val="0"/>
      <w:divBdr>
        <w:top w:val="none" w:sz="0" w:space="0" w:color="auto"/>
        <w:left w:val="none" w:sz="0" w:space="0" w:color="auto"/>
        <w:bottom w:val="none" w:sz="0" w:space="0" w:color="auto"/>
        <w:right w:val="none" w:sz="0" w:space="0" w:color="auto"/>
      </w:divBdr>
    </w:div>
    <w:div w:id="1863131004">
      <w:bodyDiv w:val="1"/>
      <w:marLeft w:val="0"/>
      <w:marRight w:val="0"/>
      <w:marTop w:val="0"/>
      <w:marBottom w:val="0"/>
      <w:divBdr>
        <w:top w:val="none" w:sz="0" w:space="0" w:color="auto"/>
        <w:left w:val="none" w:sz="0" w:space="0" w:color="auto"/>
        <w:bottom w:val="none" w:sz="0" w:space="0" w:color="auto"/>
        <w:right w:val="none" w:sz="0" w:space="0" w:color="auto"/>
      </w:divBdr>
    </w:div>
    <w:div w:id="1865247988">
      <w:bodyDiv w:val="1"/>
      <w:marLeft w:val="0"/>
      <w:marRight w:val="0"/>
      <w:marTop w:val="0"/>
      <w:marBottom w:val="0"/>
      <w:divBdr>
        <w:top w:val="none" w:sz="0" w:space="0" w:color="auto"/>
        <w:left w:val="none" w:sz="0" w:space="0" w:color="auto"/>
        <w:bottom w:val="none" w:sz="0" w:space="0" w:color="auto"/>
        <w:right w:val="none" w:sz="0" w:space="0" w:color="auto"/>
      </w:divBdr>
    </w:div>
    <w:div w:id="2009747607">
      <w:bodyDiv w:val="1"/>
      <w:marLeft w:val="0"/>
      <w:marRight w:val="0"/>
      <w:marTop w:val="0"/>
      <w:marBottom w:val="0"/>
      <w:divBdr>
        <w:top w:val="none" w:sz="0" w:space="0" w:color="auto"/>
        <w:left w:val="none" w:sz="0" w:space="0" w:color="auto"/>
        <w:bottom w:val="none" w:sz="0" w:space="0" w:color="auto"/>
        <w:right w:val="none" w:sz="0" w:space="0" w:color="auto"/>
      </w:divBdr>
    </w:div>
    <w:div w:id="2030642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bi-global-wiki.refined.site/space/MANUAL"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hyperlink" Target="https://www.nice.org.uk/guidance/ng116" TargetMode="External"/><Relationship Id="rId12" Type="http://schemas.openxmlformats.org/officeDocument/2006/relationships/footer" Target="footer2.xml"/><Relationship Id="rId17" Type="http://schemas.microsoft.com/office/2020/10/relationships/intelligence" Target="intelligence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1077</Words>
  <Characters>6144</Characters>
  <Application>Microsoft Office Word</Application>
  <DocSecurity>0</DocSecurity>
  <Lines>51</Lines>
  <Paragraphs>14</Paragraphs>
  <ScaleCrop>false</ScaleCrop>
  <Company/>
  <LinksUpToDate>false</LinksUpToDate>
  <CharactersWithSpaces>7207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Beau Academic</dc:creator>
  <cp:keywords/>
  <dc:description/>
  <cp:lastModifiedBy>Misba Mahmood (2413669)</cp:lastModifiedBy>
  <cp:revision>66</cp:revision>
  <dcterms:created xsi:type="dcterms:W3CDTF">2026-05-31T17:48:00Z</dcterms:created>
  <dcterms:modified xsi:type="dcterms:W3CDTF">2026-06-15T08:45:00Z</dcterms:modified>
</cp:coreProperties>
</file>