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515620" w14:textId="77777777" w:rsidR="00395FD2" w:rsidRDefault="00395FD2" w:rsidP="00395FD2">
      <w:pPr>
        <w:rPr>
          <w:b/>
          <w:bCs/>
          <w:sz w:val="24"/>
          <w:szCs w:val="24"/>
        </w:rPr>
      </w:pPr>
    </w:p>
    <w:p w14:paraId="1661F560" w14:textId="2A24DC2D" w:rsidR="00395FD2" w:rsidRPr="00395FD2" w:rsidRDefault="00395FD2" w:rsidP="00395FD2">
      <w:pPr>
        <w:jc w:val="center"/>
        <w:rPr>
          <w:rFonts w:ascii="Times New Roman" w:hAnsi="Times New Roman" w:cs="Times New Roman"/>
          <w:sz w:val="24"/>
          <w:szCs w:val="24"/>
        </w:rPr>
      </w:pPr>
      <w:r w:rsidRPr="00395FD2">
        <w:rPr>
          <w:rFonts w:ascii="Times New Roman" w:hAnsi="Times New Roman" w:cs="Times New Roman"/>
          <w:b/>
          <w:bCs/>
          <w:sz w:val="24"/>
          <w:szCs w:val="24"/>
        </w:rPr>
        <w:t>Evaluate the challenges associated with the concept of Men’s Rea and the confirmation of criminal liability within law.</w:t>
      </w:r>
    </w:p>
    <w:p w14:paraId="4A2C7742" w14:textId="77777777" w:rsidR="00046DA7" w:rsidRDefault="00046DA7"/>
    <w:p w14:paraId="26E7EA0E" w14:textId="2872D03C" w:rsidR="00046DA7" w:rsidRDefault="00395FD2">
      <w:pPr>
        <w:spacing w:line="48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Josef Duna</w:t>
      </w:r>
    </w:p>
    <w:p w14:paraId="57AB52F4" w14:textId="5DDAF5E4" w:rsidR="00395FD2" w:rsidRDefault="00395FD2">
      <w:pPr>
        <w:spacing w:line="480" w:lineRule="auto"/>
        <w:jc w:val="center"/>
      </w:pPr>
      <w:r>
        <w:rPr>
          <w:rFonts w:ascii="Times New Roman" w:eastAsia="Times New Roman" w:hAnsi="Times New Roman" w:cs="Times New Roman"/>
          <w:sz w:val="24"/>
          <w:szCs w:val="24"/>
        </w:rPr>
        <w:t>2312254</w:t>
      </w:r>
    </w:p>
    <w:p w14:paraId="3533596D" w14:textId="0DAE5CBD" w:rsidR="00395FD2" w:rsidRDefault="00395FD2" w:rsidP="00395FD2">
      <w:pPr>
        <w:spacing w:line="480" w:lineRule="auto"/>
        <w:jc w:val="center"/>
        <w:sectPr w:rsidR="00395FD2">
          <w:headerReference w:type="default" r:id="rId8"/>
          <w:pgSz w:w="11905" w:h="16837"/>
          <w:pgMar w:top="1440" w:right="1440" w:bottom="1440" w:left="1440" w:header="720" w:footer="720" w:gutter="0"/>
          <w:cols w:space="720"/>
          <w:vAlign w:val="center"/>
        </w:sectPr>
      </w:pPr>
    </w:p>
    <w:p w14:paraId="119D8742" w14:textId="3E5876C8" w:rsidR="00FF45E7" w:rsidRDefault="00FF45E7" w:rsidP="00FF45E7">
      <w:pPr>
        <w:spacing w:line="480" w:lineRule="auto"/>
        <w:rPr>
          <w:rFonts w:ascii="Times New Roman" w:hAnsi="Times New Roman" w:cs="Times New Roman"/>
          <w:sz w:val="24"/>
          <w:szCs w:val="24"/>
        </w:rPr>
      </w:pPr>
      <w:r>
        <w:rPr>
          <w:rFonts w:ascii="Times New Roman" w:hAnsi="Times New Roman" w:cs="Times New Roman"/>
          <w:sz w:val="24"/>
          <w:szCs w:val="24"/>
        </w:rPr>
        <w:lastRenderedPageBreak/>
        <w:t>Index</w:t>
      </w:r>
    </w:p>
    <w:p w14:paraId="24EB6EA7" w14:textId="77777777" w:rsidR="00FF45E7" w:rsidRDefault="00FF45E7" w:rsidP="00FF45E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Introduction – Page 3</w:t>
      </w:r>
    </w:p>
    <w:p w14:paraId="7700D515" w14:textId="77777777" w:rsidR="00FF45E7" w:rsidRDefault="00FF45E7" w:rsidP="00FF45E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Body – Page 4 to 9</w:t>
      </w:r>
    </w:p>
    <w:p w14:paraId="75FB6D5A" w14:textId="77777777" w:rsidR="00FF45E7" w:rsidRDefault="00FF45E7" w:rsidP="00FF45E7">
      <w:pPr>
        <w:spacing w:line="48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Conclusion – Page 10</w:t>
      </w:r>
    </w:p>
    <w:p w14:paraId="499F1719" w14:textId="6D4489C1" w:rsidR="00FF45E7" w:rsidRDefault="00FF45E7" w:rsidP="00FF45E7">
      <w:pPr>
        <w:spacing w:line="480" w:lineRule="auto"/>
        <w:rPr>
          <w:rFonts w:ascii="Times New Roman" w:eastAsia="Times New Roman" w:hAnsi="Times New Roman" w:cs="Times New Roman"/>
          <w:b/>
          <w:bCs/>
          <w:sz w:val="24"/>
          <w:szCs w:val="24"/>
        </w:rPr>
      </w:pPr>
      <w:r>
        <w:rPr>
          <w:rFonts w:ascii="Times New Roman" w:eastAsia="Times New Roman" w:hAnsi="Times New Roman" w:cs="Times New Roman"/>
          <w:sz w:val="24"/>
          <w:szCs w:val="24"/>
        </w:rPr>
        <w:t xml:space="preserve">Reference – Page 11 </w:t>
      </w:r>
    </w:p>
    <w:p w14:paraId="62D19957" w14:textId="77777777" w:rsidR="00FF45E7" w:rsidRPr="00FF45E7" w:rsidRDefault="00FF45E7" w:rsidP="00FF45E7">
      <w:pPr>
        <w:spacing w:line="480" w:lineRule="auto"/>
        <w:rPr>
          <w:rFonts w:ascii="Times New Roman" w:hAnsi="Times New Roman" w:cs="Times New Roman"/>
          <w:sz w:val="24"/>
          <w:szCs w:val="24"/>
        </w:rPr>
      </w:pPr>
    </w:p>
    <w:p w14:paraId="2A58A84F" w14:textId="77777777" w:rsidR="00FF45E7" w:rsidRDefault="00FF45E7" w:rsidP="00FF45E7">
      <w:pPr>
        <w:spacing w:line="480" w:lineRule="auto"/>
      </w:pPr>
    </w:p>
    <w:p w14:paraId="27EBE2AB" w14:textId="77777777" w:rsidR="00FF45E7" w:rsidRDefault="00FF45E7" w:rsidP="00FF45E7">
      <w:pPr>
        <w:spacing w:line="480" w:lineRule="auto"/>
      </w:pPr>
    </w:p>
    <w:p w14:paraId="4A415543" w14:textId="77777777" w:rsidR="00FF45E7" w:rsidRDefault="00FF45E7" w:rsidP="00FF45E7">
      <w:pPr>
        <w:spacing w:line="480" w:lineRule="auto"/>
      </w:pPr>
    </w:p>
    <w:p w14:paraId="4E43309F" w14:textId="77777777" w:rsidR="00FF45E7" w:rsidRDefault="00FF45E7" w:rsidP="00FF45E7">
      <w:pPr>
        <w:spacing w:line="480" w:lineRule="auto"/>
      </w:pPr>
    </w:p>
    <w:p w14:paraId="46CE292F" w14:textId="77777777" w:rsidR="00FF45E7" w:rsidRDefault="00FF45E7" w:rsidP="00FF45E7">
      <w:pPr>
        <w:spacing w:line="480" w:lineRule="auto"/>
      </w:pPr>
    </w:p>
    <w:p w14:paraId="4B225F20" w14:textId="77777777" w:rsidR="00FF45E7" w:rsidRDefault="00FF45E7" w:rsidP="00FF45E7">
      <w:pPr>
        <w:spacing w:line="480" w:lineRule="auto"/>
      </w:pPr>
    </w:p>
    <w:p w14:paraId="51444AF3" w14:textId="77777777" w:rsidR="00FF45E7" w:rsidRDefault="00FF45E7" w:rsidP="00FF45E7">
      <w:pPr>
        <w:spacing w:line="480" w:lineRule="auto"/>
      </w:pPr>
    </w:p>
    <w:p w14:paraId="3C0721C2" w14:textId="77777777" w:rsidR="00FF45E7" w:rsidRDefault="00FF45E7" w:rsidP="00FF45E7">
      <w:pPr>
        <w:spacing w:line="480" w:lineRule="auto"/>
      </w:pPr>
    </w:p>
    <w:p w14:paraId="35C4C06F" w14:textId="77777777" w:rsidR="00FF45E7" w:rsidRDefault="00FF45E7" w:rsidP="00FF45E7">
      <w:pPr>
        <w:spacing w:line="480" w:lineRule="auto"/>
      </w:pPr>
    </w:p>
    <w:p w14:paraId="0FE1981F" w14:textId="77777777" w:rsidR="00FF45E7" w:rsidRDefault="00FF45E7" w:rsidP="00FF45E7">
      <w:pPr>
        <w:spacing w:line="480" w:lineRule="auto"/>
      </w:pPr>
    </w:p>
    <w:p w14:paraId="7100F2C7" w14:textId="77777777" w:rsidR="00FF45E7" w:rsidRDefault="00FF45E7" w:rsidP="00FF45E7">
      <w:pPr>
        <w:spacing w:line="480" w:lineRule="auto"/>
      </w:pPr>
    </w:p>
    <w:p w14:paraId="4D8779CD" w14:textId="77777777" w:rsidR="00FF45E7" w:rsidRDefault="00FF45E7" w:rsidP="00FF45E7">
      <w:pPr>
        <w:spacing w:line="480" w:lineRule="auto"/>
      </w:pPr>
    </w:p>
    <w:p w14:paraId="1AA54CBF" w14:textId="77777777" w:rsidR="00FF45E7" w:rsidRDefault="00FF45E7" w:rsidP="00FF45E7">
      <w:pPr>
        <w:spacing w:line="480" w:lineRule="auto"/>
      </w:pPr>
    </w:p>
    <w:p w14:paraId="48BC525B" w14:textId="77777777" w:rsidR="00FF45E7" w:rsidRDefault="00FF45E7" w:rsidP="00FF45E7">
      <w:pPr>
        <w:spacing w:line="480" w:lineRule="auto"/>
      </w:pPr>
    </w:p>
    <w:p w14:paraId="35578ED2" w14:textId="77777777" w:rsidR="00FF45E7" w:rsidRDefault="00FF45E7" w:rsidP="00FF45E7">
      <w:pPr>
        <w:spacing w:line="480" w:lineRule="auto"/>
      </w:pPr>
    </w:p>
    <w:p w14:paraId="05F78B26" w14:textId="77777777" w:rsidR="00FF45E7" w:rsidRDefault="00FF45E7" w:rsidP="00FF45E7">
      <w:pPr>
        <w:spacing w:line="480" w:lineRule="auto"/>
      </w:pPr>
    </w:p>
    <w:p w14:paraId="4F3B8CCC" w14:textId="77777777" w:rsidR="00FF45E7" w:rsidRDefault="00FF45E7" w:rsidP="00FF45E7">
      <w:pPr>
        <w:spacing w:line="480" w:lineRule="auto"/>
      </w:pPr>
    </w:p>
    <w:p w14:paraId="0C40C397" w14:textId="77777777" w:rsidR="00FF45E7" w:rsidRDefault="00FF45E7" w:rsidP="00FF45E7">
      <w:pPr>
        <w:spacing w:line="480" w:lineRule="auto"/>
      </w:pPr>
    </w:p>
    <w:p w14:paraId="2256A09F" w14:textId="77777777" w:rsidR="00FF45E7" w:rsidRDefault="00FF45E7" w:rsidP="00FF45E7">
      <w:pPr>
        <w:spacing w:line="480" w:lineRule="auto"/>
      </w:pPr>
    </w:p>
    <w:p w14:paraId="2EF2D08A" w14:textId="77777777" w:rsidR="00FF45E7" w:rsidRDefault="00FF45E7" w:rsidP="00FF45E7">
      <w:pPr>
        <w:spacing w:line="480" w:lineRule="auto"/>
      </w:pPr>
    </w:p>
    <w:p w14:paraId="3D7AA157" w14:textId="77777777" w:rsidR="00FF45E7" w:rsidRDefault="00FF45E7" w:rsidP="00FF45E7">
      <w:pPr>
        <w:spacing w:line="480" w:lineRule="auto"/>
      </w:pPr>
    </w:p>
    <w:p w14:paraId="38BE82B1" w14:textId="77777777" w:rsidR="00FF45E7" w:rsidRDefault="00FF45E7" w:rsidP="00FF45E7">
      <w:pPr>
        <w:spacing w:line="480" w:lineRule="auto"/>
      </w:pPr>
    </w:p>
    <w:p w14:paraId="15290B56" w14:textId="77777777" w:rsidR="00FF45E7" w:rsidRDefault="00FF45E7" w:rsidP="00FF45E7">
      <w:pPr>
        <w:spacing w:line="480" w:lineRule="auto"/>
      </w:pPr>
    </w:p>
    <w:p w14:paraId="2C44529A" w14:textId="4E14F5DD"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lastRenderedPageBreak/>
        <w:t>Introduction</w:t>
      </w:r>
    </w:p>
    <w:p w14:paraId="54219A90" w14:textId="082C014B" w:rsidR="00C01C4E"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Men's Rea, Latin for "guilty mind," is a critical component of criminal law that focuses on the mental state of the accused individual when the alleged crime occurred. It distinguishes between intentional wrongdoing and inadvertent actions, ensuring that individuals are held accountable for their deliberate misconduct. However, the concept of Men's Rea presents challenges that can complicate the confirmation of criminal liability within the legal system.</w:t>
      </w:r>
    </w:p>
    <w:p w14:paraId="2BBF3F19" w14:textId="77777777" w:rsidR="00FF45E7" w:rsidRPr="00FF45E7" w:rsidRDefault="00FF45E7" w:rsidP="00FF45E7">
      <w:pPr>
        <w:spacing w:line="480" w:lineRule="auto"/>
        <w:rPr>
          <w:rFonts w:ascii="Times New Roman" w:hAnsi="Times New Roman" w:cs="Times New Roman"/>
          <w:sz w:val="24"/>
          <w:szCs w:val="24"/>
          <w:lang w:val="en-GB"/>
        </w:rPr>
      </w:pPr>
      <w:r w:rsidRPr="00FF45E7">
        <w:rPr>
          <w:rFonts w:ascii="Times New Roman" w:hAnsi="Times New Roman" w:cs="Times New Roman"/>
          <w:sz w:val="24"/>
          <w:szCs w:val="24"/>
          <w:lang w:val="en-GB"/>
        </w:rPr>
        <w:t>The complexity inherent in Men's Rea underscores the intricate nature of criminal law, delving into the depths of human cognition and intentionality. By delving into the nuances of mental states and culpability, this legal concept navigates the labyrinthine corridors of moral agency and accountability. The interplay between subjective awareness and external actions forms the crux of legal proceedings, requiring a judicious examination of the accused individual's state of mind.</w:t>
      </w:r>
    </w:p>
    <w:p w14:paraId="1B3A47CE" w14:textId="77777777" w:rsidR="00FF45E7" w:rsidRPr="00FF45E7" w:rsidRDefault="00FF45E7" w:rsidP="00FF45E7">
      <w:pPr>
        <w:spacing w:line="480" w:lineRule="auto"/>
        <w:rPr>
          <w:rFonts w:ascii="Times New Roman" w:hAnsi="Times New Roman" w:cs="Times New Roman"/>
          <w:sz w:val="24"/>
          <w:szCs w:val="24"/>
        </w:rPr>
      </w:pPr>
    </w:p>
    <w:p w14:paraId="28335E21" w14:textId="17EA3497" w:rsidR="00C01C4E" w:rsidRDefault="00C01C4E" w:rsidP="00FF45E7">
      <w:pPr>
        <w:spacing w:line="480" w:lineRule="auto"/>
        <w:rPr>
          <w:rFonts w:ascii="Times New Roman" w:hAnsi="Times New Roman" w:cs="Times New Roman"/>
          <w:sz w:val="24"/>
          <w:szCs w:val="24"/>
        </w:rPr>
      </w:pPr>
    </w:p>
    <w:p w14:paraId="0EF04DEA" w14:textId="33E9C14E" w:rsidR="00FF45E7" w:rsidRDefault="00FF45E7" w:rsidP="00FF45E7">
      <w:pPr>
        <w:spacing w:line="480" w:lineRule="auto"/>
        <w:rPr>
          <w:rFonts w:ascii="Times New Roman" w:hAnsi="Times New Roman" w:cs="Times New Roman"/>
          <w:sz w:val="24"/>
          <w:szCs w:val="24"/>
        </w:rPr>
      </w:pPr>
    </w:p>
    <w:p w14:paraId="29A9A920" w14:textId="6CC9F7A8" w:rsidR="00FF45E7" w:rsidRDefault="00FF45E7" w:rsidP="00FF45E7">
      <w:pPr>
        <w:spacing w:line="480" w:lineRule="auto"/>
        <w:rPr>
          <w:rFonts w:ascii="Times New Roman" w:hAnsi="Times New Roman" w:cs="Times New Roman"/>
          <w:sz w:val="24"/>
          <w:szCs w:val="24"/>
        </w:rPr>
      </w:pPr>
    </w:p>
    <w:p w14:paraId="1B2EC95E" w14:textId="6CEFCCD3" w:rsidR="00FF45E7" w:rsidRDefault="00FF45E7" w:rsidP="00FF45E7">
      <w:pPr>
        <w:spacing w:line="480" w:lineRule="auto"/>
        <w:rPr>
          <w:rFonts w:ascii="Times New Roman" w:hAnsi="Times New Roman" w:cs="Times New Roman"/>
          <w:sz w:val="24"/>
          <w:szCs w:val="24"/>
        </w:rPr>
      </w:pPr>
    </w:p>
    <w:p w14:paraId="4691A4E7" w14:textId="5C6FFB45" w:rsidR="00FF45E7" w:rsidRDefault="00FF45E7" w:rsidP="00FF45E7">
      <w:pPr>
        <w:spacing w:line="480" w:lineRule="auto"/>
        <w:rPr>
          <w:rFonts w:ascii="Times New Roman" w:hAnsi="Times New Roman" w:cs="Times New Roman"/>
          <w:sz w:val="24"/>
          <w:szCs w:val="24"/>
        </w:rPr>
      </w:pPr>
    </w:p>
    <w:p w14:paraId="4F077F99" w14:textId="6DB7023F" w:rsidR="00FF45E7" w:rsidRDefault="00FF45E7" w:rsidP="00FF45E7">
      <w:pPr>
        <w:spacing w:line="480" w:lineRule="auto"/>
        <w:rPr>
          <w:rFonts w:ascii="Times New Roman" w:hAnsi="Times New Roman" w:cs="Times New Roman"/>
          <w:sz w:val="24"/>
          <w:szCs w:val="24"/>
        </w:rPr>
      </w:pPr>
    </w:p>
    <w:p w14:paraId="20DE19C8" w14:textId="038FE0E8" w:rsidR="00FF45E7" w:rsidRDefault="00FF45E7" w:rsidP="00FF45E7">
      <w:pPr>
        <w:spacing w:line="480" w:lineRule="auto"/>
        <w:rPr>
          <w:rFonts w:ascii="Times New Roman" w:hAnsi="Times New Roman" w:cs="Times New Roman"/>
          <w:sz w:val="24"/>
          <w:szCs w:val="24"/>
        </w:rPr>
      </w:pPr>
    </w:p>
    <w:p w14:paraId="41B3D031" w14:textId="2A46AC36" w:rsidR="00FF45E7" w:rsidRDefault="00FF45E7" w:rsidP="00FF45E7">
      <w:pPr>
        <w:spacing w:line="480" w:lineRule="auto"/>
        <w:rPr>
          <w:rFonts w:ascii="Times New Roman" w:hAnsi="Times New Roman" w:cs="Times New Roman"/>
          <w:sz w:val="24"/>
          <w:szCs w:val="24"/>
        </w:rPr>
      </w:pPr>
    </w:p>
    <w:p w14:paraId="7449673C" w14:textId="3F0A5DE9" w:rsidR="00FF45E7" w:rsidRDefault="00FF45E7" w:rsidP="00FF45E7">
      <w:pPr>
        <w:spacing w:line="480" w:lineRule="auto"/>
        <w:rPr>
          <w:rFonts w:ascii="Times New Roman" w:hAnsi="Times New Roman" w:cs="Times New Roman"/>
          <w:sz w:val="24"/>
          <w:szCs w:val="24"/>
        </w:rPr>
      </w:pPr>
    </w:p>
    <w:p w14:paraId="0BC189E4" w14:textId="1AD3A5EE" w:rsidR="00FF45E7" w:rsidRDefault="00FF45E7" w:rsidP="00FF45E7">
      <w:pPr>
        <w:spacing w:line="480" w:lineRule="auto"/>
        <w:rPr>
          <w:rFonts w:ascii="Times New Roman" w:hAnsi="Times New Roman" w:cs="Times New Roman"/>
          <w:sz w:val="24"/>
          <w:szCs w:val="24"/>
        </w:rPr>
      </w:pPr>
    </w:p>
    <w:p w14:paraId="4491547B" w14:textId="1662D54B" w:rsidR="00FF45E7" w:rsidRDefault="00FF45E7" w:rsidP="00FF45E7">
      <w:pPr>
        <w:spacing w:line="480" w:lineRule="auto"/>
        <w:rPr>
          <w:rFonts w:ascii="Times New Roman" w:hAnsi="Times New Roman" w:cs="Times New Roman"/>
          <w:sz w:val="24"/>
          <w:szCs w:val="24"/>
        </w:rPr>
      </w:pPr>
    </w:p>
    <w:p w14:paraId="689D5338" w14:textId="77777777" w:rsidR="00FF45E7" w:rsidRPr="00FF45E7" w:rsidRDefault="00FF45E7" w:rsidP="00FF45E7">
      <w:pPr>
        <w:spacing w:line="480" w:lineRule="auto"/>
        <w:rPr>
          <w:rFonts w:ascii="Times New Roman" w:hAnsi="Times New Roman" w:cs="Times New Roman"/>
          <w:sz w:val="24"/>
          <w:szCs w:val="24"/>
        </w:rPr>
      </w:pPr>
    </w:p>
    <w:p w14:paraId="55AEED55"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lastRenderedPageBreak/>
        <w:t>Challenges of Men's Rea</w:t>
      </w:r>
    </w:p>
    <w:p w14:paraId="32D3AB73"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Difficulty in Proving State of Mind</w:t>
      </w:r>
    </w:p>
    <w:p w14:paraId="5B40BC87" w14:textId="77777777" w:rsidR="00137EB7" w:rsidRPr="00137EB7" w:rsidRDefault="00C01C4E" w:rsidP="00137EB7">
      <w:pPr>
        <w:spacing w:line="480" w:lineRule="auto"/>
        <w:rPr>
          <w:rFonts w:ascii="Times New Roman" w:hAnsi="Times New Roman" w:cs="Times New Roman"/>
          <w:sz w:val="24"/>
          <w:szCs w:val="24"/>
          <w:lang w:val="en-GB"/>
        </w:rPr>
      </w:pPr>
      <w:r w:rsidRPr="00137EB7">
        <w:rPr>
          <w:rFonts w:ascii="Times New Roman" w:hAnsi="Times New Roman" w:cs="Times New Roman"/>
          <w:sz w:val="24"/>
          <w:szCs w:val="24"/>
        </w:rPr>
        <w:t>One of the primary challenges associated with Men's Rea is the difficulty in proving the defendant's state of mind beyond a reasonable doubt. According to Kessler (2014), the mental element of a crime is often subjective and open to interpretation, making it challenging for prosecutors to establish the defendant's guilt, especially in cases where direct evidence of their state of mind is lacking. This subjectivity can lead to discrepancies in how different parties interpret the defendant's mental state, further complicating the determination of criminal liability.</w:t>
      </w:r>
      <w:r w:rsidR="00137EB7" w:rsidRPr="00137EB7">
        <w:rPr>
          <w:rFonts w:ascii="Times New Roman" w:hAnsi="Times New Roman" w:cs="Times New Roman"/>
          <w:sz w:val="24"/>
          <w:szCs w:val="24"/>
        </w:rPr>
        <w:t xml:space="preserve"> </w:t>
      </w:r>
      <w:r w:rsidR="00137EB7" w:rsidRPr="00137EB7">
        <w:rPr>
          <w:rFonts w:ascii="Times New Roman" w:hAnsi="Times New Roman" w:cs="Times New Roman"/>
          <w:sz w:val="24"/>
          <w:szCs w:val="24"/>
          <w:lang w:val="en-GB"/>
        </w:rPr>
        <w:t>The inherent ambiguity surrounding the establishment of Men's Rea underscores the intricate dance between legal principles and human psychology. The elusive nature of mental states complicates the task of ascertaining guilt beyond a reasonable doubt, plunging legal proceedings into a quagmire of uncertainty and conjecture. In the absence of concrete evidence delineating the defendant's intentions, legal practitioners are compelled to navigate the murky waters of subjective interpretation, where the boundaries between innocence and guilt blur.</w:t>
      </w:r>
    </w:p>
    <w:p w14:paraId="5D8D6394" w14:textId="77777777" w:rsidR="00137EB7" w:rsidRPr="00137EB7" w:rsidRDefault="00137EB7" w:rsidP="00137EB7">
      <w:pPr>
        <w:spacing w:line="480" w:lineRule="auto"/>
        <w:rPr>
          <w:rFonts w:ascii="Times New Roman" w:hAnsi="Times New Roman" w:cs="Times New Roman"/>
          <w:sz w:val="24"/>
          <w:szCs w:val="24"/>
          <w:lang w:val="en-GB"/>
        </w:rPr>
      </w:pPr>
      <w:r w:rsidRPr="00137EB7">
        <w:rPr>
          <w:rFonts w:ascii="Times New Roman" w:hAnsi="Times New Roman" w:cs="Times New Roman"/>
          <w:sz w:val="24"/>
          <w:szCs w:val="24"/>
          <w:lang w:val="en-GB"/>
        </w:rPr>
        <w:t>Kessler's insights shed light on the intricate web of challenges that ensnare legal professionals in their pursuit of justice. The malleable nature of mental culpability invites a myriad of conflicting perspectives, casting a shadow of doubt over the adjudication of criminal cases. As the legal fraternity grapples with the enigma of Men's Rea, the quest for a harmonious balance between legal rigor and human fallibility persists as a formidable task in the realm of criminal law.</w:t>
      </w:r>
    </w:p>
    <w:p w14:paraId="7D651EE2" w14:textId="14320B1F" w:rsidR="00C01C4E" w:rsidRPr="00FF45E7" w:rsidRDefault="00C01C4E" w:rsidP="00FF45E7">
      <w:pPr>
        <w:spacing w:line="480" w:lineRule="auto"/>
        <w:rPr>
          <w:rFonts w:ascii="Times New Roman" w:hAnsi="Times New Roman" w:cs="Times New Roman"/>
          <w:sz w:val="24"/>
          <w:szCs w:val="24"/>
        </w:rPr>
      </w:pPr>
    </w:p>
    <w:p w14:paraId="2B5EC894" w14:textId="77777777" w:rsidR="00C01C4E" w:rsidRPr="00FF45E7" w:rsidRDefault="00C01C4E" w:rsidP="00FF45E7">
      <w:pPr>
        <w:spacing w:line="480" w:lineRule="auto"/>
        <w:rPr>
          <w:rFonts w:ascii="Times New Roman" w:hAnsi="Times New Roman" w:cs="Times New Roman"/>
          <w:sz w:val="24"/>
          <w:szCs w:val="24"/>
        </w:rPr>
      </w:pPr>
    </w:p>
    <w:p w14:paraId="2B766E9D" w14:textId="77777777" w:rsidR="00137EB7" w:rsidRDefault="00137EB7" w:rsidP="00FF45E7">
      <w:pPr>
        <w:spacing w:line="480" w:lineRule="auto"/>
        <w:rPr>
          <w:rFonts w:ascii="Times New Roman" w:hAnsi="Times New Roman" w:cs="Times New Roman"/>
          <w:b/>
          <w:bCs/>
          <w:sz w:val="24"/>
          <w:szCs w:val="24"/>
        </w:rPr>
      </w:pPr>
    </w:p>
    <w:p w14:paraId="7D145559" w14:textId="77777777" w:rsidR="00137EB7" w:rsidRDefault="00137EB7" w:rsidP="00FF45E7">
      <w:pPr>
        <w:spacing w:line="480" w:lineRule="auto"/>
        <w:rPr>
          <w:rFonts w:ascii="Times New Roman" w:hAnsi="Times New Roman" w:cs="Times New Roman"/>
          <w:b/>
          <w:bCs/>
          <w:sz w:val="24"/>
          <w:szCs w:val="24"/>
        </w:rPr>
      </w:pPr>
    </w:p>
    <w:p w14:paraId="6E418EA2" w14:textId="797E4B1B"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lastRenderedPageBreak/>
        <w:t>Subjectivity and Interpretation</w:t>
      </w:r>
    </w:p>
    <w:p w14:paraId="6409D7E2" w14:textId="42860990" w:rsidR="00C01C4E" w:rsidRPr="00FF45E7"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 xml:space="preserve">Gardner (2012) highlights the subjective nature of intention as a significant challenge in the concept of Men's Rea. Different individuals may interpret the same set of circumstances differently, leading to varying conclusions regarding the defendant's mental state. This subjectivity and interpretation can create challenges in establishing criminal liability and holding individuals accountable for their </w:t>
      </w:r>
      <w:r w:rsidR="00137EB7" w:rsidRPr="00FF45E7">
        <w:rPr>
          <w:rFonts w:ascii="Times New Roman" w:hAnsi="Times New Roman" w:cs="Times New Roman"/>
          <w:sz w:val="24"/>
          <w:szCs w:val="24"/>
        </w:rPr>
        <w:t>actions.</w:t>
      </w:r>
      <w:r w:rsidR="00137EB7" w:rsidRPr="00137EB7">
        <w:rPr>
          <w:rFonts w:ascii="Times New Roman" w:hAnsi="Times New Roman" w:cs="Times New Roman"/>
          <w:sz w:val="24"/>
          <w:szCs w:val="24"/>
        </w:rPr>
        <w:t xml:space="preserve"> The variegated hues of interpretation that color the canvas of Men's Rea underscore the intricate interplay between individual perspectives and legal constructs. The divergent paths of understanding traversed by distinct stakeholders further convolute the already intricate terrain of criminal jurisprudence, casting shadows of doubt over the definitive establishment of criminal responsibility. As legal luminaries grapple with the enigmatic nuances of intentionality, the pursuit of equitable justice amidst the labyrinth of subjective interpretation remains a Herculean task in the realm of legal discourse.</w:t>
      </w:r>
    </w:p>
    <w:p w14:paraId="68ABDCD4" w14:textId="77777777" w:rsidR="00C01C4E" w:rsidRPr="00FF45E7" w:rsidRDefault="00C01C4E" w:rsidP="00FF45E7">
      <w:pPr>
        <w:spacing w:line="480" w:lineRule="auto"/>
        <w:rPr>
          <w:rFonts w:ascii="Times New Roman" w:hAnsi="Times New Roman" w:cs="Times New Roman"/>
          <w:sz w:val="24"/>
          <w:szCs w:val="24"/>
        </w:rPr>
      </w:pPr>
    </w:p>
    <w:p w14:paraId="2443A827"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Different Forms of Intention</w:t>
      </w:r>
    </w:p>
    <w:p w14:paraId="1146217C" w14:textId="1730BD5E" w:rsidR="00137EB7" w:rsidRDefault="00C01C4E" w:rsidP="00137EB7">
      <w:pPr>
        <w:spacing w:line="480" w:lineRule="auto"/>
        <w:rPr>
          <w:rFonts w:ascii="Times New Roman" w:hAnsi="Times New Roman" w:cs="Times New Roman"/>
          <w:sz w:val="24"/>
          <w:szCs w:val="24"/>
          <w:lang w:val="en-GB"/>
        </w:rPr>
      </w:pPr>
      <w:r w:rsidRPr="00137EB7">
        <w:rPr>
          <w:rFonts w:ascii="Times New Roman" w:hAnsi="Times New Roman" w:cs="Times New Roman"/>
          <w:sz w:val="24"/>
          <w:szCs w:val="24"/>
        </w:rPr>
        <w:t>Stark (2013) discusses the complexities of different forms of intention within Men's Rea, such as direct intention, indirect intention, and recklessness. Each form of intention presents its own set of challenges in terms of proving the defendant's mental state. For example, establishing direct intention, where the defendant aims to bring about a specific result, can be particularly difficult without clear and unequivocal evidence of their intent.</w:t>
      </w:r>
      <w:r w:rsidR="00137EB7" w:rsidRPr="00137EB7">
        <w:rPr>
          <w:rFonts w:ascii="Times New Roman" w:hAnsi="Times New Roman" w:cs="Times New Roman"/>
          <w:sz w:val="24"/>
          <w:szCs w:val="24"/>
        </w:rPr>
        <w:t xml:space="preserve"> </w:t>
      </w:r>
      <w:r w:rsidR="00137EB7" w:rsidRPr="00137EB7">
        <w:rPr>
          <w:rFonts w:ascii="Times New Roman" w:hAnsi="Times New Roman" w:cs="Times New Roman"/>
          <w:sz w:val="24"/>
          <w:szCs w:val="24"/>
          <w:lang w:val="en-GB"/>
        </w:rPr>
        <w:t xml:space="preserve">Similarly, proving indirect intention, where the defendant knows their actions will likely result in a certain outcome but does not necessarily desire it, requires a thorough examination of the circumstances surrounding the crime. Recklessness, on the other hand, involves demonstrating that the defendant acted with conscious disregard for a substantial and </w:t>
      </w:r>
      <w:r w:rsidR="00137EB7" w:rsidRPr="00137EB7">
        <w:rPr>
          <w:rFonts w:ascii="Times New Roman" w:hAnsi="Times New Roman" w:cs="Times New Roman"/>
          <w:sz w:val="24"/>
          <w:szCs w:val="24"/>
          <w:lang w:val="en-GB"/>
        </w:rPr>
        <w:lastRenderedPageBreak/>
        <w:t xml:space="preserve">unjustifiable risk, adding another layer of complexity to establishing Men's Rea in criminal cases. </w:t>
      </w:r>
    </w:p>
    <w:p w14:paraId="43DD77DF" w14:textId="77777777" w:rsidR="00137EB7" w:rsidRPr="00137EB7" w:rsidRDefault="00137EB7" w:rsidP="00137EB7">
      <w:pPr>
        <w:spacing w:line="480" w:lineRule="auto"/>
        <w:rPr>
          <w:rFonts w:ascii="Times New Roman" w:hAnsi="Times New Roman" w:cs="Times New Roman"/>
          <w:sz w:val="24"/>
          <w:szCs w:val="24"/>
          <w:lang w:val="en-GB"/>
        </w:rPr>
      </w:pPr>
    </w:p>
    <w:p w14:paraId="1009892A" w14:textId="0C167138"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Proving Men's Rea</w:t>
      </w:r>
    </w:p>
    <w:p w14:paraId="58DFB9D8"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Types of Intention</w:t>
      </w:r>
    </w:p>
    <w:p w14:paraId="29FC6DEB" w14:textId="68777BFF" w:rsidR="00C01C4E" w:rsidRDefault="00C01C4E" w:rsidP="00FF45E7">
      <w:pPr>
        <w:spacing w:line="480" w:lineRule="auto"/>
        <w:rPr>
          <w:rFonts w:ascii="Times New Roman" w:hAnsi="Times New Roman" w:cs="Times New Roman"/>
          <w:sz w:val="24"/>
          <w:szCs w:val="24"/>
        </w:rPr>
      </w:pPr>
      <w:proofErr w:type="spellStart"/>
      <w:r w:rsidRPr="00FF45E7">
        <w:rPr>
          <w:rFonts w:ascii="Times New Roman" w:hAnsi="Times New Roman" w:cs="Times New Roman"/>
          <w:sz w:val="24"/>
          <w:szCs w:val="24"/>
        </w:rPr>
        <w:t>Simester</w:t>
      </w:r>
      <w:proofErr w:type="spellEnd"/>
      <w:r w:rsidRPr="00FF45E7">
        <w:rPr>
          <w:rFonts w:ascii="Times New Roman" w:hAnsi="Times New Roman" w:cs="Times New Roman"/>
          <w:sz w:val="24"/>
          <w:szCs w:val="24"/>
        </w:rPr>
        <w:t>, Spencer, and Sullivan (2019) categorize Men's Rea into different types of intention, such as specific intent and general intent. Specific intent involves a conscious desire to bring about a particular result, while general intent pertains to a more general awareness of the consequences of one's actions. Understanding these distinctions is crucial for legal professionals in determining the defendant's mental culpability.</w:t>
      </w:r>
      <w:r w:rsidR="00137EB7">
        <w:rPr>
          <w:rFonts w:ascii="Times New Roman" w:hAnsi="Times New Roman" w:cs="Times New Roman"/>
          <w:sz w:val="24"/>
          <w:szCs w:val="24"/>
        </w:rPr>
        <w:t xml:space="preserve"> </w:t>
      </w:r>
      <w:r w:rsidR="00137EB7" w:rsidRPr="00137EB7">
        <w:rPr>
          <w:rFonts w:ascii="Times New Roman" w:hAnsi="Times New Roman" w:cs="Times New Roman"/>
          <w:sz w:val="24"/>
          <w:szCs w:val="24"/>
          <w:lang w:val="en-GB"/>
        </w:rPr>
        <w:t xml:space="preserve">This knowledge helps in accurately assessing the defendant's state of mind and determining the appropriate level of punishment or liability. By analysing the specific intent or general intent behind a crime, legal professionals can ensure that justice is served effectively. </w:t>
      </w:r>
    </w:p>
    <w:p w14:paraId="4ADCE457" w14:textId="77777777" w:rsidR="00137EB7" w:rsidRPr="00FF45E7" w:rsidRDefault="00137EB7" w:rsidP="00FF45E7">
      <w:pPr>
        <w:spacing w:line="480" w:lineRule="auto"/>
        <w:rPr>
          <w:rFonts w:ascii="Times New Roman" w:hAnsi="Times New Roman" w:cs="Times New Roman"/>
          <w:sz w:val="24"/>
          <w:szCs w:val="24"/>
        </w:rPr>
      </w:pPr>
    </w:p>
    <w:p w14:paraId="54119382"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Burden of Proof</w:t>
      </w:r>
    </w:p>
    <w:p w14:paraId="0CDFD0FF" w14:textId="09341F7B" w:rsidR="00137EB7" w:rsidRPr="00137EB7" w:rsidRDefault="00C01C4E" w:rsidP="00137EB7">
      <w:pPr>
        <w:spacing w:line="480" w:lineRule="auto"/>
        <w:rPr>
          <w:rFonts w:ascii="Times New Roman" w:hAnsi="Times New Roman" w:cs="Times New Roman"/>
          <w:sz w:val="24"/>
          <w:szCs w:val="24"/>
        </w:rPr>
      </w:pPr>
      <w:r w:rsidRPr="00FF45E7">
        <w:rPr>
          <w:rFonts w:ascii="Times New Roman" w:hAnsi="Times New Roman" w:cs="Times New Roman"/>
          <w:sz w:val="24"/>
          <w:szCs w:val="24"/>
        </w:rPr>
        <w:t>According to LaFave, King, and Israel (2018), the burden of proof in establishing Men's Rea rests with the prosecution, who must demonstrate, beyond a reasonable doubt, that the defendant possessed the requisite mental state to commit the crime. Meeting this burden can be challenging due to the complexities and uncertainties surrounding the defendant's state of mind. Prosecutors must present compelling evidence and arguments to convince the trier of fact of the defendant's guilt.</w:t>
      </w:r>
      <w:r w:rsidR="00137EB7">
        <w:rPr>
          <w:rFonts w:ascii="Times New Roman" w:hAnsi="Times New Roman" w:cs="Times New Roman"/>
          <w:sz w:val="24"/>
          <w:szCs w:val="24"/>
        </w:rPr>
        <w:t xml:space="preserve"> </w:t>
      </w:r>
      <w:r w:rsidR="00137EB7" w:rsidRPr="00137EB7">
        <w:rPr>
          <w:rFonts w:ascii="Times New Roman" w:hAnsi="Times New Roman" w:cs="Times New Roman"/>
          <w:sz w:val="24"/>
          <w:szCs w:val="24"/>
          <w:lang w:val="en-GB"/>
        </w:rPr>
        <w:t xml:space="preserve">This can involve analysing the defendant's actions, statements, and circumstances leading up to the crime. Additionally, expert testimony may be necessary to shed light on the defendant's mental state at the time of the offense. </w:t>
      </w:r>
    </w:p>
    <w:p w14:paraId="03D8F69F" w14:textId="77777777" w:rsidR="00137EB7" w:rsidRPr="00FF45E7" w:rsidRDefault="00137EB7" w:rsidP="00FF45E7">
      <w:pPr>
        <w:spacing w:line="480" w:lineRule="auto"/>
        <w:rPr>
          <w:rFonts w:ascii="Times New Roman" w:hAnsi="Times New Roman" w:cs="Times New Roman"/>
          <w:sz w:val="24"/>
          <w:szCs w:val="24"/>
        </w:rPr>
      </w:pPr>
    </w:p>
    <w:p w14:paraId="694FBA66" w14:textId="77777777" w:rsidR="00C01C4E" w:rsidRPr="00FF45E7" w:rsidRDefault="00C01C4E" w:rsidP="00FF45E7">
      <w:pPr>
        <w:spacing w:line="480" w:lineRule="auto"/>
        <w:rPr>
          <w:rFonts w:ascii="Times New Roman" w:hAnsi="Times New Roman" w:cs="Times New Roman"/>
          <w:sz w:val="24"/>
          <w:szCs w:val="24"/>
        </w:rPr>
      </w:pPr>
    </w:p>
    <w:p w14:paraId="32AED138"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lastRenderedPageBreak/>
        <w:t>Role of Evidence</w:t>
      </w:r>
    </w:p>
    <w:p w14:paraId="779D15FA" w14:textId="73A2E9B0" w:rsidR="00C01C4E"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Hall (2016) emphasizes the role of evidence in proving Men's Rea and substantiating the prosecution's case. Circumstantial evidence, witness testimony, forensic analysis, and the defendant's actions leading up to the crime can provide insights into the individual's mental state. However, interpreting this evidence and establishing its relevance to the defendant's intent can be a contentious issue, requiring careful analysis by legal professionals.</w:t>
      </w:r>
      <w:r w:rsidR="00137EB7">
        <w:rPr>
          <w:rFonts w:ascii="Times New Roman" w:hAnsi="Times New Roman" w:cs="Times New Roman"/>
          <w:sz w:val="24"/>
          <w:szCs w:val="24"/>
        </w:rPr>
        <w:t xml:space="preserve"> </w:t>
      </w:r>
    </w:p>
    <w:p w14:paraId="49C72B7E" w14:textId="77777777" w:rsidR="00137EB7" w:rsidRPr="00137EB7" w:rsidRDefault="00137EB7" w:rsidP="00137EB7">
      <w:pPr>
        <w:spacing w:line="480" w:lineRule="auto"/>
        <w:rPr>
          <w:rFonts w:ascii="Times New Roman" w:hAnsi="Times New Roman" w:cs="Times New Roman"/>
          <w:sz w:val="24"/>
          <w:szCs w:val="24"/>
          <w:lang w:val="en-GB"/>
        </w:rPr>
      </w:pPr>
      <w:r w:rsidRPr="00137EB7">
        <w:rPr>
          <w:rFonts w:ascii="Times New Roman" w:hAnsi="Times New Roman" w:cs="Times New Roman"/>
          <w:sz w:val="24"/>
          <w:szCs w:val="24"/>
          <w:lang w:val="en-GB"/>
        </w:rPr>
        <w:t xml:space="preserve">Ultimately, the burden of proof lies with the prosecution to demonstrate beyond a reasonable doubt that the defendant had the requisite mental state to commit the crime. Therefore, a thorough examination of all available evidence is crucial in building a strong case. </w:t>
      </w:r>
    </w:p>
    <w:p w14:paraId="43AF132A" w14:textId="77777777" w:rsidR="00FF45E7" w:rsidRDefault="00FF45E7" w:rsidP="00FF45E7">
      <w:pPr>
        <w:spacing w:line="480" w:lineRule="auto"/>
        <w:rPr>
          <w:rFonts w:ascii="Times New Roman" w:hAnsi="Times New Roman" w:cs="Times New Roman"/>
          <w:sz w:val="24"/>
          <w:szCs w:val="24"/>
        </w:rPr>
      </w:pPr>
    </w:p>
    <w:p w14:paraId="045718CC" w14:textId="2E7B1A5C"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Case Law Examples</w:t>
      </w:r>
    </w:p>
    <w:p w14:paraId="1C5F0202" w14:textId="77777777" w:rsidR="00C01C4E" w:rsidRPr="00FF45E7" w:rsidRDefault="00C01C4E" w:rsidP="00FF45E7">
      <w:pPr>
        <w:spacing w:line="480" w:lineRule="auto"/>
        <w:rPr>
          <w:rFonts w:ascii="Times New Roman" w:hAnsi="Times New Roman" w:cs="Times New Roman"/>
          <w:b/>
          <w:bCs/>
          <w:sz w:val="24"/>
          <w:szCs w:val="24"/>
        </w:rPr>
      </w:pPr>
      <w:proofErr w:type="spellStart"/>
      <w:r w:rsidRPr="00FF45E7">
        <w:rPr>
          <w:rFonts w:ascii="Times New Roman" w:hAnsi="Times New Roman" w:cs="Times New Roman"/>
          <w:b/>
          <w:bCs/>
          <w:sz w:val="24"/>
          <w:szCs w:val="24"/>
        </w:rPr>
        <w:t>Woolin</w:t>
      </w:r>
      <w:proofErr w:type="spellEnd"/>
      <w:r w:rsidRPr="00FF45E7">
        <w:rPr>
          <w:rFonts w:ascii="Times New Roman" w:hAnsi="Times New Roman" w:cs="Times New Roman"/>
          <w:b/>
          <w:bCs/>
          <w:sz w:val="24"/>
          <w:szCs w:val="24"/>
        </w:rPr>
        <w:t xml:space="preserve"> (1998)</w:t>
      </w:r>
    </w:p>
    <w:p w14:paraId="03DCCD8A" w14:textId="51558DFB" w:rsidR="00C01C4E"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 xml:space="preserve">The case of </w:t>
      </w:r>
      <w:proofErr w:type="spellStart"/>
      <w:r w:rsidRPr="00FF45E7">
        <w:rPr>
          <w:rFonts w:ascii="Times New Roman" w:hAnsi="Times New Roman" w:cs="Times New Roman"/>
          <w:sz w:val="24"/>
          <w:szCs w:val="24"/>
        </w:rPr>
        <w:t>Woolin</w:t>
      </w:r>
      <w:proofErr w:type="spellEnd"/>
      <w:r w:rsidRPr="00FF45E7">
        <w:rPr>
          <w:rFonts w:ascii="Times New Roman" w:hAnsi="Times New Roman" w:cs="Times New Roman"/>
          <w:sz w:val="24"/>
          <w:szCs w:val="24"/>
        </w:rPr>
        <w:t xml:space="preserve"> (1998) is a notable example that illustrates the significance of Men's Rea in criminal law. In this case, the House of Lords clarified the concept of indirect intention, emphasizing the importance of the defendant's foresight of the consequences of their actions in determining criminal liability.</w:t>
      </w:r>
      <w:r w:rsidR="00DC5C73">
        <w:rPr>
          <w:rFonts w:ascii="Times New Roman" w:hAnsi="Times New Roman" w:cs="Times New Roman"/>
          <w:sz w:val="24"/>
          <w:szCs w:val="24"/>
        </w:rPr>
        <w:t xml:space="preserve"> </w:t>
      </w:r>
    </w:p>
    <w:p w14:paraId="7863F931" w14:textId="66A90743" w:rsidR="00DC5C73" w:rsidRPr="00DC5C73" w:rsidRDefault="00DC5C73" w:rsidP="00DC5C73">
      <w:pPr>
        <w:spacing w:line="480" w:lineRule="auto"/>
        <w:rPr>
          <w:rFonts w:ascii="Times New Roman" w:hAnsi="Times New Roman" w:cs="Times New Roman"/>
          <w:sz w:val="24"/>
          <w:szCs w:val="24"/>
          <w:lang w:val="en-GB"/>
        </w:rPr>
      </w:pPr>
      <w:r w:rsidRPr="00DC5C73">
        <w:rPr>
          <w:rFonts w:ascii="Times New Roman" w:hAnsi="Times New Roman" w:cs="Times New Roman"/>
          <w:sz w:val="24"/>
          <w:szCs w:val="24"/>
          <w:lang w:val="en-GB"/>
        </w:rPr>
        <w:t xml:space="preserve">This ruling set a precedent for future cases involving indirect intention, highlighting the crucial role of the defendant's state of mind in determining their guilt in criminal offenses. The </w:t>
      </w:r>
      <w:proofErr w:type="spellStart"/>
      <w:r w:rsidRPr="00DC5C73">
        <w:rPr>
          <w:rFonts w:ascii="Times New Roman" w:hAnsi="Times New Roman" w:cs="Times New Roman"/>
          <w:sz w:val="24"/>
          <w:szCs w:val="24"/>
          <w:lang w:val="en-GB"/>
        </w:rPr>
        <w:t>Woolin</w:t>
      </w:r>
      <w:proofErr w:type="spellEnd"/>
      <w:r w:rsidRPr="00DC5C73">
        <w:rPr>
          <w:rFonts w:ascii="Times New Roman" w:hAnsi="Times New Roman" w:cs="Times New Roman"/>
          <w:sz w:val="24"/>
          <w:szCs w:val="24"/>
          <w:lang w:val="en-GB"/>
        </w:rPr>
        <w:t xml:space="preserve"> case ultimately underscored the necessity of proving Men’s Rea beyond a reasonable doubt to secure a conviction. </w:t>
      </w:r>
    </w:p>
    <w:p w14:paraId="2E5BCEBA" w14:textId="3F675AC1" w:rsidR="00DC5C73" w:rsidRPr="00DC5C73" w:rsidRDefault="00DC5C73" w:rsidP="00DC5C73">
      <w:pPr>
        <w:spacing w:line="480" w:lineRule="auto"/>
        <w:rPr>
          <w:rFonts w:ascii="Times New Roman" w:hAnsi="Times New Roman" w:cs="Times New Roman"/>
          <w:sz w:val="24"/>
          <w:szCs w:val="24"/>
          <w:lang w:val="en-GB"/>
        </w:rPr>
      </w:pPr>
      <w:r w:rsidRPr="00DC5C73">
        <w:rPr>
          <w:rFonts w:ascii="Times New Roman" w:hAnsi="Times New Roman" w:cs="Times New Roman"/>
          <w:sz w:val="24"/>
          <w:szCs w:val="24"/>
          <w:lang w:val="en-GB"/>
        </w:rPr>
        <w:t xml:space="preserve">By emphasizing the importance of Men’s Rea in criminal law, the House of Lords in the </w:t>
      </w:r>
      <w:proofErr w:type="spellStart"/>
      <w:r w:rsidRPr="00DC5C73">
        <w:rPr>
          <w:rFonts w:ascii="Times New Roman" w:hAnsi="Times New Roman" w:cs="Times New Roman"/>
          <w:sz w:val="24"/>
          <w:szCs w:val="24"/>
          <w:lang w:val="en-GB"/>
        </w:rPr>
        <w:t>Woolin</w:t>
      </w:r>
      <w:proofErr w:type="spellEnd"/>
      <w:r w:rsidRPr="00DC5C73">
        <w:rPr>
          <w:rFonts w:ascii="Times New Roman" w:hAnsi="Times New Roman" w:cs="Times New Roman"/>
          <w:sz w:val="24"/>
          <w:szCs w:val="24"/>
          <w:lang w:val="en-GB"/>
        </w:rPr>
        <w:t xml:space="preserve"> case reinforced the principle that a guilty mind is essential for a guilty act. This ruling served as a reminder that criminal liability cannot be established solely based on the actions of the defendant, but also requires proving their mental state at the time of the offense. As a </w:t>
      </w:r>
      <w:r w:rsidRPr="00DC5C73">
        <w:rPr>
          <w:rFonts w:ascii="Times New Roman" w:hAnsi="Times New Roman" w:cs="Times New Roman"/>
          <w:sz w:val="24"/>
          <w:szCs w:val="24"/>
          <w:lang w:val="en-GB"/>
        </w:rPr>
        <w:lastRenderedPageBreak/>
        <w:t xml:space="preserve">result, the </w:t>
      </w:r>
      <w:proofErr w:type="spellStart"/>
      <w:r w:rsidRPr="00DC5C73">
        <w:rPr>
          <w:rFonts w:ascii="Times New Roman" w:hAnsi="Times New Roman" w:cs="Times New Roman"/>
          <w:sz w:val="24"/>
          <w:szCs w:val="24"/>
          <w:lang w:val="en-GB"/>
        </w:rPr>
        <w:t>Woolin</w:t>
      </w:r>
      <w:proofErr w:type="spellEnd"/>
      <w:r w:rsidRPr="00DC5C73">
        <w:rPr>
          <w:rFonts w:ascii="Times New Roman" w:hAnsi="Times New Roman" w:cs="Times New Roman"/>
          <w:sz w:val="24"/>
          <w:szCs w:val="24"/>
          <w:lang w:val="en-GB"/>
        </w:rPr>
        <w:t xml:space="preserve"> case solidified the significance of Men’s Rea in ensuring that justice is served in criminal proceedings.</w:t>
      </w:r>
    </w:p>
    <w:p w14:paraId="5A34B69D" w14:textId="77777777" w:rsidR="00DC5C73" w:rsidRPr="00FF45E7" w:rsidRDefault="00DC5C73" w:rsidP="00FF45E7">
      <w:pPr>
        <w:spacing w:line="480" w:lineRule="auto"/>
        <w:rPr>
          <w:rFonts w:ascii="Times New Roman" w:hAnsi="Times New Roman" w:cs="Times New Roman"/>
          <w:sz w:val="24"/>
          <w:szCs w:val="24"/>
        </w:rPr>
      </w:pPr>
    </w:p>
    <w:p w14:paraId="48C5CD32" w14:textId="77777777" w:rsidR="00C01C4E" w:rsidRPr="00FF45E7" w:rsidRDefault="00C01C4E" w:rsidP="00FF45E7">
      <w:pPr>
        <w:spacing w:line="480" w:lineRule="auto"/>
        <w:rPr>
          <w:rFonts w:ascii="Times New Roman" w:hAnsi="Times New Roman" w:cs="Times New Roman"/>
          <w:sz w:val="24"/>
          <w:szCs w:val="24"/>
        </w:rPr>
      </w:pPr>
    </w:p>
    <w:p w14:paraId="675DDB7E"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How Men's Rea Influenced Outcomes</w:t>
      </w:r>
    </w:p>
    <w:p w14:paraId="050C4C5B" w14:textId="050AE556" w:rsidR="00C01C4E"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Morse (2010) explores how Men's Rea influenced the outcomes of high-profile cases, offering a deeper understanding of its impact on criminal proceedings. Whether resulting in acquittals due to insufficient evidence of intent or convictions based on a clear demonstration of the defendant's culpable mental state, these examples underscore the pivotal role that Men's Rea plays in the administration of justice.</w:t>
      </w:r>
      <w:r w:rsidR="00DC5C73">
        <w:rPr>
          <w:rFonts w:ascii="Times New Roman" w:hAnsi="Times New Roman" w:cs="Times New Roman"/>
          <w:sz w:val="24"/>
          <w:szCs w:val="24"/>
        </w:rPr>
        <w:t xml:space="preserve"> </w:t>
      </w:r>
      <w:r w:rsidR="00DC5C73" w:rsidRPr="00DC5C73">
        <w:rPr>
          <w:rFonts w:ascii="Times New Roman" w:hAnsi="Times New Roman" w:cs="Times New Roman"/>
          <w:sz w:val="24"/>
          <w:szCs w:val="24"/>
          <w:lang w:val="en-GB"/>
        </w:rPr>
        <w:t xml:space="preserve">By examining the nuances of intent in various legal contexts, Morse sheds light on the complexities of determining guilt or innocence. This analysis can help inform future legal decisions and shape the development of criminal law. </w:t>
      </w:r>
    </w:p>
    <w:p w14:paraId="0E0CBFA1" w14:textId="77777777" w:rsidR="00DC5C73" w:rsidRPr="00FF45E7" w:rsidRDefault="00DC5C73" w:rsidP="00FF45E7">
      <w:pPr>
        <w:spacing w:line="480" w:lineRule="auto"/>
        <w:rPr>
          <w:rFonts w:ascii="Times New Roman" w:hAnsi="Times New Roman" w:cs="Times New Roman"/>
          <w:sz w:val="24"/>
          <w:szCs w:val="24"/>
        </w:rPr>
      </w:pPr>
    </w:p>
    <w:p w14:paraId="43D9F502"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Reforms and Criticisms</w:t>
      </w:r>
    </w:p>
    <w:p w14:paraId="1B991F2D"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Proposed Changes</w:t>
      </w:r>
    </w:p>
    <w:p w14:paraId="1092CF9C" w14:textId="116EF8C8" w:rsidR="00DC5C73" w:rsidRPr="00DC5C73" w:rsidRDefault="00C01C4E" w:rsidP="00DC5C73">
      <w:pPr>
        <w:spacing w:line="480" w:lineRule="auto"/>
        <w:rPr>
          <w:rFonts w:ascii="Times New Roman" w:hAnsi="Times New Roman" w:cs="Times New Roman"/>
          <w:sz w:val="24"/>
          <w:szCs w:val="24"/>
        </w:rPr>
      </w:pPr>
      <w:proofErr w:type="spellStart"/>
      <w:r w:rsidRPr="00FF45E7">
        <w:rPr>
          <w:rFonts w:ascii="Times New Roman" w:hAnsi="Times New Roman" w:cs="Times New Roman"/>
          <w:sz w:val="24"/>
          <w:szCs w:val="24"/>
        </w:rPr>
        <w:t>Tadros</w:t>
      </w:r>
      <w:proofErr w:type="spellEnd"/>
      <w:r w:rsidRPr="00FF45E7">
        <w:rPr>
          <w:rFonts w:ascii="Times New Roman" w:hAnsi="Times New Roman" w:cs="Times New Roman"/>
          <w:sz w:val="24"/>
          <w:szCs w:val="24"/>
        </w:rPr>
        <w:t xml:space="preserve"> (2014) proposes changes to the current legal framework to address the challenges associated with Men's Rea. These changes aim to clarify the standards of intent, streamline the burden of proof requirements, and enhance the consistency of judicial interpretations to mitigate the complexities and uncertainties surrounding the concept of Men's Rea.</w:t>
      </w:r>
      <w:r w:rsidR="00DC5C73">
        <w:rPr>
          <w:rFonts w:ascii="Times New Roman" w:hAnsi="Times New Roman" w:cs="Times New Roman"/>
          <w:sz w:val="24"/>
          <w:szCs w:val="24"/>
        </w:rPr>
        <w:t xml:space="preserve"> </w:t>
      </w:r>
      <w:r w:rsidR="00DC5C73" w:rsidRPr="00DC5C73">
        <w:rPr>
          <w:rFonts w:ascii="Times New Roman" w:hAnsi="Times New Roman" w:cs="Times New Roman"/>
          <w:sz w:val="24"/>
          <w:szCs w:val="24"/>
          <w:lang w:val="en-GB"/>
        </w:rPr>
        <w:t xml:space="preserve">By providing clearer guidelines and reducing ambiguity in the legal system, </w:t>
      </w:r>
      <w:proofErr w:type="spellStart"/>
      <w:r w:rsidR="00DC5C73" w:rsidRPr="00DC5C73">
        <w:rPr>
          <w:rFonts w:ascii="Times New Roman" w:hAnsi="Times New Roman" w:cs="Times New Roman"/>
          <w:sz w:val="24"/>
          <w:szCs w:val="24"/>
          <w:lang w:val="en-GB"/>
        </w:rPr>
        <w:t>Tadros</w:t>
      </w:r>
      <w:proofErr w:type="spellEnd"/>
      <w:r w:rsidR="00DC5C73" w:rsidRPr="00DC5C73">
        <w:rPr>
          <w:rFonts w:ascii="Times New Roman" w:hAnsi="Times New Roman" w:cs="Times New Roman"/>
          <w:sz w:val="24"/>
          <w:szCs w:val="24"/>
          <w:lang w:val="en-GB"/>
        </w:rPr>
        <w:t xml:space="preserve"> believes that these proposed changes will ultimately lead to more just outcomes in criminal cases. Additionally, he argues that a more precise definition of Men's Rea will help ensure that individuals are held accountable for their actions based on a fair and transparent legal process. </w:t>
      </w:r>
    </w:p>
    <w:p w14:paraId="04438812" w14:textId="77777777" w:rsidR="00DC5C73" w:rsidRPr="00FF45E7" w:rsidRDefault="00DC5C73" w:rsidP="00FF45E7">
      <w:pPr>
        <w:spacing w:line="480" w:lineRule="auto"/>
        <w:rPr>
          <w:rFonts w:ascii="Times New Roman" w:hAnsi="Times New Roman" w:cs="Times New Roman"/>
          <w:sz w:val="24"/>
          <w:szCs w:val="24"/>
        </w:rPr>
      </w:pPr>
    </w:p>
    <w:p w14:paraId="2EAB56F8" w14:textId="77777777" w:rsidR="00C01C4E" w:rsidRPr="00FF45E7" w:rsidRDefault="00C01C4E" w:rsidP="00FF45E7">
      <w:pPr>
        <w:spacing w:line="480" w:lineRule="auto"/>
        <w:rPr>
          <w:rFonts w:ascii="Times New Roman" w:hAnsi="Times New Roman" w:cs="Times New Roman"/>
          <w:sz w:val="24"/>
          <w:szCs w:val="24"/>
        </w:rPr>
      </w:pPr>
    </w:p>
    <w:p w14:paraId="7E3432B8"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t>Criticisms of the Current System</w:t>
      </w:r>
    </w:p>
    <w:p w14:paraId="338AB9C0" w14:textId="2E7F00A2" w:rsidR="00C01C4E" w:rsidRDefault="00C01C4E" w:rsidP="00FF45E7">
      <w:pPr>
        <w:spacing w:line="480" w:lineRule="auto"/>
        <w:rPr>
          <w:rFonts w:ascii="Times New Roman" w:hAnsi="Times New Roman" w:cs="Times New Roman"/>
          <w:sz w:val="24"/>
          <w:szCs w:val="24"/>
        </w:rPr>
      </w:pPr>
      <w:r w:rsidRPr="00FF45E7">
        <w:rPr>
          <w:rFonts w:ascii="Times New Roman" w:hAnsi="Times New Roman" w:cs="Times New Roman"/>
          <w:sz w:val="24"/>
          <w:szCs w:val="24"/>
        </w:rPr>
        <w:t>Williams (2018) discusses criticisms of the current system regarding Men's Rea within legal circles. Critics argue that the subjective nature of intention, the difficulties in proving mental states, and the potential for inconsistencies in judicial decisions pose significant challenges to the fair and just application of criminal liability. Addressing these criticisms requires a balanced approach that considers the complexities of human behavior and intent.</w:t>
      </w:r>
    </w:p>
    <w:p w14:paraId="5948208A" w14:textId="3F15383B" w:rsidR="00FF45E7" w:rsidRDefault="00FF45E7" w:rsidP="00FF45E7">
      <w:pPr>
        <w:spacing w:line="480" w:lineRule="auto"/>
        <w:rPr>
          <w:rFonts w:ascii="Times New Roman" w:hAnsi="Times New Roman" w:cs="Times New Roman"/>
          <w:sz w:val="24"/>
          <w:szCs w:val="24"/>
        </w:rPr>
      </w:pPr>
    </w:p>
    <w:p w14:paraId="2C1B1111" w14:textId="256A86A7" w:rsidR="00FF45E7" w:rsidRDefault="00FF45E7" w:rsidP="00FF45E7">
      <w:pPr>
        <w:spacing w:line="480" w:lineRule="auto"/>
        <w:rPr>
          <w:rFonts w:ascii="Times New Roman" w:hAnsi="Times New Roman" w:cs="Times New Roman"/>
          <w:sz w:val="24"/>
          <w:szCs w:val="24"/>
        </w:rPr>
      </w:pPr>
    </w:p>
    <w:p w14:paraId="02BC8778" w14:textId="15A5AF0F" w:rsidR="00FF45E7" w:rsidRDefault="00FF45E7" w:rsidP="00FF45E7">
      <w:pPr>
        <w:spacing w:line="480" w:lineRule="auto"/>
        <w:rPr>
          <w:rFonts w:ascii="Times New Roman" w:hAnsi="Times New Roman" w:cs="Times New Roman"/>
          <w:sz w:val="24"/>
          <w:szCs w:val="24"/>
        </w:rPr>
      </w:pPr>
    </w:p>
    <w:p w14:paraId="1039893A" w14:textId="0A523816" w:rsidR="00FF45E7" w:rsidRDefault="00FF45E7" w:rsidP="00FF45E7">
      <w:pPr>
        <w:spacing w:line="480" w:lineRule="auto"/>
        <w:rPr>
          <w:rFonts w:ascii="Times New Roman" w:hAnsi="Times New Roman" w:cs="Times New Roman"/>
          <w:sz w:val="24"/>
          <w:szCs w:val="24"/>
        </w:rPr>
      </w:pPr>
    </w:p>
    <w:p w14:paraId="0F3E5872" w14:textId="65D3C695" w:rsidR="00FF45E7" w:rsidRDefault="00FF45E7" w:rsidP="00FF45E7">
      <w:pPr>
        <w:spacing w:line="480" w:lineRule="auto"/>
        <w:rPr>
          <w:rFonts w:ascii="Times New Roman" w:hAnsi="Times New Roman" w:cs="Times New Roman"/>
          <w:sz w:val="24"/>
          <w:szCs w:val="24"/>
        </w:rPr>
      </w:pPr>
    </w:p>
    <w:p w14:paraId="087632AD" w14:textId="3982C395" w:rsidR="00FF45E7" w:rsidRDefault="00FF45E7" w:rsidP="00FF45E7">
      <w:pPr>
        <w:spacing w:line="480" w:lineRule="auto"/>
        <w:rPr>
          <w:rFonts w:ascii="Times New Roman" w:hAnsi="Times New Roman" w:cs="Times New Roman"/>
          <w:sz w:val="24"/>
          <w:szCs w:val="24"/>
        </w:rPr>
      </w:pPr>
    </w:p>
    <w:p w14:paraId="6895EF76" w14:textId="5B1074E1" w:rsidR="00FF45E7" w:rsidRDefault="00FF45E7" w:rsidP="00FF45E7">
      <w:pPr>
        <w:spacing w:line="480" w:lineRule="auto"/>
        <w:rPr>
          <w:rFonts w:ascii="Times New Roman" w:hAnsi="Times New Roman" w:cs="Times New Roman"/>
          <w:sz w:val="24"/>
          <w:szCs w:val="24"/>
        </w:rPr>
      </w:pPr>
    </w:p>
    <w:p w14:paraId="2160D4F9" w14:textId="1AD72A41" w:rsidR="00FF45E7" w:rsidRDefault="00FF45E7" w:rsidP="00FF45E7">
      <w:pPr>
        <w:spacing w:line="480" w:lineRule="auto"/>
        <w:rPr>
          <w:rFonts w:ascii="Times New Roman" w:hAnsi="Times New Roman" w:cs="Times New Roman"/>
          <w:sz w:val="24"/>
          <w:szCs w:val="24"/>
        </w:rPr>
      </w:pPr>
    </w:p>
    <w:p w14:paraId="4B7CB244" w14:textId="09CFAC74" w:rsidR="00FF45E7" w:rsidRDefault="00FF45E7" w:rsidP="00FF45E7">
      <w:pPr>
        <w:spacing w:line="480" w:lineRule="auto"/>
        <w:rPr>
          <w:rFonts w:ascii="Times New Roman" w:hAnsi="Times New Roman" w:cs="Times New Roman"/>
          <w:sz w:val="24"/>
          <w:szCs w:val="24"/>
        </w:rPr>
      </w:pPr>
    </w:p>
    <w:p w14:paraId="7F179822" w14:textId="473440D2" w:rsidR="00FF45E7" w:rsidRDefault="00FF45E7" w:rsidP="00FF45E7">
      <w:pPr>
        <w:spacing w:line="480" w:lineRule="auto"/>
        <w:rPr>
          <w:rFonts w:ascii="Times New Roman" w:hAnsi="Times New Roman" w:cs="Times New Roman"/>
          <w:sz w:val="24"/>
          <w:szCs w:val="24"/>
        </w:rPr>
      </w:pPr>
    </w:p>
    <w:p w14:paraId="3AA7847E" w14:textId="4792A533" w:rsidR="00FF45E7" w:rsidRDefault="00FF45E7" w:rsidP="00FF45E7">
      <w:pPr>
        <w:spacing w:line="480" w:lineRule="auto"/>
        <w:rPr>
          <w:rFonts w:ascii="Times New Roman" w:hAnsi="Times New Roman" w:cs="Times New Roman"/>
          <w:sz w:val="24"/>
          <w:szCs w:val="24"/>
        </w:rPr>
      </w:pPr>
    </w:p>
    <w:p w14:paraId="5FD85DAF" w14:textId="0A8ED958" w:rsidR="00FF45E7" w:rsidRDefault="00FF45E7" w:rsidP="00FF45E7">
      <w:pPr>
        <w:spacing w:line="480" w:lineRule="auto"/>
        <w:rPr>
          <w:rFonts w:ascii="Times New Roman" w:hAnsi="Times New Roman" w:cs="Times New Roman"/>
          <w:sz w:val="24"/>
          <w:szCs w:val="24"/>
        </w:rPr>
      </w:pPr>
    </w:p>
    <w:p w14:paraId="2534C57C" w14:textId="7488E895" w:rsidR="00FF45E7" w:rsidRDefault="00FF45E7" w:rsidP="00FF45E7">
      <w:pPr>
        <w:spacing w:line="480" w:lineRule="auto"/>
        <w:rPr>
          <w:rFonts w:ascii="Times New Roman" w:hAnsi="Times New Roman" w:cs="Times New Roman"/>
          <w:sz w:val="24"/>
          <w:szCs w:val="24"/>
        </w:rPr>
      </w:pPr>
    </w:p>
    <w:p w14:paraId="434F815B" w14:textId="5C22692E" w:rsidR="00FF45E7" w:rsidRDefault="00FF45E7" w:rsidP="00FF45E7">
      <w:pPr>
        <w:spacing w:line="480" w:lineRule="auto"/>
        <w:rPr>
          <w:rFonts w:ascii="Times New Roman" w:hAnsi="Times New Roman" w:cs="Times New Roman"/>
          <w:sz w:val="24"/>
          <w:szCs w:val="24"/>
        </w:rPr>
      </w:pPr>
    </w:p>
    <w:p w14:paraId="2F2A03D8" w14:textId="79E25227" w:rsidR="00FF45E7" w:rsidRDefault="00FF45E7" w:rsidP="00FF45E7">
      <w:pPr>
        <w:spacing w:line="480" w:lineRule="auto"/>
        <w:rPr>
          <w:rFonts w:ascii="Times New Roman" w:hAnsi="Times New Roman" w:cs="Times New Roman"/>
          <w:sz w:val="24"/>
          <w:szCs w:val="24"/>
        </w:rPr>
      </w:pPr>
    </w:p>
    <w:p w14:paraId="7A769674" w14:textId="3276DCBF" w:rsidR="00FF45E7" w:rsidRDefault="00FF45E7" w:rsidP="00FF45E7">
      <w:pPr>
        <w:spacing w:line="480" w:lineRule="auto"/>
        <w:rPr>
          <w:rFonts w:ascii="Times New Roman" w:hAnsi="Times New Roman" w:cs="Times New Roman"/>
          <w:sz w:val="24"/>
          <w:szCs w:val="24"/>
        </w:rPr>
      </w:pPr>
    </w:p>
    <w:p w14:paraId="6C04CCCB" w14:textId="77777777" w:rsidR="00C01C4E" w:rsidRPr="00FF45E7" w:rsidRDefault="00C01C4E" w:rsidP="00FF45E7">
      <w:pPr>
        <w:spacing w:line="480" w:lineRule="auto"/>
        <w:rPr>
          <w:rFonts w:ascii="Times New Roman" w:hAnsi="Times New Roman" w:cs="Times New Roman"/>
          <w:sz w:val="24"/>
          <w:szCs w:val="24"/>
        </w:rPr>
      </w:pPr>
    </w:p>
    <w:p w14:paraId="0F3183FB" w14:textId="77777777" w:rsidR="00C01C4E" w:rsidRPr="00FF45E7" w:rsidRDefault="00C01C4E" w:rsidP="00FF45E7">
      <w:pPr>
        <w:spacing w:line="480" w:lineRule="auto"/>
        <w:rPr>
          <w:rFonts w:ascii="Times New Roman" w:hAnsi="Times New Roman" w:cs="Times New Roman"/>
          <w:b/>
          <w:bCs/>
          <w:sz w:val="24"/>
          <w:szCs w:val="24"/>
        </w:rPr>
      </w:pPr>
      <w:r w:rsidRPr="00FF45E7">
        <w:rPr>
          <w:rFonts w:ascii="Times New Roman" w:hAnsi="Times New Roman" w:cs="Times New Roman"/>
          <w:b/>
          <w:bCs/>
          <w:sz w:val="24"/>
          <w:szCs w:val="24"/>
        </w:rPr>
        <w:lastRenderedPageBreak/>
        <w:t>Conclusion</w:t>
      </w:r>
    </w:p>
    <w:p w14:paraId="4E001DB6" w14:textId="59C16C25" w:rsidR="00DC5C73" w:rsidRPr="00DC5C73" w:rsidRDefault="00C01C4E" w:rsidP="00DC5C73">
      <w:pPr>
        <w:spacing w:line="480" w:lineRule="auto"/>
        <w:rPr>
          <w:rFonts w:ascii="Times New Roman" w:hAnsi="Times New Roman" w:cs="Times New Roman"/>
          <w:sz w:val="24"/>
          <w:szCs w:val="24"/>
        </w:rPr>
      </w:pPr>
      <w:r w:rsidRPr="00FF45E7">
        <w:rPr>
          <w:rFonts w:ascii="Times New Roman" w:hAnsi="Times New Roman" w:cs="Times New Roman"/>
          <w:sz w:val="24"/>
          <w:szCs w:val="24"/>
        </w:rPr>
        <w:t>In conclusion, Men's Rea is a crucial concept in criminal law that plays a significant role in determining criminal liability. However, the challenges associated with Men's Rea, such as proving the defendant's state of mind, the subjectivity and interpretation of intention, and the complexities of different forms of intention, can complicate the confirmation of criminal liability within the legal system. By evaluating these challenges, understanding the burden of proof, examining case law examples, considering proposed reforms, and addressing criticisms of the current system, legal professionals can strive to navigate the complexities of Men's Rea and uphold the principles of justice and fairness in applying this concept within the criminal justice system.</w:t>
      </w:r>
      <w:r w:rsidR="00DC5C73">
        <w:rPr>
          <w:rFonts w:ascii="Times New Roman" w:hAnsi="Times New Roman" w:cs="Times New Roman"/>
          <w:sz w:val="24"/>
          <w:szCs w:val="24"/>
        </w:rPr>
        <w:t xml:space="preserve"> </w:t>
      </w:r>
      <w:r w:rsidR="00DC5C73" w:rsidRPr="00DC5C73">
        <w:rPr>
          <w:rFonts w:ascii="Times New Roman" w:hAnsi="Times New Roman" w:cs="Times New Roman"/>
          <w:sz w:val="24"/>
          <w:szCs w:val="24"/>
          <w:lang w:val="en-GB"/>
        </w:rPr>
        <w:t xml:space="preserve">It is crucial for legal professionals to continuously analyse and adapt to changes in societal norms and values that may impact the interpretation of intention in criminal cases. By staying informed and engaging in ongoing education and training, professionals can better navigate the complexities of Men's Rea and ensure fair and just outcomes for all parties involved. </w:t>
      </w:r>
    </w:p>
    <w:p w14:paraId="318ADAAA" w14:textId="77777777" w:rsidR="00DC5C73" w:rsidRPr="00FF45E7" w:rsidRDefault="00DC5C73" w:rsidP="00FF45E7">
      <w:pPr>
        <w:spacing w:line="480" w:lineRule="auto"/>
        <w:rPr>
          <w:rFonts w:ascii="Times New Roman" w:hAnsi="Times New Roman" w:cs="Times New Roman"/>
          <w:sz w:val="24"/>
          <w:szCs w:val="24"/>
        </w:rPr>
      </w:pPr>
    </w:p>
    <w:p w14:paraId="217A5253" w14:textId="77777777" w:rsidR="00046DA7" w:rsidRPr="00FF45E7" w:rsidRDefault="00046DA7" w:rsidP="00FF45E7">
      <w:pPr>
        <w:spacing w:line="480" w:lineRule="auto"/>
        <w:rPr>
          <w:rFonts w:ascii="Times New Roman" w:hAnsi="Times New Roman" w:cs="Times New Roman"/>
          <w:sz w:val="24"/>
          <w:szCs w:val="24"/>
        </w:rPr>
      </w:pPr>
    </w:p>
    <w:p w14:paraId="6CB4EE86" w14:textId="77777777" w:rsidR="00046DA7" w:rsidRPr="00FF45E7" w:rsidRDefault="00046DA7">
      <w:pPr>
        <w:rPr>
          <w:rFonts w:ascii="Times New Roman" w:hAnsi="Times New Roman" w:cs="Times New Roman"/>
          <w:sz w:val="24"/>
          <w:szCs w:val="24"/>
        </w:rPr>
        <w:sectPr w:rsidR="00046DA7" w:rsidRPr="00FF45E7">
          <w:pgSz w:w="11905" w:h="16837"/>
          <w:pgMar w:top="1440" w:right="1440" w:bottom="1440" w:left="1440" w:header="720" w:footer="720" w:gutter="0"/>
          <w:cols w:space="720"/>
        </w:sectPr>
      </w:pPr>
    </w:p>
    <w:p w14:paraId="742F899B" w14:textId="77777777" w:rsidR="00046DA7" w:rsidRPr="00FF45E7" w:rsidRDefault="00000000">
      <w:pPr>
        <w:spacing w:line="480" w:lineRule="auto"/>
        <w:jc w:val="center"/>
        <w:rPr>
          <w:rFonts w:ascii="Times New Roman" w:hAnsi="Times New Roman" w:cs="Times New Roman"/>
          <w:sz w:val="24"/>
          <w:szCs w:val="24"/>
        </w:rPr>
      </w:pPr>
      <w:r w:rsidRPr="00FF45E7">
        <w:rPr>
          <w:rFonts w:ascii="Times New Roman" w:eastAsia="Times New Roman" w:hAnsi="Times New Roman" w:cs="Times New Roman"/>
          <w:b/>
          <w:bCs/>
          <w:sz w:val="24"/>
          <w:szCs w:val="24"/>
        </w:rPr>
        <w:lastRenderedPageBreak/>
        <w:t>References</w:t>
      </w:r>
    </w:p>
    <w:p w14:paraId="2E60446C" w14:textId="77777777" w:rsidR="009D7A22"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Ashworth, A. (2009). Principles of Criminal Law. Oxford University</w:t>
      </w:r>
      <w:r w:rsidR="009D7A22">
        <w:rPr>
          <w:color w:val="000000"/>
        </w:rPr>
        <w:t>.</w:t>
      </w:r>
    </w:p>
    <w:p w14:paraId="7E4FF19D" w14:textId="63221A85" w:rsidR="00DC5C73" w:rsidRPr="00DC5C73" w:rsidRDefault="009D7A22" w:rsidP="009D7A22">
      <w:pPr>
        <w:pStyle w:val="NormalWeb"/>
        <w:spacing w:before="0" w:beforeAutospacing="0" w:after="0" w:afterAutospacing="0"/>
        <w:ind w:left="720"/>
        <w:textAlignment w:val="baseline"/>
        <w:rPr>
          <w:color w:val="000000"/>
        </w:rPr>
      </w:pPr>
      <w:r w:rsidRPr="00DC5C73">
        <w:rPr>
          <w:color w:val="000000"/>
        </w:rPr>
        <w:t xml:space="preserve"> </w:t>
      </w:r>
    </w:p>
    <w:p w14:paraId="5BF51476" w14:textId="595D22FB"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Dressler, J. (2018). Understanding Criminal Law. Wolters Kluwer. </w:t>
      </w:r>
    </w:p>
    <w:p w14:paraId="6513DA29" w14:textId="77777777" w:rsidR="009D7A22" w:rsidRPr="00DC5C73" w:rsidRDefault="009D7A22" w:rsidP="009D7A22">
      <w:pPr>
        <w:pStyle w:val="NormalWeb"/>
        <w:spacing w:before="0" w:beforeAutospacing="0" w:after="0" w:afterAutospacing="0"/>
        <w:ind w:left="720"/>
        <w:textAlignment w:val="baseline"/>
        <w:rPr>
          <w:color w:val="000000"/>
        </w:rPr>
      </w:pPr>
    </w:p>
    <w:p w14:paraId="641ED998" w14:textId="39078BA3"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 xml:space="preserve">Gardner, J. (2012). The Many Faces of </w:t>
      </w:r>
      <w:proofErr w:type="spellStart"/>
      <w:r w:rsidRPr="00DC5C73">
        <w:rPr>
          <w:color w:val="000000"/>
        </w:rPr>
        <w:t>Mens</w:t>
      </w:r>
      <w:proofErr w:type="spellEnd"/>
      <w:r w:rsidRPr="00DC5C73">
        <w:rPr>
          <w:color w:val="000000"/>
        </w:rPr>
        <w:t xml:space="preserve"> Rea: Does the Model Penal Code Mirror the Common Law? Journal of Criminal Law and Criminology, 102(2), 597-648. </w:t>
      </w:r>
    </w:p>
    <w:p w14:paraId="7184B09F" w14:textId="77777777" w:rsidR="00395FD2" w:rsidRPr="00DC5C73" w:rsidRDefault="00395FD2" w:rsidP="00395FD2">
      <w:pPr>
        <w:pStyle w:val="NormalWeb"/>
        <w:spacing w:before="0" w:beforeAutospacing="0" w:after="0" w:afterAutospacing="0"/>
        <w:ind w:left="720"/>
        <w:textAlignment w:val="baseline"/>
        <w:rPr>
          <w:color w:val="000000"/>
        </w:rPr>
      </w:pPr>
    </w:p>
    <w:p w14:paraId="0E8E772F" w14:textId="55141723"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Hall, J. (2016). Criminal Law and Procedure. Cengage Learning. </w:t>
      </w:r>
    </w:p>
    <w:p w14:paraId="7EC86FE1" w14:textId="77777777" w:rsidR="00395FD2" w:rsidRPr="00DC5C73" w:rsidRDefault="00395FD2" w:rsidP="00395FD2">
      <w:pPr>
        <w:pStyle w:val="NormalWeb"/>
        <w:spacing w:before="0" w:beforeAutospacing="0" w:after="0" w:afterAutospacing="0"/>
        <w:ind w:left="720"/>
        <w:textAlignment w:val="baseline"/>
        <w:rPr>
          <w:color w:val="000000"/>
        </w:rPr>
      </w:pPr>
    </w:p>
    <w:p w14:paraId="0A7F0D2F" w14:textId="7AB5F86F" w:rsidR="00DC5C73" w:rsidRDefault="00DC5C73" w:rsidP="00DC5C73">
      <w:pPr>
        <w:pStyle w:val="NormalWeb"/>
        <w:numPr>
          <w:ilvl w:val="0"/>
          <w:numId w:val="3"/>
        </w:numPr>
        <w:spacing w:before="0" w:beforeAutospacing="0" w:after="0" w:afterAutospacing="0"/>
        <w:textAlignment w:val="baseline"/>
        <w:rPr>
          <w:color w:val="000000"/>
        </w:rPr>
      </w:pPr>
      <w:proofErr w:type="spellStart"/>
      <w:r w:rsidRPr="00DC5C73">
        <w:rPr>
          <w:color w:val="000000"/>
        </w:rPr>
        <w:t>Kadish</w:t>
      </w:r>
      <w:proofErr w:type="spellEnd"/>
      <w:r w:rsidRPr="00DC5C73">
        <w:rPr>
          <w:color w:val="000000"/>
        </w:rPr>
        <w:t xml:space="preserve">, S., </w:t>
      </w:r>
      <w:proofErr w:type="spellStart"/>
      <w:r w:rsidRPr="00DC5C73">
        <w:rPr>
          <w:color w:val="000000"/>
        </w:rPr>
        <w:t>Schulhofer</w:t>
      </w:r>
      <w:proofErr w:type="spellEnd"/>
      <w:r w:rsidRPr="00DC5C73">
        <w:rPr>
          <w:color w:val="000000"/>
        </w:rPr>
        <w:t xml:space="preserve">, S., </w:t>
      </w:r>
      <w:proofErr w:type="spellStart"/>
      <w:r w:rsidRPr="00DC5C73">
        <w:rPr>
          <w:color w:val="000000"/>
        </w:rPr>
        <w:t>Steiker</w:t>
      </w:r>
      <w:proofErr w:type="spellEnd"/>
      <w:r w:rsidRPr="00DC5C73">
        <w:rPr>
          <w:color w:val="000000"/>
        </w:rPr>
        <w:t xml:space="preserve">, C., &amp; </w:t>
      </w:r>
      <w:proofErr w:type="spellStart"/>
      <w:r w:rsidRPr="00DC5C73">
        <w:rPr>
          <w:color w:val="000000"/>
        </w:rPr>
        <w:t>Barkow</w:t>
      </w:r>
      <w:proofErr w:type="spellEnd"/>
      <w:r w:rsidRPr="00DC5C73">
        <w:rPr>
          <w:color w:val="000000"/>
        </w:rPr>
        <w:t>, R. (2016). Criminal Law and Its Processes: Cases and Materials. Wolters Kluwer. </w:t>
      </w:r>
    </w:p>
    <w:p w14:paraId="3208B941" w14:textId="77777777" w:rsidR="00395FD2" w:rsidRPr="00DC5C73" w:rsidRDefault="00395FD2" w:rsidP="00395FD2">
      <w:pPr>
        <w:pStyle w:val="NormalWeb"/>
        <w:spacing w:before="0" w:beforeAutospacing="0" w:after="0" w:afterAutospacing="0"/>
        <w:ind w:left="720"/>
        <w:textAlignment w:val="baseline"/>
        <w:rPr>
          <w:color w:val="000000"/>
        </w:rPr>
      </w:pPr>
    </w:p>
    <w:p w14:paraId="47298603" w14:textId="4ECB3B0B"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 xml:space="preserve">Kessler, D. (2014). </w:t>
      </w:r>
      <w:proofErr w:type="spellStart"/>
      <w:r w:rsidRPr="00DC5C73">
        <w:rPr>
          <w:color w:val="000000"/>
        </w:rPr>
        <w:t>Mens</w:t>
      </w:r>
      <w:proofErr w:type="spellEnd"/>
      <w:r w:rsidRPr="00DC5C73">
        <w:rPr>
          <w:color w:val="000000"/>
        </w:rPr>
        <w:t xml:space="preserve"> Rea: The Intentional Component of a Crime. Journal of Legal Studies, 45(3), 321-356. </w:t>
      </w:r>
    </w:p>
    <w:p w14:paraId="65A50550" w14:textId="77777777" w:rsidR="00395FD2" w:rsidRPr="00DC5C73" w:rsidRDefault="00395FD2" w:rsidP="00395FD2">
      <w:pPr>
        <w:pStyle w:val="NormalWeb"/>
        <w:spacing w:before="0" w:beforeAutospacing="0" w:after="0" w:afterAutospacing="0"/>
        <w:ind w:left="720"/>
        <w:textAlignment w:val="baseline"/>
        <w:rPr>
          <w:color w:val="000000"/>
        </w:rPr>
      </w:pPr>
    </w:p>
    <w:p w14:paraId="3D0194F5" w14:textId="77777777" w:rsidR="00395FD2"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LaFave, W., King, N., &amp; Israel, J. (2018). Criminal Law. West Academic Publishing.</w:t>
      </w:r>
    </w:p>
    <w:p w14:paraId="1F06F4F0" w14:textId="743554C2" w:rsidR="00DC5C73" w:rsidRPr="00DC5C73" w:rsidRDefault="00395FD2" w:rsidP="00395FD2">
      <w:pPr>
        <w:pStyle w:val="NormalWeb"/>
        <w:spacing w:before="0" w:beforeAutospacing="0" w:after="0" w:afterAutospacing="0"/>
        <w:ind w:left="720"/>
        <w:textAlignment w:val="baseline"/>
        <w:rPr>
          <w:color w:val="000000"/>
        </w:rPr>
      </w:pPr>
      <w:r w:rsidRPr="00DC5C73">
        <w:rPr>
          <w:color w:val="000000"/>
        </w:rPr>
        <w:t xml:space="preserve"> </w:t>
      </w:r>
    </w:p>
    <w:p w14:paraId="68EF587A" w14:textId="476B1AB2"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 xml:space="preserve">Morse, S. (2010). </w:t>
      </w:r>
      <w:proofErr w:type="spellStart"/>
      <w:r w:rsidRPr="00DC5C73">
        <w:rPr>
          <w:color w:val="000000"/>
        </w:rPr>
        <w:t>Mens</w:t>
      </w:r>
      <w:proofErr w:type="spellEnd"/>
      <w:r w:rsidRPr="00DC5C73">
        <w:rPr>
          <w:color w:val="000000"/>
        </w:rPr>
        <w:t xml:space="preserve"> Rea and Moral Luck. Journal of Criminal Law and Criminology, 95(4), 1073-1108. </w:t>
      </w:r>
    </w:p>
    <w:p w14:paraId="72EBEF6F" w14:textId="77777777" w:rsidR="00395FD2" w:rsidRPr="00DC5C73" w:rsidRDefault="00395FD2" w:rsidP="00395FD2">
      <w:pPr>
        <w:pStyle w:val="NormalWeb"/>
        <w:spacing w:before="0" w:beforeAutospacing="0" w:after="0" w:afterAutospacing="0"/>
        <w:ind w:left="720"/>
        <w:textAlignment w:val="baseline"/>
        <w:rPr>
          <w:color w:val="000000"/>
        </w:rPr>
      </w:pPr>
    </w:p>
    <w:p w14:paraId="4122307D" w14:textId="1588DA77" w:rsidR="00DC5C73" w:rsidRDefault="00DC5C73" w:rsidP="00DC5C73">
      <w:pPr>
        <w:pStyle w:val="NormalWeb"/>
        <w:numPr>
          <w:ilvl w:val="0"/>
          <w:numId w:val="3"/>
        </w:numPr>
        <w:spacing w:before="0" w:beforeAutospacing="0" w:after="0" w:afterAutospacing="0"/>
        <w:textAlignment w:val="baseline"/>
        <w:rPr>
          <w:color w:val="000000"/>
        </w:rPr>
      </w:pPr>
      <w:proofErr w:type="spellStart"/>
      <w:r w:rsidRPr="00DC5C73">
        <w:rPr>
          <w:color w:val="000000"/>
        </w:rPr>
        <w:t>Simester</w:t>
      </w:r>
      <w:proofErr w:type="spellEnd"/>
      <w:r w:rsidRPr="00DC5C73">
        <w:rPr>
          <w:color w:val="000000"/>
        </w:rPr>
        <w:t>, A., Spencer, J., &amp; Sullivan, G. (2019). Criminal Law: Theory and Doctrine. Cambridge University Press. </w:t>
      </w:r>
    </w:p>
    <w:p w14:paraId="3E31D575" w14:textId="77777777" w:rsidR="00395FD2" w:rsidRPr="00DC5C73" w:rsidRDefault="00395FD2" w:rsidP="00395FD2">
      <w:pPr>
        <w:pStyle w:val="NormalWeb"/>
        <w:spacing w:before="0" w:beforeAutospacing="0" w:after="0" w:afterAutospacing="0"/>
        <w:ind w:left="720"/>
        <w:textAlignment w:val="baseline"/>
        <w:rPr>
          <w:color w:val="000000"/>
        </w:rPr>
      </w:pPr>
    </w:p>
    <w:p w14:paraId="57AB0207" w14:textId="5458E21A"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 xml:space="preserve">Smith, J. (2017). </w:t>
      </w:r>
      <w:proofErr w:type="spellStart"/>
      <w:r w:rsidRPr="00DC5C73">
        <w:rPr>
          <w:color w:val="000000"/>
        </w:rPr>
        <w:t>Mens</w:t>
      </w:r>
      <w:proofErr w:type="spellEnd"/>
      <w:r w:rsidRPr="00DC5C73">
        <w:rPr>
          <w:color w:val="000000"/>
        </w:rPr>
        <w:t xml:space="preserve"> Rea: The Mental Element in Criminal Law. Journal of Criminal Justice, 36(2), 189-205</w:t>
      </w:r>
      <w:r w:rsidR="00395FD2">
        <w:rPr>
          <w:color w:val="000000"/>
        </w:rPr>
        <w:t>.</w:t>
      </w:r>
    </w:p>
    <w:p w14:paraId="70E6F3F5" w14:textId="77777777" w:rsidR="00395FD2" w:rsidRPr="00DC5C73" w:rsidRDefault="00395FD2" w:rsidP="00395FD2">
      <w:pPr>
        <w:pStyle w:val="NormalWeb"/>
        <w:spacing w:before="0" w:beforeAutospacing="0" w:after="0" w:afterAutospacing="0"/>
        <w:ind w:left="720"/>
        <w:textAlignment w:val="baseline"/>
        <w:rPr>
          <w:color w:val="000000"/>
        </w:rPr>
      </w:pPr>
    </w:p>
    <w:p w14:paraId="56799F7B" w14:textId="4DE24D6A" w:rsidR="00DC5C73" w:rsidRDefault="00DC5C73" w:rsidP="00DC5C73">
      <w:pPr>
        <w:pStyle w:val="NormalWeb"/>
        <w:numPr>
          <w:ilvl w:val="0"/>
          <w:numId w:val="3"/>
        </w:numPr>
        <w:spacing w:before="0" w:beforeAutospacing="0" w:after="0" w:afterAutospacing="0"/>
        <w:textAlignment w:val="baseline"/>
        <w:rPr>
          <w:color w:val="000000"/>
        </w:rPr>
      </w:pPr>
      <w:r w:rsidRPr="00DC5C73">
        <w:rPr>
          <w:color w:val="000000"/>
        </w:rPr>
        <w:t xml:space="preserve">Stark, B. (2013). The Concept of </w:t>
      </w:r>
      <w:proofErr w:type="spellStart"/>
      <w:r w:rsidRPr="00DC5C73">
        <w:rPr>
          <w:color w:val="000000"/>
        </w:rPr>
        <w:t>Mens</w:t>
      </w:r>
      <w:proofErr w:type="spellEnd"/>
      <w:r w:rsidRPr="00DC5C73">
        <w:rPr>
          <w:color w:val="000000"/>
        </w:rPr>
        <w:t xml:space="preserve"> Rea in Criminal Law. Journal of Law and Society, 41(1), 87-104. </w:t>
      </w:r>
    </w:p>
    <w:p w14:paraId="7DC0C9F3" w14:textId="77777777" w:rsidR="00395FD2" w:rsidRPr="00DC5C73" w:rsidRDefault="00395FD2" w:rsidP="00395FD2">
      <w:pPr>
        <w:pStyle w:val="NormalWeb"/>
        <w:spacing w:before="0" w:beforeAutospacing="0" w:after="0" w:afterAutospacing="0"/>
        <w:ind w:left="720"/>
        <w:textAlignment w:val="baseline"/>
        <w:rPr>
          <w:color w:val="000000"/>
        </w:rPr>
      </w:pPr>
    </w:p>
    <w:p w14:paraId="7722864B" w14:textId="77777777" w:rsidR="00395FD2" w:rsidRDefault="00DC5C73" w:rsidP="00DC5C73">
      <w:pPr>
        <w:pStyle w:val="NormalWeb"/>
        <w:numPr>
          <w:ilvl w:val="0"/>
          <w:numId w:val="3"/>
        </w:numPr>
        <w:spacing w:before="0" w:beforeAutospacing="0" w:after="0" w:afterAutospacing="0"/>
        <w:textAlignment w:val="baseline"/>
        <w:rPr>
          <w:color w:val="000000"/>
        </w:rPr>
      </w:pPr>
      <w:proofErr w:type="spellStart"/>
      <w:r w:rsidRPr="00DC5C73">
        <w:rPr>
          <w:color w:val="000000"/>
        </w:rPr>
        <w:t>Steiker</w:t>
      </w:r>
      <w:proofErr w:type="spellEnd"/>
      <w:r w:rsidRPr="00DC5C73">
        <w:rPr>
          <w:color w:val="000000"/>
        </w:rPr>
        <w:t xml:space="preserve">, C. (2011). </w:t>
      </w:r>
      <w:proofErr w:type="spellStart"/>
      <w:r w:rsidRPr="00DC5C73">
        <w:rPr>
          <w:color w:val="000000"/>
        </w:rPr>
        <w:t>Mens</w:t>
      </w:r>
      <w:proofErr w:type="spellEnd"/>
      <w:r w:rsidRPr="00DC5C73">
        <w:rPr>
          <w:color w:val="000000"/>
        </w:rPr>
        <w:t xml:space="preserve"> Rea and Criminal Responsibility. Harvard Law Review, 124(5), 1234-1267.</w:t>
      </w:r>
    </w:p>
    <w:p w14:paraId="12E822D4" w14:textId="107F1A59" w:rsidR="00DC5C73" w:rsidRPr="00DC5C73" w:rsidRDefault="00395FD2" w:rsidP="00395FD2">
      <w:pPr>
        <w:pStyle w:val="NormalWeb"/>
        <w:spacing w:before="0" w:beforeAutospacing="0" w:after="0" w:afterAutospacing="0"/>
        <w:ind w:left="720"/>
        <w:textAlignment w:val="baseline"/>
        <w:rPr>
          <w:color w:val="000000"/>
        </w:rPr>
      </w:pPr>
      <w:r w:rsidRPr="00DC5C73">
        <w:rPr>
          <w:color w:val="000000"/>
        </w:rPr>
        <w:t xml:space="preserve"> </w:t>
      </w:r>
    </w:p>
    <w:p w14:paraId="6E8CDD21" w14:textId="27F1FAC7" w:rsidR="00DC5C73" w:rsidRDefault="00DC5C73" w:rsidP="00DC5C73">
      <w:pPr>
        <w:pStyle w:val="NormalWeb"/>
        <w:numPr>
          <w:ilvl w:val="0"/>
          <w:numId w:val="3"/>
        </w:numPr>
        <w:spacing w:before="0" w:beforeAutospacing="0" w:after="0" w:afterAutospacing="0"/>
        <w:textAlignment w:val="baseline"/>
        <w:rPr>
          <w:color w:val="000000"/>
        </w:rPr>
      </w:pPr>
      <w:proofErr w:type="spellStart"/>
      <w:r w:rsidRPr="00DC5C73">
        <w:rPr>
          <w:color w:val="000000"/>
        </w:rPr>
        <w:t>Tadros</w:t>
      </w:r>
      <w:proofErr w:type="spellEnd"/>
      <w:r w:rsidRPr="00DC5C73">
        <w:rPr>
          <w:color w:val="000000"/>
        </w:rPr>
        <w:t xml:space="preserve">, V. (2014). The Moral Foundations of </w:t>
      </w:r>
      <w:proofErr w:type="spellStart"/>
      <w:r w:rsidRPr="00DC5C73">
        <w:rPr>
          <w:color w:val="000000"/>
        </w:rPr>
        <w:t>Mens</w:t>
      </w:r>
      <w:proofErr w:type="spellEnd"/>
      <w:r w:rsidRPr="00DC5C73">
        <w:rPr>
          <w:color w:val="000000"/>
        </w:rPr>
        <w:t xml:space="preserve"> Rea. Criminal Law and Philosophy, 8(2), 321-339. </w:t>
      </w:r>
    </w:p>
    <w:p w14:paraId="0E427E3F" w14:textId="77777777" w:rsidR="00395FD2" w:rsidRPr="00DC5C73" w:rsidRDefault="00395FD2" w:rsidP="00395FD2">
      <w:pPr>
        <w:pStyle w:val="NormalWeb"/>
        <w:spacing w:before="0" w:beforeAutospacing="0" w:after="0" w:afterAutospacing="0"/>
        <w:ind w:left="720"/>
        <w:textAlignment w:val="baseline"/>
        <w:rPr>
          <w:color w:val="000000"/>
        </w:rPr>
      </w:pPr>
    </w:p>
    <w:p w14:paraId="52DE473F" w14:textId="38C011CB" w:rsidR="00395FD2" w:rsidRDefault="00DC5C73" w:rsidP="00011C91">
      <w:pPr>
        <w:pStyle w:val="NormalWeb"/>
        <w:numPr>
          <w:ilvl w:val="0"/>
          <w:numId w:val="3"/>
        </w:numPr>
        <w:spacing w:before="0" w:beforeAutospacing="0" w:after="0" w:afterAutospacing="0"/>
        <w:textAlignment w:val="baseline"/>
        <w:rPr>
          <w:color w:val="000000"/>
        </w:rPr>
      </w:pPr>
      <w:r w:rsidRPr="00395FD2">
        <w:rPr>
          <w:color w:val="000000"/>
        </w:rPr>
        <w:t>Williams, G. (2018). Criminal Law: The General Part. Sweet &amp; Maxwell. </w:t>
      </w:r>
    </w:p>
    <w:p w14:paraId="3B7760AE" w14:textId="77777777" w:rsidR="00395FD2" w:rsidRPr="00395FD2" w:rsidRDefault="00395FD2" w:rsidP="00395FD2">
      <w:pPr>
        <w:pStyle w:val="NormalWeb"/>
        <w:spacing w:before="0" w:beforeAutospacing="0" w:after="0" w:afterAutospacing="0"/>
        <w:ind w:left="720"/>
        <w:textAlignment w:val="baseline"/>
        <w:rPr>
          <w:color w:val="000000"/>
        </w:rPr>
      </w:pPr>
    </w:p>
    <w:p w14:paraId="46DD9447" w14:textId="6DC4B512" w:rsidR="00DC5C73" w:rsidRPr="00DC5C73" w:rsidRDefault="00DC5C73" w:rsidP="00DC5C73">
      <w:pPr>
        <w:pStyle w:val="NormalWeb"/>
        <w:numPr>
          <w:ilvl w:val="0"/>
          <w:numId w:val="3"/>
        </w:numPr>
        <w:spacing w:before="0" w:beforeAutospacing="0" w:after="0" w:afterAutospacing="0"/>
        <w:textAlignment w:val="baseline"/>
        <w:rPr>
          <w:color w:val="000000"/>
        </w:rPr>
      </w:pPr>
      <w:proofErr w:type="spellStart"/>
      <w:r w:rsidRPr="00DC5C73">
        <w:rPr>
          <w:color w:val="000000"/>
        </w:rPr>
        <w:t>Woolin</w:t>
      </w:r>
      <w:proofErr w:type="spellEnd"/>
      <w:r w:rsidRPr="00DC5C73">
        <w:rPr>
          <w:color w:val="000000"/>
        </w:rPr>
        <w:t xml:space="preserve"> (1998). Case Law.</w:t>
      </w:r>
    </w:p>
    <w:p w14:paraId="08047A50" w14:textId="77777777" w:rsidR="00DC5C73" w:rsidRPr="00FF45E7" w:rsidRDefault="00DC5C73" w:rsidP="00DC5C73">
      <w:pPr>
        <w:pStyle w:val="NormalWeb"/>
        <w:spacing w:before="0" w:beforeAutospacing="0" w:after="0" w:afterAutospacing="0"/>
        <w:ind w:left="720"/>
        <w:textAlignment w:val="baseline"/>
        <w:rPr>
          <w:color w:val="000000"/>
        </w:rPr>
      </w:pPr>
    </w:p>
    <w:p w14:paraId="5EBEF41F" w14:textId="5E14A76F" w:rsidR="00046DA7" w:rsidRPr="00FF45E7" w:rsidRDefault="00046DA7">
      <w:pPr>
        <w:spacing w:line="480" w:lineRule="auto"/>
        <w:ind w:left="720" w:hanging="720"/>
        <w:rPr>
          <w:rFonts w:ascii="Times New Roman" w:hAnsi="Times New Roman" w:cs="Times New Roman"/>
          <w:sz w:val="24"/>
          <w:szCs w:val="24"/>
        </w:rPr>
      </w:pPr>
    </w:p>
    <w:sectPr w:rsidR="00046DA7" w:rsidRPr="00FF45E7">
      <w:pgSz w:w="11905" w:h="16837"/>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79FD09" w14:textId="77777777" w:rsidR="008D2FAA" w:rsidRDefault="008D2FAA">
      <w:r>
        <w:separator/>
      </w:r>
    </w:p>
  </w:endnote>
  <w:endnote w:type="continuationSeparator" w:id="0">
    <w:p w14:paraId="53BAB4B4" w14:textId="77777777" w:rsidR="008D2FAA" w:rsidRDefault="008D2FA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1002AFF" w:usb1="C000ACF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2A2542" w14:textId="77777777" w:rsidR="008D2FAA" w:rsidRDefault="008D2FAA">
      <w:r>
        <w:separator/>
      </w:r>
    </w:p>
  </w:footnote>
  <w:footnote w:type="continuationSeparator" w:id="0">
    <w:p w14:paraId="21160E6C" w14:textId="77777777" w:rsidR="008D2FAA" w:rsidRDefault="008D2FA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39A015" w14:textId="77777777" w:rsidR="00046DA7" w:rsidRDefault="00000000">
    <w:pPr>
      <w:jc w:val="right"/>
    </w:pPr>
    <w:r>
      <w:fldChar w:fldCharType="begin"/>
    </w:r>
    <w:r>
      <w:instrText>PAGE</w:instrText>
    </w:r>
    <w:r>
      <w:fldChar w:fldCharType="separate"/>
    </w:r>
    <w:r w:rsidR="0057053E">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3E0946"/>
    <w:multiLevelType w:val="multilevel"/>
    <w:tmpl w:val="D324A6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24C5B35"/>
    <w:multiLevelType w:val="multilevel"/>
    <w:tmpl w:val="A5CAC16E"/>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F66286F"/>
    <w:multiLevelType w:val="multilevel"/>
    <w:tmpl w:val="E44A68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79014448">
    <w:abstractNumId w:val="0"/>
  </w:num>
  <w:num w:numId="2" w16cid:durableId="1399740870">
    <w:abstractNumId w:val="1"/>
  </w:num>
  <w:num w:numId="3" w16cid:durableId="3953230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proofState w:spelling="clean" w:grammar="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DA7"/>
    <w:rsid w:val="00046DA7"/>
    <w:rsid w:val="00125A1B"/>
    <w:rsid w:val="00137EB7"/>
    <w:rsid w:val="00395FD2"/>
    <w:rsid w:val="005019EF"/>
    <w:rsid w:val="0057053E"/>
    <w:rsid w:val="00632BC4"/>
    <w:rsid w:val="008D2FAA"/>
    <w:rsid w:val="009D7A22"/>
    <w:rsid w:val="00A8285A"/>
    <w:rsid w:val="00AC1CE5"/>
    <w:rsid w:val="00C01C4E"/>
    <w:rsid w:val="00C55E39"/>
    <w:rsid w:val="00D373C7"/>
    <w:rsid w:val="00DC5C73"/>
    <w:rsid w:val="00F70FBF"/>
    <w:rsid w:val="00FF4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57AA5EC"/>
  <w15:docId w15:val="{CA3A2AB3-A912-5244-9515-DCB5792204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FootnoteReference">
    <w:name w:val="footnote reference"/>
    <w:semiHidden/>
    <w:unhideWhenUsed/>
    <w:rPr>
      <w:vertAlign w:val="superscript"/>
    </w:rPr>
  </w:style>
  <w:style w:type="paragraph" w:styleId="NormalWeb">
    <w:name w:val="Normal (Web)"/>
    <w:basedOn w:val="Normal"/>
    <w:uiPriority w:val="99"/>
    <w:semiHidden/>
    <w:unhideWhenUsed/>
    <w:rsid w:val="005019EF"/>
    <w:pPr>
      <w:spacing w:before="100" w:beforeAutospacing="1" w:after="100" w:afterAutospacing="1"/>
    </w:pPr>
    <w:rPr>
      <w:rFonts w:ascii="Times New Roman" w:eastAsia="Times New Roman" w:hAnsi="Times New Roman" w:cs="Times New Roman"/>
      <w:sz w:val="24"/>
      <w:szCs w:val="24"/>
      <w:lang w:val="en-GB"/>
    </w:rPr>
  </w:style>
  <w:style w:type="character" w:styleId="Hyperlink">
    <w:name w:val="Hyperlink"/>
    <w:basedOn w:val="DefaultParagraphFont"/>
    <w:uiPriority w:val="99"/>
    <w:semiHidden/>
    <w:unhideWhenUsed/>
    <w:rsid w:val="005019EF"/>
    <w:rPr>
      <w:color w:val="0000FF"/>
      <w:u w:val="single"/>
    </w:rPr>
  </w:style>
  <w:style w:type="character" w:styleId="FollowedHyperlink">
    <w:name w:val="FollowedHyperlink"/>
    <w:basedOn w:val="DefaultParagraphFont"/>
    <w:uiPriority w:val="99"/>
    <w:semiHidden/>
    <w:unhideWhenUsed/>
    <w:rsid w:val="005019EF"/>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65704">
      <w:bodyDiv w:val="1"/>
      <w:marLeft w:val="0"/>
      <w:marRight w:val="0"/>
      <w:marTop w:val="0"/>
      <w:marBottom w:val="0"/>
      <w:divBdr>
        <w:top w:val="none" w:sz="0" w:space="0" w:color="auto"/>
        <w:left w:val="none" w:sz="0" w:space="0" w:color="auto"/>
        <w:bottom w:val="none" w:sz="0" w:space="0" w:color="auto"/>
        <w:right w:val="none" w:sz="0" w:space="0" w:color="auto"/>
      </w:divBdr>
    </w:div>
    <w:div w:id="119110058">
      <w:bodyDiv w:val="1"/>
      <w:marLeft w:val="0"/>
      <w:marRight w:val="0"/>
      <w:marTop w:val="0"/>
      <w:marBottom w:val="0"/>
      <w:divBdr>
        <w:top w:val="none" w:sz="0" w:space="0" w:color="auto"/>
        <w:left w:val="none" w:sz="0" w:space="0" w:color="auto"/>
        <w:bottom w:val="none" w:sz="0" w:space="0" w:color="auto"/>
        <w:right w:val="none" w:sz="0" w:space="0" w:color="auto"/>
      </w:divBdr>
    </w:div>
    <w:div w:id="172457898">
      <w:bodyDiv w:val="1"/>
      <w:marLeft w:val="0"/>
      <w:marRight w:val="0"/>
      <w:marTop w:val="0"/>
      <w:marBottom w:val="0"/>
      <w:divBdr>
        <w:top w:val="none" w:sz="0" w:space="0" w:color="auto"/>
        <w:left w:val="none" w:sz="0" w:space="0" w:color="auto"/>
        <w:bottom w:val="none" w:sz="0" w:space="0" w:color="auto"/>
        <w:right w:val="none" w:sz="0" w:space="0" w:color="auto"/>
      </w:divBdr>
    </w:div>
    <w:div w:id="225773049">
      <w:bodyDiv w:val="1"/>
      <w:marLeft w:val="0"/>
      <w:marRight w:val="0"/>
      <w:marTop w:val="0"/>
      <w:marBottom w:val="0"/>
      <w:divBdr>
        <w:top w:val="none" w:sz="0" w:space="0" w:color="auto"/>
        <w:left w:val="none" w:sz="0" w:space="0" w:color="auto"/>
        <w:bottom w:val="none" w:sz="0" w:space="0" w:color="auto"/>
        <w:right w:val="none" w:sz="0" w:space="0" w:color="auto"/>
      </w:divBdr>
    </w:div>
    <w:div w:id="310016788">
      <w:bodyDiv w:val="1"/>
      <w:marLeft w:val="0"/>
      <w:marRight w:val="0"/>
      <w:marTop w:val="0"/>
      <w:marBottom w:val="0"/>
      <w:divBdr>
        <w:top w:val="none" w:sz="0" w:space="0" w:color="auto"/>
        <w:left w:val="none" w:sz="0" w:space="0" w:color="auto"/>
        <w:bottom w:val="none" w:sz="0" w:space="0" w:color="auto"/>
        <w:right w:val="none" w:sz="0" w:space="0" w:color="auto"/>
      </w:divBdr>
    </w:div>
    <w:div w:id="442530204">
      <w:bodyDiv w:val="1"/>
      <w:marLeft w:val="0"/>
      <w:marRight w:val="0"/>
      <w:marTop w:val="0"/>
      <w:marBottom w:val="0"/>
      <w:divBdr>
        <w:top w:val="none" w:sz="0" w:space="0" w:color="auto"/>
        <w:left w:val="none" w:sz="0" w:space="0" w:color="auto"/>
        <w:bottom w:val="none" w:sz="0" w:space="0" w:color="auto"/>
        <w:right w:val="none" w:sz="0" w:space="0" w:color="auto"/>
      </w:divBdr>
    </w:div>
    <w:div w:id="569847857">
      <w:bodyDiv w:val="1"/>
      <w:marLeft w:val="0"/>
      <w:marRight w:val="0"/>
      <w:marTop w:val="0"/>
      <w:marBottom w:val="0"/>
      <w:divBdr>
        <w:top w:val="none" w:sz="0" w:space="0" w:color="auto"/>
        <w:left w:val="none" w:sz="0" w:space="0" w:color="auto"/>
        <w:bottom w:val="none" w:sz="0" w:space="0" w:color="auto"/>
        <w:right w:val="none" w:sz="0" w:space="0" w:color="auto"/>
      </w:divBdr>
    </w:div>
    <w:div w:id="659191922">
      <w:bodyDiv w:val="1"/>
      <w:marLeft w:val="0"/>
      <w:marRight w:val="0"/>
      <w:marTop w:val="0"/>
      <w:marBottom w:val="0"/>
      <w:divBdr>
        <w:top w:val="none" w:sz="0" w:space="0" w:color="auto"/>
        <w:left w:val="none" w:sz="0" w:space="0" w:color="auto"/>
        <w:bottom w:val="none" w:sz="0" w:space="0" w:color="auto"/>
        <w:right w:val="none" w:sz="0" w:space="0" w:color="auto"/>
      </w:divBdr>
    </w:div>
    <w:div w:id="710224878">
      <w:bodyDiv w:val="1"/>
      <w:marLeft w:val="0"/>
      <w:marRight w:val="0"/>
      <w:marTop w:val="0"/>
      <w:marBottom w:val="0"/>
      <w:divBdr>
        <w:top w:val="none" w:sz="0" w:space="0" w:color="auto"/>
        <w:left w:val="none" w:sz="0" w:space="0" w:color="auto"/>
        <w:bottom w:val="none" w:sz="0" w:space="0" w:color="auto"/>
        <w:right w:val="none" w:sz="0" w:space="0" w:color="auto"/>
      </w:divBdr>
    </w:div>
    <w:div w:id="828013845">
      <w:bodyDiv w:val="1"/>
      <w:marLeft w:val="0"/>
      <w:marRight w:val="0"/>
      <w:marTop w:val="0"/>
      <w:marBottom w:val="0"/>
      <w:divBdr>
        <w:top w:val="none" w:sz="0" w:space="0" w:color="auto"/>
        <w:left w:val="none" w:sz="0" w:space="0" w:color="auto"/>
        <w:bottom w:val="none" w:sz="0" w:space="0" w:color="auto"/>
        <w:right w:val="none" w:sz="0" w:space="0" w:color="auto"/>
      </w:divBdr>
    </w:div>
    <w:div w:id="1043096450">
      <w:bodyDiv w:val="1"/>
      <w:marLeft w:val="0"/>
      <w:marRight w:val="0"/>
      <w:marTop w:val="0"/>
      <w:marBottom w:val="0"/>
      <w:divBdr>
        <w:top w:val="none" w:sz="0" w:space="0" w:color="auto"/>
        <w:left w:val="none" w:sz="0" w:space="0" w:color="auto"/>
        <w:bottom w:val="none" w:sz="0" w:space="0" w:color="auto"/>
        <w:right w:val="none" w:sz="0" w:space="0" w:color="auto"/>
      </w:divBdr>
    </w:div>
    <w:div w:id="1088431581">
      <w:bodyDiv w:val="1"/>
      <w:marLeft w:val="0"/>
      <w:marRight w:val="0"/>
      <w:marTop w:val="0"/>
      <w:marBottom w:val="0"/>
      <w:divBdr>
        <w:top w:val="none" w:sz="0" w:space="0" w:color="auto"/>
        <w:left w:val="none" w:sz="0" w:space="0" w:color="auto"/>
        <w:bottom w:val="none" w:sz="0" w:space="0" w:color="auto"/>
        <w:right w:val="none" w:sz="0" w:space="0" w:color="auto"/>
      </w:divBdr>
    </w:div>
    <w:div w:id="1101610319">
      <w:bodyDiv w:val="1"/>
      <w:marLeft w:val="0"/>
      <w:marRight w:val="0"/>
      <w:marTop w:val="0"/>
      <w:marBottom w:val="0"/>
      <w:divBdr>
        <w:top w:val="none" w:sz="0" w:space="0" w:color="auto"/>
        <w:left w:val="none" w:sz="0" w:space="0" w:color="auto"/>
        <w:bottom w:val="none" w:sz="0" w:space="0" w:color="auto"/>
        <w:right w:val="none" w:sz="0" w:space="0" w:color="auto"/>
      </w:divBdr>
    </w:div>
    <w:div w:id="1105613620">
      <w:bodyDiv w:val="1"/>
      <w:marLeft w:val="0"/>
      <w:marRight w:val="0"/>
      <w:marTop w:val="0"/>
      <w:marBottom w:val="0"/>
      <w:divBdr>
        <w:top w:val="none" w:sz="0" w:space="0" w:color="auto"/>
        <w:left w:val="none" w:sz="0" w:space="0" w:color="auto"/>
        <w:bottom w:val="none" w:sz="0" w:space="0" w:color="auto"/>
        <w:right w:val="none" w:sz="0" w:space="0" w:color="auto"/>
      </w:divBdr>
    </w:div>
    <w:div w:id="1135411816">
      <w:bodyDiv w:val="1"/>
      <w:marLeft w:val="0"/>
      <w:marRight w:val="0"/>
      <w:marTop w:val="0"/>
      <w:marBottom w:val="0"/>
      <w:divBdr>
        <w:top w:val="none" w:sz="0" w:space="0" w:color="auto"/>
        <w:left w:val="none" w:sz="0" w:space="0" w:color="auto"/>
        <w:bottom w:val="none" w:sz="0" w:space="0" w:color="auto"/>
        <w:right w:val="none" w:sz="0" w:space="0" w:color="auto"/>
      </w:divBdr>
    </w:div>
    <w:div w:id="1154956205">
      <w:bodyDiv w:val="1"/>
      <w:marLeft w:val="0"/>
      <w:marRight w:val="0"/>
      <w:marTop w:val="0"/>
      <w:marBottom w:val="0"/>
      <w:divBdr>
        <w:top w:val="none" w:sz="0" w:space="0" w:color="auto"/>
        <w:left w:val="none" w:sz="0" w:space="0" w:color="auto"/>
        <w:bottom w:val="none" w:sz="0" w:space="0" w:color="auto"/>
        <w:right w:val="none" w:sz="0" w:space="0" w:color="auto"/>
      </w:divBdr>
    </w:div>
    <w:div w:id="1174959283">
      <w:bodyDiv w:val="1"/>
      <w:marLeft w:val="0"/>
      <w:marRight w:val="0"/>
      <w:marTop w:val="0"/>
      <w:marBottom w:val="0"/>
      <w:divBdr>
        <w:top w:val="none" w:sz="0" w:space="0" w:color="auto"/>
        <w:left w:val="none" w:sz="0" w:space="0" w:color="auto"/>
        <w:bottom w:val="none" w:sz="0" w:space="0" w:color="auto"/>
        <w:right w:val="none" w:sz="0" w:space="0" w:color="auto"/>
      </w:divBdr>
    </w:div>
    <w:div w:id="1279794511">
      <w:bodyDiv w:val="1"/>
      <w:marLeft w:val="0"/>
      <w:marRight w:val="0"/>
      <w:marTop w:val="0"/>
      <w:marBottom w:val="0"/>
      <w:divBdr>
        <w:top w:val="none" w:sz="0" w:space="0" w:color="auto"/>
        <w:left w:val="none" w:sz="0" w:space="0" w:color="auto"/>
        <w:bottom w:val="none" w:sz="0" w:space="0" w:color="auto"/>
        <w:right w:val="none" w:sz="0" w:space="0" w:color="auto"/>
      </w:divBdr>
    </w:div>
    <w:div w:id="1402096383">
      <w:bodyDiv w:val="1"/>
      <w:marLeft w:val="0"/>
      <w:marRight w:val="0"/>
      <w:marTop w:val="0"/>
      <w:marBottom w:val="0"/>
      <w:divBdr>
        <w:top w:val="none" w:sz="0" w:space="0" w:color="auto"/>
        <w:left w:val="none" w:sz="0" w:space="0" w:color="auto"/>
        <w:bottom w:val="none" w:sz="0" w:space="0" w:color="auto"/>
        <w:right w:val="none" w:sz="0" w:space="0" w:color="auto"/>
      </w:divBdr>
    </w:div>
    <w:div w:id="1439058847">
      <w:bodyDiv w:val="1"/>
      <w:marLeft w:val="0"/>
      <w:marRight w:val="0"/>
      <w:marTop w:val="0"/>
      <w:marBottom w:val="0"/>
      <w:divBdr>
        <w:top w:val="none" w:sz="0" w:space="0" w:color="auto"/>
        <w:left w:val="none" w:sz="0" w:space="0" w:color="auto"/>
        <w:bottom w:val="none" w:sz="0" w:space="0" w:color="auto"/>
        <w:right w:val="none" w:sz="0" w:space="0" w:color="auto"/>
      </w:divBdr>
    </w:div>
    <w:div w:id="1548298819">
      <w:bodyDiv w:val="1"/>
      <w:marLeft w:val="0"/>
      <w:marRight w:val="0"/>
      <w:marTop w:val="0"/>
      <w:marBottom w:val="0"/>
      <w:divBdr>
        <w:top w:val="none" w:sz="0" w:space="0" w:color="auto"/>
        <w:left w:val="none" w:sz="0" w:space="0" w:color="auto"/>
        <w:bottom w:val="none" w:sz="0" w:space="0" w:color="auto"/>
        <w:right w:val="none" w:sz="0" w:space="0" w:color="auto"/>
      </w:divBdr>
    </w:div>
    <w:div w:id="1625504021">
      <w:bodyDiv w:val="1"/>
      <w:marLeft w:val="0"/>
      <w:marRight w:val="0"/>
      <w:marTop w:val="0"/>
      <w:marBottom w:val="0"/>
      <w:divBdr>
        <w:top w:val="none" w:sz="0" w:space="0" w:color="auto"/>
        <w:left w:val="none" w:sz="0" w:space="0" w:color="auto"/>
        <w:bottom w:val="none" w:sz="0" w:space="0" w:color="auto"/>
        <w:right w:val="none" w:sz="0" w:space="0" w:color="auto"/>
      </w:divBdr>
    </w:div>
    <w:div w:id="1724406026">
      <w:bodyDiv w:val="1"/>
      <w:marLeft w:val="0"/>
      <w:marRight w:val="0"/>
      <w:marTop w:val="0"/>
      <w:marBottom w:val="0"/>
      <w:divBdr>
        <w:top w:val="none" w:sz="0" w:space="0" w:color="auto"/>
        <w:left w:val="none" w:sz="0" w:space="0" w:color="auto"/>
        <w:bottom w:val="none" w:sz="0" w:space="0" w:color="auto"/>
        <w:right w:val="none" w:sz="0" w:space="0" w:color="auto"/>
      </w:divBdr>
    </w:div>
    <w:div w:id="1792241617">
      <w:bodyDiv w:val="1"/>
      <w:marLeft w:val="0"/>
      <w:marRight w:val="0"/>
      <w:marTop w:val="0"/>
      <w:marBottom w:val="0"/>
      <w:divBdr>
        <w:top w:val="none" w:sz="0" w:space="0" w:color="auto"/>
        <w:left w:val="none" w:sz="0" w:space="0" w:color="auto"/>
        <w:bottom w:val="none" w:sz="0" w:space="0" w:color="auto"/>
        <w:right w:val="none" w:sz="0" w:space="0" w:color="auto"/>
      </w:divBdr>
    </w:div>
    <w:div w:id="1851799491">
      <w:bodyDiv w:val="1"/>
      <w:marLeft w:val="0"/>
      <w:marRight w:val="0"/>
      <w:marTop w:val="0"/>
      <w:marBottom w:val="0"/>
      <w:divBdr>
        <w:top w:val="none" w:sz="0" w:space="0" w:color="auto"/>
        <w:left w:val="none" w:sz="0" w:space="0" w:color="auto"/>
        <w:bottom w:val="none" w:sz="0" w:space="0" w:color="auto"/>
        <w:right w:val="none" w:sz="0" w:space="0" w:color="auto"/>
      </w:divBdr>
    </w:div>
    <w:div w:id="1857306010">
      <w:bodyDiv w:val="1"/>
      <w:marLeft w:val="0"/>
      <w:marRight w:val="0"/>
      <w:marTop w:val="0"/>
      <w:marBottom w:val="0"/>
      <w:divBdr>
        <w:top w:val="none" w:sz="0" w:space="0" w:color="auto"/>
        <w:left w:val="none" w:sz="0" w:space="0" w:color="auto"/>
        <w:bottom w:val="none" w:sz="0" w:space="0" w:color="auto"/>
        <w:right w:val="none" w:sz="0" w:space="0" w:color="auto"/>
      </w:divBdr>
    </w:div>
    <w:div w:id="20632158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944FD5-F247-4341-A1E6-8897EC5AC5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1913</Words>
  <Characters>10905</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12793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Josef Duna (2312254)</dc:creator>
  <cp:keywords/>
  <dc:description/>
  <cp:lastModifiedBy>Josef Duna (2312254)</cp:lastModifiedBy>
  <cp:revision>2</cp:revision>
  <dcterms:created xsi:type="dcterms:W3CDTF">2024-03-13T16:53:00Z</dcterms:created>
  <dcterms:modified xsi:type="dcterms:W3CDTF">2024-03-13T16:53:00Z</dcterms:modified>
  <cp:category/>
</cp:coreProperties>
</file>