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2F1C3" w14:textId="77777777" w:rsidR="00F42215" w:rsidRDefault="00F42215" w:rsidP="00F42215">
      <w:pPr>
        <w:autoSpaceDE w:val="0"/>
        <w:autoSpaceDN w:val="0"/>
        <w:adjustRightInd w:val="0"/>
        <w:spacing w:after="200" w:line="276" w:lineRule="auto"/>
        <w:rPr>
          <w:rFonts w:ascii="Helvetica" w:hAnsi="Helvetica" w:cs="Helvetica"/>
          <w:sz w:val="22"/>
          <w:szCs w:val="22"/>
        </w:rPr>
      </w:pPr>
    </w:p>
    <w:p w14:paraId="0B818682" w14:textId="74D0B967" w:rsidR="00F42215" w:rsidRDefault="00F42215" w:rsidP="00F42215">
      <w:pPr>
        <w:autoSpaceDE w:val="0"/>
        <w:autoSpaceDN w:val="0"/>
        <w:adjustRightInd w:val="0"/>
        <w:spacing w:after="200" w:line="276" w:lineRule="auto"/>
        <w:rPr>
          <w:rFonts w:ascii="Arial" w:hAnsi="Arial" w:cs="Arial"/>
          <w:sz w:val="36"/>
          <w:szCs w:val="36"/>
        </w:rPr>
      </w:pPr>
    </w:p>
    <w:p w14:paraId="0665A1DA" w14:textId="77777777" w:rsidR="00AD340A" w:rsidRPr="00AD340A" w:rsidRDefault="00AD340A" w:rsidP="00F42215">
      <w:pPr>
        <w:autoSpaceDE w:val="0"/>
        <w:autoSpaceDN w:val="0"/>
        <w:adjustRightInd w:val="0"/>
        <w:spacing w:after="200" w:line="276" w:lineRule="auto"/>
        <w:rPr>
          <w:rFonts w:ascii="Arial" w:hAnsi="Arial" w:cs="Arial"/>
          <w:sz w:val="36"/>
          <w:szCs w:val="36"/>
        </w:rPr>
      </w:pPr>
    </w:p>
    <w:p w14:paraId="77AEE237" w14:textId="77777777" w:rsidR="00F42215" w:rsidRPr="00AD340A" w:rsidRDefault="00F42215" w:rsidP="00F42215">
      <w:pPr>
        <w:jc w:val="center"/>
        <w:rPr>
          <w:rFonts w:ascii="Arial" w:eastAsia="Arial" w:hAnsi="Arial" w:cs="Arial"/>
          <w:b/>
          <w:bCs/>
          <w:sz w:val="36"/>
          <w:szCs w:val="36"/>
        </w:rPr>
      </w:pPr>
    </w:p>
    <w:p w14:paraId="0B2962AD" w14:textId="77777777" w:rsidR="00F42215" w:rsidRPr="00AD340A" w:rsidRDefault="00F42215" w:rsidP="00AD340A">
      <w:pPr>
        <w:ind w:left="720" w:firstLine="720"/>
        <w:rPr>
          <w:rFonts w:ascii="Arial" w:hAnsi="Arial" w:cs="Arial"/>
          <w:sz w:val="36"/>
          <w:szCs w:val="36"/>
        </w:rPr>
      </w:pPr>
      <w:r w:rsidRPr="00AD340A">
        <w:rPr>
          <w:rFonts w:ascii="Arial" w:hAnsi="Arial" w:cs="Arial"/>
          <w:b/>
          <w:bCs/>
          <w:sz w:val="36"/>
          <w:szCs w:val="36"/>
        </w:rPr>
        <w:t>Student name</w:t>
      </w:r>
      <w:r w:rsidRPr="00AD340A">
        <w:rPr>
          <w:rFonts w:ascii="Arial" w:hAnsi="Arial" w:cs="Arial"/>
          <w:sz w:val="36"/>
          <w:szCs w:val="36"/>
        </w:rPr>
        <w:t xml:space="preserve">: Ioana Roxana Rata </w:t>
      </w:r>
      <w:proofErr w:type="spellStart"/>
      <w:r w:rsidRPr="00AD340A">
        <w:rPr>
          <w:rFonts w:ascii="Arial" w:hAnsi="Arial" w:cs="Arial"/>
          <w:sz w:val="36"/>
          <w:szCs w:val="36"/>
        </w:rPr>
        <w:t>Costache</w:t>
      </w:r>
      <w:proofErr w:type="spellEnd"/>
    </w:p>
    <w:p w14:paraId="4DBB42B7" w14:textId="1DA2923D" w:rsidR="00F42215" w:rsidRDefault="00F42215" w:rsidP="00F42215">
      <w:pPr>
        <w:jc w:val="center"/>
        <w:rPr>
          <w:rFonts w:ascii="Arial" w:hAnsi="Arial" w:cs="Arial"/>
          <w:sz w:val="36"/>
          <w:szCs w:val="36"/>
        </w:rPr>
      </w:pPr>
    </w:p>
    <w:p w14:paraId="00D0EB9B" w14:textId="77777777" w:rsidR="00AD340A" w:rsidRPr="00AD340A" w:rsidRDefault="00AD340A" w:rsidP="00F42215">
      <w:pPr>
        <w:jc w:val="center"/>
        <w:rPr>
          <w:rFonts w:ascii="Arial" w:hAnsi="Arial" w:cs="Arial"/>
          <w:sz w:val="36"/>
          <w:szCs w:val="36"/>
        </w:rPr>
      </w:pPr>
    </w:p>
    <w:p w14:paraId="23FB4557" w14:textId="69EB4AAF" w:rsidR="00F42215" w:rsidRDefault="00F42215" w:rsidP="00AD340A">
      <w:pPr>
        <w:ind w:left="720" w:firstLine="720"/>
        <w:rPr>
          <w:rFonts w:ascii="Arial" w:hAnsi="Arial" w:cs="Arial"/>
          <w:sz w:val="36"/>
          <w:szCs w:val="36"/>
        </w:rPr>
      </w:pPr>
      <w:r w:rsidRPr="00AD340A">
        <w:rPr>
          <w:rFonts w:ascii="Arial" w:hAnsi="Arial" w:cs="Arial"/>
          <w:b/>
          <w:bCs/>
          <w:sz w:val="36"/>
          <w:szCs w:val="36"/>
        </w:rPr>
        <w:t>Student number</w:t>
      </w:r>
      <w:r w:rsidRPr="00AD340A">
        <w:rPr>
          <w:rFonts w:ascii="Arial" w:hAnsi="Arial" w:cs="Arial"/>
          <w:sz w:val="36"/>
          <w:szCs w:val="36"/>
        </w:rPr>
        <w:t>: 1912307</w:t>
      </w:r>
    </w:p>
    <w:p w14:paraId="029D1051" w14:textId="77777777" w:rsidR="00AD340A" w:rsidRPr="00AD340A" w:rsidRDefault="00AD340A" w:rsidP="00AD340A">
      <w:pPr>
        <w:ind w:left="720" w:firstLine="720"/>
        <w:rPr>
          <w:rFonts w:ascii="Arial" w:hAnsi="Arial" w:cs="Arial"/>
          <w:sz w:val="36"/>
          <w:szCs w:val="36"/>
        </w:rPr>
      </w:pPr>
    </w:p>
    <w:p w14:paraId="799FF2CB" w14:textId="77777777" w:rsidR="00F42215" w:rsidRPr="00AD340A" w:rsidRDefault="00F42215" w:rsidP="00F42215">
      <w:pPr>
        <w:ind w:left="1440" w:firstLine="720"/>
        <w:rPr>
          <w:rFonts w:ascii="Arial" w:hAnsi="Arial" w:cs="Arial"/>
          <w:sz w:val="36"/>
          <w:szCs w:val="36"/>
        </w:rPr>
      </w:pPr>
    </w:p>
    <w:p w14:paraId="08324DEF" w14:textId="5E87B237" w:rsidR="00F42215" w:rsidRDefault="00F42215" w:rsidP="00AD340A">
      <w:pPr>
        <w:ind w:left="720" w:firstLine="720"/>
        <w:rPr>
          <w:rFonts w:ascii="Arial" w:hAnsi="Arial" w:cs="Arial"/>
          <w:sz w:val="36"/>
          <w:szCs w:val="36"/>
        </w:rPr>
      </w:pPr>
      <w:r w:rsidRPr="00AD340A">
        <w:rPr>
          <w:rFonts w:ascii="Arial" w:hAnsi="Arial" w:cs="Arial"/>
          <w:b/>
          <w:bCs/>
          <w:sz w:val="36"/>
          <w:szCs w:val="36"/>
        </w:rPr>
        <w:t>Module code</w:t>
      </w:r>
      <w:r w:rsidRPr="00AD340A">
        <w:rPr>
          <w:rFonts w:ascii="Arial" w:hAnsi="Arial" w:cs="Arial"/>
          <w:sz w:val="36"/>
          <w:szCs w:val="36"/>
        </w:rPr>
        <w:t>: BMHP</w:t>
      </w:r>
      <w:r w:rsidRPr="00AD340A">
        <w:rPr>
          <w:rFonts w:ascii="Arial" w:hAnsi="Arial" w:cs="Arial"/>
          <w:sz w:val="36"/>
          <w:szCs w:val="36"/>
        </w:rPr>
        <w:t>6009</w:t>
      </w:r>
      <w:r w:rsidRPr="00AD340A">
        <w:rPr>
          <w:rFonts w:ascii="Arial" w:hAnsi="Arial" w:cs="Arial"/>
          <w:sz w:val="36"/>
          <w:szCs w:val="36"/>
        </w:rPr>
        <w:t>_BIRM</w:t>
      </w:r>
    </w:p>
    <w:p w14:paraId="16CCCA11" w14:textId="77777777" w:rsidR="00AD340A" w:rsidRPr="00AD340A" w:rsidRDefault="00AD340A" w:rsidP="00AD340A">
      <w:pPr>
        <w:ind w:left="720" w:firstLine="720"/>
        <w:rPr>
          <w:rFonts w:ascii="Arial" w:hAnsi="Arial" w:cs="Arial"/>
          <w:sz w:val="36"/>
          <w:szCs w:val="36"/>
        </w:rPr>
      </w:pPr>
    </w:p>
    <w:p w14:paraId="0CE48ACA" w14:textId="77777777" w:rsidR="00F42215" w:rsidRPr="00AD340A" w:rsidRDefault="00F42215" w:rsidP="00F42215">
      <w:pPr>
        <w:ind w:left="2160"/>
        <w:rPr>
          <w:rFonts w:ascii="Arial" w:hAnsi="Arial" w:cs="Arial"/>
          <w:sz w:val="36"/>
          <w:szCs w:val="36"/>
        </w:rPr>
      </w:pPr>
    </w:p>
    <w:p w14:paraId="36AD2D5E" w14:textId="4970AFBD" w:rsidR="00F42215" w:rsidRDefault="00AD340A" w:rsidP="00AD340A">
      <w:pPr>
        <w:ind w:left="720" w:firstLine="720"/>
        <w:rPr>
          <w:rFonts w:ascii="Arial" w:hAnsi="Arial" w:cs="Arial"/>
          <w:sz w:val="36"/>
          <w:szCs w:val="36"/>
        </w:rPr>
      </w:pPr>
      <w:r w:rsidRPr="00AD340A">
        <w:rPr>
          <w:rFonts w:ascii="Arial" w:hAnsi="Arial" w:cs="Arial"/>
          <w:b/>
          <w:bCs/>
          <w:sz w:val="36"/>
          <w:szCs w:val="36"/>
        </w:rPr>
        <w:t>Module:</w:t>
      </w:r>
      <w:r w:rsidR="00F42215" w:rsidRPr="00AD340A">
        <w:rPr>
          <w:rFonts w:ascii="Arial" w:hAnsi="Arial" w:cs="Arial"/>
          <w:sz w:val="36"/>
          <w:szCs w:val="36"/>
        </w:rPr>
        <w:t xml:space="preserve"> </w:t>
      </w:r>
      <w:r w:rsidR="00F42215" w:rsidRPr="00AD340A">
        <w:rPr>
          <w:rFonts w:ascii="Arial" w:hAnsi="Arial" w:cs="Arial"/>
          <w:sz w:val="36"/>
          <w:szCs w:val="36"/>
        </w:rPr>
        <w:t xml:space="preserve">Living with </w:t>
      </w:r>
      <w:proofErr w:type="gramStart"/>
      <w:r w:rsidR="00F42215" w:rsidRPr="00AD340A">
        <w:rPr>
          <w:rFonts w:ascii="Arial" w:hAnsi="Arial" w:cs="Arial"/>
          <w:sz w:val="36"/>
          <w:szCs w:val="36"/>
        </w:rPr>
        <w:t>Care :</w:t>
      </w:r>
      <w:proofErr w:type="gramEnd"/>
      <w:r w:rsidR="00F42215" w:rsidRPr="00AD340A">
        <w:rPr>
          <w:rFonts w:ascii="Arial" w:hAnsi="Arial" w:cs="Arial"/>
          <w:sz w:val="36"/>
          <w:szCs w:val="36"/>
        </w:rPr>
        <w:t xml:space="preserve"> The Older Person</w:t>
      </w:r>
    </w:p>
    <w:p w14:paraId="0312BD08" w14:textId="77777777" w:rsidR="00AD340A" w:rsidRPr="00AD340A" w:rsidRDefault="00AD340A" w:rsidP="00AD340A">
      <w:pPr>
        <w:ind w:left="720" w:firstLine="720"/>
        <w:rPr>
          <w:rFonts w:ascii="Arial" w:hAnsi="Arial" w:cs="Arial"/>
          <w:sz w:val="36"/>
          <w:szCs w:val="36"/>
        </w:rPr>
      </w:pPr>
    </w:p>
    <w:p w14:paraId="2CB23BA7" w14:textId="77777777" w:rsidR="00F42215" w:rsidRPr="00AD340A" w:rsidRDefault="00F42215" w:rsidP="00F42215">
      <w:pPr>
        <w:ind w:left="1440" w:firstLine="720"/>
        <w:rPr>
          <w:rFonts w:ascii="Arial" w:hAnsi="Arial" w:cs="Arial"/>
          <w:sz w:val="36"/>
          <w:szCs w:val="36"/>
        </w:rPr>
      </w:pPr>
    </w:p>
    <w:p w14:paraId="4CA73A9A" w14:textId="4E89855D" w:rsidR="00F42215" w:rsidRPr="00AD340A" w:rsidRDefault="00F42215" w:rsidP="00AD340A">
      <w:pPr>
        <w:ind w:left="720" w:firstLine="720"/>
        <w:rPr>
          <w:rFonts w:ascii="Arial" w:hAnsi="Arial" w:cs="Arial"/>
          <w:sz w:val="36"/>
          <w:szCs w:val="36"/>
        </w:rPr>
      </w:pPr>
      <w:r w:rsidRPr="00AD340A">
        <w:rPr>
          <w:rFonts w:ascii="Arial" w:hAnsi="Arial" w:cs="Arial"/>
          <w:b/>
          <w:bCs/>
          <w:sz w:val="36"/>
          <w:szCs w:val="36"/>
        </w:rPr>
        <w:t xml:space="preserve">Assignment </w:t>
      </w:r>
      <w:proofErr w:type="gramStart"/>
      <w:r w:rsidRPr="00AD340A">
        <w:rPr>
          <w:rFonts w:ascii="Arial" w:hAnsi="Arial" w:cs="Arial"/>
          <w:b/>
          <w:bCs/>
          <w:sz w:val="36"/>
          <w:szCs w:val="36"/>
        </w:rPr>
        <w:t>titl</w:t>
      </w:r>
      <w:r w:rsidRPr="00AD340A">
        <w:rPr>
          <w:rFonts w:ascii="Arial" w:hAnsi="Arial" w:cs="Arial"/>
          <w:sz w:val="36"/>
          <w:szCs w:val="36"/>
        </w:rPr>
        <w:t>e :</w:t>
      </w:r>
      <w:proofErr w:type="gramEnd"/>
      <w:r w:rsidRPr="00AD340A">
        <w:rPr>
          <w:rFonts w:ascii="Arial" w:hAnsi="Arial" w:cs="Arial"/>
          <w:sz w:val="36"/>
          <w:szCs w:val="36"/>
        </w:rPr>
        <w:t xml:space="preserve"> </w:t>
      </w:r>
      <w:r w:rsidR="00AD340A" w:rsidRPr="00AD340A">
        <w:rPr>
          <w:rFonts w:ascii="Arial" w:hAnsi="Arial" w:cs="Arial"/>
          <w:sz w:val="36"/>
          <w:szCs w:val="36"/>
        </w:rPr>
        <w:t>Component2 - Essay</w:t>
      </w:r>
    </w:p>
    <w:p w14:paraId="468003FB" w14:textId="00EA8772" w:rsidR="00F42215" w:rsidRDefault="00F42215" w:rsidP="00F42215">
      <w:pPr>
        <w:ind w:left="2160"/>
        <w:rPr>
          <w:rFonts w:ascii="Arial" w:hAnsi="Arial" w:cs="Arial"/>
          <w:sz w:val="36"/>
          <w:szCs w:val="36"/>
        </w:rPr>
      </w:pPr>
    </w:p>
    <w:p w14:paraId="405AC1FC" w14:textId="77777777" w:rsidR="00AD340A" w:rsidRPr="00AD340A" w:rsidRDefault="00AD340A" w:rsidP="00F42215">
      <w:pPr>
        <w:ind w:left="2160"/>
        <w:rPr>
          <w:rFonts w:ascii="Arial" w:hAnsi="Arial" w:cs="Arial"/>
          <w:sz w:val="36"/>
          <w:szCs w:val="36"/>
        </w:rPr>
      </w:pPr>
    </w:p>
    <w:p w14:paraId="38258C73" w14:textId="2E03A39D" w:rsidR="00F42215" w:rsidRPr="00AD340A" w:rsidRDefault="00F42215" w:rsidP="00AD340A">
      <w:pPr>
        <w:ind w:left="720" w:firstLine="720"/>
        <w:rPr>
          <w:rFonts w:ascii="Arial" w:hAnsi="Arial" w:cs="Arial"/>
          <w:bCs/>
          <w:sz w:val="36"/>
          <w:szCs w:val="36"/>
        </w:rPr>
      </w:pPr>
      <w:r w:rsidRPr="00AD340A">
        <w:rPr>
          <w:rFonts w:ascii="Arial" w:hAnsi="Arial" w:cs="Arial"/>
          <w:b/>
          <w:bCs/>
          <w:sz w:val="36"/>
          <w:szCs w:val="36"/>
        </w:rPr>
        <w:t>Lecturer name</w:t>
      </w:r>
      <w:r w:rsidRPr="00AD340A">
        <w:rPr>
          <w:rFonts w:ascii="Arial" w:hAnsi="Arial" w:cs="Arial"/>
          <w:sz w:val="36"/>
          <w:szCs w:val="36"/>
        </w:rPr>
        <w:t xml:space="preserve">: </w:t>
      </w:r>
      <w:r w:rsidR="00AD340A" w:rsidRPr="00AD340A">
        <w:rPr>
          <w:rFonts w:ascii="Arial" w:hAnsi="Arial" w:cs="Arial"/>
          <w:bCs/>
          <w:sz w:val="36"/>
          <w:szCs w:val="36"/>
        </w:rPr>
        <w:t>Joanne Davies</w:t>
      </w:r>
    </w:p>
    <w:p w14:paraId="2AD9A436" w14:textId="7A7D6B9A" w:rsidR="00F42215" w:rsidRPr="00AD340A" w:rsidRDefault="00F42215" w:rsidP="00F42215">
      <w:pPr>
        <w:autoSpaceDE w:val="0"/>
        <w:autoSpaceDN w:val="0"/>
        <w:adjustRightInd w:val="0"/>
        <w:spacing w:after="200" w:line="276" w:lineRule="auto"/>
        <w:rPr>
          <w:rFonts w:ascii="Arial" w:hAnsi="Arial" w:cs="Arial"/>
          <w:bCs/>
          <w:sz w:val="36"/>
          <w:szCs w:val="36"/>
        </w:rPr>
      </w:pPr>
    </w:p>
    <w:p w14:paraId="17BDAB25" w14:textId="77777777" w:rsidR="00F42215" w:rsidRDefault="00F42215" w:rsidP="00F42215">
      <w:pPr>
        <w:autoSpaceDE w:val="0"/>
        <w:autoSpaceDN w:val="0"/>
        <w:adjustRightInd w:val="0"/>
        <w:spacing w:after="200" w:line="480" w:lineRule="auto"/>
        <w:jc w:val="both"/>
        <w:rPr>
          <w:rFonts w:ascii="Times New Roman" w:hAnsi="Times New Roman" w:cs="Times New Roman"/>
        </w:rPr>
      </w:pPr>
    </w:p>
    <w:p w14:paraId="625B591F" w14:textId="77777777" w:rsidR="00F42215" w:rsidRDefault="00F42215" w:rsidP="00F42215">
      <w:pPr>
        <w:autoSpaceDE w:val="0"/>
        <w:autoSpaceDN w:val="0"/>
        <w:adjustRightInd w:val="0"/>
        <w:spacing w:after="200" w:line="480" w:lineRule="auto"/>
        <w:jc w:val="both"/>
        <w:rPr>
          <w:rFonts w:ascii="Times New Roman" w:hAnsi="Times New Roman" w:cs="Times New Roman"/>
        </w:rPr>
      </w:pPr>
    </w:p>
    <w:p w14:paraId="6576DA51" w14:textId="77777777" w:rsidR="00F42215" w:rsidRDefault="00F42215" w:rsidP="00F42215">
      <w:pPr>
        <w:autoSpaceDE w:val="0"/>
        <w:autoSpaceDN w:val="0"/>
        <w:adjustRightInd w:val="0"/>
        <w:spacing w:after="200" w:line="480" w:lineRule="auto"/>
        <w:jc w:val="both"/>
        <w:rPr>
          <w:rFonts w:ascii="Times New Roman" w:hAnsi="Times New Roman" w:cs="Times New Roman"/>
        </w:rPr>
      </w:pPr>
    </w:p>
    <w:p w14:paraId="1BA25063" w14:textId="77777777" w:rsidR="00F42215" w:rsidRDefault="00F42215" w:rsidP="00F42215">
      <w:pPr>
        <w:autoSpaceDE w:val="0"/>
        <w:autoSpaceDN w:val="0"/>
        <w:adjustRightInd w:val="0"/>
        <w:spacing w:after="200" w:line="480" w:lineRule="auto"/>
        <w:jc w:val="both"/>
        <w:rPr>
          <w:rFonts w:ascii="Times New Roman" w:hAnsi="Times New Roman" w:cs="Times New Roman"/>
        </w:rPr>
      </w:pPr>
    </w:p>
    <w:p w14:paraId="3CF29C37" w14:textId="77777777" w:rsidR="00F42215" w:rsidRDefault="00F42215" w:rsidP="00F42215">
      <w:pPr>
        <w:autoSpaceDE w:val="0"/>
        <w:autoSpaceDN w:val="0"/>
        <w:adjustRightInd w:val="0"/>
        <w:spacing w:after="200" w:line="480" w:lineRule="auto"/>
        <w:jc w:val="both"/>
        <w:rPr>
          <w:rFonts w:ascii="Times New Roman" w:hAnsi="Times New Roman" w:cs="Times New Roman"/>
        </w:rPr>
      </w:pPr>
    </w:p>
    <w:p w14:paraId="6C13C18C" w14:textId="77777777" w:rsidR="00F42215" w:rsidRDefault="00F42215" w:rsidP="00F42215">
      <w:pPr>
        <w:autoSpaceDE w:val="0"/>
        <w:autoSpaceDN w:val="0"/>
        <w:adjustRightInd w:val="0"/>
        <w:spacing w:after="200" w:line="480" w:lineRule="auto"/>
        <w:jc w:val="both"/>
        <w:rPr>
          <w:rFonts w:ascii="Times New Roman" w:hAnsi="Times New Roman" w:cs="Times New Roman"/>
        </w:rPr>
      </w:pPr>
    </w:p>
    <w:p w14:paraId="4CF51A4F" w14:textId="77777777" w:rsidR="00F42215" w:rsidRPr="00AD340A" w:rsidRDefault="00F42215" w:rsidP="00F42215">
      <w:pPr>
        <w:autoSpaceDE w:val="0"/>
        <w:autoSpaceDN w:val="0"/>
        <w:adjustRightInd w:val="0"/>
        <w:spacing w:before="480" w:line="480" w:lineRule="auto"/>
        <w:jc w:val="both"/>
        <w:rPr>
          <w:rFonts w:ascii="Arial" w:hAnsi="Arial" w:cs="Arial"/>
          <w:b/>
          <w:bCs/>
          <w:sz w:val="22"/>
          <w:szCs w:val="22"/>
        </w:rPr>
      </w:pPr>
      <w:r w:rsidRPr="00AD340A">
        <w:rPr>
          <w:rFonts w:ascii="Arial" w:hAnsi="Arial" w:cs="Arial"/>
          <w:b/>
          <w:bCs/>
          <w:sz w:val="22"/>
          <w:szCs w:val="22"/>
        </w:rPr>
        <w:t>Essay on Impact of COVID-19 on Older People in the UK</w:t>
      </w:r>
    </w:p>
    <w:p w14:paraId="71FF2BAD" w14:textId="27E8C7E2" w:rsidR="00F42215" w:rsidRPr="00AD340A" w:rsidRDefault="00F42215" w:rsidP="00F42215">
      <w:pPr>
        <w:autoSpaceDE w:val="0"/>
        <w:autoSpaceDN w:val="0"/>
        <w:adjustRightInd w:val="0"/>
        <w:spacing w:line="360" w:lineRule="auto"/>
        <w:ind w:firstLine="720"/>
        <w:jc w:val="both"/>
        <w:rPr>
          <w:rFonts w:ascii="Arial" w:hAnsi="Arial" w:cs="Arial"/>
          <w:sz w:val="22"/>
          <w:szCs w:val="22"/>
        </w:rPr>
      </w:pPr>
      <w:r w:rsidRPr="00AD340A">
        <w:rPr>
          <w:rFonts w:ascii="Arial" w:hAnsi="Arial" w:cs="Arial"/>
          <w:sz w:val="22"/>
          <w:szCs w:val="22"/>
        </w:rPr>
        <w:t xml:space="preserve">This essay discusses the older population from the perspective of theories on ageing and further explains the older population in social and HSC provision in the UK. The essay mainly </w:t>
      </w:r>
      <w:r w:rsidR="00B8008F" w:rsidRPr="00AD340A">
        <w:rPr>
          <w:rFonts w:ascii="Arial" w:hAnsi="Arial" w:cs="Arial"/>
          <w:sz w:val="22"/>
          <w:szCs w:val="22"/>
        </w:rPr>
        <w:t>analyses</w:t>
      </w:r>
      <w:r w:rsidRPr="00AD340A">
        <w:rPr>
          <w:rFonts w:ascii="Arial" w:hAnsi="Arial" w:cs="Arial"/>
          <w:sz w:val="22"/>
          <w:szCs w:val="22"/>
        </w:rPr>
        <w:t xml:space="preserve"> the impact of the COVID-19 pandemic on the older population in the UK in terms of physical and mental health, social and economic consequences. Subsequently, the essay evaluates the role of HSA and social care services during the pandemic, particularly for the older population and highlights the challenges these organizations face in providing healthcare services. To minimize the spread of COVID-19, a measure such as a lockdown's role is also </w:t>
      </w:r>
      <w:r w:rsidR="00B8008F" w:rsidRPr="00AD340A">
        <w:rPr>
          <w:rFonts w:ascii="Arial" w:hAnsi="Arial" w:cs="Arial"/>
          <w:sz w:val="22"/>
          <w:szCs w:val="22"/>
        </w:rPr>
        <w:t>analysed</w:t>
      </w:r>
      <w:r w:rsidRPr="00AD340A">
        <w:rPr>
          <w:rFonts w:ascii="Arial" w:hAnsi="Arial" w:cs="Arial"/>
          <w:sz w:val="22"/>
          <w:szCs w:val="22"/>
        </w:rPr>
        <w:t xml:space="preserve"> in exacerbating the psychological and physical health of older people and increasing their social problems. The role of the digital divide relating to age has also been discussed, and the essay provides suggestions to combat these challenges.</w:t>
      </w:r>
    </w:p>
    <w:p w14:paraId="653B8A06" w14:textId="7D665B54" w:rsidR="00F42215" w:rsidRPr="00AD340A" w:rsidRDefault="00F42215" w:rsidP="00F42215">
      <w:pPr>
        <w:autoSpaceDE w:val="0"/>
        <w:autoSpaceDN w:val="0"/>
        <w:adjustRightInd w:val="0"/>
        <w:spacing w:after="200" w:line="360" w:lineRule="auto"/>
        <w:ind w:firstLine="360"/>
        <w:jc w:val="both"/>
        <w:rPr>
          <w:rFonts w:ascii="Arial" w:hAnsi="Arial" w:cs="Arial"/>
          <w:sz w:val="22"/>
          <w:szCs w:val="22"/>
        </w:rPr>
      </w:pPr>
      <w:r w:rsidRPr="00AD340A">
        <w:rPr>
          <w:rFonts w:ascii="Arial" w:hAnsi="Arial" w:cs="Arial"/>
          <w:sz w:val="22"/>
          <w:szCs w:val="22"/>
        </w:rPr>
        <w:t xml:space="preserve"> In England, the folks </w:t>
      </w:r>
      <w:proofErr w:type="gramStart"/>
      <w:r w:rsidRPr="00AD340A">
        <w:rPr>
          <w:rFonts w:ascii="Arial" w:hAnsi="Arial" w:cs="Arial"/>
          <w:sz w:val="22"/>
          <w:szCs w:val="22"/>
        </w:rPr>
        <w:t>tends</w:t>
      </w:r>
      <w:proofErr w:type="gramEnd"/>
      <w:r w:rsidRPr="00AD340A">
        <w:rPr>
          <w:rFonts w:ascii="Arial" w:hAnsi="Arial" w:cs="Arial"/>
          <w:sz w:val="22"/>
          <w:szCs w:val="22"/>
        </w:rPr>
        <w:t xml:space="preserve"> to live longer life than before due to advances in health care. In addition, England has a large number of older persons which is </w:t>
      </w:r>
      <w:r w:rsidR="00747506" w:rsidRPr="00AD340A">
        <w:rPr>
          <w:rFonts w:ascii="Arial" w:hAnsi="Arial" w:cs="Arial"/>
          <w:sz w:val="22"/>
          <w:szCs w:val="22"/>
        </w:rPr>
        <w:t>growing,</w:t>
      </w:r>
      <w:r w:rsidRPr="00AD340A">
        <w:rPr>
          <w:rFonts w:ascii="Arial" w:hAnsi="Arial" w:cs="Arial"/>
          <w:sz w:val="22"/>
          <w:szCs w:val="22"/>
        </w:rPr>
        <w:t xml:space="preserve"> and it is supposed that this growth rate will </w:t>
      </w:r>
      <w:proofErr w:type="gramStart"/>
      <w:r w:rsidRPr="00AD340A">
        <w:rPr>
          <w:rFonts w:ascii="Arial" w:hAnsi="Arial" w:cs="Arial"/>
          <w:sz w:val="22"/>
          <w:szCs w:val="22"/>
        </w:rPr>
        <w:t>increased</w:t>
      </w:r>
      <w:proofErr w:type="gramEnd"/>
      <w:r w:rsidRPr="00AD340A">
        <w:rPr>
          <w:rFonts w:ascii="Arial" w:hAnsi="Arial" w:cs="Arial"/>
          <w:sz w:val="22"/>
          <w:szCs w:val="22"/>
        </w:rPr>
        <w:t xml:space="preserve"> to the next 120 </w:t>
      </w:r>
      <w:r w:rsidR="00B8008F" w:rsidRPr="00AD340A">
        <w:rPr>
          <w:rFonts w:ascii="Arial" w:hAnsi="Arial" w:cs="Arial"/>
          <w:sz w:val="22"/>
          <w:szCs w:val="22"/>
        </w:rPr>
        <w:t>years Due</w:t>
      </w:r>
      <w:r w:rsidRPr="00AD340A">
        <w:rPr>
          <w:rFonts w:ascii="Arial" w:hAnsi="Arial" w:cs="Arial"/>
          <w:sz w:val="22"/>
          <w:szCs w:val="22"/>
        </w:rPr>
        <w:t xml:space="preserve"> to the pandemic covid 19, there are more clearer </w:t>
      </w:r>
      <w:proofErr w:type="spellStart"/>
      <w:r w:rsidRPr="00AD340A">
        <w:rPr>
          <w:rFonts w:ascii="Arial" w:hAnsi="Arial" w:cs="Arial"/>
          <w:sz w:val="22"/>
          <w:szCs w:val="22"/>
        </w:rPr>
        <w:t>affects</w:t>
      </w:r>
      <w:proofErr w:type="spellEnd"/>
      <w:r w:rsidRPr="00AD340A">
        <w:rPr>
          <w:rFonts w:ascii="Arial" w:hAnsi="Arial" w:cs="Arial"/>
          <w:sz w:val="22"/>
          <w:szCs w:val="22"/>
        </w:rPr>
        <w:t xml:space="preserve"> of the spread of virus and the </w:t>
      </w:r>
      <w:r w:rsidR="00B8008F" w:rsidRPr="00AD340A">
        <w:rPr>
          <w:rFonts w:ascii="Arial" w:hAnsi="Arial" w:cs="Arial"/>
          <w:sz w:val="22"/>
          <w:szCs w:val="22"/>
        </w:rPr>
        <w:t>revertive</w:t>
      </w:r>
      <w:r w:rsidRPr="00AD340A">
        <w:rPr>
          <w:rFonts w:ascii="Arial" w:hAnsi="Arial" w:cs="Arial"/>
          <w:sz w:val="22"/>
          <w:szCs w:val="22"/>
        </w:rPr>
        <w:t xml:space="preserve"> </w:t>
      </w:r>
      <w:r w:rsidR="00B8008F" w:rsidRPr="00AD340A">
        <w:rPr>
          <w:rFonts w:ascii="Arial" w:hAnsi="Arial" w:cs="Arial"/>
          <w:sz w:val="22"/>
          <w:szCs w:val="22"/>
        </w:rPr>
        <w:t>measures</w:t>
      </w:r>
      <w:r w:rsidRPr="00AD340A">
        <w:rPr>
          <w:rFonts w:ascii="Arial" w:hAnsi="Arial" w:cs="Arial"/>
          <w:sz w:val="22"/>
          <w:szCs w:val="22"/>
        </w:rPr>
        <w:t xml:space="preserve"> for the sake of protection of population The full extent of the Covid 19 effects are still not clear. </w:t>
      </w:r>
      <w:proofErr w:type="gramStart"/>
      <w:r w:rsidRPr="00AD340A">
        <w:rPr>
          <w:rFonts w:ascii="Arial" w:hAnsi="Arial" w:cs="Arial"/>
          <w:sz w:val="22"/>
          <w:szCs w:val="22"/>
        </w:rPr>
        <w:t>But,</w:t>
      </w:r>
      <w:proofErr w:type="gramEnd"/>
      <w:r w:rsidRPr="00AD340A">
        <w:rPr>
          <w:rFonts w:ascii="Arial" w:hAnsi="Arial" w:cs="Arial"/>
          <w:sz w:val="22"/>
          <w:szCs w:val="22"/>
        </w:rPr>
        <w:t xml:space="preserve"> it is clear that the pandemic has negative effects on the psychological </w:t>
      </w:r>
      <w:proofErr w:type="spellStart"/>
      <w:r w:rsidRPr="00AD340A">
        <w:rPr>
          <w:rFonts w:ascii="Arial" w:hAnsi="Arial" w:cs="Arial"/>
          <w:sz w:val="22"/>
          <w:szCs w:val="22"/>
        </w:rPr>
        <w:t>well being</w:t>
      </w:r>
      <w:proofErr w:type="spellEnd"/>
      <w:r w:rsidRPr="00AD340A">
        <w:rPr>
          <w:rFonts w:ascii="Arial" w:hAnsi="Arial" w:cs="Arial"/>
          <w:sz w:val="22"/>
          <w:szCs w:val="22"/>
        </w:rPr>
        <w:t>. . . Recent studies shows that the general population who face extended lockdown show more cases of anxiety and depression.   Because of the loss of support socially, higher illness threat and stricter lockdown, the covid 19 effect are seen more in elderly population. (Yen and Kim, 2017).</w:t>
      </w:r>
    </w:p>
    <w:p w14:paraId="382B03E3" w14:textId="6FF8D1F5" w:rsidR="00F42215" w:rsidRPr="00AD340A" w:rsidRDefault="00F42215" w:rsidP="00F42215">
      <w:pPr>
        <w:autoSpaceDE w:val="0"/>
        <w:autoSpaceDN w:val="0"/>
        <w:adjustRightInd w:val="0"/>
        <w:spacing w:after="200" w:line="360" w:lineRule="auto"/>
        <w:ind w:firstLine="360"/>
        <w:jc w:val="both"/>
        <w:rPr>
          <w:rFonts w:ascii="Arial" w:hAnsi="Arial" w:cs="Arial"/>
          <w:sz w:val="22"/>
          <w:szCs w:val="22"/>
        </w:rPr>
      </w:pPr>
      <w:r w:rsidRPr="00AD340A">
        <w:rPr>
          <w:rFonts w:ascii="Arial" w:hAnsi="Arial" w:cs="Arial"/>
          <w:sz w:val="22"/>
          <w:szCs w:val="22"/>
        </w:rPr>
        <w:t xml:space="preserve">On aging, there are several theories. In 1990, </w:t>
      </w:r>
      <w:proofErr w:type="spellStart"/>
      <w:r w:rsidRPr="00AD340A">
        <w:rPr>
          <w:rFonts w:ascii="Arial" w:hAnsi="Arial" w:cs="Arial"/>
          <w:sz w:val="22"/>
          <w:szCs w:val="22"/>
        </w:rPr>
        <w:t>Mevdevev</w:t>
      </w:r>
      <w:proofErr w:type="spellEnd"/>
      <w:r w:rsidRPr="00AD340A">
        <w:rPr>
          <w:rFonts w:ascii="Arial" w:hAnsi="Arial" w:cs="Arial"/>
          <w:sz w:val="22"/>
          <w:szCs w:val="22"/>
        </w:rPr>
        <w:t xml:space="preserve"> gives an excellent review </w:t>
      </w:r>
      <w:r w:rsidR="00B8008F" w:rsidRPr="00AD340A">
        <w:rPr>
          <w:rFonts w:ascii="Arial" w:hAnsi="Arial" w:cs="Arial"/>
          <w:sz w:val="22"/>
          <w:szCs w:val="22"/>
        </w:rPr>
        <w:t>which states</w:t>
      </w:r>
      <w:r w:rsidRPr="00AD340A">
        <w:rPr>
          <w:rFonts w:ascii="Arial" w:hAnsi="Arial" w:cs="Arial"/>
          <w:sz w:val="22"/>
          <w:szCs w:val="22"/>
        </w:rPr>
        <w:t xml:space="preserve"> that there were more 300 theories of </w:t>
      </w:r>
      <w:proofErr w:type="gramStart"/>
      <w:r w:rsidRPr="00AD340A">
        <w:rPr>
          <w:rFonts w:ascii="Arial" w:hAnsi="Arial" w:cs="Arial"/>
          <w:sz w:val="22"/>
          <w:szCs w:val="22"/>
        </w:rPr>
        <w:t>aging</w:t>
      </w:r>
      <w:proofErr w:type="gramEnd"/>
      <w:r w:rsidRPr="00AD340A">
        <w:rPr>
          <w:rFonts w:ascii="Arial" w:hAnsi="Arial" w:cs="Arial"/>
          <w:sz w:val="22"/>
          <w:szCs w:val="22"/>
        </w:rPr>
        <w:t xml:space="preserve"> and their numbers are enhancing day by day.  Moreover, it is a natural fact that by using new experimental methods and ideas, we are quickly improving our understanding of the natural phenomena that are linked with aging. Many new theories </w:t>
      </w:r>
      <w:proofErr w:type="gramStart"/>
      <w:r w:rsidRPr="00AD340A">
        <w:rPr>
          <w:rFonts w:ascii="Arial" w:hAnsi="Arial" w:cs="Arial"/>
          <w:sz w:val="22"/>
          <w:szCs w:val="22"/>
        </w:rPr>
        <w:t>arises</w:t>
      </w:r>
      <w:proofErr w:type="gramEnd"/>
      <w:r w:rsidRPr="00AD340A">
        <w:rPr>
          <w:rFonts w:ascii="Arial" w:hAnsi="Arial" w:cs="Arial"/>
          <w:sz w:val="22"/>
          <w:szCs w:val="22"/>
        </w:rPr>
        <w:t xml:space="preserve"> on the aging processes and improving the old versions due to discovery in cellular and molecular biology. So, it is becoming very tough to review these theories because of being old fashioned and selective.  Moreover, </w:t>
      </w:r>
      <w:r w:rsidR="00B8008F" w:rsidRPr="00AD340A">
        <w:rPr>
          <w:rFonts w:ascii="Arial" w:hAnsi="Arial" w:cs="Arial"/>
          <w:sz w:val="22"/>
          <w:szCs w:val="22"/>
        </w:rPr>
        <w:t>according</w:t>
      </w:r>
      <w:r w:rsidRPr="00AD340A">
        <w:rPr>
          <w:rFonts w:ascii="Arial" w:hAnsi="Arial" w:cs="Arial"/>
          <w:sz w:val="22"/>
          <w:szCs w:val="22"/>
        </w:rPr>
        <w:t xml:space="preserve"> to the </w:t>
      </w:r>
      <w:proofErr w:type="spellStart"/>
      <w:r w:rsidRPr="00AD340A">
        <w:rPr>
          <w:rFonts w:ascii="Arial" w:hAnsi="Arial" w:cs="Arial"/>
          <w:sz w:val="22"/>
          <w:szCs w:val="22"/>
        </w:rPr>
        <w:t>Vijg</w:t>
      </w:r>
      <w:proofErr w:type="spellEnd"/>
      <w:r w:rsidRPr="00AD340A">
        <w:rPr>
          <w:rFonts w:ascii="Arial" w:hAnsi="Arial" w:cs="Arial"/>
          <w:sz w:val="22"/>
          <w:szCs w:val="22"/>
        </w:rPr>
        <w:t xml:space="preserve"> and </w:t>
      </w:r>
      <w:r w:rsidR="00B8008F" w:rsidRPr="00AD340A">
        <w:rPr>
          <w:rFonts w:ascii="Arial" w:hAnsi="Arial" w:cs="Arial"/>
          <w:sz w:val="22"/>
          <w:szCs w:val="22"/>
        </w:rPr>
        <w:t>Muller posits</w:t>
      </w:r>
      <w:r w:rsidRPr="00AD340A">
        <w:rPr>
          <w:rFonts w:ascii="Arial" w:hAnsi="Arial" w:cs="Arial"/>
          <w:sz w:val="22"/>
          <w:szCs w:val="22"/>
        </w:rPr>
        <w:t xml:space="preserve"> some old hypothesis of aging laid the ground for the big scientific revolution on our understanding of </w:t>
      </w:r>
      <w:proofErr w:type="gramStart"/>
      <w:r w:rsidRPr="00AD340A">
        <w:rPr>
          <w:rFonts w:ascii="Arial" w:hAnsi="Arial" w:cs="Arial"/>
          <w:sz w:val="22"/>
          <w:szCs w:val="22"/>
        </w:rPr>
        <w:t>aging ,</w:t>
      </w:r>
      <w:proofErr w:type="gramEnd"/>
      <w:r w:rsidRPr="00AD340A">
        <w:rPr>
          <w:rFonts w:ascii="Arial" w:hAnsi="Arial" w:cs="Arial"/>
          <w:sz w:val="22"/>
          <w:szCs w:val="22"/>
        </w:rPr>
        <w:t xml:space="preserve"> </w:t>
      </w:r>
      <w:r w:rsidR="00747506" w:rsidRPr="00AD340A">
        <w:rPr>
          <w:rFonts w:ascii="Arial" w:hAnsi="Arial" w:cs="Arial"/>
          <w:sz w:val="22"/>
          <w:szCs w:val="22"/>
        </w:rPr>
        <w:t>occurring</w:t>
      </w:r>
      <w:r w:rsidRPr="00AD340A">
        <w:rPr>
          <w:rFonts w:ascii="Arial" w:hAnsi="Arial" w:cs="Arial"/>
          <w:sz w:val="22"/>
          <w:szCs w:val="22"/>
        </w:rPr>
        <w:t xml:space="preserve"> in our days.  According to authors the expectation of a unified theory including all the phenomena that is linked with ageing is unrealistic at present time. Harman in the 1950’s </w:t>
      </w:r>
      <w:r w:rsidRPr="00AD340A">
        <w:rPr>
          <w:rFonts w:ascii="Arial" w:hAnsi="Arial" w:cs="Arial"/>
          <w:sz w:val="22"/>
          <w:szCs w:val="22"/>
        </w:rPr>
        <w:lastRenderedPageBreak/>
        <w:t>proposed the free radical theory which is among the most dominant theories in ageing phenomenon</w:t>
      </w:r>
      <w:proofErr w:type="gramStart"/>
      <w:r w:rsidRPr="00AD340A">
        <w:rPr>
          <w:rFonts w:ascii="Arial" w:hAnsi="Arial" w:cs="Arial"/>
          <w:sz w:val="22"/>
          <w:szCs w:val="22"/>
        </w:rPr>
        <w:t>. .</w:t>
      </w:r>
      <w:proofErr w:type="gramEnd"/>
      <w:r w:rsidRPr="00AD340A">
        <w:rPr>
          <w:rFonts w:ascii="Arial" w:hAnsi="Arial" w:cs="Arial"/>
          <w:sz w:val="22"/>
          <w:szCs w:val="22"/>
        </w:rPr>
        <w:t xml:space="preserve"> According to Harman ageing theory damage of ageing is caused due to the free radical that are derived from oxygen. Moreover,</w:t>
      </w:r>
      <w:r w:rsidR="00B8008F">
        <w:rPr>
          <w:rFonts w:ascii="Arial" w:hAnsi="Arial" w:cs="Arial"/>
          <w:sz w:val="22"/>
          <w:szCs w:val="22"/>
        </w:rPr>
        <w:t xml:space="preserve"> </w:t>
      </w:r>
      <w:r w:rsidRPr="00AD340A">
        <w:rPr>
          <w:rFonts w:ascii="Arial" w:hAnsi="Arial" w:cs="Arial"/>
          <w:sz w:val="22"/>
          <w:szCs w:val="22"/>
        </w:rPr>
        <w:t xml:space="preserve">according to </w:t>
      </w:r>
      <w:proofErr w:type="spellStart"/>
      <w:r w:rsidRPr="00AD340A">
        <w:rPr>
          <w:rFonts w:ascii="Arial" w:hAnsi="Arial" w:cs="Arial"/>
          <w:sz w:val="22"/>
          <w:szCs w:val="22"/>
        </w:rPr>
        <w:t>Harmans</w:t>
      </w:r>
      <w:proofErr w:type="spellEnd"/>
      <w:r w:rsidRPr="00AD340A">
        <w:rPr>
          <w:rFonts w:ascii="Arial" w:hAnsi="Arial" w:cs="Arial"/>
          <w:sz w:val="22"/>
          <w:szCs w:val="22"/>
        </w:rPr>
        <w:t xml:space="preserve">. antioxidants </w:t>
      </w:r>
      <w:proofErr w:type="gramStart"/>
      <w:r w:rsidR="00B8008F" w:rsidRPr="00AD340A">
        <w:rPr>
          <w:rFonts w:ascii="Arial" w:hAnsi="Arial" w:cs="Arial"/>
          <w:sz w:val="22"/>
          <w:szCs w:val="22"/>
        </w:rPr>
        <w:t>system</w:t>
      </w:r>
      <w:proofErr w:type="gramEnd"/>
      <w:r w:rsidRPr="00AD340A">
        <w:rPr>
          <w:rFonts w:ascii="Arial" w:hAnsi="Arial" w:cs="Arial"/>
          <w:sz w:val="22"/>
          <w:szCs w:val="22"/>
        </w:rPr>
        <w:t xml:space="preserve"> are unable to free radicals counterbalance continuously produced during the cell life.</w:t>
      </w:r>
    </w:p>
    <w:p w14:paraId="6540F108" w14:textId="57A25E20" w:rsidR="00F42215" w:rsidRPr="00AD340A" w:rsidRDefault="00F42215" w:rsidP="00F42215">
      <w:pPr>
        <w:autoSpaceDE w:val="0"/>
        <w:autoSpaceDN w:val="0"/>
        <w:adjustRightInd w:val="0"/>
        <w:spacing w:after="200" w:line="360" w:lineRule="auto"/>
        <w:ind w:firstLine="360"/>
        <w:jc w:val="both"/>
        <w:rPr>
          <w:rFonts w:ascii="Arial" w:hAnsi="Arial" w:cs="Arial"/>
          <w:sz w:val="22"/>
          <w:szCs w:val="22"/>
        </w:rPr>
      </w:pPr>
      <w:r w:rsidRPr="00AD340A">
        <w:rPr>
          <w:rFonts w:ascii="Arial" w:hAnsi="Arial" w:cs="Arial"/>
          <w:sz w:val="22"/>
          <w:szCs w:val="22"/>
        </w:rPr>
        <w:t xml:space="preserve">Although, in many </w:t>
      </w:r>
      <w:proofErr w:type="gramStart"/>
      <w:r w:rsidRPr="00AD340A">
        <w:rPr>
          <w:rFonts w:ascii="Arial" w:hAnsi="Arial" w:cs="Arial"/>
          <w:sz w:val="22"/>
          <w:szCs w:val="22"/>
        </w:rPr>
        <w:t>European,,</w:t>
      </w:r>
      <w:proofErr w:type="gramEnd"/>
      <w:r w:rsidRPr="00AD340A">
        <w:rPr>
          <w:rFonts w:ascii="Arial" w:hAnsi="Arial" w:cs="Arial"/>
          <w:sz w:val="22"/>
          <w:szCs w:val="22"/>
        </w:rPr>
        <w:t xml:space="preserve"> within fifteen years a quarter or more of the population   countries will be aged 65 and over by 2050 and it is highly probable that those aged 80 years and over will constitute at least one in ten of the population in all the European countries including Germany, Britain, Italy, Spain and France. In UK, the first demographic transition includes a shift from relatively high to low fertility was set in motion towards the end of the 19</w:t>
      </w:r>
      <w:r w:rsidRPr="00AD340A">
        <w:rPr>
          <w:rFonts w:ascii="Arial" w:hAnsi="Arial" w:cs="Arial"/>
          <w:sz w:val="22"/>
          <w:szCs w:val="22"/>
          <w:vertAlign w:val="superscript"/>
        </w:rPr>
        <w:t>th</w:t>
      </w:r>
      <w:r w:rsidRPr="00AD340A">
        <w:rPr>
          <w:rFonts w:ascii="Arial" w:hAnsi="Arial" w:cs="Arial"/>
          <w:sz w:val="22"/>
          <w:szCs w:val="22"/>
        </w:rPr>
        <w:t xml:space="preserve"> century which results in ageing in population in the first half of the twentieth century. In Wales and England, the proportion of population aged 65 years and over doubled from 5% to 10% between 1901 and 1941 (Keeley, 2020). However</w:t>
      </w:r>
      <w:proofErr w:type="gramStart"/>
      <w:r w:rsidRPr="00AD340A">
        <w:rPr>
          <w:rFonts w:ascii="Arial" w:hAnsi="Arial" w:cs="Arial"/>
          <w:sz w:val="22"/>
          <w:szCs w:val="22"/>
        </w:rPr>
        <w:t>, .the</w:t>
      </w:r>
      <w:proofErr w:type="gramEnd"/>
      <w:r w:rsidRPr="00AD340A">
        <w:rPr>
          <w:rFonts w:ascii="Arial" w:hAnsi="Arial" w:cs="Arial"/>
          <w:sz w:val="22"/>
          <w:szCs w:val="22"/>
        </w:rPr>
        <w:t xml:space="preserve"> population of ageing is increasing due to improvements in the mortality.  In developed </w:t>
      </w:r>
      <w:r w:rsidR="00B8008F" w:rsidRPr="00AD340A">
        <w:rPr>
          <w:rFonts w:ascii="Arial" w:hAnsi="Arial" w:cs="Arial"/>
          <w:sz w:val="22"/>
          <w:szCs w:val="22"/>
        </w:rPr>
        <w:t>countries, due</w:t>
      </w:r>
      <w:r w:rsidRPr="00AD340A">
        <w:rPr>
          <w:rFonts w:ascii="Arial" w:hAnsi="Arial" w:cs="Arial"/>
          <w:sz w:val="22"/>
          <w:szCs w:val="22"/>
        </w:rPr>
        <w:t xml:space="preserve"> to improving survival beyond the age of 65, most deaths at older ages and reductions in the overall level of reducing </w:t>
      </w:r>
      <w:proofErr w:type="gramStart"/>
      <w:r w:rsidRPr="00AD340A">
        <w:rPr>
          <w:rFonts w:ascii="Arial" w:hAnsi="Arial" w:cs="Arial"/>
          <w:sz w:val="22"/>
          <w:szCs w:val="22"/>
        </w:rPr>
        <w:t>mortality  are</w:t>
      </w:r>
      <w:proofErr w:type="gramEnd"/>
      <w:r w:rsidRPr="00AD340A">
        <w:rPr>
          <w:rFonts w:ascii="Arial" w:hAnsi="Arial" w:cs="Arial"/>
          <w:sz w:val="22"/>
          <w:szCs w:val="22"/>
        </w:rPr>
        <w:t xml:space="preserve"> being achieved. In England and Wales these improvements have been considerable and life expectancy of male at the age of 65 years increased by less than two years between 1901 and 1971 (from 10.1 to 11.9 years) but then by over four years between 1971 to 2001 (to 16). And for women, over the century, gains were more evenly spread with nearly six years </w:t>
      </w:r>
      <w:proofErr w:type="gramStart"/>
      <w:r w:rsidRPr="00AD340A">
        <w:rPr>
          <w:rFonts w:ascii="Arial" w:hAnsi="Arial" w:cs="Arial"/>
          <w:sz w:val="22"/>
          <w:szCs w:val="22"/>
        </w:rPr>
        <w:t>increase  between</w:t>
      </w:r>
      <w:proofErr w:type="gramEnd"/>
      <w:r w:rsidRPr="00AD340A">
        <w:rPr>
          <w:rFonts w:ascii="Arial" w:hAnsi="Arial" w:cs="Arial"/>
          <w:sz w:val="22"/>
          <w:szCs w:val="22"/>
        </w:rPr>
        <w:t xml:space="preserve"> 1901 and 1971 (from 11.1 to 15.8) and a further gain of just over three years (to 19.1) over the next three decades.</w:t>
      </w:r>
    </w:p>
    <w:p w14:paraId="076BAA62" w14:textId="6445CD0F"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r w:rsidRPr="00AD340A">
        <w:rPr>
          <w:rFonts w:ascii="Arial" w:hAnsi="Arial" w:cs="Arial"/>
          <w:sz w:val="22"/>
          <w:szCs w:val="22"/>
        </w:rPr>
        <w:t xml:space="preserve">The </w:t>
      </w:r>
      <w:r w:rsidR="00747506" w:rsidRPr="00AD340A">
        <w:rPr>
          <w:rFonts w:ascii="Arial" w:hAnsi="Arial" w:cs="Arial"/>
          <w:sz w:val="22"/>
          <w:szCs w:val="22"/>
        </w:rPr>
        <w:t>pandemic</w:t>
      </w:r>
      <w:r w:rsidRPr="00AD340A">
        <w:rPr>
          <w:rFonts w:ascii="Arial" w:hAnsi="Arial" w:cs="Arial"/>
          <w:sz w:val="22"/>
          <w:szCs w:val="22"/>
        </w:rPr>
        <w:t xml:space="preserve"> COVID-19  has hugely affected the routine lives of people, and older people hear the messages that their exposure to the pandemic can increase their vulnerability. </w:t>
      </w:r>
      <w:proofErr w:type="gramStart"/>
      <w:r w:rsidRPr="00AD340A">
        <w:rPr>
          <w:rFonts w:ascii="Arial" w:hAnsi="Arial" w:cs="Arial"/>
          <w:sz w:val="22"/>
          <w:szCs w:val="22"/>
        </w:rPr>
        <w:t>Thus</w:t>
      </w:r>
      <w:proofErr w:type="gramEnd"/>
      <w:r w:rsidRPr="00AD340A">
        <w:rPr>
          <w:rFonts w:ascii="Arial" w:hAnsi="Arial" w:cs="Arial"/>
          <w:sz w:val="22"/>
          <w:szCs w:val="22"/>
        </w:rPr>
        <w:t xml:space="preserve"> they have become more anxious regarding leaving their houses. Moreover, they also fear that the public is not following the protocol to contain the pandemic spread. Thus, they have apprehension of contracting COVID-19 and falling ill or dying. The UK's older population is facing a double-edged sword by restricting themselves to their houses and combating confinement, isolation, and loneliness (Age UK and Kantar, 2020). The study by Martins </w:t>
      </w:r>
      <w:proofErr w:type="gramStart"/>
      <w:r w:rsidRPr="00AD340A">
        <w:rPr>
          <w:rFonts w:ascii="Arial" w:hAnsi="Arial" w:cs="Arial"/>
          <w:sz w:val="22"/>
          <w:szCs w:val="22"/>
        </w:rPr>
        <w:t>Van</w:t>
      </w:r>
      <w:proofErr w:type="gramEnd"/>
      <w:r w:rsidRPr="00AD340A">
        <w:rPr>
          <w:rFonts w:ascii="Arial" w:hAnsi="Arial" w:cs="Arial"/>
          <w:sz w:val="22"/>
          <w:szCs w:val="22"/>
        </w:rPr>
        <w:t xml:space="preserve"> Jaarsveld (2020) finds that widespread lockdown and following the prevention-related guidelines have resulted in the isolation of people, effects on the global economy, and limited access to healthcare providers for physical and mental health. However, older adults face the worst effects of virus and lockdown measures.</w:t>
      </w:r>
    </w:p>
    <w:p w14:paraId="48742959"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r w:rsidRPr="00AD340A">
        <w:rPr>
          <w:rFonts w:ascii="Arial" w:hAnsi="Arial" w:cs="Arial"/>
          <w:sz w:val="22"/>
          <w:szCs w:val="22"/>
        </w:rPr>
        <w:t xml:space="preserve">Moreover, the study argues that older adults are least benefitted from the prevailing technological advancement and digital solution during the pandemic. There exists a long-lasting inequality for the access and skills to use new technology due to the age-based digital divide. </w:t>
      </w:r>
      <w:r w:rsidRPr="00AD340A">
        <w:rPr>
          <w:rFonts w:ascii="Arial" w:hAnsi="Arial" w:cs="Arial"/>
          <w:sz w:val="22"/>
          <w:szCs w:val="22"/>
        </w:rPr>
        <w:lastRenderedPageBreak/>
        <w:t xml:space="preserve">This technology-based divide is not new, and during the pandemic, it has exacerbated the older people to suffer from the impact of the crisis. The study finds that older people cannot utilize the digital tools and techniques that are fundamentally set to get help. Moreover, older people's exercise routine is disrupted, and isolation affects their wellbeing. CDC (2020) reports that </w:t>
      </w:r>
      <w:proofErr w:type="gramStart"/>
      <w:r w:rsidRPr="00AD340A">
        <w:rPr>
          <w:rFonts w:ascii="Arial" w:hAnsi="Arial" w:cs="Arial"/>
          <w:sz w:val="22"/>
          <w:szCs w:val="22"/>
        </w:rPr>
        <w:t>~  due</w:t>
      </w:r>
      <w:proofErr w:type="gramEnd"/>
      <w:r w:rsidRPr="00AD340A">
        <w:rPr>
          <w:rFonts w:ascii="Arial" w:hAnsi="Arial" w:cs="Arial"/>
          <w:sz w:val="22"/>
          <w:szCs w:val="22"/>
        </w:rPr>
        <w:t xml:space="preserve"> to COVID-19 infection, 80% of deaths are observed in people above the 65 age.</w:t>
      </w:r>
    </w:p>
    <w:p w14:paraId="2B631A91"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p>
    <w:p w14:paraId="13FF0159"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r w:rsidRPr="00AD340A">
        <w:rPr>
          <w:rFonts w:ascii="Arial" w:hAnsi="Arial" w:cs="Arial"/>
          <w:sz w:val="22"/>
          <w:szCs w:val="22"/>
        </w:rPr>
        <w:t xml:space="preserve">Roberts (2020) and CDC (2020) observe that the lockdown restrictions for older people in the UK are more profound because of their vulnerability to the disease. Moreover, they believe that the side effects of the pandemic are likely too high in the following months. The study by Shankar et al. (2015) suggests that when there are immense and noticeable restrictions in a routine life, these cases are observed using digital tools and ways as a source to combat the adverse outcomes of the circumstance. The study finds that social isolation and loneliness affects the older population and their </w:t>
      </w:r>
      <w:proofErr w:type="gramStart"/>
      <w:r w:rsidRPr="00AD340A">
        <w:rPr>
          <w:rFonts w:ascii="Arial" w:hAnsi="Arial" w:cs="Arial"/>
          <w:sz w:val="22"/>
          <w:szCs w:val="22"/>
        </w:rPr>
        <w:t>wellbeing</w:t>
      </w:r>
      <w:proofErr w:type="gramEnd"/>
      <w:r w:rsidRPr="00AD340A">
        <w:rPr>
          <w:rFonts w:ascii="Arial" w:hAnsi="Arial" w:cs="Arial"/>
          <w:sz w:val="22"/>
          <w:szCs w:val="22"/>
        </w:rPr>
        <w:t xml:space="preserve"> and the magnitude of this effect is very high compared to adults. Moreover, the findings of Armitage and </w:t>
      </w:r>
      <w:proofErr w:type="spellStart"/>
      <w:r w:rsidRPr="00AD340A">
        <w:rPr>
          <w:rFonts w:ascii="Arial" w:hAnsi="Arial" w:cs="Arial"/>
          <w:sz w:val="22"/>
          <w:szCs w:val="22"/>
        </w:rPr>
        <w:t>Nellums</w:t>
      </w:r>
      <w:proofErr w:type="spellEnd"/>
      <w:r w:rsidRPr="00AD340A">
        <w:rPr>
          <w:rFonts w:ascii="Arial" w:hAnsi="Arial" w:cs="Arial"/>
          <w:sz w:val="22"/>
          <w:szCs w:val="22"/>
        </w:rPr>
        <w:t xml:space="preserve"> (2020) also support the argument that social isolation leads to loneliness, and this factor has a crucial role in triggering depression among older people.</w:t>
      </w:r>
    </w:p>
    <w:p w14:paraId="38E3708D"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p>
    <w:p w14:paraId="08619410" w14:textId="6FBCA966"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r w:rsidRPr="00AD340A">
        <w:rPr>
          <w:rFonts w:ascii="Arial" w:hAnsi="Arial" w:cs="Arial"/>
          <w:sz w:val="22"/>
          <w:szCs w:val="22"/>
        </w:rPr>
        <w:t xml:space="preserve">The study determines that isolation, loneliness, and depression have worsened older people's illnesses. Furthermore, the study finds that depression and other mental ailments </w:t>
      </w:r>
      <w:proofErr w:type="gramStart"/>
      <w:r w:rsidRPr="00AD340A">
        <w:rPr>
          <w:rFonts w:ascii="Arial" w:hAnsi="Arial" w:cs="Arial"/>
          <w:sz w:val="22"/>
          <w:szCs w:val="22"/>
        </w:rPr>
        <w:t>are connected with</w:t>
      </w:r>
      <w:proofErr w:type="gramEnd"/>
      <w:r w:rsidRPr="00AD340A">
        <w:rPr>
          <w:rFonts w:ascii="Arial" w:hAnsi="Arial" w:cs="Arial"/>
          <w:sz w:val="22"/>
          <w:szCs w:val="22"/>
        </w:rPr>
        <w:t xml:space="preserve"> increased mortality rates in all populations, particularly in people over 65 years of age (Armitage and </w:t>
      </w:r>
      <w:proofErr w:type="spellStart"/>
      <w:r w:rsidRPr="00AD340A">
        <w:rPr>
          <w:rFonts w:ascii="Arial" w:hAnsi="Arial" w:cs="Arial"/>
          <w:sz w:val="22"/>
          <w:szCs w:val="22"/>
        </w:rPr>
        <w:t>Nellums</w:t>
      </w:r>
      <w:proofErr w:type="spellEnd"/>
      <w:r w:rsidRPr="00AD340A">
        <w:rPr>
          <w:rFonts w:ascii="Arial" w:hAnsi="Arial" w:cs="Arial"/>
          <w:sz w:val="22"/>
          <w:szCs w:val="22"/>
        </w:rPr>
        <w:t xml:space="preserve">, 2020). The </w:t>
      </w:r>
      <w:r w:rsidR="00747506" w:rsidRPr="00AD340A">
        <w:rPr>
          <w:rFonts w:ascii="Arial" w:hAnsi="Arial" w:cs="Arial"/>
          <w:sz w:val="22"/>
          <w:szCs w:val="22"/>
        </w:rPr>
        <w:t>health’s</w:t>
      </w:r>
      <w:r w:rsidRPr="00AD340A">
        <w:rPr>
          <w:rFonts w:ascii="Arial" w:hAnsi="Arial" w:cs="Arial"/>
          <w:sz w:val="22"/>
          <w:szCs w:val="22"/>
        </w:rPr>
        <w:t xml:space="preserve"> inequalities are observed exacerbating, and this is experienced worsen by the older people. Older populations with unfavourable socioeconomic backgrounds are severely affected physically and mentally. Older people describe their circumstances of having no place such as a garden or a likewise place, and above all, financial worries face the lockdown as a considerable challenge. The survey determines that compared to privileged older people, the older population having disadvantaged socioeconomic backgrounds are observed with declined health during the COVID-19 pandemic (Age UK, 2020).</w:t>
      </w:r>
    </w:p>
    <w:p w14:paraId="2279DE31"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p>
    <w:p w14:paraId="384DB001"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r w:rsidRPr="00AD340A">
        <w:rPr>
          <w:rFonts w:ascii="Arial" w:hAnsi="Arial" w:cs="Arial"/>
          <w:sz w:val="22"/>
          <w:szCs w:val="22"/>
        </w:rPr>
        <w:t xml:space="preserve">Age UK and Kantar (online polling) and Office for National Statics (June 2020) explain that most of the population has moved their routine and lives online; however, 4 million people above 65 years of age have never used the internet in their lives and are unfamiliar to video chat with their friends and family. </w:t>
      </w:r>
      <w:proofErr w:type="gramStart"/>
      <w:r w:rsidRPr="00AD340A">
        <w:rPr>
          <w:rFonts w:ascii="Arial" w:hAnsi="Arial" w:cs="Arial"/>
          <w:sz w:val="22"/>
          <w:szCs w:val="22"/>
        </w:rPr>
        <w:t>Thus</w:t>
      </w:r>
      <w:proofErr w:type="gramEnd"/>
      <w:r w:rsidRPr="00AD340A">
        <w:rPr>
          <w:rFonts w:ascii="Arial" w:hAnsi="Arial" w:cs="Arial"/>
          <w:sz w:val="22"/>
          <w:szCs w:val="22"/>
        </w:rPr>
        <w:t xml:space="preserve"> during the pandemic, when older people do not get a chance to speak to anyone for days, they feel neglected, forgotten, and unloved. They also worry about their relationship with their grandchildren and other family members, which increase their suffering. </w:t>
      </w:r>
      <w:r w:rsidRPr="00AD340A">
        <w:rPr>
          <w:rFonts w:ascii="Arial" w:hAnsi="Arial" w:cs="Arial"/>
          <w:sz w:val="22"/>
          <w:szCs w:val="22"/>
        </w:rPr>
        <w:lastRenderedPageBreak/>
        <w:t xml:space="preserve">This is observed higher for those who are in their </w:t>
      </w:r>
      <w:proofErr w:type="gramStart"/>
      <w:r w:rsidRPr="00AD340A">
        <w:rPr>
          <w:rFonts w:ascii="Arial" w:hAnsi="Arial" w:cs="Arial"/>
          <w:sz w:val="22"/>
          <w:szCs w:val="22"/>
        </w:rPr>
        <w:t>end of life</w:t>
      </w:r>
      <w:proofErr w:type="gramEnd"/>
      <w:r w:rsidRPr="00AD340A">
        <w:rPr>
          <w:rFonts w:ascii="Arial" w:hAnsi="Arial" w:cs="Arial"/>
          <w:sz w:val="22"/>
          <w:szCs w:val="22"/>
        </w:rPr>
        <w:t xml:space="preserve"> days, and they fear that they will spend their last months away from their loved ones and in loneliness. Moreover, the findings indicate that older people are at a higher risk of chronic illness or death due to the pandemic.</w:t>
      </w:r>
    </w:p>
    <w:p w14:paraId="1765E4AB" w14:textId="0AB175F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r w:rsidRPr="00AD340A">
        <w:rPr>
          <w:rFonts w:ascii="Arial" w:hAnsi="Arial" w:cs="Arial"/>
          <w:sz w:val="22"/>
          <w:szCs w:val="22"/>
        </w:rPr>
        <w:t xml:space="preserve">Health inequalities also lead to obesity, diabetes, and heart diseases, leading to the worst consequences due to COVID-19 virus infection.  Economic and Social-based inequalities </w:t>
      </w:r>
      <w:r w:rsidR="007D3802" w:rsidRPr="00AD340A">
        <w:rPr>
          <w:rFonts w:ascii="Arial" w:hAnsi="Arial" w:cs="Arial"/>
          <w:sz w:val="22"/>
          <w:szCs w:val="22"/>
        </w:rPr>
        <w:t>cause</w:t>
      </w:r>
      <w:r w:rsidRPr="00AD340A">
        <w:rPr>
          <w:rFonts w:ascii="Arial" w:hAnsi="Arial" w:cs="Arial"/>
          <w:sz w:val="22"/>
          <w:szCs w:val="22"/>
        </w:rPr>
        <w:t xml:space="preserve"> the health inequalities among the older population. (Age UK and Kantar (online polling). The older people are the segment of the population who are observed highly vulnerable during the COVID-19 because of their weaker immune systems and increased probability of chronic illness such as diabetes, heart and lungs diseases, and cancer. Any or few of these diseases lead to the risk of accelerating complications from COVID-19. The impact of the pandemic is noted high for nursing homes of the UK. The death rate is observed much higher in nursing homes, which is for infections cases. It is measured that nearly half of the deaths due to COVID-</w:t>
      </w:r>
      <w:proofErr w:type="gramStart"/>
      <w:r w:rsidRPr="00AD340A">
        <w:rPr>
          <w:rFonts w:ascii="Arial" w:hAnsi="Arial" w:cs="Arial"/>
          <w:sz w:val="22"/>
          <w:szCs w:val="22"/>
        </w:rPr>
        <w:t>19  have</w:t>
      </w:r>
      <w:proofErr w:type="gramEnd"/>
      <w:r w:rsidRPr="00AD340A">
        <w:rPr>
          <w:rFonts w:ascii="Arial" w:hAnsi="Arial" w:cs="Arial"/>
          <w:sz w:val="22"/>
          <w:szCs w:val="22"/>
        </w:rPr>
        <w:t xml:space="preserve"> occurred in care homes (NCHS., 2020).</w:t>
      </w:r>
    </w:p>
    <w:p w14:paraId="3B02207B"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p>
    <w:p w14:paraId="5BA4D68A" w14:textId="41F71072"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r w:rsidRPr="00AD340A">
        <w:rPr>
          <w:rFonts w:ascii="Arial" w:hAnsi="Arial" w:cs="Arial"/>
          <w:sz w:val="22"/>
          <w:szCs w:val="22"/>
        </w:rPr>
        <w:t xml:space="preserve">The report by Public Health Care (2020) indicates that 80 years old or above who contracted the virus can die 70 times higher than 40-year-old people or young adults. </w:t>
      </w:r>
      <w:r w:rsidR="007D3802" w:rsidRPr="00AD340A">
        <w:rPr>
          <w:rFonts w:ascii="Arial" w:hAnsi="Arial" w:cs="Arial"/>
          <w:sz w:val="22"/>
          <w:szCs w:val="22"/>
        </w:rPr>
        <w:t>Thus,</w:t>
      </w:r>
      <w:r w:rsidRPr="00AD340A">
        <w:rPr>
          <w:rFonts w:ascii="Arial" w:hAnsi="Arial" w:cs="Arial"/>
          <w:sz w:val="22"/>
          <w:szCs w:val="22"/>
        </w:rPr>
        <w:t xml:space="preserve"> the pandemic has particularly </w:t>
      </w:r>
      <w:proofErr w:type="gramStart"/>
      <w:r w:rsidRPr="00AD340A">
        <w:rPr>
          <w:rFonts w:ascii="Arial" w:hAnsi="Arial" w:cs="Arial"/>
          <w:sz w:val="22"/>
          <w:szCs w:val="22"/>
        </w:rPr>
        <w:t>scourge</w:t>
      </w:r>
      <w:proofErr w:type="gramEnd"/>
      <w:r w:rsidRPr="00AD340A">
        <w:rPr>
          <w:rFonts w:ascii="Arial" w:hAnsi="Arial" w:cs="Arial"/>
          <w:sz w:val="22"/>
          <w:szCs w:val="22"/>
        </w:rPr>
        <w:t xml:space="preserve"> the health of older people. The brutality of the pandemic is evident for older population death before vaccination from the charts laid out the susceptibility. Thus, it arranges to safeguard the significant older adults, particularly those with other chronic illnesses. The UK social care sector remained the critical source of healthcare provision to the older population during the pandemic (The King’s Fund, 2020). The social care requested during the pandemic is observed 70% received from older people.</w:t>
      </w:r>
    </w:p>
    <w:p w14:paraId="5DC74D63"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p>
    <w:p w14:paraId="41F0C653"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r w:rsidRPr="00AD340A">
        <w:rPr>
          <w:rFonts w:ascii="Arial" w:hAnsi="Arial" w:cs="Arial"/>
          <w:sz w:val="22"/>
          <w:szCs w:val="22"/>
        </w:rPr>
        <w:t>Social care is provided in a setting like communal homes where older adults reside. The staff that comes from outside take care of the older people that live there and there is a continuous visitor stream. Hence the susceptibility to infection increases since the virus transmits by humans’ mutual contact. There are also structural issues relating to social care's financial and human resources. Even before the pandemic occurred, these issues were already found in older people's own homes and care homes. However, before the pandemic, these problems were not visible even for care homes, and after the pandemic hit, at least these issues came into the spotlight (The King’s Fund, 2020).</w:t>
      </w:r>
    </w:p>
    <w:p w14:paraId="4CF5458E"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p>
    <w:p w14:paraId="787A2589" w14:textId="3AADA58F"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r w:rsidRPr="00AD340A">
        <w:rPr>
          <w:rFonts w:ascii="Arial" w:hAnsi="Arial" w:cs="Arial"/>
          <w:sz w:val="22"/>
          <w:szCs w:val="22"/>
        </w:rPr>
        <w:t>Propper et al. (2020) discuss the findings of the English study of Aging that reveal that people above 50 age</w:t>
      </w:r>
      <w:r w:rsidR="00EE42FA">
        <w:rPr>
          <w:rFonts w:ascii="Arial" w:hAnsi="Arial" w:cs="Arial"/>
          <w:sz w:val="22"/>
          <w:szCs w:val="22"/>
        </w:rPr>
        <w:t>d</w:t>
      </w:r>
      <w:r w:rsidRPr="00AD340A">
        <w:rPr>
          <w:rFonts w:ascii="Arial" w:hAnsi="Arial" w:cs="Arial"/>
          <w:sz w:val="22"/>
          <w:szCs w:val="22"/>
        </w:rPr>
        <w:t xml:space="preserve"> were unable to receive the healthcare services in the initial stage of the COVID-</w:t>
      </w:r>
      <w:r w:rsidRPr="00AD340A">
        <w:rPr>
          <w:rFonts w:ascii="Arial" w:hAnsi="Arial" w:cs="Arial"/>
          <w:sz w:val="22"/>
          <w:szCs w:val="22"/>
        </w:rPr>
        <w:lastRenderedPageBreak/>
        <w:t>19 spread in the country. A 6</w:t>
      </w:r>
      <w:r w:rsidRPr="00AD340A">
        <w:rPr>
          <w:rFonts w:ascii="Arial" w:hAnsi="Arial" w:cs="Arial"/>
          <w:sz w:val="22"/>
          <w:szCs w:val="22"/>
          <w:vertAlign w:val="superscript"/>
        </w:rPr>
        <w:t>th</w:t>
      </w:r>
      <w:r w:rsidRPr="00AD340A">
        <w:rPr>
          <w:rFonts w:ascii="Arial" w:hAnsi="Arial" w:cs="Arial"/>
          <w:sz w:val="22"/>
          <w:szCs w:val="22"/>
        </w:rPr>
        <w:t xml:space="preserve"> of the total older population reported the treatment cancellations by the hospitals, and one among ten complained that they were unable to get information on their GP provision. Moreover, the community and social care provision remained highly disrupted, severely affecting the older population living in unprivileged areas and with underlying health. </w:t>
      </w:r>
      <w:proofErr w:type="gramStart"/>
      <w:r w:rsidRPr="00AD340A">
        <w:rPr>
          <w:rFonts w:ascii="Arial" w:hAnsi="Arial" w:cs="Arial"/>
          <w:sz w:val="22"/>
          <w:szCs w:val="22"/>
        </w:rPr>
        <w:t>Thus</w:t>
      </w:r>
      <w:proofErr w:type="gramEnd"/>
      <w:r w:rsidRPr="00AD340A">
        <w:rPr>
          <w:rFonts w:ascii="Arial" w:hAnsi="Arial" w:cs="Arial"/>
          <w:sz w:val="22"/>
          <w:szCs w:val="22"/>
        </w:rPr>
        <w:t xml:space="preserve"> the disproportionality of healthcare service provision is observed higher for these two groups where the individuals are in higher need of receiving healthcare service in the first place. These individuals are least likely to manage with any other type of temporary or substitute care or manage entirely without any care during this period.</w:t>
      </w:r>
    </w:p>
    <w:p w14:paraId="00FEE785"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p>
    <w:p w14:paraId="4E047869"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r w:rsidRPr="00AD340A">
        <w:rPr>
          <w:rFonts w:ascii="Arial" w:hAnsi="Arial" w:cs="Arial"/>
          <w:sz w:val="22"/>
          <w:szCs w:val="22"/>
        </w:rPr>
        <w:t>Office for National Statistics (2021) reports that the healthcare services in the country are slowly retaining their pre-pandemic capacity; however, a significant backlog relating to the provision of healthcare needs to be worked through. The report anticipates that the long-lasting health-based inequalities will probably exacerbate in the coming years. These deficiencies underline the need to enhance the capacity to promptly address the backlogs in healthcare provision to the older population. The report also determines that older people are more likely to use hospital services than young adults, and hospital cancellations have been observed higher for heavy users. Moreover, the older population residing in more deprived localities and those with serious health issues based on self-reporting have more chances to experience a disrupted healthcare provision by the hospital. The disruption of community services is found severe for unprivileged areas, and regardless of the older people's attempts to obtain service, they could not access these services.</w:t>
      </w:r>
    </w:p>
    <w:p w14:paraId="1C8C3C99"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p>
    <w:p w14:paraId="4AFD8077"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r w:rsidRPr="00AD340A">
        <w:rPr>
          <w:rFonts w:ascii="Arial" w:hAnsi="Arial" w:cs="Arial"/>
          <w:sz w:val="22"/>
          <w:szCs w:val="22"/>
        </w:rPr>
        <w:t>The COVID-19 pandemic has taken a heavy toll on the social care sector, which was already facing significant pressure. The social care sector is more focused on providing care to the older population at a higher risk of death due to COVID-19 infection. However, compared to NHS, Social care is observed with a less prominent voice in government at the initial stage of COVID-19 spread. NHS has preparedness for the resurgence of COVID-19 during the winter, and they have taken necessary measures to meet the demand for health care services. Moreover, NHS 111 providers ensure safe and effective care service delivery. Furthermore, the NHS has continued hiring staff and giving them necessary training to meet demand. The people seeking NHS help through calls are offered to book a time slot in the emergency unit (Cqc.org.uk, 2020).</w:t>
      </w:r>
    </w:p>
    <w:p w14:paraId="7A36289F"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p>
    <w:p w14:paraId="0AC16256"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r w:rsidRPr="00AD340A">
        <w:rPr>
          <w:rFonts w:ascii="Arial" w:hAnsi="Arial" w:cs="Arial"/>
          <w:sz w:val="22"/>
          <w:szCs w:val="22"/>
        </w:rPr>
        <w:t xml:space="preserve">However, the discharge of older people from NHS hospitals at the start of the pandemic and transferring them to care homes without conducting tests for the COVID-19 virus resulted in the </w:t>
      </w:r>
      <w:r w:rsidRPr="00AD340A">
        <w:rPr>
          <w:rFonts w:ascii="Arial" w:hAnsi="Arial" w:cs="Arial"/>
          <w:sz w:val="22"/>
          <w:szCs w:val="22"/>
        </w:rPr>
        <w:lastRenderedPageBreak/>
        <w:t xml:space="preserve">spread of infection in care homes. Therefore, the surge of infected patients is higher for the older population. Moreover, this risk was not measured at the initial stage that workers entering the care homes can also contribute to accelerating the infection cases. The social care at the beginning of the pandemic was also inadequate, and there was a lack in availability of the testing facility. </w:t>
      </w:r>
      <w:proofErr w:type="gramStart"/>
      <w:r w:rsidRPr="00AD340A">
        <w:rPr>
          <w:rFonts w:ascii="Arial" w:hAnsi="Arial" w:cs="Arial"/>
          <w:sz w:val="22"/>
          <w:szCs w:val="22"/>
        </w:rPr>
        <w:t>Thus</w:t>
      </w:r>
      <w:proofErr w:type="gramEnd"/>
      <w:r w:rsidRPr="00AD340A">
        <w:rPr>
          <w:rFonts w:ascii="Arial" w:hAnsi="Arial" w:cs="Arial"/>
          <w:sz w:val="22"/>
          <w:szCs w:val="22"/>
        </w:rPr>
        <w:t xml:space="preserve"> the degree of infection spread from each transmission route could not be wholly realized. Moreover, the hospitals and all healthcare services could not maintain the highest level of containing the infection spread in all areas, which mainly affected the older population (National Audit Office. 2020).</w:t>
      </w:r>
    </w:p>
    <w:p w14:paraId="37E63969"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p>
    <w:p w14:paraId="16354584" w14:textId="6D6C08F4"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r w:rsidRPr="00AD340A">
        <w:rPr>
          <w:rFonts w:ascii="Arial" w:hAnsi="Arial" w:cs="Arial"/>
          <w:sz w:val="22"/>
          <w:szCs w:val="22"/>
        </w:rPr>
        <w:t xml:space="preserve"> The pandemic </w:t>
      </w:r>
      <w:r w:rsidR="00747506" w:rsidRPr="00AD340A">
        <w:rPr>
          <w:rFonts w:ascii="Arial" w:hAnsi="Arial" w:cs="Arial"/>
          <w:sz w:val="22"/>
          <w:szCs w:val="22"/>
        </w:rPr>
        <w:t>severely</w:t>
      </w:r>
      <w:r w:rsidRPr="00AD340A">
        <w:rPr>
          <w:rFonts w:ascii="Arial" w:hAnsi="Arial" w:cs="Arial"/>
          <w:sz w:val="22"/>
          <w:szCs w:val="22"/>
        </w:rPr>
        <w:t xml:space="preserve"> </w:t>
      </w:r>
      <w:proofErr w:type="gramStart"/>
      <w:r w:rsidRPr="00AD340A">
        <w:rPr>
          <w:rFonts w:ascii="Arial" w:hAnsi="Arial" w:cs="Arial"/>
          <w:sz w:val="22"/>
          <w:szCs w:val="22"/>
        </w:rPr>
        <w:t>affect</w:t>
      </w:r>
      <w:proofErr w:type="gramEnd"/>
      <w:r w:rsidRPr="00AD340A">
        <w:rPr>
          <w:rFonts w:ascii="Arial" w:hAnsi="Arial" w:cs="Arial"/>
          <w:sz w:val="22"/>
          <w:szCs w:val="22"/>
        </w:rPr>
        <w:t xml:space="preserve"> the older people and have more mental, physical health issues and social problems due to lockdown measures. The older population is observed obtaining no benefits from technological advancement in isolation due to the digital divide. The impact of the digital divide relating to age is observed higher during the pandemic. Moreover, older people living in communal homes or care homes and surviving on healthcare services provided by the government are more vulnerable during the pandemic than young adults. Furthermore, the older population living in deprived areas is more affected by the pandemic than those living in privileged areas due to the disruption of healthcare services. Additionally, the pandemic worsening effects are also observed for older people due to their weak immune system and other associated diseases.</w:t>
      </w:r>
    </w:p>
    <w:p w14:paraId="14B8A0AA"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p>
    <w:p w14:paraId="09F846B8"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r w:rsidRPr="00AD340A">
        <w:rPr>
          <w:rFonts w:ascii="Arial" w:hAnsi="Arial" w:cs="Arial"/>
          <w:sz w:val="22"/>
          <w:szCs w:val="22"/>
        </w:rPr>
        <w:t>The hospitals and all healthcare services in the UK are taking effective infection control measures to protect the population from COVID-19 infection; however, more interventions are needed for older people. To combat the challenge of pandemic spread, it needs to implement the social distancing in hospitals and healthcare facilities more effectively in waiting areas and reception. There also needs to contain the virus spread in different services for the older people. Moreover, timely information on an infected case can protect healthcare professionals and other individuals in care homes and healthcare facilities. The issues of older population living in deprived areas need special attention.</w:t>
      </w:r>
    </w:p>
    <w:p w14:paraId="14BDB3B9"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p>
    <w:p w14:paraId="4CA4807F"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p>
    <w:p w14:paraId="5DE25C21" w14:textId="77777777" w:rsidR="00F42215" w:rsidRPr="00AD340A" w:rsidRDefault="00F42215" w:rsidP="00F42215">
      <w:pPr>
        <w:autoSpaceDE w:val="0"/>
        <w:autoSpaceDN w:val="0"/>
        <w:adjustRightInd w:val="0"/>
        <w:spacing w:line="360" w:lineRule="auto"/>
        <w:ind w:firstLine="360"/>
        <w:jc w:val="both"/>
        <w:rPr>
          <w:rFonts w:ascii="Arial" w:hAnsi="Arial" w:cs="Arial"/>
          <w:sz w:val="22"/>
          <w:szCs w:val="22"/>
        </w:rPr>
      </w:pPr>
    </w:p>
    <w:p w14:paraId="003E2DCD" w14:textId="77777777" w:rsidR="00F42215" w:rsidRPr="00F42215" w:rsidRDefault="00F42215" w:rsidP="00E562E8">
      <w:pPr>
        <w:autoSpaceDE w:val="0"/>
        <w:autoSpaceDN w:val="0"/>
        <w:adjustRightInd w:val="0"/>
        <w:spacing w:line="360" w:lineRule="auto"/>
        <w:jc w:val="both"/>
        <w:rPr>
          <w:rFonts w:ascii="Arial" w:hAnsi="Arial" w:cs="Arial"/>
        </w:rPr>
      </w:pPr>
    </w:p>
    <w:p w14:paraId="6C6FBAE8" w14:textId="77777777" w:rsidR="00F42215" w:rsidRPr="00F42215" w:rsidRDefault="00F42215" w:rsidP="00F42215">
      <w:pPr>
        <w:autoSpaceDE w:val="0"/>
        <w:autoSpaceDN w:val="0"/>
        <w:adjustRightInd w:val="0"/>
        <w:spacing w:line="360" w:lineRule="auto"/>
        <w:ind w:firstLine="360"/>
        <w:jc w:val="both"/>
        <w:rPr>
          <w:rFonts w:ascii="Arial" w:hAnsi="Arial" w:cs="Arial"/>
        </w:rPr>
      </w:pPr>
    </w:p>
    <w:p w14:paraId="15624149" w14:textId="77777777" w:rsidR="00F42215" w:rsidRPr="00F42215" w:rsidRDefault="00F42215" w:rsidP="00F42215">
      <w:pPr>
        <w:autoSpaceDE w:val="0"/>
        <w:autoSpaceDN w:val="0"/>
        <w:adjustRightInd w:val="0"/>
        <w:spacing w:line="360" w:lineRule="auto"/>
        <w:ind w:firstLine="360"/>
        <w:jc w:val="both"/>
        <w:rPr>
          <w:rFonts w:ascii="Arial" w:hAnsi="Arial" w:cs="Arial"/>
        </w:rPr>
      </w:pPr>
    </w:p>
    <w:p w14:paraId="756F37B4" w14:textId="77777777" w:rsidR="00F42215" w:rsidRPr="00F42215" w:rsidRDefault="00F42215" w:rsidP="00F42215">
      <w:pPr>
        <w:autoSpaceDE w:val="0"/>
        <w:autoSpaceDN w:val="0"/>
        <w:adjustRightInd w:val="0"/>
        <w:spacing w:before="480" w:line="480" w:lineRule="auto"/>
        <w:jc w:val="both"/>
        <w:rPr>
          <w:rFonts w:ascii="Arial" w:hAnsi="Arial" w:cs="Arial"/>
          <w:b/>
          <w:bCs/>
        </w:rPr>
      </w:pPr>
      <w:r w:rsidRPr="00F42215">
        <w:rPr>
          <w:rFonts w:ascii="Arial" w:hAnsi="Arial" w:cs="Arial"/>
          <w:b/>
          <w:bCs/>
        </w:rPr>
        <w:lastRenderedPageBreak/>
        <w:t>References</w:t>
      </w:r>
    </w:p>
    <w:p w14:paraId="2F0CD18B"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Age UK and Kantar., 2020. Online polling was conducted on the Research Express Online Omnibus amongst 1364 UK adults aged 60+ from 20th August – to 3rd September 2020.</w:t>
      </w:r>
    </w:p>
    <w:p w14:paraId="19CF9CC3"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 xml:space="preserve">Age UK., 2020. </w:t>
      </w:r>
      <w:proofErr w:type="gramStart"/>
      <w:r w:rsidRPr="00EE42FA">
        <w:rPr>
          <w:rFonts w:ascii="Arial" w:hAnsi="Arial" w:cs="Arial"/>
        </w:rPr>
        <w:t>Online survey (unpublished),</w:t>
      </w:r>
      <w:proofErr w:type="gramEnd"/>
      <w:r w:rsidRPr="00EE42FA">
        <w:rPr>
          <w:rFonts w:ascii="Arial" w:hAnsi="Arial" w:cs="Arial"/>
        </w:rPr>
        <w:t xml:space="preserve"> conducted August 2020 and promoted via Age UK Instagram and Facebook channels.</w:t>
      </w:r>
    </w:p>
    <w:p w14:paraId="4CBDA175"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Age UK and Kantar, online polling.</w:t>
      </w:r>
    </w:p>
    <w:p w14:paraId="21E7DD52"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 xml:space="preserve">Bhattacharjee, A. and </w:t>
      </w:r>
      <w:proofErr w:type="spellStart"/>
      <w:r w:rsidRPr="00EE42FA">
        <w:rPr>
          <w:rFonts w:ascii="Arial" w:hAnsi="Arial" w:cs="Arial"/>
        </w:rPr>
        <w:t>Lisauskaite</w:t>
      </w:r>
      <w:proofErr w:type="spellEnd"/>
      <w:r w:rsidRPr="00EE42FA">
        <w:rPr>
          <w:rFonts w:ascii="Arial" w:hAnsi="Arial" w:cs="Arial"/>
        </w:rPr>
        <w:t>, E., 2020. Covid-19 impacts on destitution in the UK. </w:t>
      </w:r>
      <w:r w:rsidRPr="00EE42FA">
        <w:rPr>
          <w:rFonts w:ascii="Arial" w:hAnsi="Arial" w:cs="Arial"/>
          <w:i/>
          <w:iCs/>
        </w:rPr>
        <w:t>National Institute Economic Review</w:t>
      </w:r>
      <w:r w:rsidRPr="00EE42FA">
        <w:rPr>
          <w:rFonts w:ascii="Arial" w:hAnsi="Arial" w:cs="Arial"/>
        </w:rPr>
        <w:t>, </w:t>
      </w:r>
      <w:r w:rsidRPr="00EE42FA">
        <w:rPr>
          <w:rFonts w:ascii="Arial" w:hAnsi="Arial" w:cs="Arial"/>
          <w:i/>
          <w:iCs/>
        </w:rPr>
        <w:t>253</w:t>
      </w:r>
      <w:r w:rsidRPr="00EE42FA">
        <w:rPr>
          <w:rFonts w:ascii="Arial" w:hAnsi="Arial" w:cs="Arial"/>
        </w:rPr>
        <w:t>, pp. R77-R85.</w:t>
      </w:r>
    </w:p>
    <w:p w14:paraId="57226822"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 xml:space="preserve">Armitage, R. and </w:t>
      </w:r>
      <w:proofErr w:type="spellStart"/>
      <w:r w:rsidRPr="00EE42FA">
        <w:rPr>
          <w:rFonts w:ascii="Arial" w:hAnsi="Arial" w:cs="Arial"/>
        </w:rPr>
        <w:t>Nellums</w:t>
      </w:r>
      <w:proofErr w:type="spellEnd"/>
      <w:r w:rsidRPr="00EE42FA">
        <w:rPr>
          <w:rFonts w:ascii="Arial" w:hAnsi="Arial" w:cs="Arial"/>
        </w:rPr>
        <w:t>, L.B., 2020. COVID-19 and the consequences of isolating the elderly. </w:t>
      </w:r>
      <w:r w:rsidRPr="00EE42FA">
        <w:rPr>
          <w:rFonts w:ascii="Arial" w:hAnsi="Arial" w:cs="Arial"/>
          <w:i/>
          <w:iCs/>
        </w:rPr>
        <w:t>The Lancet Public Health</w:t>
      </w:r>
      <w:r w:rsidRPr="00EE42FA">
        <w:rPr>
          <w:rFonts w:ascii="Arial" w:hAnsi="Arial" w:cs="Arial"/>
        </w:rPr>
        <w:t>, </w:t>
      </w:r>
      <w:r w:rsidRPr="00EE42FA">
        <w:rPr>
          <w:rFonts w:ascii="Arial" w:hAnsi="Arial" w:cs="Arial"/>
          <w:i/>
          <w:iCs/>
        </w:rPr>
        <w:t>5</w:t>
      </w:r>
      <w:r w:rsidRPr="00EE42FA">
        <w:rPr>
          <w:rFonts w:ascii="Arial" w:hAnsi="Arial" w:cs="Arial"/>
        </w:rPr>
        <w:t>(5), p.e256.</w:t>
      </w:r>
    </w:p>
    <w:p w14:paraId="5E01B5EB"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Brooke, J. and Jackson, D., 2020. Older people and COVID-19 isolation, risk, and ageism. Journal of clinical nursing.</w:t>
      </w:r>
    </w:p>
    <w:p w14:paraId="02ACE2D9"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color w:val="222222"/>
        </w:rPr>
      </w:pPr>
      <w:proofErr w:type="spellStart"/>
      <w:r w:rsidRPr="00EE42FA">
        <w:rPr>
          <w:rFonts w:ascii="Arial" w:hAnsi="Arial" w:cs="Arial"/>
          <w:color w:val="222222"/>
        </w:rPr>
        <w:t>Buffel</w:t>
      </w:r>
      <w:proofErr w:type="spellEnd"/>
      <w:r w:rsidRPr="00EE42FA">
        <w:rPr>
          <w:rFonts w:ascii="Arial" w:hAnsi="Arial" w:cs="Arial"/>
          <w:color w:val="222222"/>
        </w:rPr>
        <w:t xml:space="preserve">, T., </w:t>
      </w:r>
      <w:proofErr w:type="spellStart"/>
      <w:r w:rsidRPr="00EE42FA">
        <w:rPr>
          <w:rFonts w:ascii="Arial" w:hAnsi="Arial" w:cs="Arial"/>
          <w:color w:val="222222"/>
        </w:rPr>
        <w:t>Yarker</w:t>
      </w:r>
      <w:proofErr w:type="spellEnd"/>
      <w:r w:rsidRPr="00EE42FA">
        <w:rPr>
          <w:rFonts w:ascii="Arial" w:hAnsi="Arial" w:cs="Arial"/>
          <w:color w:val="222222"/>
        </w:rPr>
        <w:t xml:space="preserve">, S., Phillipson, C., Lang, L., Lewis, C., Doran, P., and Goff, M., 2021. Locked down by inequality: </w:t>
      </w:r>
      <w:proofErr w:type="gramStart"/>
      <w:r w:rsidRPr="00EE42FA">
        <w:rPr>
          <w:rFonts w:ascii="Arial" w:hAnsi="Arial" w:cs="Arial"/>
          <w:color w:val="222222"/>
        </w:rPr>
        <w:t>Older</w:t>
      </w:r>
      <w:proofErr w:type="gramEnd"/>
      <w:r w:rsidRPr="00EE42FA">
        <w:rPr>
          <w:rFonts w:ascii="Arial" w:hAnsi="Arial" w:cs="Arial"/>
          <w:color w:val="222222"/>
        </w:rPr>
        <w:t xml:space="preserve"> people and the COVID-19 pandemic. </w:t>
      </w:r>
      <w:r w:rsidRPr="00EE42FA">
        <w:rPr>
          <w:rFonts w:ascii="Arial" w:hAnsi="Arial" w:cs="Arial"/>
          <w:i/>
          <w:iCs/>
          <w:color w:val="222222"/>
        </w:rPr>
        <w:t>Urban Studies</w:t>
      </w:r>
      <w:r w:rsidRPr="00EE42FA">
        <w:rPr>
          <w:rFonts w:ascii="Arial" w:hAnsi="Arial" w:cs="Arial"/>
          <w:color w:val="222222"/>
        </w:rPr>
        <w:t>, p.00420980211041018.</w:t>
      </w:r>
    </w:p>
    <w:p w14:paraId="3D875694"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 xml:space="preserve">CDC. 2020. </w:t>
      </w:r>
      <w:r w:rsidRPr="00EE42FA">
        <w:rPr>
          <w:rFonts w:ascii="Arial" w:hAnsi="Arial" w:cs="Arial"/>
          <w:i/>
          <w:iCs/>
        </w:rPr>
        <w:t>COVID-19 Provisional Counts - Weekly Updates by Select Demographic and Geographic Characteristics</w:t>
      </w:r>
      <w:r w:rsidRPr="00EE42FA">
        <w:rPr>
          <w:rFonts w:ascii="Arial" w:hAnsi="Arial" w:cs="Arial"/>
        </w:rPr>
        <w:t xml:space="preserve">. National </w:t>
      </w:r>
      <w:proofErr w:type="spellStart"/>
      <w:r w:rsidRPr="00EE42FA">
        <w:rPr>
          <w:rFonts w:ascii="Arial" w:hAnsi="Arial" w:cs="Arial"/>
        </w:rPr>
        <w:t>Center</w:t>
      </w:r>
      <w:proofErr w:type="spellEnd"/>
      <w:r w:rsidRPr="00EE42FA">
        <w:rPr>
          <w:rFonts w:ascii="Arial" w:hAnsi="Arial" w:cs="Arial"/>
        </w:rPr>
        <w:t xml:space="preserve"> for Health Statistics. Available online at: </w:t>
      </w:r>
      <w:hyperlink r:id="rId4" w:history="1">
        <w:r w:rsidRPr="00EE42FA">
          <w:rPr>
            <w:rFonts w:ascii="Arial" w:hAnsi="Arial" w:cs="Arial"/>
          </w:rPr>
          <w:t>https://www.cdc.gov/nchs/nvss/vsrr/covid_weekly/index.htm</w:t>
        </w:r>
      </w:hyperlink>
      <w:r w:rsidRPr="00EE42FA">
        <w:rPr>
          <w:rFonts w:ascii="Arial" w:hAnsi="Arial" w:cs="Arial"/>
        </w:rPr>
        <w:t>.</w:t>
      </w:r>
    </w:p>
    <w:p w14:paraId="0C114B01"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 CDC.2020. </w:t>
      </w:r>
      <w:r w:rsidRPr="00EE42FA">
        <w:rPr>
          <w:rFonts w:ascii="Arial" w:hAnsi="Arial" w:cs="Arial"/>
          <w:i/>
          <w:iCs/>
        </w:rPr>
        <w:t>Preparing for COVID-19 in Nursing Homes</w:t>
      </w:r>
      <w:r w:rsidRPr="00EE42FA">
        <w:rPr>
          <w:rFonts w:ascii="Arial" w:hAnsi="Arial" w:cs="Arial"/>
        </w:rPr>
        <w:t>. Available online at: </w:t>
      </w:r>
      <w:hyperlink r:id="rId5" w:history="1">
        <w:r w:rsidRPr="00EE42FA">
          <w:rPr>
            <w:rFonts w:ascii="Arial" w:hAnsi="Arial" w:cs="Arial"/>
          </w:rPr>
          <w:t>https://www.cdc.gov/coronavirus/2019-ncov/hcp/long-term-care.html</w:t>
        </w:r>
      </w:hyperlink>
      <w:r w:rsidRPr="00EE42FA">
        <w:rPr>
          <w:rFonts w:ascii="Arial" w:hAnsi="Arial" w:cs="Arial"/>
        </w:rPr>
        <w:t>.</w:t>
      </w:r>
    </w:p>
    <w:p w14:paraId="0E772AAD"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Cqc.org.uk.2020. </w:t>
      </w:r>
      <w:r w:rsidRPr="00EE42FA">
        <w:rPr>
          <w:rFonts w:ascii="Arial" w:hAnsi="Arial" w:cs="Arial"/>
          <w:i/>
          <w:iCs/>
        </w:rPr>
        <w:t>Care Quality Commission</w:t>
      </w:r>
      <w:r w:rsidRPr="00EE42FA">
        <w:rPr>
          <w:rFonts w:ascii="Arial" w:hAnsi="Arial" w:cs="Arial"/>
        </w:rPr>
        <w:t xml:space="preserve">. [online] Available at: </w:t>
      </w:r>
      <w:hyperlink r:id="rId6" w:history="1">
        <w:r w:rsidRPr="00EE42FA">
          <w:rPr>
            <w:rFonts w:ascii="Arial" w:hAnsi="Arial" w:cs="Arial"/>
          </w:rPr>
          <w:t>https://www.cqc.org.uk</w:t>
        </w:r>
      </w:hyperlink>
      <w:r w:rsidRPr="00EE42FA">
        <w:rPr>
          <w:rFonts w:ascii="Arial" w:hAnsi="Arial" w:cs="Arial"/>
        </w:rPr>
        <w:t>.</w:t>
      </w:r>
    </w:p>
    <w:p w14:paraId="0CACE300"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color w:val="222222"/>
        </w:rPr>
      </w:pPr>
      <w:r w:rsidRPr="00EE42FA">
        <w:rPr>
          <w:rFonts w:ascii="Arial" w:hAnsi="Arial" w:cs="Arial"/>
          <w:color w:val="222222"/>
        </w:rPr>
        <w:t>Dahlberg, L., 2021. Loneliness during the COVID-19 pandemic. </w:t>
      </w:r>
      <w:r w:rsidRPr="00EE42FA">
        <w:rPr>
          <w:rFonts w:ascii="Arial" w:hAnsi="Arial" w:cs="Arial"/>
          <w:i/>
          <w:iCs/>
          <w:color w:val="222222"/>
        </w:rPr>
        <w:t>Aging &amp; mental health</w:t>
      </w:r>
      <w:r w:rsidRPr="00EE42FA">
        <w:rPr>
          <w:rFonts w:ascii="Arial" w:hAnsi="Arial" w:cs="Arial"/>
          <w:color w:val="222222"/>
        </w:rPr>
        <w:t>, </w:t>
      </w:r>
      <w:r w:rsidRPr="00EE42FA">
        <w:rPr>
          <w:rFonts w:ascii="Arial" w:hAnsi="Arial" w:cs="Arial"/>
          <w:i/>
          <w:iCs/>
          <w:color w:val="222222"/>
        </w:rPr>
        <w:t>25</w:t>
      </w:r>
      <w:r w:rsidRPr="00EE42FA">
        <w:rPr>
          <w:rFonts w:ascii="Arial" w:hAnsi="Arial" w:cs="Arial"/>
          <w:color w:val="222222"/>
        </w:rPr>
        <w:t>(7), pp.1161-1164.</w:t>
      </w:r>
    </w:p>
    <w:p w14:paraId="5F8D3AA9"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proofErr w:type="spellStart"/>
      <w:r w:rsidRPr="00EE42FA">
        <w:rPr>
          <w:rFonts w:ascii="Arial" w:hAnsi="Arial" w:cs="Arial"/>
          <w:color w:val="222222"/>
        </w:rPr>
        <w:t>Daoust</w:t>
      </w:r>
      <w:proofErr w:type="spellEnd"/>
      <w:r w:rsidRPr="00EE42FA">
        <w:rPr>
          <w:rFonts w:ascii="Arial" w:hAnsi="Arial" w:cs="Arial"/>
          <w:color w:val="222222"/>
        </w:rPr>
        <w:t>, J.F., 2020. Elderly people and responses to COVID-19 in 27 Countries. </w:t>
      </w:r>
      <w:proofErr w:type="spellStart"/>
      <w:r w:rsidRPr="00EE42FA">
        <w:rPr>
          <w:rFonts w:ascii="Arial" w:hAnsi="Arial" w:cs="Arial"/>
          <w:i/>
          <w:iCs/>
          <w:color w:val="222222"/>
        </w:rPr>
        <w:t>PloS</w:t>
      </w:r>
      <w:proofErr w:type="spellEnd"/>
      <w:r w:rsidRPr="00EE42FA">
        <w:rPr>
          <w:rFonts w:ascii="Arial" w:hAnsi="Arial" w:cs="Arial"/>
          <w:i/>
          <w:iCs/>
          <w:color w:val="222222"/>
        </w:rPr>
        <w:t xml:space="preserve"> one</w:t>
      </w:r>
      <w:r w:rsidRPr="00EE42FA">
        <w:rPr>
          <w:rFonts w:ascii="Arial" w:hAnsi="Arial" w:cs="Arial"/>
          <w:color w:val="222222"/>
        </w:rPr>
        <w:t>, </w:t>
      </w:r>
      <w:r w:rsidRPr="00EE42FA">
        <w:rPr>
          <w:rFonts w:ascii="Arial" w:hAnsi="Arial" w:cs="Arial"/>
          <w:i/>
          <w:iCs/>
          <w:color w:val="222222"/>
        </w:rPr>
        <w:t>15</w:t>
      </w:r>
      <w:r w:rsidRPr="00EE42FA">
        <w:rPr>
          <w:rFonts w:ascii="Arial" w:hAnsi="Arial" w:cs="Arial"/>
          <w:color w:val="222222"/>
        </w:rPr>
        <w:t>(7), p. e0235590.</w:t>
      </w:r>
    </w:p>
    <w:p w14:paraId="4810400F"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color w:val="222222"/>
        </w:rPr>
        <w:t xml:space="preserve">Di </w:t>
      </w:r>
      <w:proofErr w:type="spellStart"/>
      <w:r w:rsidRPr="00EE42FA">
        <w:rPr>
          <w:rFonts w:ascii="Arial" w:hAnsi="Arial" w:cs="Arial"/>
          <w:color w:val="222222"/>
        </w:rPr>
        <w:t>Biase</w:t>
      </w:r>
      <w:proofErr w:type="spellEnd"/>
      <w:r w:rsidRPr="00EE42FA">
        <w:rPr>
          <w:rFonts w:ascii="Arial" w:hAnsi="Arial" w:cs="Arial"/>
          <w:color w:val="222222"/>
        </w:rPr>
        <w:t>, S., Cook, L., Skelton, D.A., Witham, M. and Ten-Hove, R., 2020. The COVID-19 rehabilitation pandemic. </w:t>
      </w:r>
      <w:r w:rsidRPr="00EE42FA">
        <w:rPr>
          <w:rFonts w:ascii="Arial" w:hAnsi="Arial" w:cs="Arial"/>
          <w:i/>
          <w:iCs/>
          <w:color w:val="222222"/>
        </w:rPr>
        <w:t>Age and aging</w:t>
      </w:r>
      <w:r w:rsidRPr="00EE42FA">
        <w:rPr>
          <w:rFonts w:ascii="Arial" w:hAnsi="Arial" w:cs="Arial"/>
          <w:color w:val="222222"/>
        </w:rPr>
        <w:t>, </w:t>
      </w:r>
      <w:r w:rsidRPr="00EE42FA">
        <w:rPr>
          <w:rFonts w:ascii="Arial" w:hAnsi="Arial" w:cs="Arial"/>
          <w:i/>
          <w:iCs/>
          <w:color w:val="222222"/>
        </w:rPr>
        <w:t>49</w:t>
      </w:r>
      <w:r w:rsidRPr="00EE42FA">
        <w:rPr>
          <w:rFonts w:ascii="Arial" w:hAnsi="Arial" w:cs="Arial"/>
          <w:color w:val="222222"/>
        </w:rPr>
        <w:t>(5), pp.696-700.</w:t>
      </w:r>
    </w:p>
    <w:p w14:paraId="3276510C"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proofErr w:type="spellStart"/>
      <w:r w:rsidRPr="00EE42FA">
        <w:rPr>
          <w:rFonts w:ascii="Arial" w:hAnsi="Arial" w:cs="Arial"/>
          <w:color w:val="222222"/>
        </w:rPr>
        <w:lastRenderedPageBreak/>
        <w:t>Giebel</w:t>
      </w:r>
      <w:proofErr w:type="spellEnd"/>
      <w:r w:rsidRPr="00EE42FA">
        <w:rPr>
          <w:rFonts w:ascii="Arial" w:hAnsi="Arial" w:cs="Arial"/>
          <w:color w:val="222222"/>
        </w:rPr>
        <w:t xml:space="preserve">, C., Pulford, D., Cooper, C., Lord, K., Shenton, J., Cannon, J., Shaw, L., </w:t>
      </w:r>
      <w:proofErr w:type="spellStart"/>
      <w:r w:rsidRPr="00EE42FA">
        <w:rPr>
          <w:rFonts w:ascii="Arial" w:hAnsi="Arial" w:cs="Arial"/>
          <w:color w:val="222222"/>
        </w:rPr>
        <w:t>Tetlow</w:t>
      </w:r>
      <w:proofErr w:type="spellEnd"/>
      <w:r w:rsidRPr="00EE42FA">
        <w:rPr>
          <w:rFonts w:ascii="Arial" w:hAnsi="Arial" w:cs="Arial"/>
          <w:color w:val="222222"/>
        </w:rPr>
        <w:t xml:space="preserve">, H., </w:t>
      </w:r>
      <w:proofErr w:type="spellStart"/>
      <w:r w:rsidRPr="00EE42FA">
        <w:rPr>
          <w:rFonts w:ascii="Arial" w:hAnsi="Arial" w:cs="Arial"/>
          <w:color w:val="222222"/>
        </w:rPr>
        <w:t>Limbert</w:t>
      </w:r>
      <w:proofErr w:type="spellEnd"/>
      <w:r w:rsidRPr="00EE42FA">
        <w:rPr>
          <w:rFonts w:ascii="Arial" w:hAnsi="Arial" w:cs="Arial"/>
          <w:color w:val="222222"/>
        </w:rPr>
        <w:t>, S., Callaghan, S., and Whittington, R., 2021. COVID-19-related social support service closures and mental well-being in older adults and those affected by dementia: a UK longitudinal survey. </w:t>
      </w:r>
      <w:r w:rsidRPr="00EE42FA">
        <w:rPr>
          <w:rFonts w:ascii="Arial" w:hAnsi="Arial" w:cs="Arial"/>
          <w:i/>
          <w:iCs/>
          <w:color w:val="222222"/>
        </w:rPr>
        <w:t>BMJ Open</w:t>
      </w:r>
      <w:r w:rsidRPr="00EE42FA">
        <w:rPr>
          <w:rFonts w:ascii="Arial" w:hAnsi="Arial" w:cs="Arial"/>
          <w:color w:val="222222"/>
        </w:rPr>
        <w:t>, </w:t>
      </w:r>
      <w:r w:rsidRPr="00EE42FA">
        <w:rPr>
          <w:rFonts w:ascii="Arial" w:hAnsi="Arial" w:cs="Arial"/>
          <w:i/>
          <w:iCs/>
          <w:color w:val="222222"/>
        </w:rPr>
        <w:t>11</w:t>
      </w:r>
      <w:r w:rsidRPr="00EE42FA">
        <w:rPr>
          <w:rFonts w:ascii="Arial" w:hAnsi="Arial" w:cs="Arial"/>
          <w:color w:val="222222"/>
        </w:rPr>
        <w:t>(1), p.e045889.</w:t>
      </w:r>
    </w:p>
    <w:p w14:paraId="00100BC9"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Martins Van Jaarsveld, G., 2020. The effects of COVID-19 among the elderly population: a case for closing the digital divide. </w:t>
      </w:r>
      <w:r w:rsidRPr="00EE42FA">
        <w:rPr>
          <w:rFonts w:ascii="Arial" w:hAnsi="Arial" w:cs="Arial"/>
          <w:i/>
          <w:iCs/>
        </w:rPr>
        <w:t>Frontiers in psychiatry</w:t>
      </w:r>
      <w:r w:rsidRPr="00EE42FA">
        <w:rPr>
          <w:rFonts w:ascii="Arial" w:hAnsi="Arial" w:cs="Arial"/>
        </w:rPr>
        <w:t>, p.1211.</w:t>
      </w:r>
    </w:p>
    <w:p w14:paraId="02A0CA02"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National Audit Office. 12 June 2020. </w:t>
      </w:r>
      <w:hyperlink r:id="rId7" w:history="1">
        <w:r w:rsidRPr="00EE42FA">
          <w:rPr>
            <w:rFonts w:ascii="Arial" w:hAnsi="Arial" w:cs="Arial"/>
            <w:color w:val="0000FF"/>
            <w:u w:val="single" w:color="0000FF"/>
          </w:rPr>
          <w:t>Readying the NHS and adult social care in England for covid-19</w:t>
        </w:r>
      </w:hyperlink>
      <w:r w:rsidRPr="00EE42FA">
        <w:rPr>
          <w:rFonts w:ascii="Arial" w:hAnsi="Arial" w:cs="Arial"/>
        </w:rPr>
        <w:t>, and Health Service Journal, ‘</w:t>
      </w:r>
      <w:hyperlink r:id="rId8" w:history="1">
        <w:r w:rsidRPr="00EE42FA">
          <w:rPr>
            <w:rFonts w:ascii="Arial" w:hAnsi="Arial" w:cs="Arial"/>
            <w:color w:val="0000FF"/>
            <w:u w:val="single" w:color="0000FF"/>
          </w:rPr>
          <w:t>Discharges to care homes increase year-on-year during ‘critical period</w:t>
        </w:r>
      </w:hyperlink>
      <w:r w:rsidRPr="00EE42FA">
        <w:rPr>
          <w:rFonts w:ascii="Arial" w:hAnsi="Arial" w:cs="Arial"/>
        </w:rPr>
        <w:t>’’.</w:t>
      </w:r>
    </w:p>
    <w:p w14:paraId="6D7253BD"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NCHS. 2020. National Centre for Health Statistics. Provisional death counts for Coronavirus disease (COVID-19). </w:t>
      </w:r>
      <w:hyperlink r:id="rId9" w:history="1">
        <w:r w:rsidRPr="00EE42FA">
          <w:rPr>
            <w:rFonts w:ascii="Arial" w:hAnsi="Arial" w:cs="Arial"/>
          </w:rPr>
          <w:t>https://www.cdc.gov/nchs/nvss/vsrr/COVID19/index.htm</w:t>
        </w:r>
      </w:hyperlink>
      <w:r w:rsidRPr="00EE42FA">
        <w:rPr>
          <w:rFonts w:ascii="Arial" w:hAnsi="Arial" w:cs="Arial"/>
        </w:rPr>
        <w:t>.</w:t>
      </w:r>
    </w:p>
    <w:p w14:paraId="56037D2D"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color w:val="222222"/>
        </w:rPr>
        <w:t xml:space="preserve">Numbers, K. and </w:t>
      </w:r>
      <w:proofErr w:type="spellStart"/>
      <w:r w:rsidRPr="00EE42FA">
        <w:rPr>
          <w:rFonts w:ascii="Arial" w:hAnsi="Arial" w:cs="Arial"/>
          <w:color w:val="222222"/>
        </w:rPr>
        <w:t>Brodaty</w:t>
      </w:r>
      <w:proofErr w:type="spellEnd"/>
      <w:r w:rsidRPr="00EE42FA">
        <w:rPr>
          <w:rFonts w:ascii="Arial" w:hAnsi="Arial" w:cs="Arial"/>
          <w:color w:val="222222"/>
        </w:rPr>
        <w:t>, H., 2021. The effects of the COVID-19 pandemic on people with dementia. </w:t>
      </w:r>
      <w:r w:rsidRPr="00EE42FA">
        <w:rPr>
          <w:rFonts w:ascii="Arial" w:hAnsi="Arial" w:cs="Arial"/>
          <w:i/>
          <w:iCs/>
          <w:color w:val="222222"/>
        </w:rPr>
        <w:t>Nature Reviews Neurology</w:t>
      </w:r>
      <w:r w:rsidRPr="00EE42FA">
        <w:rPr>
          <w:rFonts w:ascii="Arial" w:hAnsi="Arial" w:cs="Arial"/>
          <w:color w:val="222222"/>
        </w:rPr>
        <w:t>, </w:t>
      </w:r>
      <w:r w:rsidRPr="00EE42FA">
        <w:rPr>
          <w:rFonts w:ascii="Arial" w:hAnsi="Arial" w:cs="Arial"/>
          <w:i/>
          <w:iCs/>
          <w:color w:val="222222"/>
        </w:rPr>
        <w:t>17</w:t>
      </w:r>
      <w:r w:rsidRPr="00EE42FA">
        <w:rPr>
          <w:rFonts w:ascii="Arial" w:hAnsi="Arial" w:cs="Arial"/>
          <w:color w:val="222222"/>
        </w:rPr>
        <w:t>(2), pp.69-70.</w:t>
      </w:r>
    </w:p>
    <w:p w14:paraId="5EE6175D"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 xml:space="preserve">Office for National Statics. June 2020. ‘Coronavirus and depression in adults, Great Britain: </w:t>
      </w:r>
      <w:hyperlink r:id="rId10" w:history="1">
        <w:r w:rsidRPr="00EE42FA">
          <w:rPr>
            <w:rFonts w:ascii="Arial" w:hAnsi="Arial" w:cs="Arial"/>
            <w:color w:val="0000FF"/>
            <w:u w:val="single" w:color="0000FF"/>
          </w:rPr>
          <w:t>https://www.ons.gov.uk</w:t>
        </w:r>
      </w:hyperlink>
      <w:r w:rsidRPr="00EE42FA">
        <w:rPr>
          <w:rFonts w:ascii="Arial" w:hAnsi="Arial" w:cs="Arial"/>
        </w:rPr>
        <w:t xml:space="preserve">/wellbeing/articles/ </w:t>
      </w:r>
      <w:proofErr w:type="spellStart"/>
      <w:r w:rsidRPr="00EE42FA">
        <w:rPr>
          <w:rFonts w:ascii="Arial" w:hAnsi="Arial" w:cs="Arial"/>
        </w:rPr>
        <w:t>irusanddepressioninadultsgreatbritain</w:t>
      </w:r>
      <w:proofErr w:type="spellEnd"/>
      <w:r w:rsidRPr="00EE42FA">
        <w:rPr>
          <w:rFonts w:ascii="Arial" w:hAnsi="Arial" w:cs="Arial"/>
        </w:rPr>
        <w:t>/June 2020.</w:t>
      </w:r>
    </w:p>
    <w:p w14:paraId="3C1B39D4"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Office for National Statistics. 18 May 2021. </w:t>
      </w:r>
      <w:hyperlink r:id="rId11" w:history="1">
        <w:r w:rsidRPr="00EE42FA">
          <w:rPr>
            <w:rFonts w:ascii="Arial" w:hAnsi="Arial" w:cs="Arial"/>
            <w:color w:val="0000FF"/>
            <w:u w:val="single" w:color="0000FF"/>
          </w:rPr>
          <w:t>Care home resident deaths registered in England and Wales, provisional</w:t>
        </w:r>
      </w:hyperlink>
      <w:r w:rsidRPr="00EE42FA">
        <w:rPr>
          <w:rFonts w:ascii="Arial" w:hAnsi="Arial" w:cs="Arial"/>
        </w:rPr>
        <w:t>.</w:t>
      </w:r>
    </w:p>
    <w:p w14:paraId="7B865B32"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color w:val="222222"/>
        </w:rPr>
        <w:t xml:space="preserve">Pierce, M., Hope, H., Ford, T., Hatch, S., </w:t>
      </w:r>
      <w:proofErr w:type="spellStart"/>
      <w:r w:rsidRPr="00EE42FA">
        <w:rPr>
          <w:rFonts w:ascii="Arial" w:hAnsi="Arial" w:cs="Arial"/>
          <w:color w:val="222222"/>
        </w:rPr>
        <w:t>Hotopf</w:t>
      </w:r>
      <w:proofErr w:type="spellEnd"/>
      <w:r w:rsidRPr="00EE42FA">
        <w:rPr>
          <w:rFonts w:ascii="Arial" w:hAnsi="Arial" w:cs="Arial"/>
          <w:color w:val="222222"/>
        </w:rPr>
        <w:t xml:space="preserve">, M., John, A., </w:t>
      </w:r>
      <w:proofErr w:type="spellStart"/>
      <w:r w:rsidRPr="00EE42FA">
        <w:rPr>
          <w:rFonts w:ascii="Arial" w:hAnsi="Arial" w:cs="Arial"/>
          <w:color w:val="222222"/>
        </w:rPr>
        <w:t>Kontopantelis</w:t>
      </w:r>
      <w:proofErr w:type="spellEnd"/>
      <w:r w:rsidRPr="00EE42FA">
        <w:rPr>
          <w:rFonts w:ascii="Arial" w:hAnsi="Arial" w:cs="Arial"/>
          <w:color w:val="222222"/>
        </w:rPr>
        <w:t xml:space="preserve">, E., Webb, R., </w:t>
      </w:r>
      <w:proofErr w:type="spellStart"/>
      <w:r w:rsidRPr="00EE42FA">
        <w:rPr>
          <w:rFonts w:ascii="Arial" w:hAnsi="Arial" w:cs="Arial"/>
          <w:color w:val="222222"/>
        </w:rPr>
        <w:t>Wessely</w:t>
      </w:r>
      <w:proofErr w:type="spellEnd"/>
      <w:r w:rsidRPr="00EE42FA">
        <w:rPr>
          <w:rFonts w:ascii="Arial" w:hAnsi="Arial" w:cs="Arial"/>
          <w:color w:val="222222"/>
        </w:rPr>
        <w:t xml:space="preserve">, S., McManus, </w:t>
      </w:r>
      <w:proofErr w:type="gramStart"/>
      <w:r w:rsidRPr="00EE42FA">
        <w:rPr>
          <w:rFonts w:ascii="Arial" w:hAnsi="Arial" w:cs="Arial"/>
          <w:color w:val="222222"/>
        </w:rPr>
        <w:t>S.</w:t>
      </w:r>
      <w:proofErr w:type="gramEnd"/>
      <w:r w:rsidRPr="00EE42FA">
        <w:rPr>
          <w:rFonts w:ascii="Arial" w:hAnsi="Arial" w:cs="Arial"/>
          <w:color w:val="222222"/>
        </w:rPr>
        <w:t xml:space="preserve"> and Abel, K.M., 2020. Mental health before and during the COVID-19 pandemic: a longitudinal probability sample survey of the UK population. </w:t>
      </w:r>
      <w:r w:rsidRPr="00EE42FA">
        <w:rPr>
          <w:rFonts w:ascii="Arial" w:hAnsi="Arial" w:cs="Arial"/>
          <w:i/>
          <w:iCs/>
          <w:color w:val="222222"/>
        </w:rPr>
        <w:t>The Lancet Psychiatry</w:t>
      </w:r>
      <w:r w:rsidRPr="00EE42FA">
        <w:rPr>
          <w:rFonts w:ascii="Arial" w:hAnsi="Arial" w:cs="Arial"/>
          <w:color w:val="222222"/>
        </w:rPr>
        <w:t>, </w:t>
      </w:r>
      <w:r w:rsidRPr="00EE42FA">
        <w:rPr>
          <w:rFonts w:ascii="Arial" w:hAnsi="Arial" w:cs="Arial"/>
          <w:i/>
          <w:iCs/>
          <w:color w:val="222222"/>
        </w:rPr>
        <w:t>7</w:t>
      </w:r>
      <w:r w:rsidRPr="00EE42FA">
        <w:rPr>
          <w:rFonts w:ascii="Arial" w:hAnsi="Arial" w:cs="Arial"/>
          <w:color w:val="222222"/>
        </w:rPr>
        <w:t>(10), pp.883-892.</w:t>
      </w:r>
    </w:p>
    <w:p w14:paraId="6C657D8E"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 xml:space="preserve">Propper, C., Stockton, I. and </w:t>
      </w:r>
      <w:proofErr w:type="spellStart"/>
      <w:r w:rsidRPr="00EE42FA">
        <w:rPr>
          <w:rFonts w:ascii="Arial" w:hAnsi="Arial" w:cs="Arial"/>
        </w:rPr>
        <w:t>Stoye</w:t>
      </w:r>
      <w:proofErr w:type="spellEnd"/>
      <w:r w:rsidRPr="00EE42FA">
        <w:rPr>
          <w:rFonts w:ascii="Arial" w:hAnsi="Arial" w:cs="Arial"/>
        </w:rPr>
        <w:t>, G., 2020. </w:t>
      </w:r>
      <w:r w:rsidRPr="00EE42FA">
        <w:rPr>
          <w:rFonts w:ascii="Arial" w:hAnsi="Arial" w:cs="Arial"/>
          <w:i/>
          <w:iCs/>
        </w:rPr>
        <w:t>COVID-19 and disruptions to the health and social care of older people in England</w:t>
      </w:r>
      <w:r w:rsidRPr="00EE42FA">
        <w:rPr>
          <w:rFonts w:ascii="Arial" w:hAnsi="Arial" w:cs="Arial"/>
        </w:rPr>
        <w:t xml:space="preserve">. [online] ifs.org.uk. Available at: </w:t>
      </w:r>
      <w:hyperlink r:id="rId12" w:history="1">
        <w:r w:rsidRPr="00EE42FA">
          <w:rPr>
            <w:rFonts w:ascii="Arial" w:hAnsi="Arial" w:cs="Arial"/>
          </w:rPr>
          <w:t>https://ifs.org.uk/publications/15160</w:t>
        </w:r>
      </w:hyperlink>
      <w:r w:rsidRPr="00EE42FA">
        <w:rPr>
          <w:rFonts w:ascii="Arial" w:hAnsi="Arial" w:cs="Arial"/>
        </w:rPr>
        <w:t>.</w:t>
      </w:r>
    </w:p>
    <w:p w14:paraId="0C8E9C1D"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Public Health England. August 2020, </w:t>
      </w:r>
      <w:hyperlink r:id="rId13" w:history="1">
        <w:r w:rsidRPr="00EE42FA">
          <w:rPr>
            <w:rFonts w:ascii="Arial" w:hAnsi="Arial" w:cs="Arial"/>
            <w:color w:val="0000FF"/>
            <w:u w:val="single" w:color="0000FF"/>
          </w:rPr>
          <w:t>Disparities in the risk and outcomes of COVID-19</w:t>
        </w:r>
      </w:hyperlink>
      <w:r w:rsidRPr="00EE42FA">
        <w:rPr>
          <w:rFonts w:ascii="Arial" w:hAnsi="Arial" w:cs="Arial"/>
        </w:rPr>
        <w:t>.</w:t>
      </w:r>
    </w:p>
    <w:p w14:paraId="5607AAD3"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color w:val="222222"/>
        </w:rPr>
        <w:t xml:space="preserve">Richardson, S.J., Carroll, C.B., Close, J., Gordon, A.L., O’Brien, J., Quinn, T.J., Rochester, L., Sayer, A.A., </w:t>
      </w:r>
      <w:proofErr w:type="spellStart"/>
      <w:r w:rsidRPr="00EE42FA">
        <w:rPr>
          <w:rFonts w:ascii="Arial" w:hAnsi="Arial" w:cs="Arial"/>
          <w:color w:val="222222"/>
        </w:rPr>
        <w:t>Shenkin</w:t>
      </w:r>
      <w:proofErr w:type="spellEnd"/>
      <w:r w:rsidRPr="00EE42FA">
        <w:rPr>
          <w:rFonts w:ascii="Arial" w:hAnsi="Arial" w:cs="Arial"/>
          <w:color w:val="222222"/>
        </w:rPr>
        <w:t xml:space="preserve">, S.D., van der Velde, N. and Woo, J., 2020. Research with older </w:t>
      </w:r>
      <w:r w:rsidRPr="00EE42FA">
        <w:rPr>
          <w:rFonts w:ascii="Arial" w:hAnsi="Arial" w:cs="Arial"/>
          <w:color w:val="222222"/>
        </w:rPr>
        <w:lastRenderedPageBreak/>
        <w:t>people in a world with COVID-19: identification of current and future priorities, challenges, and opportunities. </w:t>
      </w:r>
      <w:r w:rsidRPr="00EE42FA">
        <w:rPr>
          <w:rFonts w:ascii="Arial" w:hAnsi="Arial" w:cs="Arial"/>
          <w:i/>
          <w:iCs/>
          <w:color w:val="222222"/>
        </w:rPr>
        <w:t>Age and aging</w:t>
      </w:r>
      <w:r w:rsidRPr="00EE42FA">
        <w:rPr>
          <w:rFonts w:ascii="Arial" w:hAnsi="Arial" w:cs="Arial"/>
          <w:color w:val="222222"/>
        </w:rPr>
        <w:t>, </w:t>
      </w:r>
      <w:r w:rsidRPr="00EE42FA">
        <w:rPr>
          <w:rFonts w:ascii="Arial" w:hAnsi="Arial" w:cs="Arial"/>
          <w:i/>
          <w:iCs/>
          <w:color w:val="222222"/>
        </w:rPr>
        <w:t>49</w:t>
      </w:r>
      <w:r w:rsidRPr="00EE42FA">
        <w:rPr>
          <w:rFonts w:ascii="Arial" w:hAnsi="Arial" w:cs="Arial"/>
          <w:color w:val="222222"/>
        </w:rPr>
        <w:t>(6), pp.901-906.</w:t>
      </w:r>
    </w:p>
    <w:p w14:paraId="7F313385"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color w:val="222222"/>
        </w:rPr>
        <w:t>Richardson, D.L., Duncan, M.J., Clarke, N.D., Myers, T.D. and Tallis, J., 2021. The influence of COVID-19 measures in the United Kingdom on physical activity levels perceived physical function and mood in older adults: A survey-based observational study. </w:t>
      </w:r>
      <w:r w:rsidRPr="00EE42FA">
        <w:rPr>
          <w:rFonts w:ascii="Arial" w:hAnsi="Arial" w:cs="Arial"/>
          <w:i/>
          <w:iCs/>
          <w:color w:val="222222"/>
        </w:rPr>
        <w:t>Journal of Sports Sciences</w:t>
      </w:r>
      <w:r w:rsidRPr="00EE42FA">
        <w:rPr>
          <w:rFonts w:ascii="Arial" w:hAnsi="Arial" w:cs="Arial"/>
          <w:color w:val="222222"/>
        </w:rPr>
        <w:t>, </w:t>
      </w:r>
      <w:r w:rsidRPr="00EE42FA">
        <w:rPr>
          <w:rFonts w:ascii="Arial" w:hAnsi="Arial" w:cs="Arial"/>
          <w:i/>
          <w:iCs/>
          <w:color w:val="222222"/>
        </w:rPr>
        <w:t>39</w:t>
      </w:r>
      <w:r w:rsidRPr="00EE42FA">
        <w:rPr>
          <w:rFonts w:ascii="Arial" w:hAnsi="Arial" w:cs="Arial"/>
          <w:color w:val="222222"/>
        </w:rPr>
        <w:t>(8), pp.887-899.</w:t>
      </w:r>
    </w:p>
    <w:p w14:paraId="1D92717A"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Roberts M., 2020. </w:t>
      </w:r>
      <w:r w:rsidRPr="00EE42FA">
        <w:rPr>
          <w:rFonts w:ascii="Arial" w:hAnsi="Arial" w:cs="Arial"/>
          <w:i/>
          <w:iCs/>
        </w:rPr>
        <w:t xml:space="preserve">Coronavirus: “Segment </w:t>
      </w:r>
      <w:proofErr w:type="gramStart"/>
      <w:r w:rsidRPr="00EE42FA">
        <w:rPr>
          <w:rFonts w:ascii="Arial" w:hAnsi="Arial" w:cs="Arial"/>
          <w:i/>
          <w:iCs/>
        </w:rPr>
        <w:t>And</w:t>
      </w:r>
      <w:proofErr w:type="gramEnd"/>
      <w:r w:rsidRPr="00EE42FA">
        <w:rPr>
          <w:rFonts w:ascii="Arial" w:hAnsi="Arial" w:cs="Arial"/>
          <w:i/>
          <w:iCs/>
        </w:rPr>
        <w:t xml:space="preserve"> Shield” Way to Lift UK Lockdown Now</w:t>
      </w:r>
      <w:r w:rsidRPr="00EE42FA">
        <w:rPr>
          <w:rFonts w:ascii="Arial" w:hAnsi="Arial" w:cs="Arial"/>
        </w:rPr>
        <w:t>. BBC News. Available online at: </w:t>
      </w:r>
      <w:hyperlink r:id="rId14" w:history="1">
        <w:r w:rsidRPr="00EE42FA">
          <w:rPr>
            <w:rFonts w:ascii="Arial" w:hAnsi="Arial" w:cs="Arial"/>
          </w:rPr>
          <w:t>https://www.bbc.com/news/health-52542108</w:t>
        </w:r>
      </w:hyperlink>
      <w:r w:rsidRPr="00EE42FA">
        <w:rPr>
          <w:rFonts w:ascii="Arial" w:hAnsi="Arial" w:cs="Arial"/>
        </w:rPr>
        <w:t>.</w:t>
      </w:r>
    </w:p>
    <w:p w14:paraId="1618080D"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 xml:space="preserve">Shankar, A., </w:t>
      </w:r>
      <w:proofErr w:type="spellStart"/>
      <w:r w:rsidRPr="00EE42FA">
        <w:rPr>
          <w:rFonts w:ascii="Arial" w:hAnsi="Arial" w:cs="Arial"/>
        </w:rPr>
        <w:t>Rafnsson</w:t>
      </w:r>
      <w:proofErr w:type="spellEnd"/>
      <w:r w:rsidRPr="00EE42FA">
        <w:rPr>
          <w:rFonts w:ascii="Arial" w:hAnsi="Arial" w:cs="Arial"/>
        </w:rPr>
        <w:t>, S.B. and Steptoe, A., 2015. Longitudinal associations between social connections and subjective wellbeing in the English Longitudinal Study of Ageing. </w:t>
      </w:r>
      <w:r w:rsidRPr="00EE42FA">
        <w:rPr>
          <w:rFonts w:ascii="Arial" w:hAnsi="Arial" w:cs="Arial"/>
          <w:i/>
          <w:iCs/>
        </w:rPr>
        <w:t>Psychology &amp; Health</w:t>
      </w:r>
      <w:r w:rsidRPr="00EE42FA">
        <w:rPr>
          <w:rFonts w:ascii="Arial" w:hAnsi="Arial" w:cs="Arial"/>
        </w:rPr>
        <w:t>, </w:t>
      </w:r>
      <w:r w:rsidRPr="00EE42FA">
        <w:rPr>
          <w:rFonts w:ascii="Arial" w:hAnsi="Arial" w:cs="Arial"/>
          <w:i/>
          <w:iCs/>
        </w:rPr>
        <w:t>30</w:t>
      </w:r>
      <w:r w:rsidRPr="00EE42FA">
        <w:rPr>
          <w:rFonts w:ascii="Arial" w:hAnsi="Arial" w:cs="Arial"/>
        </w:rPr>
        <w:t>(6), pp.686-698.</w:t>
      </w:r>
    </w:p>
    <w:p w14:paraId="32F98D13" w14:textId="77777777" w:rsidR="00EE42FA" w:rsidRPr="00EE42FA" w:rsidRDefault="00EE42FA" w:rsidP="00EE42FA">
      <w:pPr>
        <w:autoSpaceDE w:val="0"/>
        <w:autoSpaceDN w:val="0"/>
        <w:adjustRightInd w:val="0"/>
        <w:spacing w:before="100" w:line="360" w:lineRule="auto"/>
        <w:ind w:left="720" w:right="-720" w:hanging="720"/>
        <w:jc w:val="both"/>
        <w:rPr>
          <w:rFonts w:ascii="Arial" w:hAnsi="Arial" w:cs="Arial"/>
        </w:rPr>
      </w:pPr>
      <w:r w:rsidRPr="00EE42FA">
        <w:rPr>
          <w:rFonts w:ascii="Arial" w:hAnsi="Arial" w:cs="Arial"/>
        </w:rPr>
        <w:t>The King’s Fund. (2020). </w:t>
      </w:r>
      <w:r w:rsidRPr="00EE42FA">
        <w:rPr>
          <w:rFonts w:ascii="Arial" w:hAnsi="Arial" w:cs="Arial"/>
          <w:i/>
          <w:iCs/>
        </w:rPr>
        <w:t>How Covid-19 has magnified some of the social care’s key problems</w:t>
      </w:r>
      <w:r w:rsidRPr="00EE42FA">
        <w:rPr>
          <w:rFonts w:ascii="Arial" w:hAnsi="Arial" w:cs="Arial"/>
        </w:rPr>
        <w:t xml:space="preserve">. [online] Available at: </w:t>
      </w:r>
      <w:hyperlink r:id="rId15" w:history="1">
        <w:r w:rsidRPr="00EE42FA">
          <w:rPr>
            <w:rFonts w:ascii="Arial" w:hAnsi="Arial" w:cs="Arial"/>
          </w:rPr>
          <w:t>https://www.kingsfund.org.uk/publications/covid-19-magnified-social-care-pwcB</w:t>
        </w:r>
      </w:hyperlink>
      <w:r w:rsidRPr="00EE42FA">
        <w:rPr>
          <w:rFonts w:ascii="Arial" w:hAnsi="Arial" w:cs="Arial"/>
        </w:rPr>
        <w:t xml:space="preserve"> [Accessed 26 Mar. 2022].</w:t>
      </w:r>
    </w:p>
    <w:p w14:paraId="37327760" w14:textId="2AA5EE24" w:rsidR="00F42215" w:rsidRPr="00EE42FA" w:rsidRDefault="00EE42FA" w:rsidP="00EE42FA">
      <w:pPr>
        <w:rPr>
          <w:rFonts w:ascii="Arial" w:hAnsi="Arial" w:cs="Arial"/>
        </w:rPr>
      </w:pPr>
      <w:proofErr w:type="spellStart"/>
      <w:r w:rsidRPr="00EE42FA">
        <w:rPr>
          <w:rFonts w:ascii="Arial" w:hAnsi="Arial" w:cs="Arial"/>
        </w:rPr>
        <w:t>Viña</w:t>
      </w:r>
      <w:proofErr w:type="spellEnd"/>
      <w:r w:rsidRPr="00EE42FA">
        <w:rPr>
          <w:rFonts w:ascii="Arial" w:hAnsi="Arial" w:cs="Arial"/>
        </w:rPr>
        <w:t xml:space="preserve">, J., </w:t>
      </w:r>
      <w:proofErr w:type="spellStart"/>
      <w:r w:rsidRPr="00EE42FA">
        <w:rPr>
          <w:rFonts w:ascii="Arial" w:hAnsi="Arial" w:cs="Arial"/>
        </w:rPr>
        <w:t>Borrás</w:t>
      </w:r>
      <w:proofErr w:type="spellEnd"/>
      <w:r w:rsidRPr="00EE42FA">
        <w:rPr>
          <w:rFonts w:ascii="Arial" w:hAnsi="Arial" w:cs="Arial"/>
        </w:rPr>
        <w:t>, C. and Miquel, J., 2007. Theories of ageing. </w:t>
      </w:r>
      <w:r w:rsidRPr="00EE42FA">
        <w:rPr>
          <w:rFonts w:ascii="Arial" w:hAnsi="Arial" w:cs="Arial"/>
          <w:i/>
          <w:iCs/>
        </w:rPr>
        <w:t>IUBMB life</w:t>
      </w:r>
      <w:r w:rsidRPr="00EE42FA">
        <w:rPr>
          <w:rFonts w:ascii="Arial" w:hAnsi="Arial" w:cs="Arial"/>
        </w:rPr>
        <w:t>, </w:t>
      </w:r>
      <w:r w:rsidRPr="00EE42FA">
        <w:rPr>
          <w:rFonts w:ascii="Arial" w:hAnsi="Arial" w:cs="Arial"/>
          <w:i/>
          <w:iCs/>
        </w:rPr>
        <w:t>59</w:t>
      </w:r>
      <w:r w:rsidRPr="00EE42FA">
        <w:rPr>
          <w:rFonts w:ascii="Arial" w:hAnsi="Arial" w:cs="Arial"/>
        </w:rPr>
        <w:t>(4</w:t>
      </w:r>
      <w:r w:rsidRPr="00EE42FA">
        <w:rPr>
          <w:rFonts w:ascii="Cambria Math" w:hAnsi="Cambria Math" w:cs="Cambria Math"/>
        </w:rPr>
        <w:t>‐</w:t>
      </w:r>
      <w:r w:rsidRPr="00EE42FA">
        <w:rPr>
          <w:rFonts w:ascii="Arial" w:hAnsi="Arial" w:cs="Arial"/>
        </w:rPr>
        <w:t>5), pp.249-254.</w:t>
      </w:r>
      <w:hyperlink r:id="rId16" w:history="1">
        <w:r w:rsidRPr="00EE42FA">
          <w:rPr>
            <w:rFonts w:ascii="Arial" w:hAnsi="Arial" w:cs="Arial"/>
            <w:color w:val="0000FF"/>
            <w:u w:val="single" w:color="0000FF"/>
          </w:rPr>
          <w:t>https://commonslibrary.parliament.uk/research-briefings/cbp 9239/#:~:text=The%20UK's%20ageing%20population</w:t>
        </w:r>
      </w:hyperlink>
      <w:hyperlink r:id="rId17" w:history="1">
        <w:r w:rsidRPr="00EE42FA">
          <w:rPr>
            <w:rFonts w:ascii="Arial" w:hAnsi="Arial" w:cs="Arial"/>
            <w:color w:val="0000FF"/>
            <w:u w:val="single" w:color="0000FF"/>
          </w:rPr>
          <w:t>&amp;</w:t>
        </w:r>
      </w:hyperlink>
      <w:r w:rsidRPr="00EE42FA">
        <w:rPr>
          <w:rFonts w:ascii="Arial" w:hAnsi="Arial" w:cs="Arial"/>
          <w:color w:val="0000FF"/>
          <w:u w:val="single" w:color="0000FF"/>
        </w:rPr>
        <w:t>text=Around%20one%2Dfifth%20of%20the,population%20only%20increased%20by%207%25.</w:t>
      </w:r>
    </w:p>
    <w:sectPr w:rsidR="00F42215" w:rsidRPr="00EE42FA" w:rsidSect="0098705A">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215"/>
    <w:rsid w:val="00747506"/>
    <w:rsid w:val="007D3802"/>
    <w:rsid w:val="00AD340A"/>
    <w:rsid w:val="00B8008F"/>
    <w:rsid w:val="00E562E8"/>
    <w:rsid w:val="00EE42FA"/>
    <w:rsid w:val="00F42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810F65"/>
  <w15:chartTrackingRefBased/>
  <w15:docId w15:val="{B12FB8AC-871F-9C44-BBCC-981C98ED4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j.co.uk/policy-and-regulation/discharges-to-care-homes-increased-year-on-year-during-critical-period/7027765.article" TargetMode="External"/><Relationship Id="rId13" Type="http://schemas.openxmlformats.org/officeDocument/2006/relationships/hyperlink" Target="https://assets.publishing.service.gov.uk/gov"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ao.org.uk/wp-content/uploads/2020/06/Readying-the-NHS-and-adult-social-care-in-Eng" TargetMode="External"/><Relationship Id="rId12" Type="http://schemas.openxmlformats.org/officeDocument/2006/relationships/hyperlink" Target="https://ifs.org.uk/publications/1516" TargetMode="External"/><Relationship Id="rId17" Type="http://schemas.openxmlformats.org/officeDocument/2006/relationships/hyperlink" Target="https://commonslibrary.parliament.uk/research-briefings/cbp%209239/#:~:text=The%20UK's%20ageing%20population&amp;text=Around%20one-fifth%20of%20the,population%20only%20increased%20by%207%25" TargetMode="External"/><Relationship Id="rId2" Type="http://schemas.openxmlformats.org/officeDocument/2006/relationships/settings" Target="settings.xml"/><Relationship Id="rId16" Type="http://schemas.openxmlformats.org/officeDocument/2006/relationships/hyperlink" Target="https://commonslibrary.parliament.uk/researc" TargetMode="External"/><Relationship Id="rId1" Type="http://schemas.openxmlformats.org/officeDocument/2006/relationships/styles" Target="styles.xml"/><Relationship Id="rId6" Type="http://schemas.openxmlformats.org/officeDocument/2006/relationships/hyperlink" Target="https://www.cqc.org.uk" TargetMode="External"/><Relationship Id="rId11" Type="http://schemas.openxmlformats.org/officeDocument/2006/relationships/hyperlink" Target="https://www.ons.gov.uk/file?uri=/peoplepopulationandcommunity/birthsdeathsandmarriages/deaths/datasets/carehomeresidentdeathsregisteredi" TargetMode="External"/><Relationship Id="rId5" Type="http://schemas.openxmlformats.org/officeDocument/2006/relationships/hyperlink" Target="https://ww" TargetMode="External"/><Relationship Id="rId15" Type="http://schemas.openxmlformats.org/officeDocument/2006/relationships/hyperlink" Target="https://www.king" TargetMode="External"/><Relationship Id="rId10" Type="http://schemas.openxmlformats.org/officeDocument/2006/relationships/hyperlink" Target="https://www.ons.gov.uk/" TargetMode="External"/><Relationship Id="rId19" Type="http://schemas.openxmlformats.org/officeDocument/2006/relationships/theme" Target="theme/theme1.xml"/><Relationship Id="rId4" Type="http://schemas.openxmlformats.org/officeDocument/2006/relationships/hyperlink" Target="https://www.cdc.gov/nchs/nvss/vsrr/covid_weekly/index.htm" TargetMode="External"/><Relationship Id="rId9" Type="http://schemas.openxmlformats.org/officeDocument/2006/relationships/hyperlink" Target="https://www.cdc.gov/nchs/nvss/vsrr/COVID19/index.htm" TargetMode="External"/><Relationship Id="rId14" Type="http://schemas.openxmlformats.org/officeDocument/2006/relationships/hyperlink" Target="https://www.bbc.com/news/health-525421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10</Pages>
  <Words>3418</Words>
  <Characters>19485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roxmikri354@gmail.com</dc:creator>
  <cp:keywords/>
  <dc:description/>
  <cp:lastModifiedBy>roxmikri354@gmail.com</cp:lastModifiedBy>
  <cp:revision>2</cp:revision>
  <dcterms:created xsi:type="dcterms:W3CDTF">2022-04-07T17:48:00Z</dcterms:created>
  <dcterms:modified xsi:type="dcterms:W3CDTF">2022-04-07T20:04:00Z</dcterms:modified>
</cp:coreProperties>
</file>