
<file path=[Content_Types].xml><?xml version="1.0" encoding="utf-8"?>
<Types xmlns="http://schemas.openxmlformats.org/package/2006/content-types">
  <Default ContentType="application/xml" Extension="xml"/>
  <Default ContentType="application/vnd.openxmlformats-officedocument.obfuscatedFont" Extension="odttf"/>
  <Default ContentType="application/vnd.openxmlformats-package.relationships+xml" Extension="rels"/>
  <Override ContentType="application/vnd.openxmlformats-officedocument.wordprocessingml.settings+xml" PartName="/word/settings.xml"/>
  <Override ContentType="application/vnd.openxmlformats-officedocument.wordprocessingml.styles+xml" PartName="/word/styles.xml"/>
  <Override ContentType="application/vnd.openxmlformats-officedocument.wordprocessingml.footer+xml" PartName="/word/footer1.xml"/>
  <Override ContentType="application/vnd.openxmlformats-officedocument.wordprocessingml.fontTable+xml" PartName="/word/fontTable.xml"/>
  <Override ContentType="application/vnd.openxmlformats-officedocument.wordprocessingml.numbering+xml" PartName="/word/numbering.xml"/>
  <Override ContentType="application/vnd.openxmlformats-officedocument.wordprocessingml.document.main+xml" PartName="/word/document.xml"/>
  <Override ContentType="application/vnd.openxmlformats-officedocument.theme+xml" PartName="/word/theme/theme1.xml"/>
</Types>
</file>

<file path=_rels/.rels><?xml version="1.0" encoding="UTF-8" standalone="yes"?><Relationships xmlns="http://schemas.openxmlformats.org/package/2006/relationships"><Relationship Id="rId1" Type="http://schemas.openxmlformats.org/officeDocument/2006/relationships/officeDocument" Target="word/document.xml"/></Relationships>
</file>

<file path=word/document.xml><?xml version="1.0" encoding="utf-8"?>
<w:document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xmlns:w16="http://schemas.microsoft.com/office/word/2018/wordml" xmlns:w16cex="http://schemas.microsoft.com/office/word/2018/wordml/cex" xmlns:w16cid="http://schemas.microsoft.com/office/word/2016/wordml/cid" xmlns="http://schemas.microsoft.com/office/tasks/2019/documenttasks" xmlns:cr="http://schemas.microsoft.com/office/comments/2020/reactions">
  <w:body>
    <w:p w:rsidR="00000000" w:rsidDel="00000000" w:rsidP="00000000" w:rsidRDefault="00000000" w:rsidRPr="00000000" w14:paraId="00000001">
      <w:pPr>
        <w:spacing w:after="40" w:before="600" w:lineRule="auto"/>
        <w:rPr/>
      </w:pPr>
      <w:r w:rsidDel="00000000" w:rsidR="00000000" w:rsidRPr="00000000">
        <w:rPr>
          <w:b w:val="1"/>
          <w:bCs w:val="1"/>
          <w:color w:val="4b2c7a"/>
          <w:sz w:val="20"/>
          <w:szCs w:val="20"/>
          <w:rtl w:val="0"/>
        </w:rPr>
        <w:t xml:space="preserve">ADVANCED DOCTORAL RESEARCH SKILLS  ·  DBA PROGRAMME</w:t>
      </w:r>
      <w:r w:rsidDel="00000000" w:rsidR="00000000" w:rsidRPr="00000000">
        <w:rPr>
          <w:rtl w:val="0"/>
        </w:rPr>
      </w:r>
    </w:p>
    <w:p w:rsidR="00000000" w:rsidDel="00000000" w:rsidP="00000000" w:rsidRDefault="00000000" w:rsidRPr="00000000" w14:paraId="00000002">
      <w:pPr>
        <w:pBdr>
          <w:bottom w:color="9a7b16" w:space="10" w:sz="18" w:val="single"/>
        </w:pBdr>
        <w:spacing w:after="0" w:lineRule="auto"/>
        <w:rPr/>
      </w:pPr>
      <w:r w:rsidDel="00000000" w:rsidR="00000000" w:rsidRPr="00000000">
        <w:rPr>
          <w:rFonts w:ascii="Cambria" w:cs="Cambria" w:eastAsia="Cambria" w:hAnsi="Cambria"/>
          <w:b w:val="1"/>
          <w:bCs w:val="1"/>
          <w:color w:val="222222"/>
          <w:sz w:val="52"/>
          <w:szCs w:val="52"/>
          <w:rtl w:val="0"/>
        </w:rPr>
        <w:t xml:space="preserve">Mixed Methods Research</w:t>
      </w:r>
      <w:r w:rsidDel="00000000" w:rsidR="00000000" w:rsidRPr="00000000">
        <w:rPr>
          <w:rtl w:val="0"/>
        </w:rPr>
      </w:r>
    </w:p>
    <w:p w:rsidR="00000000" w:rsidDel="00000000" w:rsidP="00000000" w:rsidRDefault="00000000" w:rsidRPr="00000000" w14:paraId="00000003">
      <w:pPr>
        <w:spacing w:after="200" w:before="220" w:lineRule="auto"/>
        <w:rPr/>
      </w:pPr>
      <w:r w:rsidDel="00000000" w:rsidR="00000000" w:rsidRPr="00000000">
        <w:rPr>
          <w:i w:val="1"/>
          <w:iCs w:val="1"/>
          <w:color w:val="5e6975"/>
          <w:sz w:val="26"/>
          <w:szCs w:val="26"/>
          <w:rtl w:val="0"/>
        </w:rPr>
        <w:t xml:space="preserve">A practitioner supplement</w:t>
      </w:r>
      <w:r w:rsidDel="00000000" w:rsidR="00000000" w:rsidRPr="00000000">
        <w:rPr>
          <w:rtl w:val="0"/>
        </w:rPr>
      </w:r>
    </w:p>
    <w:p w:rsidR="00000000" w:rsidDel="00000000" w:rsidP="00000000" w:rsidRDefault="00000000" w:rsidRPr="00000000" w14:paraId="00000004">
      <w:pPr>
        <w:spacing w:after="70" w:lineRule="auto"/>
        <w:rPr/>
      </w:pPr>
      <w:r w:rsidDel="00000000" w:rsidR="00000000" w:rsidRPr="00000000">
        <w:rPr>
          <w:color w:val="222222"/>
          <w:sz w:val="21"/>
          <w:szCs w:val="21"/>
          <w:rtl w:val="0"/>
        </w:rPr>
        <w:t xml:space="preserve">Pragmatism, the three core designs and the integration that makes it one study</w:t>
      </w:r>
      <w:r w:rsidDel="00000000" w:rsidR="00000000" w:rsidRPr="00000000">
        <w:rPr>
          <w:rtl w:val="0"/>
        </w:rPr>
      </w:r>
    </w:p>
    <w:p w:rsidR="00000000" w:rsidDel="00000000" w:rsidP="00000000" w:rsidRDefault="00000000" w:rsidRPr="00000000" w14:paraId="00000005">
      <w:pPr>
        <w:spacing w:after="70" w:lineRule="auto"/>
        <w:rPr/>
      </w:pPr>
      <w:r w:rsidDel="00000000" w:rsidR="00000000" w:rsidRPr="00000000">
        <w:rPr>
          <w:color w:val="222222"/>
          <w:sz w:val="21"/>
          <w:szCs w:val="21"/>
          <w:rtl w:val="0"/>
        </w:rPr>
        <w:t xml:space="preserve">Companion to the workshop and to the explanatory sequential supplement</w:t>
      </w:r>
      <w:r w:rsidDel="00000000" w:rsidR="00000000" w:rsidRPr="00000000">
        <w:rPr>
          <w:rtl w:val="0"/>
        </w:rPr>
      </w:r>
    </w:p>
    <w:p w:rsidR="00000000" w:rsidDel="00000000" w:rsidP="00000000" w:rsidRDefault="00000000" w:rsidRPr="00000000" w14:paraId="00000006">
      <w:pPr>
        <w:spacing w:after="70" w:lineRule="auto"/>
        <w:rPr/>
      </w:pPr>
      <w:r w:rsidDel="00000000" w:rsidR="00000000" w:rsidRPr="00000000">
        <w:rPr>
          <w:color w:val="222222"/>
          <w:sz w:val="21"/>
          <w:szCs w:val="21"/>
          <w:rtl w:val="0"/>
        </w:rPr>
        <w:t xml:space="preserve">Drawing on the foundational literature: Morse (1991) on notation, Creswell and Plano Clark (2018) on design, Fetters et al (2013) on integration and Onwuegbuzie and Johnson (2006) on legitimation</w:t>
      </w:r>
      <w:r w:rsidDel="00000000" w:rsidR="00000000" w:rsidRPr="00000000">
        <w:rPr>
          <w:rtl w:val="0"/>
        </w:rPr>
      </w:r>
    </w:p>
    <w:p w:rsidR="00000000" w:rsidDel="00000000" w:rsidP="00000000" w:rsidRDefault="00000000" w:rsidRPr="00000000" w14:paraId="00000007">
      <w:pPr>
        <w:spacing w:after="30" w:before="320" w:lineRule="auto"/>
        <w:rPr/>
      </w:pPr>
      <w:r w:rsidDel="00000000" w:rsidR="00000000" w:rsidRPr="00000000">
        <w:rPr>
          <w:b w:val="1"/>
          <w:bCs w:val="1"/>
          <w:color w:val="4b2c7a"/>
          <w:sz w:val="24"/>
          <w:szCs w:val="24"/>
          <w:rtl w:val="0"/>
        </w:rPr>
        <w:t xml:space="preserve">Dr Caroline Jawad</w:t>
      </w:r>
      <w:r w:rsidDel="00000000" w:rsidR="00000000" w:rsidRPr="00000000">
        <w:rPr>
          <w:rtl w:val="0"/>
        </w:rPr>
      </w:r>
    </w:p>
    <w:p w:rsidR="00000000" w:rsidDel="00000000" w:rsidP="00000000" w:rsidRDefault="00000000" w:rsidRPr="00000000" w14:paraId="00000008">
      <w:pPr>
        <w:spacing w:after="0" w:lineRule="auto"/>
        <w:rPr/>
      </w:pPr>
      <w:r w:rsidDel="00000000" w:rsidR="00000000" w:rsidRPr="00000000">
        <w:rPr>
          <w:color w:val="5e6975"/>
          <w:sz w:val="20"/>
          <w:szCs w:val="20"/>
          <w:rtl w:val="0"/>
        </w:rPr>
        <w:t xml:space="preserve">Swansea Business School, University of Wales Trinity Saint David</w:t>
      </w:r>
      <w:r w:rsidDel="00000000" w:rsidR="00000000" w:rsidRPr="00000000">
        <w:rPr>
          <w:rtl w:val="0"/>
        </w:rPr>
      </w:r>
    </w:p>
    <w:p w:rsidR="00000000" w:rsidDel="00000000" w:rsidP="00000000" w:rsidRDefault="00000000" w:rsidRPr="00000000" w14:paraId="00000009">
      <w:pPr>
        <w:rPr/>
      </w:pPr>
      <w:r w:rsidDel="00000000" w:rsidR="00000000" w:rsidRPr="00000000">
        <w:br w:type="page"/>
      </w:r>
      <w:r w:rsidDel="00000000" w:rsidR="00000000" w:rsidRPr="00000000">
        <w:rPr>
          <w:rtl w:val="0"/>
        </w:rPr>
      </w:r>
    </w:p>
    <w:p w:rsidR="00000000" w:rsidDel="00000000" w:rsidP="00000000" w:rsidRDefault="00000000" w:rsidRPr="00000000" w14:paraId="0000000A">
      <w:pPr>
        <w:pStyle w:val="Heading1"/>
        <w:rPr/>
      </w:pPr>
      <w:r w:rsidDel="00000000" w:rsidR="00000000" w:rsidRPr="00000000">
        <w:rPr>
          <w:rtl w:val="0"/>
        </w:rPr>
        <w:t xml:space="preserve">1   Why this supplement</w:t>
      </w:r>
    </w:p>
    <w:p w:rsidR="00000000" w:rsidDel="00000000" w:rsidP="00000000" w:rsidRDefault="00000000" w:rsidRPr="00000000" w14:paraId="0000000B">
      <w:pPr>
        <w:spacing w:after="120" w:line="264" w:lineRule="auto"/>
        <w:jc w:val="left"/>
        <w:rPr/>
      </w:pPr>
      <w:r w:rsidDel="00000000" w:rsidR="00000000" w:rsidRPr="00000000">
        <w:rPr>
          <w:b w:val="0"/>
          <w:bCs w:val="0"/>
          <w:i w:val="0"/>
          <w:iCs w:val="0"/>
          <w:color w:val="222222"/>
          <w:sz w:val="21"/>
          <w:szCs w:val="21"/>
          <w:rtl w:val="0"/>
        </w:rPr>
        <w:t xml:space="preserve">Mixed methods is where many DBA candidates land, because the practical problems they study rarely respect the line between qualitative and quantitative. This supplement sets out what mixed methods is, where its paradigm sits, how the three core designs differ and, above all, how the strands are brought together, because integration is the difference between a genuine mixed methods study and two separate studies stapled into one document. It complements the qualitative supplements rather than replacing them. The qualitative strand here still needs the rigour those supplements describe. The explanatory sequential supplement treats that one design in greater depth.</w:t>
      </w:r>
      <w:r w:rsidDel="00000000" w:rsidR="00000000" w:rsidRPr="00000000">
        <w:rPr>
          <w:rtl w:val="0"/>
        </w:rPr>
      </w:r>
    </w:p>
    <w:p w:rsidR="00000000" w:rsidDel="00000000" w:rsidP="00000000" w:rsidRDefault="00000000" w:rsidRPr="00000000" w14:paraId="0000000C">
      <w:pPr>
        <w:pStyle w:val="Heading1"/>
        <w:rPr/>
      </w:pPr>
      <w:r w:rsidDel="00000000" w:rsidR="00000000" w:rsidRPr="00000000">
        <w:rPr>
          <w:rtl w:val="0"/>
        </w:rPr>
        <w:t xml:space="preserve">2   What mixed methods is</w:t>
      </w:r>
    </w:p>
    <w:p w:rsidR="00000000" w:rsidDel="00000000" w:rsidP="00000000" w:rsidRDefault="00000000" w:rsidRPr="00000000" w14:paraId="0000000D">
      <w:pPr>
        <w:spacing w:after="120" w:line="264" w:lineRule="auto"/>
        <w:jc w:val="left"/>
        <w:rPr/>
      </w:pPr>
      <w:r w:rsidDel="00000000" w:rsidR="00000000" w:rsidRPr="00000000">
        <w:rPr>
          <w:b w:val="1"/>
          <w:bCs w:val="1"/>
          <w:i w:val="0"/>
          <w:iCs w:val="0"/>
          <w:color w:val="222222"/>
          <w:sz w:val="21"/>
          <w:szCs w:val="21"/>
          <w:rtl w:val="0"/>
        </w:rPr>
        <w:t xml:space="preserve">Johnson, Onwuegbuzie and Turner (2007, p.123) </w:t>
      </w:r>
      <w:r w:rsidDel="00000000" w:rsidR="00000000" w:rsidRPr="00000000">
        <w:rPr>
          <w:b w:val="0"/>
          <w:bCs w:val="0"/>
          <w:i w:val="0"/>
          <w:iCs w:val="0"/>
          <w:color w:val="222222"/>
          <w:sz w:val="21"/>
          <w:szCs w:val="21"/>
          <w:rtl w:val="0"/>
        </w:rPr>
        <w:t xml:space="preserve">define it as research that combines elements of qualitative and quantitative approaches, in viewpoints, data collection, analysis or inference, for the broad purposes of breadth, depth and corroboration. Three features matter. It combines both kinds of work. It integrates them at one or more points. Its purpose is a fuller understanding than either gives alone.</w:t>
      </w:r>
      <w:r w:rsidDel="00000000" w:rsidR="00000000" w:rsidRPr="00000000">
        <w:rPr>
          <w:rtl w:val="0"/>
        </w:rPr>
      </w:r>
    </w:p>
    <w:p w:rsidR="00000000" w:rsidDel="00000000" w:rsidP="00000000" w:rsidRDefault="00000000" w:rsidRPr="00000000" w14:paraId="0000000E">
      <w:pPr>
        <w:spacing w:after="120" w:line="264" w:lineRule="auto"/>
        <w:jc w:val="left"/>
        <w:rPr/>
      </w:pPr>
      <w:r w:rsidDel="00000000" w:rsidR="00000000" w:rsidRPr="00000000">
        <w:rPr>
          <w:b w:val="1"/>
          <w:bCs w:val="1"/>
          <w:i w:val="0"/>
          <w:iCs w:val="0"/>
          <w:color w:val="222222"/>
          <w:sz w:val="21"/>
          <w:szCs w:val="21"/>
          <w:rtl w:val="0"/>
        </w:rPr>
        <w:t xml:space="preserve">A simple intuition. </w:t>
      </w:r>
      <w:r w:rsidDel="00000000" w:rsidR="00000000" w:rsidRPr="00000000">
        <w:rPr>
          <w:b w:val="0"/>
          <w:bCs w:val="0"/>
          <w:i w:val="0"/>
          <w:iCs w:val="0"/>
          <w:color w:val="222222"/>
          <w:sz w:val="21"/>
          <w:szCs w:val="21"/>
          <w:rtl w:val="0"/>
        </w:rPr>
        <w:t xml:space="preserve">Picture a road accident. The police measure the skid marks and record the numbers. That is the quantitative account, accurate and at scale. You then ask the person beside you what happened and they tell you the story. That is the qualitative account, full of meaning and context. Put the two together and you understand more than either gives on its own. That extra understanding is what mixed methods is for.</w:t>
      </w:r>
      <w:r w:rsidDel="00000000" w:rsidR="00000000" w:rsidRPr="00000000">
        <w:rPr>
          <w:rtl w:val="0"/>
        </w:rPr>
      </w:r>
    </w:p>
    <w:tbl>
      <w:tblPr>
        <w:tblStyle w:val="Table1"/>
        <w:tblW w:w="9360.0" w:type="dxa"/>
        <w:jc w:val="left"/>
        <w:tblBorders>
          <w:top w:color="dad3e6" w:space="0" w:sz="4" w:val="single"/>
          <w:left w:color="dad3e6" w:space="0" w:sz="4" w:val="single"/>
          <w:bottom w:color="dad3e6" w:space="0" w:sz="4" w:val="single"/>
          <w:right w:color="dad3e6" w:space="0" w:sz="4" w:val="single"/>
          <w:insideH w:color="000000" w:space="0" w:sz="4" w:val="single"/>
          <w:insideV w:color="000000" w:space="0" w:sz="4" w:val="single"/>
        </w:tblBorders>
        <w:tblLayout w:type="fixed"/>
        <w:tblLook w:val="0000"/>
      </w:tblPr>
      <w:tblGrid>
        <w:gridCol w:w="9360"/>
        <w:tblGridChange w:id="0">
          <w:tblGrid>
            <w:gridCol w:w="9360"/>
          </w:tblGrid>
        </w:tblGridChange>
      </w:tblGrid>
      <w:tr>
        <w:trPr>
          <w:cantSplit w:val="0"/>
          <w:tblHeader w:val="0"/>
        </w:trPr>
        <w:tc>
          <w:tcPr>
            <w:shd w:fill="f3f0f9" w:val="clear"/>
            <w:tcMar>
              <w:top w:w="130.0" w:type="dxa"/>
              <w:left w:w="200.0" w:type="dxa"/>
              <w:bottom w:w="130.0" w:type="dxa"/>
              <w:right w:w="200.0" w:type="dxa"/>
            </w:tcMar>
          </w:tcPr>
          <w:p w:rsidR="00000000" w:rsidDel="00000000" w:rsidP="00000000" w:rsidRDefault="00000000" w:rsidRPr="00000000" w14:paraId="0000000F">
            <w:pPr>
              <w:spacing w:after="0" w:line="261.99999999999994" w:lineRule="auto"/>
              <w:rPr/>
            </w:pPr>
            <w:r w:rsidDel="00000000" w:rsidR="00000000" w:rsidRPr="00000000">
              <w:rPr>
                <w:b w:val="1"/>
                <w:bCs w:val="1"/>
                <w:i w:val="0"/>
                <w:iCs w:val="0"/>
                <w:color w:val="4b2c7a"/>
                <w:sz w:val="21"/>
                <w:szCs w:val="21"/>
                <w:rtl w:val="0"/>
              </w:rPr>
              <w:t xml:space="preserve">Not simply doing both. </w:t>
            </w:r>
            <w:r w:rsidDel="00000000" w:rsidR="00000000" w:rsidRPr="00000000">
              <w:rPr>
                <w:b w:val="0"/>
                <w:bCs w:val="0"/>
                <w:i w:val="0"/>
                <w:iCs w:val="0"/>
                <w:color w:val="222222"/>
                <w:sz w:val="21"/>
                <w:szCs w:val="21"/>
                <w:rtl w:val="0"/>
              </w:rPr>
              <w:t xml:space="preserve">Mixed methods is a distinct methodology, the third methodological movement, with its own philosophical foundations, designs and quality criteria. Collecting both kinds of data without bringing them together is not yet mixed methods research.</w:t>
            </w:r>
            <w:r w:rsidDel="00000000" w:rsidR="00000000" w:rsidRPr="00000000">
              <w:rPr>
                <w:rtl w:val="0"/>
              </w:rPr>
            </w:r>
          </w:p>
        </w:tc>
      </w:tr>
    </w:tbl>
    <w:p w:rsidR="00000000" w:rsidDel="00000000" w:rsidP="00000000" w:rsidRDefault="00000000" w:rsidRPr="00000000" w14:paraId="00000010">
      <w:pPr>
        <w:pStyle w:val="Heading1"/>
        <w:rPr/>
      </w:pPr>
      <w:r w:rsidDel="00000000" w:rsidR="00000000" w:rsidRPr="00000000">
        <w:rPr>
          <w:rtl w:val="0"/>
        </w:rPr>
        <w:t xml:space="preserve">3   Where the paradigm sits</w:t>
      </w:r>
    </w:p>
    <w:p w:rsidR="00000000" w:rsidDel="00000000" w:rsidP="00000000" w:rsidRDefault="00000000" w:rsidRPr="00000000" w14:paraId="00000011">
      <w:pPr>
        <w:spacing w:after="120" w:line="264" w:lineRule="auto"/>
        <w:jc w:val="left"/>
        <w:rPr/>
      </w:pPr>
      <w:r w:rsidDel="00000000" w:rsidR="00000000" w:rsidRPr="00000000">
        <w:rPr>
          <w:b w:val="0"/>
          <w:bCs w:val="0"/>
          <w:i w:val="0"/>
          <w:iCs w:val="0"/>
          <w:color w:val="222222"/>
          <w:sz w:val="21"/>
          <w:szCs w:val="21"/>
          <w:rtl w:val="0"/>
        </w:rPr>
        <w:t xml:space="preserve">Mixing methods raises an obvious paradigm question, because the two strands carry different assumptions. The usual home is pragmatism, Alien G in the Seven Aliens, which judges methods by what answers the problem rather than by allegiance to a single epistemology. This is the same pragmatist logic that underpins the responsible gambling exemplar in the session, where life history work and outcome evaluation sit together because the problem needs both.</w:t>
      </w:r>
      <w:r w:rsidDel="00000000" w:rsidR="00000000" w:rsidRPr="00000000">
        <w:rPr>
          <w:rtl w:val="0"/>
        </w:rPr>
      </w:r>
    </w:p>
    <w:p w:rsidR="00000000" w:rsidDel="00000000" w:rsidP="00000000" w:rsidRDefault="00000000" w:rsidRPr="00000000" w14:paraId="00000012">
      <w:pPr>
        <w:spacing w:after="120" w:line="264" w:lineRule="auto"/>
        <w:jc w:val="left"/>
        <w:rPr/>
      </w:pPr>
      <w:r w:rsidDel="00000000" w:rsidR="00000000" w:rsidRPr="00000000">
        <w:rPr>
          <w:b w:val="1"/>
          <w:bCs w:val="1"/>
          <w:i w:val="0"/>
          <w:iCs w:val="0"/>
          <w:color w:val="222222"/>
          <w:sz w:val="21"/>
          <w:szCs w:val="21"/>
          <w:rtl w:val="0"/>
        </w:rPr>
        <w:t xml:space="preserve">Pragmatism is not the only option. </w:t>
      </w:r>
      <w:r w:rsidDel="00000000" w:rsidR="00000000" w:rsidRPr="00000000">
        <w:rPr>
          <w:b w:val="0"/>
          <w:bCs w:val="0"/>
          <w:i w:val="0"/>
          <w:iCs w:val="0"/>
          <w:color w:val="222222"/>
          <w:sz w:val="21"/>
          <w:szCs w:val="21"/>
          <w:rtl w:val="0"/>
        </w:rPr>
        <w:t xml:space="preserve">Some researchers adopt a dialectical stance, holding the paradigms in tension on purpose and treating the friction as a source of insight. Others work within a single paradigm and treat the other strand as subordinate. What you cannot do is leave the question unanswered. State your paradigm and let it justify why two strands belong in one study.</w:t>
      </w:r>
      <w:r w:rsidDel="00000000" w:rsidR="00000000" w:rsidRPr="00000000">
        <w:rPr>
          <w:rtl w:val="0"/>
        </w:rPr>
      </w:r>
    </w:p>
    <w:p w:rsidR="00000000" w:rsidDel="00000000" w:rsidP="00000000" w:rsidRDefault="00000000" w:rsidRPr="00000000" w14:paraId="00000013">
      <w:pPr>
        <w:pStyle w:val="Heading1"/>
        <w:rPr/>
      </w:pPr>
      <w:r w:rsidDel="00000000" w:rsidR="00000000" w:rsidRPr="00000000">
        <w:rPr>
          <w:rtl w:val="0"/>
        </w:rPr>
        <w:t xml:space="preserve">4   Justifying the combination and internal coherence</w:t>
      </w:r>
    </w:p>
    <w:p w:rsidR="00000000" w:rsidDel="00000000" w:rsidP="00000000" w:rsidRDefault="00000000" w:rsidRPr="00000000" w14:paraId="00000014">
      <w:pPr>
        <w:spacing w:after="120" w:line="264" w:lineRule="auto"/>
        <w:jc w:val="left"/>
        <w:rPr/>
      </w:pPr>
      <w:r w:rsidDel="00000000" w:rsidR="00000000" w:rsidRPr="00000000">
        <w:rPr>
          <w:b w:val="0"/>
          <w:bCs w:val="0"/>
          <w:i w:val="0"/>
          <w:iCs w:val="0"/>
          <w:color w:val="222222"/>
          <w:sz w:val="21"/>
          <w:szCs w:val="21"/>
          <w:rtl w:val="0"/>
        </w:rPr>
        <w:t xml:space="preserve">The justification for mixing is practical. Quantitative work reveals the patterns and qualitative work explains why they occur. The strength of one strand offsets the weakness of the other: context and depth against generalisability, measurement against transferability. Pragmatism licenses the move by focusing on what answers the question rather than on philosophical origins.</w:t>
      </w:r>
      <w:r w:rsidDel="00000000" w:rsidR="00000000" w:rsidRPr="00000000">
        <w:rPr>
          <w:rtl w:val="0"/>
        </w:rPr>
      </w:r>
    </w:p>
    <w:p w:rsidR="00000000" w:rsidDel="00000000" w:rsidP="00000000" w:rsidRDefault="00000000" w:rsidRPr="00000000" w14:paraId="00000015">
      <w:pPr>
        <w:spacing w:after="120" w:line="264" w:lineRule="auto"/>
        <w:jc w:val="left"/>
        <w:rPr/>
      </w:pPr>
      <w:r w:rsidDel="00000000" w:rsidR="00000000" w:rsidRPr="00000000">
        <w:rPr>
          <w:b w:val="1"/>
          <w:bCs w:val="1"/>
          <w:i w:val="0"/>
          <w:iCs w:val="0"/>
          <w:color w:val="222222"/>
          <w:sz w:val="21"/>
          <w:szCs w:val="21"/>
          <w:rtl w:val="0"/>
        </w:rPr>
        <w:t xml:space="preserve">Internal coherence is the discipline that holds it together. </w:t>
      </w:r>
      <w:r w:rsidDel="00000000" w:rsidR="00000000" w:rsidRPr="00000000">
        <w:rPr>
          <w:b w:val="0"/>
          <w:bCs w:val="0"/>
          <w:i w:val="0"/>
          <w:iCs w:val="0"/>
          <w:color w:val="222222"/>
          <w:sz w:val="21"/>
          <w:szCs w:val="21"/>
          <w:rtl w:val="0"/>
        </w:rPr>
        <w:t xml:space="preserve">Creswell and Plano Clark (2018) hold that the research questions should correspond directly to each strand of inquiry. Every purpose needs a question driving it and every question needs a method answering it. When objectives and questions drift apart the internal logic fractures and the design loses coherence.</w:t>
      </w:r>
      <w:r w:rsidDel="00000000" w:rsidR="00000000" w:rsidRPr="00000000">
        <w:rPr>
          <w:rtl w:val="0"/>
        </w:rPr>
      </w:r>
    </w:p>
    <w:tbl>
      <w:tblPr>
        <w:tblStyle w:val="Table2"/>
        <w:tblW w:w="9360.0" w:type="dxa"/>
        <w:jc w:val="left"/>
        <w:tblBorders>
          <w:top w:color="dad3e6" w:space="0" w:sz="4" w:val="single"/>
          <w:left w:color="dad3e6" w:space="0" w:sz="4" w:val="single"/>
          <w:bottom w:color="dad3e6" w:space="0" w:sz="4" w:val="single"/>
          <w:right w:color="dad3e6" w:space="0" w:sz="4" w:val="single"/>
          <w:insideH w:color="000000" w:space="0" w:sz="4" w:val="single"/>
          <w:insideV w:color="000000" w:space="0" w:sz="4" w:val="single"/>
        </w:tblBorders>
        <w:tblLayout w:type="fixed"/>
        <w:tblLook w:val="0000"/>
      </w:tblPr>
      <w:tblGrid>
        <w:gridCol w:w="9360"/>
        <w:tblGridChange w:id="0">
          <w:tblGrid>
            <w:gridCol w:w="9360"/>
          </w:tblGrid>
        </w:tblGridChange>
      </w:tblGrid>
      <w:tr>
        <w:trPr>
          <w:cantSplit w:val="0"/>
          <w:tblHeader w:val="0"/>
        </w:trPr>
        <w:tc>
          <w:tcPr>
            <w:shd w:fill="f3f0f9" w:val="clear"/>
            <w:tcMar>
              <w:top w:w="130.0" w:type="dxa"/>
              <w:left w:w="200.0" w:type="dxa"/>
              <w:bottom w:w="130.0" w:type="dxa"/>
              <w:right w:w="200.0" w:type="dxa"/>
            </w:tcMar>
          </w:tcPr>
          <w:p w:rsidR="00000000" w:rsidDel="00000000" w:rsidP="00000000" w:rsidRDefault="00000000" w:rsidRPr="00000000" w14:paraId="00000016">
            <w:pPr>
              <w:spacing w:after="0" w:line="261.99999999999994" w:lineRule="auto"/>
              <w:rPr/>
            </w:pPr>
            <w:r w:rsidDel="00000000" w:rsidR="00000000" w:rsidRPr="00000000">
              <w:rPr>
                <w:b w:val="1"/>
                <w:bCs w:val="1"/>
                <w:i w:val="0"/>
                <w:iCs w:val="0"/>
                <w:color w:val="4b2c7a"/>
                <w:sz w:val="21"/>
                <w:szCs w:val="21"/>
                <w:rtl w:val="0"/>
              </w:rPr>
              <w:t xml:space="preserve">The coherence test. </w:t>
            </w:r>
            <w:r w:rsidDel="00000000" w:rsidR="00000000" w:rsidRPr="00000000">
              <w:rPr>
                <w:b w:val="0"/>
                <w:bCs w:val="0"/>
                <w:i w:val="0"/>
                <w:iCs w:val="0"/>
                <w:color w:val="222222"/>
                <w:sz w:val="21"/>
                <w:szCs w:val="21"/>
                <w:rtl w:val="0"/>
              </w:rPr>
              <w:t xml:space="preserve">Read the chain for each strand: purpose, objective, question, method, finding. If a question has no method or a method answers no stated question, the misalignment will show. In a mixed methods study the chain runs once for the quantitative strand and once for the qualitative strand. The two must meet at integration.</w:t>
            </w:r>
            <w:r w:rsidDel="00000000" w:rsidR="00000000" w:rsidRPr="00000000">
              <w:rPr>
                <w:rtl w:val="0"/>
              </w:rPr>
            </w:r>
          </w:p>
        </w:tc>
      </w:tr>
    </w:tbl>
    <w:p w:rsidR="00000000" w:rsidDel="00000000" w:rsidP="00000000" w:rsidRDefault="00000000" w:rsidRPr="00000000" w14:paraId="00000017">
      <w:pPr>
        <w:pStyle w:val="Heading1"/>
        <w:rPr/>
      </w:pPr>
      <w:r w:rsidDel="00000000" w:rsidR="00000000" w:rsidRPr="00000000">
        <w:rPr>
          <w:rtl w:val="0"/>
        </w:rPr>
        <w:t xml:space="preserve">5   The notation: priority and sequence</w:t>
      </w:r>
    </w:p>
    <w:p w:rsidR="00000000" w:rsidDel="00000000" w:rsidP="00000000" w:rsidRDefault="00000000" w:rsidRPr="00000000" w14:paraId="00000018">
      <w:pPr>
        <w:spacing w:after="120" w:line="264" w:lineRule="auto"/>
        <w:jc w:val="left"/>
        <w:rPr/>
      </w:pPr>
      <w:r w:rsidDel="00000000" w:rsidR="00000000" w:rsidRPr="00000000">
        <w:rPr>
          <w:b w:val="0"/>
          <w:bCs w:val="0"/>
          <w:i w:val="0"/>
          <w:iCs w:val="0"/>
          <w:color w:val="222222"/>
          <w:sz w:val="21"/>
          <w:szCs w:val="21"/>
          <w:rtl w:val="0"/>
        </w:rPr>
        <w:t xml:space="preserve">A small notation carries two decisions at once. Capitals mark the strand with priority, the one that drives the study. Lower case marks the supporting strand. An arrow shows sequence, one strand after the other. A plus sign shows concurrency, both at the same time. So QUAN then qual is quantitative led and sequential, while QUAN plus QUAL is two equal strands run together.</w:t>
      </w:r>
      <w:r w:rsidDel="00000000" w:rsidR="00000000" w:rsidRPr="00000000">
        <w:rPr>
          <w:rtl w:val="0"/>
        </w:rPr>
      </w:r>
    </w:p>
    <w:tbl>
      <w:tblPr>
        <w:tblStyle w:val="Table3"/>
        <w:tblW w:w="9360.0" w:type="dxa"/>
        <w:jc w:val="left"/>
        <w:tblBorders>
          <w:top w:color="dad3e6" w:space="0" w:sz="4" w:val="single"/>
          <w:left w:color="dad3e6" w:space="0" w:sz="4" w:val="single"/>
          <w:bottom w:color="dad3e6" w:space="0" w:sz="4" w:val="single"/>
          <w:right w:color="dad3e6" w:space="0" w:sz="4" w:val="single"/>
          <w:insideH w:color="000000" w:space="0" w:sz="4" w:val="single"/>
          <w:insideV w:color="000000" w:space="0" w:sz="4" w:val="single"/>
        </w:tblBorders>
        <w:tblLayout w:type="fixed"/>
        <w:tblLook w:val="0000"/>
      </w:tblPr>
      <w:tblGrid>
        <w:gridCol w:w="9360"/>
        <w:tblGridChange w:id="0">
          <w:tblGrid>
            <w:gridCol w:w="9360"/>
          </w:tblGrid>
        </w:tblGridChange>
      </w:tblGrid>
      <w:tr>
        <w:trPr>
          <w:cantSplit w:val="0"/>
          <w:tblHeader w:val="0"/>
        </w:trPr>
        <w:tc>
          <w:tcPr>
            <w:shd w:fill="f3f0f9" w:val="clear"/>
            <w:tcMar>
              <w:top w:w="130.0" w:type="dxa"/>
              <w:left w:w="200.0" w:type="dxa"/>
              <w:bottom w:w="130.0" w:type="dxa"/>
              <w:right w:w="200.0" w:type="dxa"/>
            </w:tcMar>
          </w:tcPr>
          <w:p w:rsidR="00000000" w:rsidDel="00000000" w:rsidP="00000000" w:rsidRDefault="00000000" w:rsidRPr="00000000" w14:paraId="00000019">
            <w:pPr>
              <w:spacing w:after="0" w:line="261.99999999999994" w:lineRule="auto"/>
              <w:rPr/>
            </w:pPr>
            <w:r w:rsidDel="00000000" w:rsidR="00000000" w:rsidRPr="00000000">
              <w:rPr>
                <w:b w:val="1"/>
                <w:bCs w:val="1"/>
                <w:i w:val="0"/>
                <w:iCs w:val="0"/>
                <w:color w:val="4b2c7a"/>
                <w:sz w:val="21"/>
                <w:szCs w:val="21"/>
                <w:rtl w:val="0"/>
              </w:rPr>
              <w:t xml:space="preserve">Attribution for doctoral work. </w:t>
            </w:r>
            <w:r w:rsidDel="00000000" w:rsidR="00000000" w:rsidRPr="00000000">
              <w:rPr>
                <w:b w:val="0"/>
                <w:bCs w:val="0"/>
                <w:i w:val="0"/>
                <w:iCs w:val="0"/>
                <w:color w:val="222222"/>
                <w:sz w:val="21"/>
                <w:szCs w:val="21"/>
                <w:rtl w:val="0"/>
              </w:rPr>
              <w:t xml:space="preserve">The capitalisation, the plus and the arrow originate with Morse (1991). Creswell then adopted and formalised the system, which is why his name is attached to it in practice. Attribute the notation to Morse (1991) as the originator and cite Creswell and Plano Clark (2018) for its formalisation and current usage. That shows you know the system did not start with Creswell even though his name is on it now.</w:t>
            </w:r>
            <w:r w:rsidDel="00000000" w:rsidR="00000000" w:rsidRPr="00000000">
              <w:rPr>
                <w:rtl w:val="0"/>
              </w:rPr>
            </w:r>
          </w:p>
        </w:tc>
      </w:tr>
    </w:tbl>
    <w:p w:rsidR="00000000" w:rsidDel="00000000" w:rsidP="00000000" w:rsidRDefault="00000000" w:rsidRPr="00000000" w14:paraId="0000001A">
      <w:pPr>
        <w:spacing w:after="120" w:line="264" w:lineRule="auto"/>
        <w:jc w:val="left"/>
        <w:rPr/>
      </w:pPr>
      <w:r w:rsidDel="00000000" w:rsidR="00000000" w:rsidRPr="00000000">
        <w:rPr>
          <w:b w:val="1"/>
          <w:bCs w:val="1"/>
          <w:i w:val="0"/>
          <w:iCs w:val="0"/>
          <w:color w:val="222222"/>
          <w:sz w:val="21"/>
          <w:szCs w:val="21"/>
          <w:rtl w:val="0"/>
        </w:rPr>
        <w:t xml:space="preserve">One caution. </w:t>
      </w:r>
      <w:r w:rsidDel="00000000" w:rsidR="00000000" w:rsidRPr="00000000">
        <w:rPr>
          <w:b w:val="0"/>
          <w:bCs w:val="0"/>
          <w:i w:val="0"/>
          <w:iCs w:val="0"/>
          <w:color w:val="222222"/>
          <w:sz w:val="21"/>
          <w:szCs w:val="21"/>
          <w:rtl w:val="0"/>
        </w:rPr>
        <w:t xml:space="preserve">A string such as QUAN qual QUAN qual is not one alternating design. It reads as two separate sequential designs. A genuinely repeating pattern describes a multiphase or iterative design, which Creswell treats separately and which is a more complex animal.</w:t>
      </w:r>
      <w:r w:rsidDel="00000000" w:rsidR="00000000" w:rsidRPr="00000000">
        <w:rPr>
          <w:rtl w:val="0"/>
        </w:rPr>
      </w:r>
    </w:p>
    <w:p w:rsidR="00000000" w:rsidDel="00000000" w:rsidP="00000000" w:rsidRDefault="00000000" w:rsidRPr="00000000" w14:paraId="0000001B">
      <w:pPr>
        <w:rPr/>
      </w:pPr>
      <w:r w:rsidDel="00000000" w:rsidR="00000000" w:rsidRPr="00000000">
        <w:br w:type="page"/>
      </w:r>
      <w:r w:rsidDel="00000000" w:rsidR="00000000" w:rsidRPr="00000000">
        <w:rPr>
          <w:rtl w:val="0"/>
        </w:rPr>
      </w:r>
    </w:p>
    <w:p w:rsidR="00000000" w:rsidDel="00000000" w:rsidP="00000000" w:rsidRDefault="00000000" w:rsidRPr="00000000" w14:paraId="0000001C">
      <w:pPr>
        <w:pStyle w:val="Heading1"/>
        <w:rPr/>
      </w:pPr>
      <w:r w:rsidDel="00000000" w:rsidR="00000000" w:rsidRPr="00000000">
        <w:rPr>
          <w:rtl w:val="0"/>
        </w:rPr>
        <w:t xml:space="preserve">6   The three core designs</w:t>
      </w:r>
    </w:p>
    <w:p w:rsidR="00000000" w:rsidDel="00000000" w:rsidP="00000000" w:rsidRDefault="00000000" w:rsidRPr="00000000" w14:paraId="0000001D">
      <w:pPr>
        <w:spacing w:after="120" w:line="264" w:lineRule="auto"/>
        <w:jc w:val="left"/>
        <w:rPr/>
      </w:pPr>
      <w:r w:rsidDel="00000000" w:rsidR="00000000" w:rsidRPr="00000000">
        <w:rPr>
          <w:b w:val="0"/>
          <w:bCs w:val="0"/>
          <w:i w:val="0"/>
          <w:iCs w:val="0"/>
          <w:color w:val="222222"/>
          <w:sz w:val="21"/>
          <w:szCs w:val="21"/>
          <w:rtl w:val="0"/>
        </w:rPr>
        <w:t xml:space="preserve">Creswell and Plano Clark (2018) set out three basic designs. Keeping them distinct matters, because they answer different questions and integrate at different points. Calling an explanatory study exploratory or the reverse is the mixed methods equivalent of method slurping.</w:t>
      </w:r>
      <w:r w:rsidDel="00000000" w:rsidR="00000000" w:rsidRPr="00000000">
        <w:rPr>
          <w:rtl w:val="0"/>
        </w:rPr>
      </w:r>
    </w:p>
    <w:tbl>
      <w:tblPr>
        <w:tblStyle w:val="Table4"/>
        <w:tblW w:w="9360.0" w:type="dxa"/>
        <w:jc w:val="left"/>
        <w:tblBorders>
          <w:top w:color="dad3e6" w:space="0" w:sz="2" w:val="single"/>
          <w:left w:color="dad3e6" w:space="0" w:sz="2" w:val="single"/>
          <w:bottom w:color="dad3e6" w:space="0" w:sz="2" w:val="single"/>
          <w:right w:color="dad3e6" w:space="0" w:sz="2" w:val="single"/>
          <w:insideH w:color="dad3e6" w:space="0" w:sz="2" w:val="single"/>
          <w:insideV w:color="dad3e6" w:space="0" w:sz="2" w:val="single"/>
        </w:tblBorders>
        <w:tblLayout w:type="fixed"/>
        <w:tblLook w:val="0000"/>
      </w:tblPr>
      <w:tblGrid>
        <w:gridCol w:w="2600"/>
        <w:gridCol w:w="2100"/>
        <w:gridCol w:w="4660"/>
        <w:tblGridChange w:id="0">
          <w:tblGrid>
            <w:gridCol w:w="2600"/>
            <w:gridCol w:w="2100"/>
            <w:gridCol w:w="4660"/>
          </w:tblGrid>
        </w:tblGridChange>
      </w:tblGrid>
      <w:tr>
        <w:trPr>
          <w:cantSplit w:val="0"/>
          <w:tblHeader w:val="1"/>
        </w:trPr>
        <w:tc>
          <w:tcPr>
            <w:shd w:fill="4b2c7a" w:val="clear"/>
            <w:tcMar>
              <w:top w:w="70.0" w:type="dxa"/>
              <w:left w:w="130.0" w:type="dxa"/>
              <w:bottom w:w="70.0" w:type="dxa"/>
              <w:right w:w="130.0" w:type="dxa"/>
            </w:tcMar>
            <w:vAlign w:val="center"/>
          </w:tcPr>
          <w:p w:rsidR="00000000" w:rsidDel="00000000" w:rsidP="00000000" w:rsidRDefault="00000000" w:rsidRPr="00000000" w14:paraId="0000001E">
            <w:pPr>
              <w:spacing w:after="0" w:line="250" w:lineRule="auto"/>
              <w:rPr/>
            </w:pPr>
            <w:r w:rsidDel="00000000" w:rsidR="00000000" w:rsidRPr="00000000">
              <w:rPr>
                <w:b w:val="1"/>
                <w:bCs w:val="1"/>
                <w:i w:val="0"/>
                <w:iCs w:val="0"/>
                <w:color w:val="ffffff"/>
                <w:sz w:val="20"/>
                <w:szCs w:val="20"/>
                <w:rtl w:val="0"/>
              </w:rPr>
              <w:t xml:space="preserve">Design</w:t>
            </w:r>
            <w:r w:rsidDel="00000000" w:rsidR="00000000" w:rsidRPr="00000000">
              <w:rPr>
                <w:rtl w:val="0"/>
              </w:rPr>
            </w:r>
          </w:p>
        </w:tc>
        <w:tc>
          <w:tcPr>
            <w:shd w:fill="4b2c7a" w:val="clear"/>
            <w:tcMar>
              <w:top w:w="70.0" w:type="dxa"/>
              <w:left w:w="130.0" w:type="dxa"/>
              <w:bottom w:w="70.0" w:type="dxa"/>
              <w:right w:w="130.0" w:type="dxa"/>
            </w:tcMar>
            <w:vAlign w:val="center"/>
          </w:tcPr>
          <w:p w:rsidR="00000000" w:rsidDel="00000000" w:rsidP="00000000" w:rsidRDefault="00000000" w:rsidRPr="00000000" w14:paraId="0000001F">
            <w:pPr>
              <w:spacing w:after="0" w:line="250" w:lineRule="auto"/>
              <w:rPr/>
            </w:pPr>
            <w:r w:rsidDel="00000000" w:rsidR="00000000" w:rsidRPr="00000000">
              <w:rPr>
                <w:b w:val="1"/>
                <w:bCs w:val="1"/>
                <w:i w:val="0"/>
                <w:iCs w:val="0"/>
                <w:color w:val="ffffff"/>
                <w:sz w:val="20"/>
                <w:szCs w:val="20"/>
                <w:rtl w:val="0"/>
              </w:rPr>
              <w:t xml:space="preserve">Notation</w:t>
            </w:r>
            <w:r w:rsidDel="00000000" w:rsidR="00000000" w:rsidRPr="00000000">
              <w:rPr>
                <w:rtl w:val="0"/>
              </w:rPr>
            </w:r>
          </w:p>
        </w:tc>
        <w:tc>
          <w:tcPr>
            <w:shd w:fill="4b2c7a" w:val="clear"/>
            <w:tcMar>
              <w:top w:w="70.0" w:type="dxa"/>
              <w:left w:w="130.0" w:type="dxa"/>
              <w:bottom w:w="70.0" w:type="dxa"/>
              <w:right w:w="130.0" w:type="dxa"/>
            </w:tcMar>
            <w:vAlign w:val="center"/>
          </w:tcPr>
          <w:p w:rsidR="00000000" w:rsidDel="00000000" w:rsidP="00000000" w:rsidRDefault="00000000" w:rsidRPr="00000000" w14:paraId="00000020">
            <w:pPr>
              <w:spacing w:after="0" w:line="250" w:lineRule="auto"/>
              <w:rPr/>
            </w:pPr>
            <w:r w:rsidDel="00000000" w:rsidR="00000000" w:rsidRPr="00000000">
              <w:rPr>
                <w:b w:val="1"/>
                <w:bCs w:val="1"/>
                <w:i w:val="0"/>
                <w:iCs w:val="0"/>
                <w:color w:val="ffffff"/>
                <w:sz w:val="20"/>
                <w:szCs w:val="20"/>
                <w:rtl w:val="0"/>
              </w:rPr>
              <w:t xml:space="preserve">What happens</w:t>
            </w:r>
            <w:r w:rsidDel="00000000" w:rsidR="00000000" w:rsidRPr="00000000">
              <w:rPr>
                <w:rtl w:val="0"/>
              </w:rPr>
            </w:r>
          </w:p>
        </w:tc>
      </w:tr>
      <w:tr>
        <w:trPr>
          <w:cantSplit w:val="0"/>
          <w:tblHeader w:val="0"/>
        </w:trPr>
        <w:tc>
          <w:tcPr>
            <w:shd w:fill="ffffff" w:val="clear"/>
            <w:tcMar>
              <w:top w:w="70.0" w:type="dxa"/>
              <w:left w:w="130.0" w:type="dxa"/>
              <w:bottom w:w="70.0" w:type="dxa"/>
              <w:right w:w="130.0" w:type="dxa"/>
            </w:tcMar>
            <w:vAlign w:val="center"/>
          </w:tcPr>
          <w:p w:rsidR="00000000" w:rsidDel="00000000" w:rsidP="00000000" w:rsidRDefault="00000000" w:rsidRPr="00000000" w14:paraId="00000021">
            <w:pPr>
              <w:spacing w:after="0" w:line="250" w:lineRule="auto"/>
              <w:rPr/>
            </w:pPr>
            <w:r w:rsidDel="00000000" w:rsidR="00000000" w:rsidRPr="00000000">
              <w:rPr>
                <w:b w:val="1"/>
                <w:bCs w:val="1"/>
                <w:i w:val="0"/>
                <w:iCs w:val="0"/>
                <w:color w:val="222222"/>
                <w:sz w:val="20"/>
                <w:szCs w:val="20"/>
                <w:rtl w:val="0"/>
              </w:rPr>
              <w:t xml:space="preserve">Explanatory sequential</w:t>
            </w:r>
            <w:r w:rsidDel="00000000" w:rsidR="00000000" w:rsidRPr="00000000">
              <w:rPr>
                <w:rtl w:val="0"/>
              </w:rPr>
            </w:r>
          </w:p>
        </w:tc>
        <w:tc>
          <w:tcPr>
            <w:shd w:fill="ffffff" w:val="clear"/>
            <w:tcMar>
              <w:top w:w="70.0" w:type="dxa"/>
              <w:left w:w="130.0" w:type="dxa"/>
              <w:bottom w:w="70.0" w:type="dxa"/>
              <w:right w:w="130.0" w:type="dxa"/>
            </w:tcMar>
            <w:vAlign w:val="center"/>
          </w:tcPr>
          <w:p w:rsidR="00000000" w:rsidDel="00000000" w:rsidP="00000000" w:rsidRDefault="00000000" w:rsidRPr="00000000" w14:paraId="00000022">
            <w:pPr>
              <w:spacing w:after="0" w:line="250" w:lineRule="auto"/>
              <w:rPr/>
            </w:pPr>
            <w:r w:rsidDel="00000000" w:rsidR="00000000" w:rsidRPr="00000000">
              <w:rPr>
                <w:b w:val="1"/>
                <w:bCs w:val="1"/>
                <w:i w:val="0"/>
                <w:iCs w:val="0"/>
                <w:color w:val="1d6b6b"/>
                <w:sz w:val="20"/>
                <w:szCs w:val="20"/>
                <w:rtl w:val="0"/>
              </w:rPr>
              <w:t xml:space="preserve">QUAN → qual</w:t>
            </w:r>
            <w:r w:rsidDel="00000000" w:rsidR="00000000" w:rsidRPr="00000000">
              <w:rPr>
                <w:rtl w:val="0"/>
              </w:rPr>
            </w:r>
          </w:p>
        </w:tc>
        <w:tc>
          <w:tcPr>
            <w:shd w:fill="ffffff" w:val="clear"/>
            <w:tcMar>
              <w:top w:w="70.0" w:type="dxa"/>
              <w:left w:w="130.0" w:type="dxa"/>
              <w:bottom w:w="70.0" w:type="dxa"/>
              <w:right w:w="130.0" w:type="dxa"/>
            </w:tcMar>
            <w:vAlign w:val="center"/>
          </w:tcPr>
          <w:p w:rsidR="00000000" w:rsidDel="00000000" w:rsidP="00000000" w:rsidRDefault="00000000" w:rsidRPr="00000000" w14:paraId="00000023">
            <w:pPr>
              <w:spacing w:after="0" w:line="250" w:lineRule="auto"/>
              <w:rPr/>
            </w:pPr>
            <w:r w:rsidDel="00000000" w:rsidR="00000000" w:rsidRPr="00000000">
              <w:rPr>
                <w:b w:val="0"/>
                <w:bCs w:val="0"/>
                <w:i w:val="0"/>
                <w:iCs w:val="0"/>
                <w:color w:val="222222"/>
                <w:sz w:val="20"/>
                <w:szCs w:val="20"/>
                <w:rtl w:val="0"/>
              </w:rPr>
              <w:t xml:space="preserve">Quantitative first, qualitative follows to explain the results, especially the surprising ones.</w:t>
            </w:r>
            <w:r w:rsidDel="00000000" w:rsidR="00000000" w:rsidRPr="00000000">
              <w:rPr>
                <w:rtl w:val="0"/>
              </w:rPr>
            </w:r>
          </w:p>
        </w:tc>
      </w:tr>
      <w:tr>
        <w:trPr>
          <w:cantSplit w:val="0"/>
          <w:tblHeader w:val="0"/>
        </w:trPr>
        <w:tc>
          <w:tcPr>
            <w:shd w:fill="ffffff" w:val="clear"/>
            <w:tcMar>
              <w:top w:w="70.0" w:type="dxa"/>
              <w:left w:w="130.0" w:type="dxa"/>
              <w:bottom w:w="70.0" w:type="dxa"/>
              <w:right w:w="130.0" w:type="dxa"/>
            </w:tcMar>
            <w:vAlign w:val="center"/>
          </w:tcPr>
          <w:p w:rsidR="00000000" w:rsidDel="00000000" w:rsidP="00000000" w:rsidRDefault="00000000" w:rsidRPr="00000000" w14:paraId="00000024">
            <w:pPr>
              <w:spacing w:after="0" w:line="250" w:lineRule="auto"/>
              <w:rPr/>
            </w:pPr>
            <w:r w:rsidDel="00000000" w:rsidR="00000000" w:rsidRPr="00000000">
              <w:rPr>
                <w:b w:val="1"/>
                <w:bCs w:val="1"/>
                <w:i w:val="0"/>
                <w:iCs w:val="0"/>
                <w:color w:val="222222"/>
                <w:sz w:val="20"/>
                <w:szCs w:val="20"/>
                <w:rtl w:val="0"/>
              </w:rPr>
              <w:t xml:space="preserve">Exploratory sequential</w:t>
            </w:r>
            <w:r w:rsidDel="00000000" w:rsidR="00000000" w:rsidRPr="00000000">
              <w:rPr>
                <w:rtl w:val="0"/>
              </w:rPr>
            </w:r>
          </w:p>
        </w:tc>
        <w:tc>
          <w:tcPr>
            <w:shd w:fill="ffffff" w:val="clear"/>
            <w:tcMar>
              <w:top w:w="70.0" w:type="dxa"/>
              <w:left w:w="130.0" w:type="dxa"/>
              <w:bottom w:w="70.0" w:type="dxa"/>
              <w:right w:w="130.0" w:type="dxa"/>
            </w:tcMar>
            <w:vAlign w:val="center"/>
          </w:tcPr>
          <w:p w:rsidR="00000000" w:rsidDel="00000000" w:rsidP="00000000" w:rsidRDefault="00000000" w:rsidRPr="00000000" w14:paraId="00000025">
            <w:pPr>
              <w:spacing w:after="0" w:line="250" w:lineRule="auto"/>
              <w:rPr/>
            </w:pPr>
            <w:r w:rsidDel="00000000" w:rsidR="00000000" w:rsidRPr="00000000">
              <w:rPr>
                <w:b w:val="1"/>
                <w:bCs w:val="1"/>
                <w:i w:val="0"/>
                <w:iCs w:val="0"/>
                <w:color w:val="1d6b6b"/>
                <w:sz w:val="20"/>
                <w:szCs w:val="20"/>
                <w:rtl w:val="0"/>
              </w:rPr>
              <w:t xml:space="preserve">QUAL → quan</w:t>
            </w:r>
            <w:r w:rsidDel="00000000" w:rsidR="00000000" w:rsidRPr="00000000">
              <w:rPr>
                <w:rtl w:val="0"/>
              </w:rPr>
            </w:r>
          </w:p>
        </w:tc>
        <w:tc>
          <w:tcPr>
            <w:shd w:fill="ffffff" w:val="clear"/>
            <w:tcMar>
              <w:top w:w="70.0" w:type="dxa"/>
              <w:left w:w="130.0" w:type="dxa"/>
              <w:bottom w:w="70.0" w:type="dxa"/>
              <w:right w:w="130.0" w:type="dxa"/>
            </w:tcMar>
            <w:vAlign w:val="center"/>
          </w:tcPr>
          <w:p w:rsidR="00000000" w:rsidDel="00000000" w:rsidP="00000000" w:rsidRDefault="00000000" w:rsidRPr="00000000" w14:paraId="00000026">
            <w:pPr>
              <w:spacing w:after="0" w:line="250" w:lineRule="auto"/>
              <w:rPr/>
            </w:pPr>
            <w:r w:rsidDel="00000000" w:rsidR="00000000" w:rsidRPr="00000000">
              <w:rPr>
                <w:b w:val="0"/>
                <w:bCs w:val="0"/>
                <w:i w:val="0"/>
                <w:iCs w:val="0"/>
                <w:color w:val="222222"/>
                <w:sz w:val="20"/>
                <w:szCs w:val="20"/>
                <w:rtl w:val="0"/>
              </w:rPr>
              <w:t xml:space="preserve">Qualitative first, used to build an instrument or model that the quantitative phase then tests.</w:t>
            </w:r>
            <w:r w:rsidDel="00000000" w:rsidR="00000000" w:rsidRPr="00000000">
              <w:rPr>
                <w:rtl w:val="0"/>
              </w:rPr>
            </w:r>
          </w:p>
        </w:tc>
      </w:tr>
      <w:tr>
        <w:trPr>
          <w:cantSplit w:val="0"/>
          <w:tblHeader w:val="0"/>
        </w:trPr>
        <w:tc>
          <w:tcPr>
            <w:shd w:fill="ffffff" w:val="clear"/>
            <w:tcMar>
              <w:top w:w="70.0" w:type="dxa"/>
              <w:left w:w="130.0" w:type="dxa"/>
              <w:bottom w:w="70.0" w:type="dxa"/>
              <w:right w:w="130.0" w:type="dxa"/>
            </w:tcMar>
            <w:vAlign w:val="center"/>
          </w:tcPr>
          <w:p w:rsidR="00000000" w:rsidDel="00000000" w:rsidP="00000000" w:rsidRDefault="00000000" w:rsidRPr="00000000" w14:paraId="00000027">
            <w:pPr>
              <w:spacing w:after="0" w:line="250" w:lineRule="auto"/>
              <w:rPr/>
            </w:pPr>
            <w:r w:rsidDel="00000000" w:rsidR="00000000" w:rsidRPr="00000000">
              <w:rPr>
                <w:b w:val="1"/>
                <w:bCs w:val="1"/>
                <w:i w:val="0"/>
                <w:iCs w:val="0"/>
                <w:color w:val="222222"/>
                <w:sz w:val="20"/>
                <w:szCs w:val="20"/>
                <w:rtl w:val="0"/>
              </w:rPr>
              <w:t xml:space="preserve">Convergent</w:t>
            </w:r>
            <w:r w:rsidDel="00000000" w:rsidR="00000000" w:rsidRPr="00000000">
              <w:rPr>
                <w:rtl w:val="0"/>
              </w:rPr>
            </w:r>
          </w:p>
        </w:tc>
        <w:tc>
          <w:tcPr>
            <w:shd w:fill="ffffff" w:val="clear"/>
            <w:tcMar>
              <w:top w:w="70.0" w:type="dxa"/>
              <w:left w:w="130.0" w:type="dxa"/>
              <w:bottom w:w="70.0" w:type="dxa"/>
              <w:right w:w="130.0" w:type="dxa"/>
            </w:tcMar>
            <w:vAlign w:val="center"/>
          </w:tcPr>
          <w:p w:rsidR="00000000" w:rsidDel="00000000" w:rsidP="00000000" w:rsidRDefault="00000000" w:rsidRPr="00000000" w14:paraId="00000028">
            <w:pPr>
              <w:spacing w:after="0" w:line="250" w:lineRule="auto"/>
              <w:rPr/>
            </w:pPr>
            <w:r w:rsidDel="00000000" w:rsidR="00000000" w:rsidRPr="00000000">
              <w:rPr>
                <w:b w:val="1"/>
                <w:bCs w:val="1"/>
                <w:i w:val="0"/>
                <w:iCs w:val="0"/>
                <w:color w:val="1d6b6b"/>
                <w:sz w:val="20"/>
                <w:szCs w:val="20"/>
                <w:rtl w:val="0"/>
              </w:rPr>
              <w:t xml:space="preserve">QUAN + QUAL</w:t>
            </w:r>
            <w:r w:rsidDel="00000000" w:rsidR="00000000" w:rsidRPr="00000000">
              <w:rPr>
                <w:rtl w:val="0"/>
              </w:rPr>
            </w:r>
          </w:p>
        </w:tc>
        <w:tc>
          <w:tcPr>
            <w:shd w:fill="ffffff" w:val="clear"/>
            <w:tcMar>
              <w:top w:w="70.0" w:type="dxa"/>
              <w:left w:w="130.0" w:type="dxa"/>
              <w:bottom w:w="70.0" w:type="dxa"/>
              <w:right w:w="130.0" w:type="dxa"/>
            </w:tcMar>
            <w:vAlign w:val="center"/>
          </w:tcPr>
          <w:p w:rsidR="00000000" w:rsidDel="00000000" w:rsidP="00000000" w:rsidRDefault="00000000" w:rsidRPr="00000000" w14:paraId="00000029">
            <w:pPr>
              <w:spacing w:after="0" w:line="250" w:lineRule="auto"/>
              <w:rPr/>
            </w:pPr>
            <w:r w:rsidDel="00000000" w:rsidR="00000000" w:rsidRPr="00000000">
              <w:rPr>
                <w:b w:val="0"/>
                <w:bCs w:val="0"/>
                <w:i w:val="0"/>
                <w:iCs w:val="0"/>
                <w:color w:val="222222"/>
                <w:sz w:val="20"/>
                <w:szCs w:val="20"/>
                <w:rtl w:val="0"/>
              </w:rPr>
              <w:t xml:space="preserve">Both strands run in parallel, analysed separately and merged at interpretation. Not sequential at all.</w:t>
            </w:r>
            <w:r w:rsidDel="00000000" w:rsidR="00000000" w:rsidRPr="00000000">
              <w:rPr>
                <w:rtl w:val="0"/>
              </w:rPr>
            </w:r>
          </w:p>
        </w:tc>
      </w:tr>
    </w:tbl>
    <w:p w:rsidR="00000000" w:rsidDel="00000000" w:rsidP="00000000" w:rsidRDefault="00000000" w:rsidRPr="00000000" w14:paraId="0000002A">
      <w:pPr>
        <w:spacing w:after="60" w:lineRule="auto"/>
        <w:rPr/>
      </w:pPr>
      <w:r w:rsidDel="00000000" w:rsidR="00000000" w:rsidRPr="00000000">
        <w:rPr>
          <w:rtl w:val="0"/>
        </w:rPr>
      </w:r>
    </w:p>
    <w:p w:rsidR="00000000" w:rsidDel="00000000" w:rsidP="00000000" w:rsidRDefault="00000000" w:rsidRPr="00000000" w14:paraId="0000002B">
      <w:pPr>
        <w:pStyle w:val="Heading2"/>
        <w:rPr/>
      </w:pPr>
      <w:r w:rsidDel="00000000" w:rsidR="00000000" w:rsidRPr="00000000">
        <w:rPr>
          <w:rtl w:val="0"/>
        </w:rPr>
        <w:t xml:space="preserve">Choosing between them</w:t>
      </w:r>
    </w:p>
    <w:p w:rsidR="00000000" w:rsidDel="00000000" w:rsidP="00000000" w:rsidRDefault="00000000" w:rsidRPr="00000000" w14:paraId="0000002C">
      <w:pPr>
        <w:spacing w:after="120" w:line="264" w:lineRule="auto"/>
        <w:jc w:val="left"/>
        <w:rPr/>
      </w:pPr>
      <w:r w:rsidDel="00000000" w:rsidR="00000000" w:rsidRPr="00000000">
        <w:rPr>
          <w:b w:val="0"/>
          <w:bCs w:val="0"/>
          <w:i w:val="0"/>
          <w:iCs w:val="0"/>
          <w:color w:val="222222"/>
          <w:sz w:val="21"/>
          <w:szCs w:val="21"/>
          <w:rtl w:val="0"/>
        </w:rPr>
        <w:t xml:space="preserve">The choice is driven by purpose, not preference. If you need to explain or follow up quantitative results, the design is explanatory sequential. If you need to develop and test an instrument or generalise qualitative findings, it is exploratory sequential. If you need to corroborate or build a fuller picture from both at once, it is convergent.</w:t>
      </w:r>
      <w:r w:rsidDel="00000000" w:rsidR="00000000" w:rsidRPr="00000000">
        <w:rPr>
          <w:rtl w:val="0"/>
        </w:rPr>
      </w:r>
    </w:p>
    <w:tbl>
      <w:tblPr>
        <w:tblStyle w:val="Table5"/>
        <w:tblW w:w="9360.0" w:type="dxa"/>
        <w:jc w:val="left"/>
        <w:tblBorders>
          <w:top w:color="dad3e6" w:space="0" w:sz="4" w:val="single"/>
          <w:left w:color="dad3e6" w:space="0" w:sz="4" w:val="single"/>
          <w:bottom w:color="dad3e6" w:space="0" w:sz="4" w:val="single"/>
          <w:right w:color="dad3e6" w:space="0" w:sz="4" w:val="single"/>
          <w:insideH w:color="000000" w:space="0" w:sz="4" w:val="single"/>
          <w:insideV w:color="000000" w:space="0" w:sz="4" w:val="single"/>
        </w:tblBorders>
        <w:tblLayout w:type="fixed"/>
        <w:tblLook w:val="0000"/>
      </w:tblPr>
      <w:tblGrid>
        <w:gridCol w:w="9360"/>
        <w:tblGridChange w:id="0">
          <w:tblGrid>
            <w:gridCol w:w="9360"/>
          </w:tblGrid>
        </w:tblGridChange>
      </w:tblGrid>
      <w:tr>
        <w:trPr>
          <w:cantSplit w:val="0"/>
          <w:tblHeader w:val="0"/>
        </w:trPr>
        <w:tc>
          <w:tcPr>
            <w:shd w:fill="fbf4da" w:val="clear"/>
            <w:tcMar>
              <w:top w:w="130.0" w:type="dxa"/>
              <w:left w:w="200.0" w:type="dxa"/>
              <w:bottom w:w="130.0" w:type="dxa"/>
              <w:right w:w="200.0" w:type="dxa"/>
            </w:tcMar>
          </w:tcPr>
          <w:p w:rsidR="00000000" w:rsidDel="00000000" w:rsidP="00000000" w:rsidRDefault="00000000" w:rsidRPr="00000000" w14:paraId="0000002D">
            <w:pPr>
              <w:spacing w:after="0" w:line="261.99999999999994" w:lineRule="auto"/>
              <w:rPr/>
            </w:pPr>
            <w:r w:rsidDel="00000000" w:rsidR="00000000" w:rsidRPr="00000000">
              <w:rPr>
                <w:b w:val="1"/>
                <w:bCs w:val="1"/>
                <w:i w:val="0"/>
                <w:iCs w:val="0"/>
                <w:color w:val="4b2c7a"/>
                <w:sz w:val="21"/>
                <w:szCs w:val="21"/>
                <w:rtl w:val="0"/>
              </w:rPr>
              <w:t xml:space="preserve">The lineage to cite. </w:t>
            </w:r>
            <w:r w:rsidDel="00000000" w:rsidR="00000000" w:rsidRPr="00000000">
              <w:rPr>
                <w:b w:val="0"/>
                <w:bCs w:val="0"/>
                <w:i w:val="0"/>
                <w:iCs w:val="0"/>
                <w:color w:val="222222"/>
                <w:sz w:val="21"/>
                <w:szCs w:val="21"/>
                <w:rtl w:val="0"/>
              </w:rPr>
              <w:t xml:space="preserve">The five purposes of mixing, triangulation, complementarity, development, initiation and expansion, come from Greene, Caracelli and Graham (1989). The design typology comes from Creswell and Plano Clark (2018). Priority and sequence trace to Morgan (1998) building on Morse (1991). Purpose picks the design, the design fixes the notation.</w:t>
            </w:r>
            <w:r w:rsidDel="00000000" w:rsidR="00000000" w:rsidRPr="00000000">
              <w:rPr>
                <w:rtl w:val="0"/>
              </w:rPr>
            </w:r>
          </w:p>
        </w:tc>
      </w:tr>
    </w:tbl>
    <w:p w:rsidR="00000000" w:rsidDel="00000000" w:rsidP="00000000" w:rsidRDefault="00000000" w:rsidRPr="00000000" w14:paraId="0000002E">
      <w:pPr>
        <w:spacing w:after="60" w:lineRule="auto"/>
        <w:rPr/>
      </w:pPr>
      <w:r w:rsidDel="00000000" w:rsidR="00000000" w:rsidRPr="00000000">
        <w:rPr>
          <w:rtl w:val="0"/>
        </w:rPr>
      </w:r>
    </w:p>
    <w:p w:rsidR="00000000" w:rsidDel="00000000" w:rsidP="00000000" w:rsidRDefault="00000000" w:rsidRPr="00000000" w14:paraId="0000002F">
      <w:pPr>
        <w:pStyle w:val="Heading2"/>
        <w:rPr/>
      </w:pPr>
      <w:r w:rsidDel="00000000" w:rsidR="00000000" w:rsidRPr="00000000">
        <w:rPr>
          <w:rtl w:val="0"/>
        </w:rPr>
        <w:t xml:space="preserve">The connecting point: where each design integrates</w:t>
      </w:r>
    </w:p>
    <w:p w:rsidR="00000000" w:rsidDel="00000000" w:rsidP="00000000" w:rsidRDefault="00000000" w:rsidRPr="00000000" w14:paraId="00000030">
      <w:pPr>
        <w:spacing w:after="120" w:line="264" w:lineRule="auto"/>
        <w:jc w:val="left"/>
        <w:rPr/>
      </w:pPr>
      <w:r w:rsidDel="00000000" w:rsidR="00000000" w:rsidRPr="00000000">
        <w:rPr>
          <w:b w:val="0"/>
          <w:bCs w:val="0"/>
          <w:i w:val="0"/>
          <w:iCs w:val="0"/>
          <w:color w:val="222222"/>
          <w:sz w:val="21"/>
          <w:szCs w:val="21"/>
          <w:rtl w:val="0"/>
        </w:rPr>
        <w:t xml:space="preserve">The strands do not just sit together. They meet at a defined point and naming where is part of naming the design.</w:t>
      </w:r>
      <w:r w:rsidDel="00000000" w:rsidR="00000000" w:rsidRPr="00000000">
        <w:rPr>
          <w:rtl w:val="0"/>
        </w:rPr>
      </w:r>
    </w:p>
    <w:tbl>
      <w:tblPr>
        <w:tblStyle w:val="Table6"/>
        <w:tblW w:w="9360.0" w:type="dxa"/>
        <w:jc w:val="left"/>
        <w:tblBorders>
          <w:top w:color="dad3e6" w:space="0" w:sz="2" w:val="single"/>
          <w:left w:color="dad3e6" w:space="0" w:sz="2" w:val="single"/>
          <w:bottom w:color="dad3e6" w:space="0" w:sz="2" w:val="single"/>
          <w:right w:color="dad3e6" w:space="0" w:sz="2" w:val="single"/>
          <w:insideH w:color="dad3e6" w:space="0" w:sz="2" w:val="single"/>
          <w:insideV w:color="dad3e6" w:space="0" w:sz="2" w:val="single"/>
        </w:tblBorders>
        <w:tblLayout w:type="fixed"/>
        <w:tblLook w:val="0000"/>
      </w:tblPr>
      <w:tblGrid>
        <w:gridCol w:w="2600"/>
        <w:gridCol w:w="6760"/>
        <w:tblGridChange w:id="0">
          <w:tblGrid>
            <w:gridCol w:w="2600"/>
            <w:gridCol w:w="6760"/>
          </w:tblGrid>
        </w:tblGridChange>
      </w:tblGrid>
      <w:tr>
        <w:trPr>
          <w:cantSplit w:val="0"/>
          <w:tblHeader w:val="1"/>
        </w:trPr>
        <w:tc>
          <w:tcPr>
            <w:shd w:fill="4b2c7a" w:val="clear"/>
            <w:tcMar>
              <w:top w:w="70.0" w:type="dxa"/>
              <w:left w:w="130.0" w:type="dxa"/>
              <w:bottom w:w="70.0" w:type="dxa"/>
              <w:right w:w="130.0" w:type="dxa"/>
            </w:tcMar>
            <w:vAlign w:val="center"/>
          </w:tcPr>
          <w:p w:rsidR="00000000" w:rsidDel="00000000" w:rsidP="00000000" w:rsidRDefault="00000000" w:rsidRPr="00000000" w14:paraId="00000031">
            <w:pPr>
              <w:spacing w:after="0" w:line="250" w:lineRule="auto"/>
              <w:rPr/>
            </w:pPr>
            <w:r w:rsidDel="00000000" w:rsidR="00000000" w:rsidRPr="00000000">
              <w:rPr>
                <w:b w:val="1"/>
                <w:bCs w:val="1"/>
                <w:i w:val="0"/>
                <w:iCs w:val="0"/>
                <w:color w:val="ffffff"/>
                <w:sz w:val="20"/>
                <w:szCs w:val="20"/>
                <w:rtl w:val="0"/>
              </w:rPr>
              <w:t xml:space="preserve">Design</w:t>
            </w:r>
            <w:r w:rsidDel="00000000" w:rsidR="00000000" w:rsidRPr="00000000">
              <w:rPr>
                <w:rtl w:val="0"/>
              </w:rPr>
            </w:r>
          </w:p>
        </w:tc>
        <w:tc>
          <w:tcPr>
            <w:shd w:fill="4b2c7a" w:val="clear"/>
            <w:tcMar>
              <w:top w:w="70.0" w:type="dxa"/>
              <w:left w:w="130.0" w:type="dxa"/>
              <w:bottom w:w="70.0" w:type="dxa"/>
              <w:right w:w="130.0" w:type="dxa"/>
            </w:tcMar>
            <w:vAlign w:val="center"/>
          </w:tcPr>
          <w:p w:rsidR="00000000" w:rsidDel="00000000" w:rsidP="00000000" w:rsidRDefault="00000000" w:rsidRPr="00000000" w14:paraId="00000032">
            <w:pPr>
              <w:spacing w:after="0" w:line="250" w:lineRule="auto"/>
              <w:rPr/>
            </w:pPr>
            <w:r w:rsidDel="00000000" w:rsidR="00000000" w:rsidRPr="00000000">
              <w:rPr>
                <w:b w:val="1"/>
                <w:bCs w:val="1"/>
                <w:i w:val="0"/>
                <w:iCs w:val="0"/>
                <w:color w:val="ffffff"/>
                <w:sz w:val="20"/>
                <w:szCs w:val="20"/>
                <w:rtl w:val="0"/>
              </w:rPr>
              <w:t xml:space="preserve">Where it integrates</w:t>
            </w:r>
            <w:r w:rsidDel="00000000" w:rsidR="00000000" w:rsidRPr="00000000">
              <w:rPr>
                <w:rtl w:val="0"/>
              </w:rPr>
            </w:r>
          </w:p>
        </w:tc>
      </w:tr>
      <w:tr>
        <w:trPr>
          <w:cantSplit w:val="0"/>
          <w:tblHeader w:val="0"/>
        </w:trPr>
        <w:tc>
          <w:tcPr>
            <w:shd w:fill="ffffff" w:val="clear"/>
            <w:tcMar>
              <w:top w:w="70.0" w:type="dxa"/>
              <w:left w:w="130.0" w:type="dxa"/>
              <w:bottom w:w="70.0" w:type="dxa"/>
              <w:right w:w="130.0" w:type="dxa"/>
            </w:tcMar>
            <w:vAlign w:val="center"/>
          </w:tcPr>
          <w:p w:rsidR="00000000" w:rsidDel="00000000" w:rsidP="00000000" w:rsidRDefault="00000000" w:rsidRPr="00000000" w14:paraId="00000033">
            <w:pPr>
              <w:spacing w:after="0" w:line="250" w:lineRule="auto"/>
              <w:rPr/>
            </w:pPr>
            <w:r w:rsidDel="00000000" w:rsidR="00000000" w:rsidRPr="00000000">
              <w:rPr>
                <w:b w:val="1"/>
                <w:bCs w:val="1"/>
                <w:i w:val="0"/>
                <w:iCs w:val="0"/>
                <w:color w:val="222222"/>
                <w:sz w:val="20"/>
                <w:szCs w:val="20"/>
                <w:rtl w:val="0"/>
              </w:rPr>
              <w:t xml:space="preserve">Explanatory sequential</w:t>
            </w:r>
            <w:r w:rsidDel="00000000" w:rsidR="00000000" w:rsidRPr="00000000">
              <w:rPr>
                <w:rtl w:val="0"/>
              </w:rPr>
            </w:r>
          </w:p>
        </w:tc>
        <w:tc>
          <w:tcPr>
            <w:shd w:fill="ffffff" w:val="clear"/>
            <w:tcMar>
              <w:top w:w="70.0" w:type="dxa"/>
              <w:left w:w="130.0" w:type="dxa"/>
              <w:bottom w:w="70.0" w:type="dxa"/>
              <w:right w:w="130.0" w:type="dxa"/>
            </w:tcMar>
            <w:vAlign w:val="center"/>
          </w:tcPr>
          <w:p w:rsidR="00000000" w:rsidDel="00000000" w:rsidP="00000000" w:rsidRDefault="00000000" w:rsidRPr="00000000" w14:paraId="00000034">
            <w:pPr>
              <w:spacing w:after="0" w:line="250" w:lineRule="auto"/>
              <w:rPr/>
            </w:pPr>
            <w:r w:rsidDel="00000000" w:rsidR="00000000" w:rsidRPr="00000000">
              <w:rPr>
                <w:b w:val="0"/>
                <w:bCs w:val="0"/>
                <w:i w:val="0"/>
                <w:iCs w:val="0"/>
                <w:color w:val="222222"/>
                <w:sz w:val="20"/>
                <w:szCs w:val="20"/>
                <w:rtl w:val="0"/>
              </w:rPr>
              <w:t xml:space="preserve">After the numbers. The results decide who is followed up and what they are asked.</w:t>
            </w:r>
            <w:r w:rsidDel="00000000" w:rsidR="00000000" w:rsidRPr="00000000">
              <w:rPr>
                <w:rtl w:val="0"/>
              </w:rPr>
            </w:r>
          </w:p>
        </w:tc>
      </w:tr>
      <w:tr>
        <w:trPr>
          <w:cantSplit w:val="0"/>
          <w:tblHeader w:val="0"/>
        </w:trPr>
        <w:tc>
          <w:tcPr>
            <w:shd w:fill="ffffff" w:val="clear"/>
            <w:tcMar>
              <w:top w:w="70.0" w:type="dxa"/>
              <w:left w:w="130.0" w:type="dxa"/>
              <w:bottom w:w="70.0" w:type="dxa"/>
              <w:right w:w="130.0" w:type="dxa"/>
            </w:tcMar>
            <w:vAlign w:val="center"/>
          </w:tcPr>
          <w:p w:rsidR="00000000" w:rsidDel="00000000" w:rsidP="00000000" w:rsidRDefault="00000000" w:rsidRPr="00000000" w14:paraId="00000035">
            <w:pPr>
              <w:spacing w:after="0" w:line="250" w:lineRule="auto"/>
              <w:rPr/>
            </w:pPr>
            <w:r w:rsidDel="00000000" w:rsidR="00000000" w:rsidRPr="00000000">
              <w:rPr>
                <w:b w:val="1"/>
                <w:bCs w:val="1"/>
                <w:i w:val="0"/>
                <w:iCs w:val="0"/>
                <w:color w:val="222222"/>
                <w:sz w:val="20"/>
                <w:szCs w:val="20"/>
                <w:rtl w:val="0"/>
              </w:rPr>
              <w:t xml:space="preserve">Exploratory sequential</w:t>
            </w:r>
            <w:r w:rsidDel="00000000" w:rsidR="00000000" w:rsidRPr="00000000">
              <w:rPr>
                <w:rtl w:val="0"/>
              </w:rPr>
            </w:r>
          </w:p>
        </w:tc>
        <w:tc>
          <w:tcPr>
            <w:shd w:fill="ffffff" w:val="clear"/>
            <w:tcMar>
              <w:top w:w="70.0" w:type="dxa"/>
              <w:left w:w="130.0" w:type="dxa"/>
              <w:bottom w:w="70.0" w:type="dxa"/>
              <w:right w:w="130.0" w:type="dxa"/>
            </w:tcMar>
            <w:vAlign w:val="center"/>
          </w:tcPr>
          <w:p w:rsidR="00000000" w:rsidDel="00000000" w:rsidP="00000000" w:rsidRDefault="00000000" w:rsidRPr="00000000" w14:paraId="00000036">
            <w:pPr>
              <w:spacing w:after="0" w:line="250" w:lineRule="auto"/>
              <w:rPr/>
            </w:pPr>
            <w:r w:rsidDel="00000000" w:rsidR="00000000" w:rsidRPr="00000000">
              <w:rPr>
                <w:b w:val="0"/>
                <w:bCs w:val="0"/>
                <w:i w:val="0"/>
                <w:iCs w:val="0"/>
                <w:color w:val="222222"/>
                <w:sz w:val="20"/>
                <w:szCs w:val="20"/>
                <w:rtl w:val="0"/>
              </w:rPr>
              <w:t xml:space="preserve">Earlier, at the instrument. The qualitative work shapes the survey or model that is then tested.</w:t>
            </w:r>
            <w:r w:rsidDel="00000000" w:rsidR="00000000" w:rsidRPr="00000000">
              <w:rPr>
                <w:rtl w:val="0"/>
              </w:rPr>
            </w:r>
          </w:p>
        </w:tc>
      </w:tr>
      <w:tr>
        <w:trPr>
          <w:cantSplit w:val="0"/>
          <w:tblHeader w:val="0"/>
        </w:trPr>
        <w:tc>
          <w:tcPr>
            <w:shd w:fill="ffffff" w:val="clear"/>
            <w:tcMar>
              <w:top w:w="70.0" w:type="dxa"/>
              <w:left w:w="130.0" w:type="dxa"/>
              <w:bottom w:w="70.0" w:type="dxa"/>
              <w:right w:w="130.0" w:type="dxa"/>
            </w:tcMar>
            <w:vAlign w:val="center"/>
          </w:tcPr>
          <w:p w:rsidR="00000000" w:rsidDel="00000000" w:rsidP="00000000" w:rsidRDefault="00000000" w:rsidRPr="00000000" w14:paraId="00000037">
            <w:pPr>
              <w:spacing w:after="0" w:line="250" w:lineRule="auto"/>
              <w:rPr/>
            </w:pPr>
            <w:r w:rsidDel="00000000" w:rsidR="00000000" w:rsidRPr="00000000">
              <w:rPr>
                <w:b w:val="1"/>
                <w:bCs w:val="1"/>
                <w:i w:val="0"/>
                <w:iCs w:val="0"/>
                <w:color w:val="222222"/>
                <w:sz w:val="20"/>
                <w:szCs w:val="20"/>
                <w:rtl w:val="0"/>
              </w:rPr>
              <w:t xml:space="preserve">Convergent</w:t>
            </w:r>
            <w:r w:rsidDel="00000000" w:rsidR="00000000" w:rsidRPr="00000000">
              <w:rPr>
                <w:rtl w:val="0"/>
              </w:rPr>
            </w:r>
          </w:p>
        </w:tc>
        <w:tc>
          <w:tcPr>
            <w:shd w:fill="ffffff" w:val="clear"/>
            <w:tcMar>
              <w:top w:w="70.0" w:type="dxa"/>
              <w:left w:w="130.0" w:type="dxa"/>
              <w:bottom w:w="70.0" w:type="dxa"/>
              <w:right w:w="130.0" w:type="dxa"/>
            </w:tcMar>
            <w:vAlign w:val="center"/>
          </w:tcPr>
          <w:p w:rsidR="00000000" w:rsidDel="00000000" w:rsidP="00000000" w:rsidRDefault="00000000" w:rsidRPr="00000000" w14:paraId="00000038">
            <w:pPr>
              <w:spacing w:after="0" w:line="250" w:lineRule="auto"/>
              <w:rPr/>
            </w:pPr>
            <w:r w:rsidDel="00000000" w:rsidR="00000000" w:rsidRPr="00000000">
              <w:rPr>
                <w:b w:val="0"/>
                <w:bCs w:val="0"/>
                <w:i w:val="0"/>
                <w:iCs w:val="0"/>
                <w:color w:val="222222"/>
                <w:sz w:val="20"/>
                <w:szCs w:val="20"/>
                <w:rtl w:val="0"/>
              </w:rPr>
              <w:t xml:space="preserve">At interpretation. The two datasets are merged once both are analysed.</w:t>
            </w:r>
            <w:r w:rsidDel="00000000" w:rsidR="00000000" w:rsidRPr="00000000">
              <w:rPr>
                <w:rtl w:val="0"/>
              </w:rPr>
            </w:r>
          </w:p>
        </w:tc>
      </w:tr>
    </w:tbl>
    <w:p w:rsidR="00000000" w:rsidDel="00000000" w:rsidP="00000000" w:rsidRDefault="00000000" w:rsidRPr="00000000" w14:paraId="00000039">
      <w:pPr>
        <w:spacing w:after="60" w:lineRule="auto"/>
        <w:rPr/>
      </w:pPr>
      <w:r w:rsidDel="00000000" w:rsidR="00000000" w:rsidRPr="00000000">
        <w:rPr>
          <w:rtl w:val="0"/>
        </w:rPr>
      </w:r>
    </w:p>
    <w:tbl>
      <w:tblPr>
        <w:tblStyle w:val="Table7"/>
        <w:tblW w:w="9360.0" w:type="dxa"/>
        <w:jc w:val="left"/>
        <w:tblBorders>
          <w:top w:color="dad3e6" w:space="0" w:sz="4" w:val="single"/>
          <w:left w:color="dad3e6" w:space="0" w:sz="4" w:val="single"/>
          <w:bottom w:color="dad3e6" w:space="0" w:sz="4" w:val="single"/>
          <w:right w:color="dad3e6" w:space="0" w:sz="4" w:val="single"/>
          <w:insideH w:color="000000" w:space="0" w:sz="4" w:val="single"/>
          <w:insideV w:color="000000" w:space="0" w:sz="4" w:val="single"/>
        </w:tblBorders>
        <w:tblLayout w:type="fixed"/>
        <w:tblLook w:val="0000"/>
      </w:tblPr>
      <w:tblGrid>
        <w:gridCol w:w="9360"/>
        <w:tblGridChange w:id="0">
          <w:tblGrid>
            <w:gridCol w:w="9360"/>
          </w:tblGrid>
        </w:tblGridChange>
      </w:tblGrid>
      <w:tr>
        <w:trPr>
          <w:cantSplit w:val="0"/>
          <w:tblHeader w:val="0"/>
        </w:trPr>
        <w:tc>
          <w:tcPr>
            <w:shd w:fill="f3f0f9" w:val="clear"/>
            <w:tcMar>
              <w:top w:w="130.0" w:type="dxa"/>
              <w:left w:w="200.0" w:type="dxa"/>
              <w:bottom w:w="130.0" w:type="dxa"/>
              <w:right w:w="200.0" w:type="dxa"/>
            </w:tcMar>
          </w:tcPr>
          <w:p w:rsidR="00000000" w:rsidDel="00000000" w:rsidP="00000000" w:rsidRDefault="00000000" w:rsidRPr="00000000" w14:paraId="0000003A">
            <w:pPr>
              <w:spacing w:after="0" w:line="261.99999999999994" w:lineRule="auto"/>
              <w:rPr/>
            </w:pPr>
            <w:r w:rsidDel="00000000" w:rsidR="00000000" w:rsidRPr="00000000">
              <w:rPr>
                <w:b w:val="1"/>
                <w:bCs w:val="1"/>
                <w:i w:val="0"/>
                <w:iCs w:val="0"/>
                <w:color w:val="4b2c7a"/>
                <w:sz w:val="21"/>
                <w:szCs w:val="21"/>
                <w:rtl w:val="0"/>
              </w:rPr>
              <w:t xml:space="preserve">The most common point of failure. </w:t>
            </w:r>
            <w:r w:rsidDel="00000000" w:rsidR="00000000" w:rsidRPr="00000000">
              <w:rPr>
                <w:b w:val="0"/>
                <w:bCs w:val="0"/>
                <w:i w:val="0"/>
                <w:iCs w:val="0"/>
                <w:color w:val="222222"/>
                <w:sz w:val="21"/>
                <w:szCs w:val="21"/>
                <w:rtl w:val="0"/>
              </w:rPr>
              <w:t xml:space="preserve">A weak or arbitrary connecting decision breaks the logic that makes the design one study. A principled decision is evidenced in two ways. First, by showing exactly which results or concepts were carried across and why. Second, by showing how the two samples relate.</w:t>
            </w:r>
            <w:r w:rsidDel="00000000" w:rsidR="00000000" w:rsidRPr="00000000">
              <w:rPr>
                <w:rtl w:val="0"/>
              </w:rPr>
            </w:r>
          </w:p>
        </w:tc>
      </w:tr>
    </w:tbl>
    <w:p w:rsidR="00000000" w:rsidDel="00000000" w:rsidP="00000000" w:rsidRDefault="00000000" w:rsidRPr="00000000" w14:paraId="0000003B">
      <w:pPr>
        <w:pStyle w:val="Heading1"/>
        <w:rPr/>
      </w:pPr>
      <w:r w:rsidDel="00000000" w:rsidR="00000000" w:rsidRPr="00000000">
        <w:rPr>
          <w:rtl w:val="0"/>
        </w:rPr>
        <w:t xml:space="preserve">7   Sampling and connecting</w:t>
      </w:r>
    </w:p>
    <w:p w:rsidR="00000000" w:rsidDel="00000000" w:rsidP="00000000" w:rsidRDefault="00000000" w:rsidRPr="00000000" w14:paraId="0000003C">
      <w:pPr>
        <w:spacing w:after="120" w:line="264" w:lineRule="auto"/>
        <w:jc w:val="left"/>
        <w:rPr/>
      </w:pPr>
      <w:r w:rsidDel="00000000" w:rsidR="00000000" w:rsidRPr="00000000">
        <w:rPr>
          <w:b w:val="1"/>
          <w:bCs w:val="1"/>
          <w:i w:val="0"/>
          <w:iCs w:val="0"/>
          <w:color w:val="222222"/>
          <w:sz w:val="21"/>
          <w:szCs w:val="21"/>
          <w:rtl w:val="0"/>
        </w:rPr>
        <w:t xml:space="preserve">The two samples are related and that relationship is deliberate. </w:t>
      </w:r>
      <w:r w:rsidDel="00000000" w:rsidR="00000000" w:rsidRPr="00000000">
        <w:rPr>
          <w:b w:val="0"/>
          <w:bCs w:val="0"/>
          <w:i w:val="0"/>
          <w:iCs w:val="0"/>
          <w:color w:val="222222"/>
          <w:sz w:val="21"/>
          <w:szCs w:val="21"/>
          <w:rtl w:val="0"/>
        </w:rPr>
        <w:t xml:space="preserve">In an explanatory design the qualitative participants are usually a purposive subset of the quantitative sample, chosen on the basis of the results: the outliers to understand an extreme score, the typical cases to understand the central pattern or a subgroup whose numbers surprised you. The quantitative phase becomes the sampling frame for the qualitative phase. In an exploratory design the relationship runs the other way, as the qualitative work defines the constructs the larger quantitative sample then measures. In a convergent design the strands may draw on the same population at the same time.</w:t>
      </w:r>
      <w:r w:rsidDel="00000000" w:rsidR="00000000" w:rsidRPr="00000000">
        <w:rPr>
          <w:rtl w:val="0"/>
        </w:rPr>
      </w:r>
    </w:p>
    <w:p w:rsidR="00000000" w:rsidDel="00000000" w:rsidP="00000000" w:rsidRDefault="00000000" w:rsidRPr="00000000" w14:paraId="0000003D">
      <w:pPr>
        <w:spacing w:after="120" w:line="264" w:lineRule="auto"/>
        <w:jc w:val="left"/>
        <w:rPr/>
      </w:pPr>
      <w:r w:rsidDel="00000000" w:rsidR="00000000" w:rsidRPr="00000000">
        <w:rPr>
          <w:b w:val="0"/>
          <w:bCs w:val="0"/>
          <w:i w:val="0"/>
          <w:iCs w:val="0"/>
          <w:color w:val="222222"/>
          <w:sz w:val="21"/>
          <w:szCs w:val="21"/>
          <w:rtl w:val="0"/>
        </w:rPr>
        <w:t xml:space="preserve">Sample sizes follow each strand's own logic: powered for the quantitative phase, small and purposive for the qualitative phase where depth matters more than count. Decide the strategy before you see the results so the choice is principled rather than convenient.</w:t>
      </w:r>
      <w:r w:rsidDel="00000000" w:rsidR="00000000" w:rsidRPr="00000000">
        <w:rPr>
          <w:rtl w:val="0"/>
        </w:rPr>
      </w:r>
    </w:p>
    <w:p w:rsidR="00000000" w:rsidDel="00000000" w:rsidP="00000000" w:rsidRDefault="00000000" w:rsidRPr="00000000" w14:paraId="0000003E">
      <w:pPr>
        <w:rPr/>
      </w:pPr>
      <w:r w:rsidDel="00000000" w:rsidR="00000000" w:rsidRPr="00000000">
        <w:br w:type="page"/>
      </w:r>
      <w:r w:rsidDel="00000000" w:rsidR="00000000" w:rsidRPr="00000000">
        <w:rPr>
          <w:rtl w:val="0"/>
        </w:rPr>
      </w:r>
    </w:p>
    <w:p w:rsidR="00000000" w:rsidDel="00000000" w:rsidP="00000000" w:rsidRDefault="00000000" w:rsidRPr="00000000" w14:paraId="0000003F">
      <w:pPr>
        <w:pStyle w:val="Heading1"/>
        <w:rPr/>
      </w:pPr>
      <w:r w:rsidDel="00000000" w:rsidR="00000000" w:rsidRPr="00000000">
        <w:rPr>
          <w:rtl w:val="0"/>
        </w:rPr>
        <w:t xml:space="preserve">8   Integration, the heart of it</w:t>
      </w:r>
    </w:p>
    <w:p w:rsidR="00000000" w:rsidDel="00000000" w:rsidP="00000000" w:rsidRDefault="00000000" w:rsidRPr="00000000" w14:paraId="00000040">
      <w:pPr>
        <w:spacing w:after="120" w:line="264" w:lineRule="auto"/>
        <w:jc w:val="left"/>
        <w:rPr/>
      </w:pPr>
      <w:r w:rsidDel="00000000" w:rsidR="00000000" w:rsidRPr="00000000">
        <w:rPr>
          <w:b w:val="0"/>
          <w:bCs w:val="0"/>
          <w:i w:val="0"/>
          <w:iCs w:val="0"/>
          <w:color w:val="222222"/>
          <w:sz w:val="21"/>
          <w:szCs w:val="21"/>
          <w:rtl w:val="0"/>
        </w:rPr>
        <w:t xml:space="preserve">A study earns the name mixed methods only if the strands are brought together. Fetters, Curry and Creswell (2013) describe integration at three levels. At the level of design, integration is the sequence itself. At the level of methods, it is connecting the sample and the questions. At the level of interpretation and reporting, the two sets of findings are woven into joint conclusions.</w:t>
      </w:r>
      <w:r w:rsidDel="00000000" w:rsidR="00000000" w:rsidRPr="00000000">
        <w:rPr>
          <w:rtl w:val="0"/>
        </w:rPr>
      </w:r>
    </w:p>
    <w:p w:rsidR="00000000" w:rsidDel="00000000" w:rsidP="00000000" w:rsidRDefault="00000000" w:rsidRPr="00000000" w14:paraId="00000041">
      <w:pPr>
        <w:pStyle w:val="Heading2"/>
        <w:rPr/>
      </w:pPr>
      <w:r w:rsidDel="00000000" w:rsidR="00000000" w:rsidRPr="00000000">
        <w:rPr>
          <w:rtl w:val="0"/>
        </w:rPr>
        <w:t xml:space="preserve">The joint display</w:t>
      </w:r>
    </w:p>
    <w:p w:rsidR="00000000" w:rsidDel="00000000" w:rsidP="00000000" w:rsidRDefault="00000000" w:rsidRPr="00000000" w14:paraId="00000042">
      <w:pPr>
        <w:spacing w:after="120" w:line="264" w:lineRule="auto"/>
        <w:jc w:val="left"/>
        <w:rPr/>
      </w:pPr>
      <w:r w:rsidDel="00000000" w:rsidR="00000000" w:rsidRPr="00000000">
        <w:rPr>
          <w:b w:val="0"/>
          <w:bCs w:val="0"/>
          <w:i w:val="0"/>
          <w:iCs w:val="0"/>
          <w:color w:val="222222"/>
          <w:sz w:val="21"/>
          <w:szCs w:val="21"/>
          <w:rtl w:val="0"/>
        </w:rPr>
        <w:t xml:space="preserve">The joint display is the practical tool. It is a table that places the quantitative result, the qualitative finding that explains it and your combined interpretation side by side, so a reader sees the explanation happen.</w:t>
      </w:r>
      <w:r w:rsidDel="00000000" w:rsidR="00000000" w:rsidRPr="00000000">
        <w:rPr>
          <w:rtl w:val="0"/>
        </w:rPr>
      </w:r>
    </w:p>
    <w:tbl>
      <w:tblPr>
        <w:tblStyle w:val="Table8"/>
        <w:tblW w:w="9360.0" w:type="dxa"/>
        <w:jc w:val="left"/>
        <w:tblBorders>
          <w:top w:color="dad3e6" w:space="0" w:sz="2" w:val="single"/>
          <w:left w:color="dad3e6" w:space="0" w:sz="2" w:val="single"/>
          <w:bottom w:color="dad3e6" w:space="0" w:sz="2" w:val="single"/>
          <w:right w:color="dad3e6" w:space="0" w:sz="2" w:val="single"/>
          <w:insideH w:color="dad3e6" w:space="0" w:sz="2" w:val="single"/>
          <w:insideV w:color="dad3e6" w:space="0" w:sz="2" w:val="single"/>
        </w:tblBorders>
        <w:tblLayout w:type="fixed"/>
        <w:tblLook w:val="0000"/>
      </w:tblPr>
      <w:tblGrid>
        <w:gridCol w:w="3120"/>
        <w:gridCol w:w="3120"/>
        <w:gridCol w:w="3120"/>
        <w:tblGridChange w:id="0">
          <w:tblGrid>
            <w:gridCol w:w="3120"/>
            <w:gridCol w:w="3120"/>
            <w:gridCol w:w="3120"/>
          </w:tblGrid>
        </w:tblGridChange>
      </w:tblGrid>
      <w:tr>
        <w:trPr>
          <w:cantSplit w:val="0"/>
          <w:tblHeader w:val="1"/>
        </w:trPr>
        <w:tc>
          <w:tcPr>
            <w:shd w:fill="4b2c7a" w:val="clear"/>
            <w:tcMar>
              <w:top w:w="70.0" w:type="dxa"/>
              <w:left w:w="130.0" w:type="dxa"/>
              <w:bottom w:w="70.0" w:type="dxa"/>
              <w:right w:w="130.0" w:type="dxa"/>
            </w:tcMar>
            <w:vAlign w:val="center"/>
          </w:tcPr>
          <w:p w:rsidR="00000000" w:rsidDel="00000000" w:rsidP="00000000" w:rsidRDefault="00000000" w:rsidRPr="00000000" w14:paraId="00000043">
            <w:pPr>
              <w:spacing w:after="0" w:line="250" w:lineRule="auto"/>
              <w:rPr/>
            </w:pPr>
            <w:r w:rsidDel="00000000" w:rsidR="00000000" w:rsidRPr="00000000">
              <w:rPr>
                <w:b w:val="1"/>
                <w:bCs w:val="1"/>
                <w:i w:val="0"/>
                <w:iCs w:val="0"/>
                <w:color w:val="ffffff"/>
                <w:sz w:val="20"/>
                <w:szCs w:val="20"/>
                <w:rtl w:val="0"/>
              </w:rPr>
              <w:t xml:space="preserve">Quantitative result</w:t>
            </w:r>
            <w:r w:rsidDel="00000000" w:rsidR="00000000" w:rsidRPr="00000000">
              <w:rPr>
                <w:rtl w:val="0"/>
              </w:rPr>
            </w:r>
          </w:p>
        </w:tc>
        <w:tc>
          <w:tcPr>
            <w:shd w:fill="1d6b6b" w:val="clear"/>
            <w:tcMar>
              <w:top w:w="70.0" w:type="dxa"/>
              <w:left w:w="130.0" w:type="dxa"/>
              <w:bottom w:w="70.0" w:type="dxa"/>
              <w:right w:w="130.0" w:type="dxa"/>
            </w:tcMar>
            <w:vAlign w:val="center"/>
          </w:tcPr>
          <w:p w:rsidR="00000000" w:rsidDel="00000000" w:rsidP="00000000" w:rsidRDefault="00000000" w:rsidRPr="00000000" w14:paraId="00000044">
            <w:pPr>
              <w:spacing w:after="0" w:line="250" w:lineRule="auto"/>
              <w:rPr/>
            </w:pPr>
            <w:r w:rsidDel="00000000" w:rsidR="00000000" w:rsidRPr="00000000">
              <w:rPr>
                <w:b w:val="1"/>
                <w:bCs w:val="1"/>
                <w:i w:val="0"/>
                <w:iCs w:val="0"/>
                <w:color w:val="ffffff"/>
                <w:sz w:val="20"/>
                <w:szCs w:val="20"/>
                <w:rtl w:val="0"/>
              </w:rPr>
              <w:t xml:space="preserve">Qualitative explanation</w:t>
            </w:r>
            <w:r w:rsidDel="00000000" w:rsidR="00000000" w:rsidRPr="00000000">
              <w:rPr>
                <w:rtl w:val="0"/>
              </w:rPr>
            </w:r>
          </w:p>
        </w:tc>
        <w:tc>
          <w:tcPr>
            <w:shd w:fill="9a7b16" w:val="clear"/>
            <w:tcMar>
              <w:top w:w="70.0" w:type="dxa"/>
              <w:left w:w="130.0" w:type="dxa"/>
              <w:bottom w:w="70.0" w:type="dxa"/>
              <w:right w:w="130.0" w:type="dxa"/>
            </w:tcMar>
            <w:vAlign w:val="center"/>
          </w:tcPr>
          <w:p w:rsidR="00000000" w:rsidDel="00000000" w:rsidP="00000000" w:rsidRDefault="00000000" w:rsidRPr="00000000" w14:paraId="00000045">
            <w:pPr>
              <w:spacing w:after="0" w:line="250" w:lineRule="auto"/>
              <w:rPr/>
            </w:pPr>
            <w:r w:rsidDel="00000000" w:rsidR="00000000" w:rsidRPr="00000000">
              <w:rPr>
                <w:b w:val="1"/>
                <w:bCs w:val="1"/>
                <w:i w:val="0"/>
                <w:iCs w:val="0"/>
                <w:color w:val="ffffff"/>
                <w:sz w:val="20"/>
                <w:szCs w:val="20"/>
                <w:rtl w:val="0"/>
              </w:rPr>
              <w:t xml:space="preserve">Meta inference</w:t>
            </w:r>
            <w:r w:rsidDel="00000000" w:rsidR="00000000" w:rsidRPr="00000000">
              <w:rPr>
                <w:rtl w:val="0"/>
              </w:rPr>
            </w:r>
          </w:p>
        </w:tc>
      </w:tr>
      <w:tr>
        <w:trPr>
          <w:cantSplit w:val="0"/>
          <w:tblHeader w:val="0"/>
        </w:trPr>
        <w:tc>
          <w:tcPr>
            <w:shd w:fill="ffffff" w:val="clear"/>
            <w:tcMar>
              <w:top w:w="70.0" w:type="dxa"/>
              <w:left w:w="130.0" w:type="dxa"/>
              <w:bottom w:w="70.0" w:type="dxa"/>
              <w:right w:w="130.0" w:type="dxa"/>
            </w:tcMar>
            <w:vAlign w:val="center"/>
          </w:tcPr>
          <w:p w:rsidR="00000000" w:rsidDel="00000000" w:rsidP="00000000" w:rsidRDefault="00000000" w:rsidRPr="00000000" w14:paraId="00000046">
            <w:pPr>
              <w:spacing w:after="0" w:line="250" w:lineRule="auto"/>
              <w:rPr/>
            </w:pPr>
            <w:r w:rsidDel="00000000" w:rsidR="00000000" w:rsidRPr="00000000">
              <w:rPr>
                <w:b w:val="0"/>
                <w:bCs w:val="0"/>
                <w:i w:val="0"/>
                <w:iCs w:val="0"/>
                <w:color w:val="222222"/>
                <w:sz w:val="20"/>
                <w:szCs w:val="20"/>
                <w:rtl w:val="0"/>
              </w:rPr>
              <w:t xml:space="preserve">App uptake was far lower than forecast, at twelve percent.</w:t>
            </w:r>
            <w:r w:rsidDel="00000000" w:rsidR="00000000" w:rsidRPr="00000000">
              <w:rPr>
                <w:rtl w:val="0"/>
              </w:rPr>
            </w:r>
          </w:p>
        </w:tc>
        <w:tc>
          <w:tcPr>
            <w:shd w:fill="ffffff" w:val="clear"/>
            <w:tcMar>
              <w:top w:w="70.0" w:type="dxa"/>
              <w:left w:w="130.0" w:type="dxa"/>
              <w:bottom w:w="70.0" w:type="dxa"/>
              <w:right w:w="130.0" w:type="dxa"/>
            </w:tcMar>
            <w:vAlign w:val="center"/>
          </w:tcPr>
          <w:p w:rsidR="00000000" w:rsidDel="00000000" w:rsidP="00000000" w:rsidRDefault="00000000" w:rsidRPr="00000000" w14:paraId="00000047">
            <w:pPr>
              <w:spacing w:after="0" w:line="250" w:lineRule="auto"/>
              <w:rPr/>
            </w:pPr>
            <w:r w:rsidDel="00000000" w:rsidR="00000000" w:rsidRPr="00000000">
              <w:rPr>
                <w:b w:val="0"/>
                <w:bCs w:val="0"/>
                <w:i w:val="0"/>
                <w:iCs w:val="0"/>
                <w:color w:val="222222"/>
                <w:sz w:val="20"/>
                <w:szCs w:val="20"/>
                <w:rtl w:val="0"/>
              </w:rPr>
              <w:t xml:space="preserve">Staff said the app implied the problem was personal, not structural.</w:t>
            </w:r>
            <w:r w:rsidDel="00000000" w:rsidR="00000000" w:rsidRPr="00000000">
              <w:rPr>
                <w:rtl w:val="0"/>
              </w:rPr>
            </w:r>
          </w:p>
        </w:tc>
        <w:tc>
          <w:tcPr>
            <w:shd w:fill="ffffff" w:val="clear"/>
            <w:tcMar>
              <w:top w:w="70.0" w:type="dxa"/>
              <w:left w:w="130.0" w:type="dxa"/>
              <w:bottom w:w="70.0" w:type="dxa"/>
              <w:right w:w="130.0" w:type="dxa"/>
            </w:tcMar>
            <w:vAlign w:val="center"/>
          </w:tcPr>
          <w:p w:rsidR="00000000" w:rsidDel="00000000" w:rsidP="00000000" w:rsidRDefault="00000000" w:rsidRPr="00000000" w14:paraId="00000048">
            <w:pPr>
              <w:spacing w:after="0" w:line="250" w:lineRule="auto"/>
              <w:rPr/>
            </w:pPr>
            <w:r w:rsidDel="00000000" w:rsidR="00000000" w:rsidRPr="00000000">
              <w:rPr>
                <w:b w:val="0"/>
                <w:bCs w:val="0"/>
                <w:i w:val="0"/>
                <w:iCs w:val="0"/>
                <w:color w:val="222222"/>
                <w:sz w:val="20"/>
                <w:szCs w:val="20"/>
                <w:rtl w:val="0"/>
              </w:rPr>
              <w:t xml:space="preserve">Low uptake reflects a mismatch of framing, not of need. Redesign the message, not the app.</w:t>
            </w:r>
            <w:r w:rsidDel="00000000" w:rsidR="00000000" w:rsidRPr="00000000">
              <w:rPr>
                <w:rtl w:val="0"/>
              </w:rPr>
            </w:r>
          </w:p>
        </w:tc>
      </w:tr>
      <w:tr>
        <w:trPr>
          <w:cantSplit w:val="0"/>
          <w:tblHeader w:val="0"/>
        </w:trPr>
        <w:tc>
          <w:tcPr>
            <w:shd w:fill="ffffff" w:val="clear"/>
            <w:tcMar>
              <w:top w:w="70.0" w:type="dxa"/>
              <w:left w:w="130.0" w:type="dxa"/>
              <w:bottom w:w="70.0" w:type="dxa"/>
              <w:right w:w="130.0" w:type="dxa"/>
            </w:tcMar>
            <w:vAlign w:val="center"/>
          </w:tcPr>
          <w:p w:rsidR="00000000" w:rsidDel="00000000" w:rsidP="00000000" w:rsidRDefault="00000000" w:rsidRPr="00000000" w14:paraId="00000049">
            <w:pPr>
              <w:spacing w:after="0" w:line="250" w:lineRule="auto"/>
              <w:rPr/>
            </w:pPr>
            <w:r w:rsidDel="00000000" w:rsidR="00000000" w:rsidRPr="00000000">
              <w:rPr>
                <w:b w:val="0"/>
                <w:bCs w:val="0"/>
                <w:i w:val="0"/>
                <w:iCs w:val="0"/>
                <w:color w:val="222222"/>
                <w:sz w:val="20"/>
                <w:szCs w:val="20"/>
                <w:rtl w:val="0"/>
              </w:rPr>
              <w:t xml:space="preserve">Satisfaction scored high yet retention was poor.</w:t>
            </w:r>
            <w:r w:rsidDel="00000000" w:rsidR="00000000" w:rsidRPr="00000000">
              <w:rPr>
                <w:rtl w:val="0"/>
              </w:rPr>
            </w:r>
          </w:p>
        </w:tc>
        <w:tc>
          <w:tcPr>
            <w:shd w:fill="ffffff" w:val="clear"/>
            <w:tcMar>
              <w:top w:w="70.0" w:type="dxa"/>
              <w:left w:w="130.0" w:type="dxa"/>
              <w:bottom w:w="70.0" w:type="dxa"/>
              <w:right w:w="130.0" w:type="dxa"/>
            </w:tcMar>
            <w:vAlign w:val="center"/>
          </w:tcPr>
          <w:p w:rsidR="00000000" w:rsidDel="00000000" w:rsidP="00000000" w:rsidRDefault="00000000" w:rsidRPr="00000000" w14:paraId="0000004A">
            <w:pPr>
              <w:spacing w:after="0" w:line="250" w:lineRule="auto"/>
              <w:rPr/>
            </w:pPr>
            <w:r w:rsidDel="00000000" w:rsidR="00000000" w:rsidRPr="00000000">
              <w:rPr>
                <w:b w:val="0"/>
                <w:bCs w:val="0"/>
                <w:i w:val="0"/>
                <w:iCs w:val="0"/>
                <w:color w:val="222222"/>
                <w:sz w:val="20"/>
                <w:szCs w:val="20"/>
                <w:rtl w:val="0"/>
              </w:rPr>
              <w:t xml:space="preserve">Interviews revealed satisfaction with colleagues, not with the role.</w:t>
            </w:r>
            <w:r w:rsidDel="00000000" w:rsidR="00000000" w:rsidRPr="00000000">
              <w:rPr>
                <w:rtl w:val="0"/>
              </w:rPr>
            </w:r>
          </w:p>
        </w:tc>
        <w:tc>
          <w:tcPr>
            <w:shd w:fill="ffffff" w:val="clear"/>
            <w:tcMar>
              <w:top w:w="70.0" w:type="dxa"/>
              <w:left w:w="130.0" w:type="dxa"/>
              <w:bottom w:w="70.0" w:type="dxa"/>
              <w:right w:w="130.0" w:type="dxa"/>
            </w:tcMar>
            <w:vAlign w:val="center"/>
          </w:tcPr>
          <w:p w:rsidR="00000000" w:rsidDel="00000000" w:rsidP="00000000" w:rsidRDefault="00000000" w:rsidRPr="00000000" w14:paraId="0000004B">
            <w:pPr>
              <w:spacing w:after="0" w:line="250" w:lineRule="auto"/>
              <w:rPr/>
            </w:pPr>
            <w:r w:rsidDel="00000000" w:rsidR="00000000" w:rsidRPr="00000000">
              <w:rPr>
                <w:b w:val="0"/>
                <w:bCs w:val="0"/>
                <w:i w:val="0"/>
                <w:iCs w:val="0"/>
                <w:color w:val="222222"/>
                <w:sz w:val="20"/>
                <w:szCs w:val="20"/>
                <w:rtl w:val="0"/>
              </w:rPr>
              <w:t xml:space="preserve">The survey measured the wrong object. Retention turns on role, not workplace warmth.</w:t>
            </w:r>
            <w:r w:rsidDel="00000000" w:rsidR="00000000" w:rsidRPr="00000000">
              <w:rPr>
                <w:rtl w:val="0"/>
              </w:rPr>
            </w:r>
          </w:p>
        </w:tc>
      </w:tr>
    </w:tbl>
    <w:p w:rsidR="00000000" w:rsidDel="00000000" w:rsidP="00000000" w:rsidRDefault="00000000" w:rsidRPr="00000000" w14:paraId="0000004C">
      <w:pPr>
        <w:spacing w:after="60" w:lineRule="auto"/>
        <w:rPr/>
      </w:pPr>
      <w:r w:rsidDel="00000000" w:rsidR="00000000" w:rsidRPr="00000000">
        <w:rPr>
          <w:rtl w:val="0"/>
        </w:rPr>
      </w:r>
    </w:p>
    <w:p w:rsidR="00000000" w:rsidDel="00000000" w:rsidP="00000000" w:rsidRDefault="00000000" w:rsidRPr="00000000" w14:paraId="0000004D">
      <w:pPr>
        <w:pStyle w:val="Heading2"/>
        <w:rPr/>
      </w:pPr>
      <w:r w:rsidDel="00000000" w:rsidR="00000000" w:rsidRPr="00000000">
        <w:rPr>
          <w:rtl w:val="0"/>
        </w:rPr>
        <w:t xml:space="preserve">Meta inferences</w:t>
      </w:r>
    </w:p>
    <w:p w:rsidR="00000000" w:rsidDel="00000000" w:rsidP="00000000" w:rsidRDefault="00000000" w:rsidRPr="00000000" w14:paraId="0000004E">
      <w:pPr>
        <w:spacing w:after="120" w:line="264" w:lineRule="auto"/>
        <w:jc w:val="left"/>
        <w:rPr/>
      </w:pPr>
      <w:r w:rsidDel="00000000" w:rsidR="00000000" w:rsidRPr="00000000">
        <w:rPr>
          <w:b w:val="0"/>
          <w:bCs w:val="0"/>
          <w:i w:val="0"/>
          <w:iCs w:val="0"/>
          <w:color w:val="222222"/>
          <w:sz w:val="21"/>
          <w:szCs w:val="21"/>
          <w:rtl w:val="0"/>
        </w:rPr>
        <w:t xml:space="preserve">Meta inferences are the conclusions you can draw only because you had both strands. The survey alone may show that an outcome does not follow from its supposed cause. The interviews alone may surface a worry. Together they yield a conclusion neither reaches on its own. That is where mixed methods earns its keep.</w:t>
      </w:r>
      <w:r w:rsidDel="00000000" w:rsidR="00000000" w:rsidRPr="00000000">
        <w:rPr>
          <w:rtl w:val="0"/>
        </w:rPr>
      </w:r>
    </w:p>
    <w:tbl>
      <w:tblPr>
        <w:tblStyle w:val="Table9"/>
        <w:tblW w:w="9360.0" w:type="dxa"/>
        <w:jc w:val="left"/>
        <w:tblBorders>
          <w:top w:color="dad3e6" w:space="0" w:sz="4" w:val="single"/>
          <w:left w:color="dad3e6" w:space="0" w:sz="4" w:val="single"/>
          <w:bottom w:color="dad3e6" w:space="0" w:sz="4" w:val="single"/>
          <w:right w:color="dad3e6" w:space="0" w:sz="4" w:val="single"/>
          <w:insideH w:color="000000" w:space="0" w:sz="4" w:val="single"/>
          <w:insideV w:color="000000" w:space="0" w:sz="4" w:val="single"/>
        </w:tblBorders>
        <w:tblLayout w:type="fixed"/>
        <w:tblLook w:val="0000"/>
      </w:tblPr>
      <w:tblGrid>
        <w:gridCol w:w="9360"/>
        <w:tblGridChange w:id="0">
          <w:tblGrid>
            <w:gridCol w:w="9360"/>
          </w:tblGrid>
        </w:tblGridChange>
      </w:tblGrid>
      <w:tr>
        <w:trPr>
          <w:cantSplit w:val="0"/>
          <w:tblHeader w:val="0"/>
        </w:trPr>
        <w:tc>
          <w:tcPr>
            <w:shd w:fill="f3f0f9" w:val="clear"/>
            <w:tcMar>
              <w:top w:w="130.0" w:type="dxa"/>
              <w:left w:w="200.0" w:type="dxa"/>
              <w:bottom w:w="130.0" w:type="dxa"/>
              <w:right w:w="200.0" w:type="dxa"/>
            </w:tcMar>
          </w:tcPr>
          <w:p w:rsidR="00000000" w:rsidDel="00000000" w:rsidP="00000000" w:rsidRDefault="00000000" w:rsidRPr="00000000" w14:paraId="0000004F">
            <w:pPr>
              <w:spacing w:after="0" w:line="261.99999999999994" w:lineRule="auto"/>
              <w:rPr/>
            </w:pPr>
            <w:r w:rsidDel="00000000" w:rsidR="00000000" w:rsidRPr="00000000">
              <w:rPr>
                <w:b w:val="1"/>
                <w:bCs w:val="1"/>
                <w:i w:val="0"/>
                <w:iCs w:val="0"/>
                <w:color w:val="4b2c7a"/>
                <w:sz w:val="21"/>
                <w:szCs w:val="21"/>
                <w:rtl w:val="0"/>
              </w:rPr>
              <w:t xml:space="preserve">The test that reveals the failure. </w:t>
            </w:r>
            <w:r w:rsidDel="00000000" w:rsidR="00000000" w:rsidRPr="00000000">
              <w:rPr>
                <w:b w:val="0"/>
                <w:bCs w:val="0"/>
                <w:i w:val="0"/>
                <w:iCs w:val="0"/>
                <w:color w:val="222222"/>
                <w:sz w:val="21"/>
                <w:szCs w:val="21"/>
                <w:rtl w:val="0"/>
              </w:rPr>
              <w:t xml:space="preserve">If your findings chapter could be split cleanly back into a quantitative half and a qualitative half with nothing lost, you have not really integrated and a reviewer will say so. The connecting point and the integration are not optional extras. They are what make it one study.</w:t>
            </w:r>
            <w:r w:rsidDel="00000000" w:rsidR="00000000" w:rsidRPr="00000000">
              <w:rPr>
                <w:rtl w:val="0"/>
              </w:rPr>
            </w:r>
          </w:p>
        </w:tc>
      </w:tr>
    </w:tbl>
    <w:p w:rsidR="00000000" w:rsidDel="00000000" w:rsidP="00000000" w:rsidRDefault="00000000" w:rsidRPr="00000000" w14:paraId="00000050">
      <w:pPr>
        <w:pStyle w:val="Heading1"/>
        <w:rPr/>
      </w:pPr>
      <w:r w:rsidDel="00000000" w:rsidR="00000000" w:rsidRPr="00000000">
        <w:rPr>
          <w:rtl w:val="0"/>
        </w:rPr>
        <w:t xml:space="preserve">9   Quality and legitimation</w:t>
      </w:r>
    </w:p>
    <w:p w:rsidR="00000000" w:rsidDel="00000000" w:rsidP="00000000" w:rsidRDefault="00000000" w:rsidRPr="00000000" w14:paraId="00000051">
      <w:pPr>
        <w:spacing w:after="120" w:line="264" w:lineRule="auto"/>
        <w:jc w:val="left"/>
        <w:rPr/>
      </w:pPr>
      <w:r w:rsidDel="00000000" w:rsidR="00000000" w:rsidRPr="00000000">
        <w:rPr>
          <w:b w:val="0"/>
          <w:bCs w:val="0"/>
          <w:i w:val="0"/>
          <w:iCs w:val="0"/>
          <w:color w:val="222222"/>
          <w:sz w:val="21"/>
          <w:szCs w:val="21"/>
          <w:rtl w:val="0"/>
        </w:rPr>
        <w:t xml:space="preserve">Mixed methods is judged on each strand and on the join. Hold the quantitative phase to validity and reliability. Hold the qualitative phase to trustworthiness, as the qualitative supplements set out. Then add the standards specific to the mix: was this the right design for the question, was it carried out as designed and do the meta inferences follow from both strands rather than from one?</w:t>
      </w:r>
      <w:r w:rsidDel="00000000" w:rsidR="00000000" w:rsidRPr="00000000">
        <w:rPr>
          <w:rtl w:val="0"/>
        </w:rPr>
      </w:r>
    </w:p>
    <w:p w:rsidR="00000000" w:rsidDel="00000000" w:rsidP="00000000" w:rsidRDefault="00000000" w:rsidRPr="00000000" w14:paraId="00000052">
      <w:pPr>
        <w:spacing w:after="120" w:line="264" w:lineRule="auto"/>
        <w:jc w:val="left"/>
        <w:rPr/>
      </w:pPr>
      <w:r w:rsidDel="00000000" w:rsidR="00000000" w:rsidRPr="00000000">
        <w:rPr>
          <w:b w:val="1"/>
          <w:bCs w:val="1"/>
          <w:i w:val="0"/>
          <w:iCs w:val="0"/>
          <w:color w:val="222222"/>
          <w:sz w:val="21"/>
          <w:szCs w:val="21"/>
          <w:rtl w:val="0"/>
        </w:rPr>
        <w:t xml:space="preserve">Legitimation, not just validity. </w:t>
      </w:r>
      <w:r w:rsidDel="00000000" w:rsidR="00000000" w:rsidRPr="00000000">
        <w:rPr>
          <w:b w:val="0"/>
          <w:bCs w:val="0"/>
          <w:i w:val="0"/>
          <w:iCs w:val="0"/>
          <w:color w:val="222222"/>
          <w:sz w:val="21"/>
          <w:szCs w:val="21"/>
          <w:rtl w:val="0"/>
        </w:rPr>
        <w:t xml:space="preserve">Onwuegbuzie and Johnson (2006) name the threats unique to combining strands. They are about whether you can trust the combined inference, not each strand alone.</w:t>
      </w:r>
      <w:r w:rsidDel="00000000" w:rsidR="00000000" w:rsidRPr="00000000">
        <w:rPr>
          <w:rtl w:val="0"/>
        </w:rPr>
      </w:r>
    </w:p>
    <w:tbl>
      <w:tblPr>
        <w:tblStyle w:val="Table10"/>
        <w:tblW w:w="9360.0" w:type="dxa"/>
        <w:jc w:val="left"/>
        <w:tblBorders>
          <w:top w:color="dad3e6" w:space="0" w:sz="2" w:val="single"/>
          <w:left w:color="dad3e6" w:space="0" w:sz="2" w:val="single"/>
          <w:bottom w:color="dad3e6" w:space="0" w:sz="2" w:val="single"/>
          <w:right w:color="dad3e6" w:space="0" w:sz="2" w:val="single"/>
          <w:insideH w:color="dad3e6" w:space="0" w:sz="2" w:val="single"/>
          <w:insideV w:color="dad3e6" w:space="0" w:sz="2" w:val="single"/>
        </w:tblBorders>
        <w:tblLayout w:type="fixed"/>
        <w:tblLook w:val="0000"/>
      </w:tblPr>
      <w:tblGrid>
        <w:gridCol w:w="2700"/>
        <w:gridCol w:w="6660"/>
        <w:tblGridChange w:id="0">
          <w:tblGrid>
            <w:gridCol w:w="2700"/>
            <w:gridCol w:w="6660"/>
          </w:tblGrid>
        </w:tblGridChange>
      </w:tblGrid>
      <w:tr>
        <w:trPr>
          <w:cantSplit w:val="0"/>
          <w:tblHeader w:val="1"/>
        </w:trPr>
        <w:tc>
          <w:tcPr>
            <w:shd w:fill="4b2c7a" w:val="clear"/>
            <w:tcMar>
              <w:top w:w="70.0" w:type="dxa"/>
              <w:left w:w="130.0" w:type="dxa"/>
              <w:bottom w:w="70.0" w:type="dxa"/>
              <w:right w:w="130.0" w:type="dxa"/>
            </w:tcMar>
            <w:vAlign w:val="center"/>
          </w:tcPr>
          <w:p w:rsidR="00000000" w:rsidDel="00000000" w:rsidP="00000000" w:rsidRDefault="00000000" w:rsidRPr="00000000" w14:paraId="00000053">
            <w:pPr>
              <w:spacing w:after="0" w:line="250" w:lineRule="auto"/>
              <w:rPr/>
            </w:pPr>
            <w:r w:rsidDel="00000000" w:rsidR="00000000" w:rsidRPr="00000000">
              <w:rPr>
                <w:b w:val="1"/>
                <w:bCs w:val="1"/>
                <w:i w:val="0"/>
                <w:iCs w:val="0"/>
                <w:color w:val="ffffff"/>
                <w:sz w:val="20"/>
                <w:szCs w:val="20"/>
                <w:rtl w:val="0"/>
              </w:rPr>
              <w:t xml:space="preserve">Legitimation threat</w:t>
            </w:r>
            <w:r w:rsidDel="00000000" w:rsidR="00000000" w:rsidRPr="00000000">
              <w:rPr>
                <w:rtl w:val="0"/>
              </w:rPr>
            </w:r>
          </w:p>
        </w:tc>
        <w:tc>
          <w:tcPr>
            <w:shd w:fill="4b2c7a" w:val="clear"/>
            <w:tcMar>
              <w:top w:w="70.0" w:type="dxa"/>
              <w:left w:w="130.0" w:type="dxa"/>
              <w:bottom w:w="70.0" w:type="dxa"/>
              <w:right w:w="130.0" w:type="dxa"/>
            </w:tcMar>
            <w:vAlign w:val="center"/>
          </w:tcPr>
          <w:p w:rsidR="00000000" w:rsidDel="00000000" w:rsidP="00000000" w:rsidRDefault="00000000" w:rsidRPr="00000000" w14:paraId="00000054">
            <w:pPr>
              <w:spacing w:after="0" w:line="250" w:lineRule="auto"/>
              <w:rPr/>
            </w:pPr>
            <w:r w:rsidDel="00000000" w:rsidR="00000000" w:rsidRPr="00000000">
              <w:rPr>
                <w:b w:val="1"/>
                <w:bCs w:val="1"/>
                <w:i w:val="0"/>
                <w:iCs w:val="0"/>
                <w:color w:val="ffffff"/>
                <w:sz w:val="20"/>
                <w:szCs w:val="20"/>
                <w:rtl w:val="0"/>
              </w:rPr>
              <w:t xml:space="preserve">What it asks</w:t>
            </w:r>
            <w:r w:rsidDel="00000000" w:rsidR="00000000" w:rsidRPr="00000000">
              <w:rPr>
                <w:rtl w:val="0"/>
              </w:rPr>
            </w:r>
          </w:p>
        </w:tc>
      </w:tr>
      <w:tr>
        <w:trPr>
          <w:cantSplit w:val="0"/>
          <w:tblHeader w:val="0"/>
        </w:trPr>
        <w:tc>
          <w:tcPr>
            <w:shd w:fill="ffffff" w:val="clear"/>
            <w:tcMar>
              <w:top w:w="70.0" w:type="dxa"/>
              <w:left w:w="130.0" w:type="dxa"/>
              <w:bottom w:w="70.0" w:type="dxa"/>
              <w:right w:w="130.0" w:type="dxa"/>
            </w:tcMar>
            <w:vAlign w:val="center"/>
          </w:tcPr>
          <w:p w:rsidR="00000000" w:rsidDel="00000000" w:rsidP="00000000" w:rsidRDefault="00000000" w:rsidRPr="00000000" w14:paraId="00000055">
            <w:pPr>
              <w:spacing w:after="0" w:line="250" w:lineRule="auto"/>
              <w:rPr/>
            </w:pPr>
            <w:r w:rsidDel="00000000" w:rsidR="00000000" w:rsidRPr="00000000">
              <w:rPr>
                <w:b w:val="1"/>
                <w:bCs w:val="1"/>
                <w:i w:val="0"/>
                <w:iCs w:val="0"/>
                <w:color w:val="222222"/>
                <w:sz w:val="20"/>
                <w:szCs w:val="20"/>
                <w:rtl w:val="0"/>
              </w:rPr>
              <w:t xml:space="preserve">Sample integration</w:t>
            </w:r>
            <w:r w:rsidDel="00000000" w:rsidR="00000000" w:rsidRPr="00000000">
              <w:rPr>
                <w:rtl w:val="0"/>
              </w:rPr>
            </w:r>
          </w:p>
        </w:tc>
        <w:tc>
          <w:tcPr>
            <w:shd w:fill="ffffff" w:val="clear"/>
            <w:tcMar>
              <w:top w:w="70.0" w:type="dxa"/>
              <w:left w:w="130.0" w:type="dxa"/>
              <w:bottom w:w="70.0" w:type="dxa"/>
              <w:right w:w="130.0" w:type="dxa"/>
            </w:tcMar>
            <w:vAlign w:val="center"/>
          </w:tcPr>
          <w:p w:rsidR="00000000" w:rsidDel="00000000" w:rsidP="00000000" w:rsidRDefault="00000000" w:rsidRPr="00000000" w14:paraId="00000056">
            <w:pPr>
              <w:spacing w:after="0" w:line="250" w:lineRule="auto"/>
              <w:rPr/>
            </w:pPr>
            <w:r w:rsidDel="00000000" w:rsidR="00000000" w:rsidRPr="00000000">
              <w:rPr>
                <w:b w:val="0"/>
                <w:bCs w:val="0"/>
                <w:i w:val="0"/>
                <w:iCs w:val="0"/>
                <w:color w:val="222222"/>
                <w:sz w:val="20"/>
                <w:szCs w:val="20"/>
                <w:rtl w:val="0"/>
              </w:rPr>
              <w:t xml:space="preserve">Do the two samples connect soundly enough to be combined?</w:t>
            </w:r>
            <w:r w:rsidDel="00000000" w:rsidR="00000000" w:rsidRPr="00000000">
              <w:rPr>
                <w:rtl w:val="0"/>
              </w:rPr>
            </w:r>
          </w:p>
        </w:tc>
      </w:tr>
      <w:tr>
        <w:trPr>
          <w:cantSplit w:val="0"/>
          <w:tblHeader w:val="0"/>
        </w:trPr>
        <w:tc>
          <w:tcPr>
            <w:shd w:fill="ffffff" w:val="clear"/>
            <w:tcMar>
              <w:top w:w="70.0" w:type="dxa"/>
              <w:left w:w="130.0" w:type="dxa"/>
              <w:bottom w:w="70.0" w:type="dxa"/>
              <w:right w:w="130.0" w:type="dxa"/>
            </w:tcMar>
            <w:vAlign w:val="center"/>
          </w:tcPr>
          <w:p w:rsidR="00000000" w:rsidDel="00000000" w:rsidP="00000000" w:rsidRDefault="00000000" w:rsidRPr="00000000" w14:paraId="00000057">
            <w:pPr>
              <w:spacing w:after="0" w:line="250" w:lineRule="auto"/>
              <w:rPr/>
            </w:pPr>
            <w:r w:rsidDel="00000000" w:rsidR="00000000" w:rsidRPr="00000000">
              <w:rPr>
                <w:b w:val="1"/>
                <w:bCs w:val="1"/>
                <w:i w:val="0"/>
                <w:iCs w:val="0"/>
                <w:color w:val="222222"/>
                <w:sz w:val="20"/>
                <w:szCs w:val="20"/>
                <w:rtl w:val="0"/>
              </w:rPr>
              <w:t xml:space="preserve">Inside outside</w:t>
            </w:r>
            <w:r w:rsidDel="00000000" w:rsidR="00000000" w:rsidRPr="00000000">
              <w:rPr>
                <w:rtl w:val="0"/>
              </w:rPr>
            </w:r>
          </w:p>
        </w:tc>
        <w:tc>
          <w:tcPr>
            <w:shd w:fill="ffffff" w:val="clear"/>
            <w:tcMar>
              <w:top w:w="70.0" w:type="dxa"/>
              <w:left w:w="130.0" w:type="dxa"/>
              <w:bottom w:w="70.0" w:type="dxa"/>
              <w:right w:w="130.0" w:type="dxa"/>
            </w:tcMar>
            <w:vAlign w:val="center"/>
          </w:tcPr>
          <w:p w:rsidR="00000000" w:rsidDel="00000000" w:rsidP="00000000" w:rsidRDefault="00000000" w:rsidRPr="00000000" w14:paraId="00000058">
            <w:pPr>
              <w:spacing w:after="0" w:line="250" w:lineRule="auto"/>
              <w:rPr/>
            </w:pPr>
            <w:r w:rsidDel="00000000" w:rsidR="00000000" w:rsidRPr="00000000">
              <w:rPr>
                <w:b w:val="0"/>
                <w:bCs w:val="0"/>
                <w:i w:val="0"/>
                <w:iCs w:val="0"/>
                <w:color w:val="222222"/>
                <w:sz w:val="20"/>
                <w:szCs w:val="20"/>
                <w:rtl w:val="0"/>
              </w:rPr>
              <w:t xml:space="preserve">Is the insider account balanced against the outsider analytic stance?</w:t>
            </w:r>
            <w:r w:rsidDel="00000000" w:rsidR="00000000" w:rsidRPr="00000000">
              <w:rPr>
                <w:rtl w:val="0"/>
              </w:rPr>
            </w:r>
          </w:p>
        </w:tc>
      </w:tr>
      <w:tr>
        <w:trPr>
          <w:cantSplit w:val="0"/>
          <w:tblHeader w:val="0"/>
        </w:trPr>
        <w:tc>
          <w:tcPr>
            <w:shd w:fill="ffffff" w:val="clear"/>
            <w:tcMar>
              <w:top w:w="70.0" w:type="dxa"/>
              <w:left w:w="130.0" w:type="dxa"/>
              <w:bottom w:w="70.0" w:type="dxa"/>
              <w:right w:w="130.0" w:type="dxa"/>
            </w:tcMar>
            <w:vAlign w:val="center"/>
          </w:tcPr>
          <w:p w:rsidR="00000000" w:rsidDel="00000000" w:rsidP="00000000" w:rsidRDefault="00000000" w:rsidRPr="00000000" w14:paraId="00000059">
            <w:pPr>
              <w:spacing w:after="0" w:line="250" w:lineRule="auto"/>
              <w:rPr/>
            </w:pPr>
            <w:r w:rsidDel="00000000" w:rsidR="00000000" w:rsidRPr="00000000">
              <w:rPr>
                <w:b w:val="1"/>
                <w:bCs w:val="1"/>
                <w:i w:val="0"/>
                <w:iCs w:val="0"/>
                <w:color w:val="222222"/>
                <w:sz w:val="20"/>
                <w:szCs w:val="20"/>
                <w:rtl w:val="0"/>
              </w:rPr>
              <w:t xml:space="preserve">Weakness minimisation</w:t>
            </w:r>
            <w:r w:rsidDel="00000000" w:rsidR="00000000" w:rsidRPr="00000000">
              <w:rPr>
                <w:rtl w:val="0"/>
              </w:rPr>
            </w:r>
          </w:p>
        </w:tc>
        <w:tc>
          <w:tcPr>
            <w:shd w:fill="ffffff" w:val="clear"/>
            <w:tcMar>
              <w:top w:w="70.0" w:type="dxa"/>
              <w:left w:w="130.0" w:type="dxa"/>
              <w:bottom w:w="70.0" w:type="dxa"/>
              <w:right w:w="130.0" w:type="dxa"/>
            </w:tcMar>
            <w:vAlign w:val="center"/>
          </w:tcPr>
          <w:p w:rsidR="00000000" w:rsidDel="00000000" w:rsidP="00000000" w:rsidRDefault="00000000" w:rsidRPr="00000000" w14:paraId="0000005A">
            <w:pPr>
              <w:spacing w:after="0" w:line="250" w:lineRule="auto"/>
              <w:rPr/>
            </w:pPr>
            <w:r w:rsidDel="00000000" w:rsidR="00000000" w:rsidRPr="00000000">
              <w:rPr>
                <w:b w:val="0"/>
                <w:bCs w:val="0"/>
                <w:i w:val="0"/>
                <w:iCs w:val="0"/>
                <w:color w:val="222222"/>
                <w:sz w:val="20"/>
                <w:szCs w:val="20"/>
                <w:rtl w:val="0"/>
              </w:rPr>
              <w:t xml:space="preserve">Does each strand offset the other's weakness rather than import both?</w:t>
            </w:r>
            <w:r w:rsidDel="00000000" w:rsidR="00000000" w:rsidRPr="00000000">
              <w:rPr>
                <w:rtl w:val="0"/>
              </w:rPr>
            </w:r>
          </w:p>
        </w:tc>
      </w:tr>
      <w:tr>
        <w:trPr>
          <w:cantSplit w:val="0"/>
          <w:tblHeader w:val="0"/>
        </w:trPr>
        <w:tc>
          <w:tcPr>
            <w:shd w:fill="ffffff" w:val="clear"/>
            <w:tcMar>
              <w:top w:w="70.0" w:type="dxa"/>
              <w:left w:w="130.0" w:type="dxa"/>
              <w:bottom w:w="70.0" w:type="dxa"/>
              <w:right w:w="130.0" w:type="dxa"/>
            </w:tcMar>
            <w:vAlign w:val="center"/>
          </w:tcPr>
          <w:p w:rsidR="00000000" w:rsidDel="00000000" w:rsidP="00000000" w:rsidRDefault="00000000" w:rsidRPr="00000000" w14:paraId="0000005B">
            <w:pPr>
              <w:spacing w:after="0" w:line="250" w:lineRule="auto"/>
              <w:rPr/>
            </w:pPr>
            <w:r w:rsidDel="00000000" w:rsidR="00000000" w:rsidRPr="00000000">
              <w:rPr>
                <w:b w:val="1"/>
                <w:bCs w:val="1"/>
                <w:i w:val="0"/>
                <w:iCs w:val="0"/>
                <w:color w:val="222222"/>
                <w:sz w:val="20"/>
                <w:szCs w:val="20"/>
                <w:rtl w:val="0"/>
              </w:rPr>
              <w:t xml:space="preserve">Sequential</w:t>
            </w:r>
            <w:r w:rsidDel="00000000" w:rsidR="00000000" w:rsidRPr="00000000">
              <w:rPr>
                <w:rtl w:val="0"/>
              </w:rPr>
            </w:r>
          </w:p>
        </w:tc>
        <w:tc>
          <w:tcPr>
            <w:shd w:fill="ffffff" w:val="clear"/>
            <w:tcMar>
              <w:top w:w="70.0" w:type="dxa"/>
              <w:left w:w="130.0" w:type="dxa"/>
              <w:bottom w:w="70.0" w:type="dxa"/>
              <w:right w:w="130.0" w:type="dxa"/>
            </w:tcMar>
            <w:vAlign w:val="center"/>
          </w:tcPr>
          <w:p w:rsidR="00000000" w:rsidDel="00000000" w:rsidP="00000000" w:rsidRDefault="00000000" w:rsidRPr="00000000" w14:paraId="0000005C">
            <w:pPr>
              <w:spacing w:after="0" w:line="250" w:lineRule="auto"/>
              <w:rPr/>
            </w:pPr>
            <w:r w:rsidDel="00000000" w:rsidR="00000000" w:rsidRPr="00000000">
              <w:rPr>
                <w:b w:val="0"/>
                <w:bCs w:val="0"/>
                <w:i w:val="0"/>
                <w:iCs w:val="0"/>
                <w:color w:val="222222"/>
                <w:sz w:val="20"/>
                <w:szCs w:val="20"/>
                <w:rtl w:val="0"/>
              </w:rPr>
              <w:t xml:space="preserve">Would running the phases in a different order have led elsewhere?</w:t>
            </w:r>
            <w:r w:rsidDel="00000000" w:rsidR="00000000" w:rsidRPr="00000000">
              <w:rPr>
                <w:rtl w:val="0"/>
              </w:rPr>
            </w:r>
          </w:p>
        </w:tc>
      </w:tr>
      <w:tr>
        <w:trPr>
          <w:cantSplit w:val="0"/>
          <w:tblHeader w:val="0"/>
        </w:trPr>
        <w:tc>
          <w:tcPr>
            <w:shd w:fill="ffffff" w:val="clear"/>
            <w:tcMar>
              <w:top w:w="70.0" w:type="dxa"/>
              <w:left w:w="130.0" w:type="dxa"/>
              <w:bottom w:w="70.0" w:type="dxa"/>
              <w:right w:w="130.0" w:type="dxa"/>
            </w:tcMar>
            <w:vAlign w:val="center"/>
          </w:tcPr>
          <w:p w:rsidR="00000000" w:rsidDel="00000000" w:rsidP="00000000" w:rsidRDefault="00000000" w:rsidRPr="00000000" w14:paraId="0000005D">
            <w:pPr>
              <w:spacing w:after="0" w:line="250" w:lineRule="auto"/>
              <w:rPr/>
            </w:pPr>
            <w:r w:rsidDel="00000000" w:rsidR="00000000" w:rsidRPr="00000000">
              <w:rPr>
                <w:b w:val="1"/>
                <w:bCs w:val="1"/>
                <w:i w:val="0"/>
                <w:iCs w:val="0"/>
                <w:color w:val="222222"/>
                <w:sz w:val="20"/>
                <w:szCs w:val="20"/>
                <w:rtl w:val="0"/>
              </w:rPr>
              <w:t xml:space="preserve">Conversion</w:t>
            </w:r>
            <w:r w:rsidDel="00000000" w:rsidR="00000000" w:rsidRPr="00000000">
              <w:rPr>
                <w:rtl w:val="0"/>
              </w:rPr>
            </w:r>
          </w:p>
        </w:tc>
        <w:tc>
          <w:tcPr>
            <w:shd w:fill="ffffff" w:val="clear"/>
            <w:tcMar>
              <w:top w:w="70.0" w:type="dxa"/>
              <w:left w:w="130.0" w:type="dxa"/>
              <w:bottom w:w="70.0" w:type="dxa"/>
              <w:right w:w="130.0" w:type="dxa"/>
            </w:tcMar>
            <w:vAlign w:val="center"/>
          </w:tcPr>
          <w:p w:rsidR="00000000" w:rsidDel="00000000" w:rsidP="00000000" w:rsidRDefault="00000000" w:rsidRPr="00000000" w14:paraId="0000005E">
            <w:pPr>
              <w:spacing w:after="0" w:line="250" w:lineRule="auto"/>
              <w:rPr/>
            </w:pPr>
            <w:r w:rsidDel="00000000" w:rsidR="00000000" w:rsidRPr="00000000">
              <w:rPr>
                <w:b w:val="0"/>
                <w:bCs w:val="0"/>
                <w:i w:val="0"/>
                <w:iCs w:val="0"/>
                <w:color w:val="222222"/>
                <w:sz w:val="20"/>
                <w:szCs w:val="20"/>
                <w:rtl w:val="0"/>
              </w:rPr>
              <w:t xml:space="preserve">Does turning data from one form into another, such as counting codes, mislead?</w:t>
            </w:r>
            <w:r w:rsidDel="00000000" w:rsidR="00000000" w:rsidRPr="00000000">
              <w:rPr>
                <w:rtl w:val="0"/>
              </w:rPr>
            </w:r>
          </w:p>
        </w:tc>
      </w:tr>
      <w:tr>
        <w:trPr>
          <w:cantSplit w:val="0"/>
          <w:tblHeader w:val="0"/>
        </w:trPr>
        <w:tc>
          <w:tcPr>
            <w:shd w:fill="ffffff" w:val="clear"/>
            <w:tcMar>
              <w:top w:w="70.0" w:type="dxa"/>
              <w:left w:w="130.0" w:type="dxa"/>
              <w:bottom w:w="70.0" w:type="dxa"/>
              <w:right w:w="130.0" w:type="dxa"/>
            </w:tcMar>
            <w:vAlign w:val="center"/>
          </w:tcPr>
          <w:p w:rsidR="00000000" w:rsidDel="00000000" w:rsidP="00000000" w:rsidRDefault="00000000" w:rsidRPr="00000000" w14:paraId="0000005F">
            <w:pPr>
              <w:spacing w:after="0" w:line="250" w:lineRule="auto"/>
              <w:rPr/>
            </w:pPr>
            <w:r w:rsidDel="00000000" w:rsidR="00000000" w:rsidRPr="00000000">
              <w:rPr>
                <w:b w:val="1"/>
                <w:bCs w:val="1"/>
                <w:i w:val="0"/>
                <w:iCs w:val="0"/>
                <w:color w:val="222222"/>
                <w:sz w:val="20"/>
                <w:szCs w:val="20"/>
                <w:rtl w:val="0"/>
              </w:rPr>
              <w:t xml:space="preserve">Paradigmatic mixing</w:t>
            </w:r>
            <w:r w:rsidDel="00000000" w:rsidR="00000000" w:rsidRPr="00000000">
              <w:rPr>
                <w:rtl w:val="0"/>
              </w:rPr>
            </w:r>
          </w:p>
        </w:tc>
        <w:tc>
          <w:tcPr>
            <w:shd w:fill="ffffff" w:val="clear"/>
            <w:tcMar>
              <w:top w:w="70.0" w:type="dxa"/>
              <w:left w:w="130.0" w:type="dxa"/>
              <w:bottom w:w="70.0" w:type="dxa"/>
              <w:right w:w="130.0" w:type="dxa"/>
            </w:tcMar>
            <w:vAlign w:val="center"/>
          </w:tcPr>
          <w:p w:rsidR="00000000" w:rsidDel="00000000" w:rsidP="00000000" w:rsidRDefault="00000000" w:rsidRPr="00000000" w14:paraId="00000060">
            <w:pPr>
              <w:spacing w:after="0" w:line="250" w:lineRule="auto"/>
              <w:rPr/>
            </w:pPr>
            <w:r w:rsidDel="00000000" w:rsidR="00000000" w:rsidRPr="00000000">
              <w:rPr>
                <w:b w:val="0"/>
                <w:bCs w:val="0"/>
                <w:i w:val="0"/>
                <w:iCs w:val="0"/>
                <w:color w:val="222222"/>
                <w:sz w:val="20"/>
                <w:szCs w:val="20"/>
                <w:rtl w:val="0"/>
              </w:rPr>
              <w:t xml:space="preserve">Are the differing assumptions reconciled rather than ignored?</w:t>
            </w:r>
            <w:r w:rsidDel="00000000" w:rsidR="00000000" w:rsidRPr="00000000">
              <w:rPr>
                <w:rtl w:val="0"/>
              </w:rPr>
            </w:r>
          </w:p>
        </w:tc>
      </w:tr>
      <w:tr>
        <w:trPr>
          <w:cantSplit w:val="0"/>
          <w:tblHeader w:val="0"/>
        </w:trPr>
        <w:tc>
          <w:tcPr>
            <w:shd w:fill="ffffff" w:val="clear"/>
            <w:tcMar>
              <w:top w:w="70.0" w:type="dxa"/>
              <w:left w:w="130.0" w:type="dxa"/>
              <w:bottom w:w="70.0" w:type="dxa"/>
              <w:right w:w="130.0" w:type="dxa"/>
            </w:tcMar>
            <w:vAlign w:val="center"/>
          </w:tcPr>
          <w:p w:rsidR="00000000" w:rsidDel="00000000" w:rsidP="00000000" w:rsidRDefault="00000000" w:rsidRPr="00000000" w14:paraId="00000061">
            <w:pPr>
              <w:spacing w:after="0" w:line="250" w:lineRule="auto"/>
              <w:rPr/>
            </w:pPr>
            <w:r w:rsidDel="00000000" w:rsidR="00000000" w:rsidRPr="00000000">
              <w:rPr>
                <w:b w:val="1"/>
                <w:bCs w:val="1"/>
                <w:i w:val="0"/>
                <w:iCs w:val="0"/>
                <w:color w:val="222222"/>
                <w:sz w:val="20"/>
                <w:szCs w:val="20"/>
                <w:rtl w:val="0"/>
              </w:rPr>
              <w:t xml:space="preserve">Commensurability</w:t>
            </w:r>
            <w:r w:rsidDel="00000000" w:rsidR="00000000" w:rsidRPr="00000000">
              <w:rPr>
                <w:rtl w:val="0"/>
              </w:rPr>
            </w:r>
          </w:p>
        </w:tc>
        <w:tc>
          <w:tcPr>
            <w:shd w:fill="ffffff" w:val="clear"/>
            <w:tcMar>
              <w:top w:w="70.0" w:type="dxa"/>
              <w:left w:w="130.0" w:type="dxa"/>
              <w:bottom w:w="70.0" w:type="dxa"/>
              <w:right w:w="130.0" w:type="dxa"/>
            </w:tcMar>
            <w:vAlign w:val="center"/>
          </w:tcPr>
          <w:p w:rsidR="00000000" w:rsidDel="00000000" w:rsidP="00000000" w:rsidRDefault="00000000" w:rsidRPr="00000000" w14:paraId="00000062">
            <w:pPr>
              <w:spacing w:after="0" w:line="250" w:lineRule="auto"/>
              <w:rPr/>
            </w:pPr>
            <w:r w:rsidDel="00000000" w:rsidR="00000000" w:rsidRPr="00000000">
              <w:rPr>
                <w:b w:val="0"/>
                <w:bCs w:val="0"/>
                <w:i w:val="0"/>
                <w:iCs w:val="0"/>
                <w:color w:val="222222"/>
                <w:sz w:val="20"/>
                <w:szCs w:val="20"/>
                <w:rtl w:val="0"/>
              </w:rPr>
              <w:t xml:space="preserve">Can you switch between the two mindsets to reach one integrated inference?</w:t>
            </w:r>
            <w:r w:rsidDel="00000000" w:rsidR="00000000" w:rsidRPr="00000000">
              <w:rPr>
                <w:rtl w:val="0"/>
              </w:rPr>
            </w:r>
          </w:p>
        </w:tc>
      </w:tr>
      <w:tr>
        <w:trPr>
          <w:cantSplit w:val="0"/>
          <w:tblHeader w:val="0"/>
        </w:trPr>
        <w:tc>
          <w:tcPr>
            <w:shd w:fill="ffffff" w:val="clear"/>
            <w:tcMar>
              <w:top w:w="70.0" w:type="dxa"/>
              <w:left w:w="130.0" w:type="dxa"/>
              <w:bottom w:w="70.0" w:type="dxa"/>
              <w:right w:w="130.0" w:type="dxa"/>
            </w:tcMar>
            <w:vAlign w:val="center"/>
          </w:tcPr>
          <w:p w:rsidR="00000000" w:rsidDel="00000000" w:rsidP="00000000" w:rsidRDefault="00000000" w:rsidRPr="00000000" w14:paraId="00000063">
            <w:pPr>
              <w:spacing w:after="0" w:line="250" w:lineRule="auto"/>
              <w:rPr/>
            </w:pPr>
            <w:r w:rsidDel="00000000" w:rsidR="00000000" w:rsidRPr="00000000">
              <w:rPr>
                <w:b w:val="1"/>
                <w:bCs w:val="1"/>
                <w:i w:val="0"/>
                <w:iCs w:val="0"/>
                <w:color w:val="222222"/>
                <w:sz w:val="20"/>
                <w:szCs w:val="20"/>
                <w:rtl w:val="0"/>
              </w:rPr>
              <w:t xml:space="preserve">Political</w:t>
            </w:r>
            <w:r w:rsidDel="00000000" w:rsidR="00000000" w:rsidRPr="00000000">
              <w:rPr>
                <w:rtl w:val="0"/>
              </w:rPr>
            </w:r>
          </w:p>
        </w:tc>
        <w:tc>
          <w:tcPr>
            <w:shd w:fill="ffffff" w:val="clear"/>
            <w:tcMar>
              <w:top w:w="70.0" w:type="dxa"/>
              <w:left w:w="130.0" w:type="dxa"/>
              <w:bottom w:w="70.0" w:type="dxa"/>
              <w:right w:w="130.0" w:type="dxa"/>
            </w:tcMar>
            <w:vAlign w:val="center"/>
          </w:tcPr>
          <w:p w:rsidR="00000000" w:rsidDel="00000000" w:rsidP="00000000" w:rsidRDefault="00000000" w:rsidRPr="00000000" w14:paraId="00000064">
            <w:pPr>
              <w:spacing w:after="0" w:line="250" w:lineRule="auto"/>
              <w:rPr/>
            </w:pPr>
            <w:r w:rsidDel="00000000" w:rsidR="00000000" w:rsidRPr="00000000">
              <w:rPr>
                <w:b w:val="0"/>
                <w:bCs w:val="0"/>
                <w:i w:val="0"/>
                <w:iCs w:val="0"/>
                <w:color w:val="222222"/>
                <w:sz w:val="20"/>
                <w:szCs w:val="20"/>
                <w:rtl w:val="0"/>
              </w:rPr>
              <w:t xml:space="preserve">Will the audience accept the mixed findings as credible?</w:t>
            </w:r>
            <w:r w:rsidDel="00000000" w:rsidR="00000000" w:rsidRPr="00000000">
              <w:rPr>
                <w:rtl w:val="0"/>
              </w:rPr>
            </w:r>
          </w:p>
        </w:tc>
      </w:tr>
    </w:tbl>
    <w:p w:rsidR="00000000" w:rsidDel="00000000" w:rsidP="00000000" w:rsidRDefault="00000000" w:rsidRPr="00000000" w14:paraId="00000065">
      <w:pPr>
        <w:pStyle w:val="Heading1"/>
        <w:rPr/>
      </w:pPr>
      <w:r w:rsidDel="00000000" w:rsidR="00000000" w:rsidRPr="00000000">
        <w:rPr>
          <w:rtl w:val="0"/>
        </w:rPr>
        <w:t xml:space="preserve">10   Strengths, challenges and the common pitfall</w:t>
      </w:r>
    </w:p>
    <w:p w:rsidR="00000000" w:rsidDel="00000000" w:rsidP="00000000" w:rsidRDefault="00000000" w:rsidRPr="00000000" w14:paraId="00000066">
      <w:pPr>
        <w:spacing w:after="120" w:line="264" w:lineRule="auto"/>
        <w:jc w:val="left"/>
        <w:rPr/>
      </w:pPr>
      <w:r w:rsidDel="00000000" w:rsidR="00000000" w:rsidRPr="00000000">
        <w:rPr>
          <w:b w:val="0"/>
          <w:bCs w:val="0"/>
          <w:i w:val="0"/>
          <w:iCs w:val="0"/>
          <w:color w:val="222222"/>
          <w:sz w:val="21"/>
          <w:szCs w:val="21"/>
          <w:rtl w:val="0"/>
        </w:rPr>
        <w:t xml:space="preserve">The designs are popular for good reasons. They give a fuller account than either strand alone. The sequential ones are intuitive to report. A lone doctoral researcher can run them phase by phase. The challenges are real too. Sequential designs run long, sometimes too long for a fixed registration period. Deciding what to follow up demands judgement that cannot be fully planned before the data arrive. And the researcher needs genuine competence in both strands, not strength in one and a token gesture at the other.</w:t>
      </w:r>
      <w:r w:rsidDel="00000000" w:rsidR="00000000" w:rsidRPr="00000000">
        <w:rPr>
          <w:rtl w:val="0"/>
        </w:rPr>
      </w:r>
    </w:p>
    <w:tbl>
      <w:tblPr>
        <w:tblStyle w:val="Table11"/>
        <w:tblW w:w="9360.0" w:type="dxa"/>
        <w:jc w:val="left"/>
        <w:tblBorders>
          <w:top w:color="dad3e6" w:space="0" w:sz="4" w:val="single"/>
          <w:left w:color="dad3e6" w:space="0" w:sz="4" w:val="single"/>
          <w:bottom w:color="dad3e6" w:space="0" w:sz="4" w:val="single"/>
          <w:right w:color="dad3e6" w:space="0" w:sz="4" w:val="single"/>
          <w:insideH w:color="000000" w:space="0" w:sz="4" w:val="single"/>
          <w:insideV w:color="000000" w:space="0" w:sz="4" w:val="single"/>
        </w:tblBorders>
        <w:tblLayout w:type="fixed"/>
        <w:tblLook w:val="0000"/>
      </w:tblPr>
      <w:tblGrid>
        <w:gridCol w:w="9360"/>
        <w:tblGridChange w:id="0">
          <w:tblGrid>
            <w:gridCol w:w="9360"/>
          </w:tblGrid>
        </w:tblGridChange>
      </w:tblGrid>
      <w:tr>
        <w:trPr>
          <w:cantSplit w:val="0"/>
          <w:tblHeader w:val="0"/>
        </w:trPr>
        <w:tc>
          <w:tcPr>
            <w:shd w:fill="f3f0f9" w:val="clear"/>
            <w:tcMar>
              <w:top w:w="130.0" w:type="dxa"/>
              <w:left w:w="200.0" w:type="dxa"/>
              <w:bottom w:w="130.0" w:type="dxa"/>
              <w:right w:w="200.0" w:type="dxa"/>
            </w:tcMar>
          </w:tcPr>
          <w:p w:rsidR="00000000" w:rsidDel="00000000" w:rsidP="00000000" w:rsidRDefault="00000000" w:rsidRPr="00000000" w14:paraId="00000067">
            <w:pPr>
              <w:spacing w:after="0" w:line="261.99999999999994" w:lineRule="auto"/>
              <w:rPr/>
            </w:pPr>
            <w:r w:rsidDel="00000000" w:rsidR="00000000" w:rsidRPr="00000000">
              <w:rPr>
                <w:b w:val="1"/>
                <w:bCs w:val="1"/>
                <w:i w:val="0"/>
                <w:iCs w:val="0"/>
                <w:color w:val="4b2c7a"/>
                <w:sz w:val="21"/>
                <w:szCs w:val="21"/>
                <w:rtl w:val="0"/>
              </w:rPr>
              <w:t xml:space="preserve">The pitfall that sinks most attempts. </w:t>
            </w:r>
            <w:r w:rsidDel="00000000" w:rsidR="00000000" w:rsidRPr="00000000">
              <w:rPr>
                <w:b w:val="0"/>
                <w:bCs w:val="0"/>
                <w:i w:val="0"/>
                <w:iCs w:val="0"/>
                <w:color w:val="222222"/>
                <w:sz w:val="21"/>
                <w:szCs w:val="21"/>
                <w:rtl w:val="0"/>
              </w:rPr>
              <w:t xml:space="preserve">Two studies stapled together. The quantitative phase is reported, then an apparently unrelated qualitative phase is reported and no joint interpretation connects them. Name your paradigm, justify the design, make the connecting decision in a principled way, integrate through a joint display and draw meta inferences. Do those five things and the study holds together as one piece of work.</w:t>
            </w:r>
            <w:r w:rsidDel="00000000" w:rsidR="00000000" w:rsidRPr="00000000">
              <w:rPr>
                <w:rtl w:val="0"/>
              </w:rPr>
            </w:r>
          </w:p>
        </w:tc>
      </w:tr>
    </w:tbl>
    <w:p w:rsidR="00000000" w:rsidDel="00000000" w:rsidP="00000000" w:rsidRDefault="00000000" w:rsidRPr="00000000" w14:paraId="00000068">
      <w:pPr>
        <w:rPr/>
      </w:pPr>
      <w:r w:rsidDel="00000000" w:rsidR="00000000" w:rsidRPr="00000000">
        <w:br w:type="page"/>
      </w:r>
      <w:r w:rsidDel="00000000" w:rsidR="00000000" w:rsidRPr="00000000">
        <w:rPr>
          <w:rtl w:val="0"/>
        </w:rPr>
      </w:r>
    </w:p>
    <w:p w:rsidR="00000000" w:rsidDel="00000000" w:rsidP="00000000" w:rsidRDefault="00000000" w:rsidRPr="00000000" w14:paraId="00000069">
      <w:pPr>
        <w:pStyle w:val="Heading1"/>
        <w:rPr/>
      </w:pPr>
      <w:r w:rsidDel="00000000" w:rsidR="00000000" w:rsidRPr="00000000">
        <w:rPr>
          <w:rtl w:val="0"/>
        </w:rPr>
        <w:t xml:space="preserve">References and further reading</w:t>
      </w:r>
    </w:p>
    <w:p w:rsidR="00000000" w:rsidDel="00000000" w:rsidP="00000000" w:rsidRDefault="00000000" w:rsidRPr="00000000" w14:paraId="0000006A">
      <w:pPr>
        <w:spacing w:after="90" w:line="256" w:lineRule="auto"/>
        <w:ind w:left="360" w:hanging="360"/>
        <w:rPr/>
      </w:pPr>
      <w:r w:rsidDel="00000000" w:rsidR="00000000" w:rsidRPr="00000000">
        <w:rPr>
          <w:color w:val="222222"/>
          <w:sz w:val="20"/>
          <w:szCs w:val="20"/>
          <w:rtl w:val="0"/>
        </w:rPr>
        <w:t xml:space="preserve">Biesta, G. (2010) Pragmatism and the philosophical foundations of mixed methods research. In Tashakkori, A. and Teddlie, C. (eds) SAGE Handbook of Mixed Methods. 2nd edn. Thousand Oaks: Sage.</w:t>
      </w:r>
      <w:r w:rsidDel="00000000" w:rsidR="00000000" w:rsidRPr="00000000">
        <w:rPr>
          <w:rtl w:val="0"/>
        </w:rPr>
      </w:r>
    </w:p>
    <w:p w:rsidR="00000000" w:rsidDel="00000000" w:rsidP="00000000" w:rsidRDefault="00000000" w:rsidRPr="00000000" w14:paraId="0000006B">
      <w:pPr>
        <w:spacing w:after="90" w:line="256" w:lineRule="auto"/>
        <w:ind w:left="360" w:hanging="360"/>
        <w:rPr/>
      </w:pPr>
      <w:r w:rsidDel="00000000" w:rsidR="00000000" w:rsidRPr="00000000">
        <w:rPr>
          <w:color w:val="222222"/>
          <w:sz w:val="20"/>
          <w:szCs w:val="20"/>
          <w:rtl w:val="0"/>
        </w:rPr>
        <w:t xml:space="preserve">Bryman, A. (2006) Integrating quantitative and qualitative research: how is it done? Qualitative Research, 6(1), pp. 97 to 113.</w:t>
      </w:r>
      <w:r w:rsidDel="00000000" w:rsidR="00000000" w:rsidRPr="00000000">
        <w:rPr>
          <w:rtl w:val="0"/>
        </w:rPr>
      </w:r>
    </w:p>
    <w:p w:rsidR="00000000" w:rsidDel="00000000" w:rsidP="00000000" w:rsidRDefault="00000000" w:rsidRPr="00000000" w14:paraId="0000006C">
      <w:pPr>
        <w:spacing w:after="90" w:line="256" w:lineRule="auto"/>
        <w:ind w:left="360" w:hanging="360"/>
        <w:rPr/>
      </w:pPr>
      <w:r w:rsidDel="00000000" w:rsidR="00000000" w:rsidRPr="00000000">
        <w:rPr>
          <w:color w:val="222222"/>
          <w:sz w:val="20"/>
          <w:szCs w:val="20"/>
          <w:rtl w:val="0"/>
        </w:rPr>
        <w:t xml:space="preserve">Creswell, J.W. (2015) A Concise Introduction to Mixed Methods Research. Thousand Oaks: Sage.</w:t>
      </w:r>
      <w:r w:rsidDel="00000000" w:rsidR="00000000" w:rsidRPr="00000000">
        <w:rPr>
          <w:rtl w:val="0"/>
        </w:rPr>
      </w:r>
    </w:p>
    <w:p w:rsidR="00000000" w:rsidDel="00000000" w:rsidP="00000000" w:rsidRDefault="00000000" w:rsidRPr="00000000" w14:paraId="0000006D">
      <w:pPr>
        <w:spacing w:after="90" w:line="256" w:lineRule="auto"/>
        <w:ind w:left="360" w:hanging="360"/>
        <w:rPr/>
      </w:pPr>
      <w:r w:rsidDel="00000000" w:rsidR="00000000" w:rsidRPr="00000000">
        <w:rPr>
          <w:color w:val="222222"/>
          <w:sz w:val="20"/>
          <w:szCs w:val="20"/>
          <w:rtl w:val="0"/>
        </w:rPr>
        <w:t xml:space="preserve">Creswell, J.W. and Plano Clark, V.L. (2018) Designing and Conducting Mixed Methods Research. 3rd edn. Thousand Oaks: Sage.</w:t>
      </w:r>
      <w:r w:rsidDel="00000000" w:rsidR="00000000" w:rsidRPr="00000000">
        <w:rPr>
          <w:rtl w:val="0"/>
        </w:rPr>
      </w:r>
    </w:p>
    <w:p w:rsidR="00000000" w:rsidDel="00000000" w:rsidP="00000000" w:rsidRDefault="00000000" w:rsidRPr="00000000" w14:paraId="0000006E">
      <w:pPr>
        <w:spacing w:after="90" w:line="256" w:lineRule="auto"/>
        <w:ind w:left="360" w:hanging="360"/>
        <w:rPr/>
      </w:pPr>
      <w:r w:rsidDel="00000000" w:rsidR="00000000" w:rsidRPr="00000000">
        <w:rPr>
          <w:color w:val="222222"/>
          <w:sz w:val="20"/>
          <w:szCs w:val="20"/>
          <w:rtl w:val="0"/>
        </w:rPr>
        <w:t xml:space="preserve">Fetters, M.D., Curry, L.A. and Creswell, J.W. (2013) Achieving integration in mixed methods designs: principles and practices. Health Services Research, 48(6 Pt 2), pp. 2134 to 2156.</w:t>
      </w:r>
      <w:r w:rsidDel="00000000" w:rsidR="00000000" w:rsidRPr="00000000">
        <w:rPr>
          <w:rtl w:val="0"/>
        </w:rPr>
      </w:r>
    </w:p>
    <w:p w:rsidR="00000000" w:rsidDel="00000000" w:rsidP="00000000" w:rsidRDefault="00000000" w:rsidRPr="00000000" w14:paraId="0000006F">
      <w:pPr>
        <w:spacing w:after="90" w:line="256" w:lineRule="auto"/>
        <w:ind w:left="360" w:hanging="360"/>
        <w:rPr/>
      </w:pPr>
      <w:r w:rsidDel="00000000" w:rsidR="00000000" w:rsidRPr="00000000">
        <w:rPr>
          <w:color w:val="222222"/>
          <w:sz w:val="20"/>
          <w:szCs w:val="20"/>
          <w:rtl w:val="0"/>
        </w:rPr>
        <w:t xml:space="preserve">Greene, J.C. (2007) Mixed Methods in Social Inquiry. San Francisco: Jossey Bass.</w:t>
      </w:r>
      <w:r w:rsidDel="00000000" w:rsidR="00000000" w:rsidRPr="00000000">
        <w:rPr>
          <w:rtl w:val="0"/>
        </w:rPr>
      </w:r>
    </w:p>
    <w:p w:rsidR="00000000" w:rsidDel="00000000" w:rsidP="00000000" w:rsidRDefault="00000000" w:rsidRPr="00000000" w14:paraId="00000070">
      <w:pPr>
        <w:spacing w:after="90" w:line="256" w:lineRule="auto"/>
        <w:ind w:left="360" w:hanging="360"/>
        <w:rPr/>
      </w:pPr>
      <w:r w:rsidDel="00000000" w:rsidR="00000000" w:rsidRPr="00000000">
        <w:rPr>
          <w:color w:val="222222"/>
          <w:sz w:val="20"/>
          <w:szCs w:val="20"/>
          <w:rtl w:val="0"/>
        </w:rPr>
        <w:t xml:space="preserve">Greene, J.C. and Caracelli, V.J. (2003) Making paradigmatic sense of mixed methods practice. In Tashakkori, A. and Teddlie, C. (eds) Handbook of Mixed Methods. Thousand Oaks: Sage.</w:t>
      </w:r>
      <w:r w:rsidDel="00000000" w:rsidR="00000000" w:rsidRPr="00000000">
        <w:rPr>
          <w:rtl w:val="0"/>
        </w:rPr>
      </w:r>
    </w:p>
    <w:p w:rsidR="00000000" w:rsidDel="00000000" w:rsidP="00000000" w:rsidRDefault="00000000" w:rsidRPr="00000000" w14:paraId="00000071">
      <w:pPr>
        <w:spacing w:after="90" w:line="256" w:lineRule="auto"/>
        <w:ind w:left="360" w:hanging="360"/>
        <w:rPr/>
      </w:pPr>
      <w:r w:rsidDel="00000000" w:rsidR="00000000" w:rsidRPr="00000000">
        <w:rPr>
          <w:color w:val="222222"/>
          <w:sz w:val="20"/>
          <w:szCs w:val="20"/>
          <w:rtl w:val="0"/>
        </w:rPr>
        <w:t xml:space="preserve">Greene, J.C., Caracelli, V.J. and Graham, W.F. (1989) Toward a conceptual framework for mixed method evaluation designs. Educational Evaluation and Policy Analysis, 11(3), pp. 255 to 274.</w:t>
      </w:r>
      <w:r w:rsidDel="00000000" w:rsidR="00000000" w:rsidRPr="00000000">
        <w:rPr>
          <w:rtl w:val="0"/>
        </w:rPr>
      </w:r>
    </w:p>
    <w:p w:rsidR="00000000" w:rsidDel="00000000" w:rsidP="00000000" w:rsidRDefault="00000000" w:rsidRPr="00000000" w14:paraId="00000072">
      <w:pPr>
        <w:spacing w:after="90" w:line="256" w:lineRule="auto"/>
        <w:ind w:left="360" w:hanging="360"/>
        <w:rPr/>
      </w:pPr>
      <w:r w:rsidDel="00000000" w:rsidR="00000000" w:rsidRPr="00000000">
        <w:rPr>
          <w:color w:val="222222"/>
          <w:sz w:val="20"/>
          <w:szCs w:val="20"/>
          <w:rtl w:val="0"/>
        </w:rPr>
        <w:t xml:space="preserve">Johnson, R.B. and Onwuegbuzie, A.J. (2004) Mixed methods research: a research paradigm whose time has come. Educational Researcher, 33(7), pp. 14 to 26.</w:t>
      </w:r>
      <w:r w:rsidDel="00000000" w:rsidR="00000000" w:rsidRPr="00000000">
        <w:rPr>
          <w:rtl w:val="0"/>
        </w:rPr>
      </w:r>
    </w:p>
    <w:p w:rsidR="00000000" w:rsidDel="00000000" w:rsidP="00000000" w:rsidRDefault="00000000" w:rsidRPr="00000000" w14:paraId="00000073">
      <w:pPr>
        <w:spacing w:after="90" w:line="256" w:lineRule="auto"/>
        <w:ind w:left="360" w:hanging="360"/>
        <w:rPr/>
      </w:pPr>
      <w:r w:rsidDel="00000000" w:rsidR="00000000" w:rsidRPr="00000000">
        <w:rPr>
          <w:color w:val="222222"/>
          <w:sz w:val="20"/>
          <w:szCs w:val="20"/>
          <w:rtl w:val="0"/>
        </w:rPr>
        <w:t xml:space="preserve">Johnson, R.B., Onwuegbuzie, A.J. and Turner, L.A. (2007) Toward a definition of mixed methods research. Journal of Mixed Methods Research, 1(2), pp. 112 to 133.</w:t>
      </w:r>
      <w:r w:rsidDel="00000000" w:rsidR="00000000" w:rsidRPr="00000000">
        <w:rPr>
          <w:rtl w:val="0"/>
        </w:rPr>
      </w:r>
    </w:p>
    <w:p w:rsidR="00000000" w:rsidDel="00000000" w:rsidP="00000000" w:rsidRDefault="00000000" w:rsidRPr="00000000" w14:paraId="00000074">
      <w:pPr>
        <w:spacing w:after="90" w:line="256" w:lineRule="auto"/>
        <w:ind w:left="360" w:hanging="360"/>
        <w:rPr/>
      </w:pPr>
      <w:r w:rsidDel="00000000" w:rsidR="00000000" w:rsidRPr="00000000">
        <w:rPr>
          <w:color w:val="222222"/>
          <w:sz w:val="20"/>
          <w:szCs w:val="20"/>
          <w:rtl w:val="0"/>
        </w:rPr>
        <w:t xml:space="preserve">Morgan, D.L. (1998) Practical strategies for combining qualitative and quantitative methods: applications to health research. Qualitative Health Research, 8(3), pp. 362 to 376.</w:t>
      </w:r>
      <w:r w:rsidDel="00000000" w:rsidR="00000000" w:rsidRPr="00000000">
        <w:rPr>
          <w:rtl w:val="0"/>
        </w:rPr>
      </w:r>
    </w:p>
    <w:p w:rsidR="00000000" w:rsidDel="00000000" w:rsidP="00000000" w:rsidRDefault="00000000" w:rsidRPr="00000000" w14:paraId="00000075">
      <w:pPr>
        <w:spacing w:after="90" w:line="256" w:lineRule="auto"/>
        <w:ind w:left="360" w:hanging="360"/>
        <w:rPr/>
      </w:pPr>
      <w:r w:rsidDel="00000000" w:rsidR="00000000" w:rsidRPr="00000000">
        <w:rPr>
          <w:color w:val="222222"/>
          <w:sz w:val="20"/>
          <w:szCs w:val="20"/>
          <w:rtl w:val="0"/>
        </w:rPr>
        <w:t xml:space="preserve">Morgan, D.L. (2014) Pragmatism as a paradigm for social research. Qualitative Inquiry, 20(8), pp. 1045 to 1053.</w:t>
      </w:r>
      <w:r w:rsidDel="00000000" w:rsidR="00000000" w:rsidRPr="00000000">
        <w:rPr>
          <w:rtl w:val="0"/>
        </w:rPr>
      </w:r>
    </w:p>
    <w:p w:rsidR="00000000" w:rsidDel="00000000" w:rsidP="00000000" w:rsidRDefault="00000000" w:rsidRPr="00000000" w14:paraId="00000076">
      <w:pPr>
        <w:spacing w:after="90" w:line="256" w:lineRule="auto"/>
        <w:ind w:left="360" w:hanging="360"/>
        <w:rPr/>
      </w:pPr>
      <w:r w:rsidDel="00000000" w:rsidR="00000000" w:rsidRPr="00000000">
        <w:rPr>
          <w:color w:val="222222"/>
          <w:sz w:val="20"/>
          <w:szCs w:val="20"/>
          <w:rtl w:val="0"/>
        </w:rPr>
        <w:t xml:space="preserve">Morse, J.M. (1991) Approaches to qualitative quantitative methodological triangulation. Nursing Research, 40(2), pp. 120 to 123.</w:t>
      </w:r>
      <w:r w:rsidDel="00000000" w:rsidR="00000000" w:rsidRPr="00000000">
        <w:rPr>
          <w:rtl w:val="0"/>
        </w:rPr>
      </w:r>
    </w:p>
    <w:p w:rsidR="00000000" w:rsidDel="00000000" w:rsidP="00000000" w:rsidRDefault="00000000" w:rsidRPr="00000000" w14:paraId="00000077">
      <w:pPr>
        <w:spacing w:after="90" w:line="256" w:lineRule="auto"/>
        <w:ind w:left="360" w:hanging="360"/>
        <w:rPr/>
      </w:pPr>
      <w:r w:rsidDel="00000000" w:rsidR="00000000" w:rsidRPr="00000000">
        <w:rPr>
          <w:color w:val="222222"/>
          <w:sz w:val="20"/>
          <w:szCs w:val="20"/>
          <w:rtl w:val="0"/>
        </w:rPr>
        <w:t xml:space="preserve">Onwuegbuzie, A.J. and Johnson, R.B. (2006) The validity issue in mixed research. Research in the Schools, 13(1), pp. 48 to 63.</w:t>
      </w:r>
      <w:r w:rsidDel="00000000" w:rsidR="00000000" w:rsidRPr="00000000">
        <w:rPr>
          <w:rtl w:val="0"/>
        </w:rPr>
      </w:r>
    </w:p>
    <w:p w:rsidR="00000000" w:rsidDel="00000000" w:rsidP="00000000" w:rsidRDefault="00000000" w:rsidRPr="00000000" w14:paraId="00000078">
      <w:pPr>
        <w:spacing w:after="90" w:line="256" w:lineRule="auto"/>
        <w:ind w:left="360" w:hanging="360"/>
        <w:rPr/>
      </w:pPr>
      <w:r w:rsidDel="00000000" w:rsidR="00000000" w:rsidRPr="00000000">
        <w:rPr>
          <w:color w:val="222222"/>
          <w:sz w:val="20"/>
          <w:szCs w:val="20"/>
          <w:rtl w:val="0"/>
        </w:rPr>
        <w:t xml:space="preserve">Tashakkori, A. and Teddlie, C. (eds) (2010) SAGE Handbook of Mixed Methods in Social and Behavioral Research. 2nd edn. Thousand Oaks: Sage.</w:t>
      </w:r>
      <w:r w:rsidDel="00000000" w:rsidR="00000000" w:rsidRPr="00000000">
        <w:rPr>
          <w:rtl w:val="0"/>
        </w:rPr>
      </w:r>
    </w:p>
    <w:p w:rsidR="00000000" w:rsidDel="00000000" w:rsidP="00000000" w:rsidRDefault="00000000" w:rsidRPr="00000000" w14:paraId="00000079">
      <w:pPr>
        <w:spacing w:after="90" w:line="256" w:lineRule="auto"/>
        <w:ind w:left="360" w:hanging="360"/>
        <w:rPr/>
      </w:pPr>
      <w:r w:rsidDel="00000000" w:rsidR="00000000" w:rsidRPr="00000000">
        <w:rPr>
          <w:color w:val="222222"/>
          <w:sz w:val="20"/>
          <w:szCs w:val="20"/>
          <w:rtl w:val="0"/>
        </w:rPr>
        <w:t xml:space="preserve">Teddlie, C. and Yu, F. (2007) Mixed methods sampling: a typology with examples. Journal of Mixed Methods Research, 1(1), pp. 77 to 100.</w:t>
      </w:r>
      <w:r w:rsidDel="00000000" w:rsidR="00000000" w:rsidRPr="00000000">
        <w:rPr>
          <w:rtl w:val="0"/>
        </w:rPr>
      </w:r>
    </w:p>
    <w:p w:rsidR="00000000" w:rsidDel="00000000" w:rsidP="00000000" w:rsidRDefault="00000000" w:rsidRPr="00000000" w14:paraId="0000007A">
      <w:pPr>
        <w:spacing w:after="120" w:lineRule="auto"/>
        <w:rPr/>
      </w:pPr>
      <w:r w:rsidDel="00000000" w:rsidR="00000000" w:rsidRPr="00000000">
        <w:rPr>
          <w:rtl w:val="0"/>
        </w:rPr>
      </w:r>
    </w:p>
    <w:tbl>
      <w:tblPr>
        <w:tblStyle w:val="Table12"/>
        <w:tblW w:w="9360.0" w:type="dxa"/>
        <w:jc w:val="left"/>
        <w:tblBorders>
          <w:top w:color="dad3e6" w:space="0" w:sz="4" w:val="single"/>
          <w:left w:color="dad3e6" w:space="0" w:sz="4" w:val="single"/>
          <w:bottom w:color="dad3e6" w:space="0" w:sz="4" w:val="single"/>
          <w:right w:color="dad3e6" w:space="0" w:sz="4" w:val="single"/>
          <w:insideH w:color="000000" w:space="0" w:sz="4" w:val="single"/>
          <w:insideV w:color="000000" w:space="0" w:sz="4" w:val="single"/>
        </w:tblBorders>
        <w:tblLayout w:type="fixed"/>
        <w:tblLook w:val="0000"/>
      </w:tblPr>
      <w:tblGrid>
        <w:gridCol w:w="9360"/>
        <w:tblGridChange w:id="0">
          <w:tblGrid>
            <w:gridCol w:w="9360"/>
          </w:tblGrid>
        </w:tblGridChange>
      </w:tblGrid>
      <w:tr>
        <w:trPr>
          <w:cantSplit w:val="0"/>
          <w:tblHeader w:val="0"/>
        </w:trPr>
        <w:tc>
          <w:tcPr>
            <w:shd w:fill="fbf4da" w:val="clear"/>
            <w:tcMar>
              <w:top w:w="130.0" w:type="dxa"/>
              <w:left w:w="200.0" w:type="dxa"/>
              <w:bottom w:w="130.0" w:type="dxa"/>
              <w:right w:w="200.0" w:type="dxa"/>
            </w:tcMar>
          </w:tcPr>
          <w:p w:rsidR="00000000" w:rsidDel="00000000" w:rsidP="00000000" w:rsidRDefault="00000000" w:rsidRPr="00000000" w14:paraId="0000007B">
            <w:pPr>
              <w:spacing w:after="0" w:line="261.99999999999994" w:lineRule="auto"/>
              <w:rPr/>
            </w:pPr>
            <w:r w:rsidDel="00000000" w:rsidR="00000000" w:rsidRPr="00000000">
              <w:rPr>
                <w:b w:val="1"/>
                <w:bCs w:val="1"/>
                <w:i w:val="0"/>
                <w:iCs w:val="0"/>
                <w:color w:val="4b2c7a"/>
                <w:sz w:val="21"/>
                <w:szCs w:val="21"/>
                <w:rtl w:val="0"/>
              </w:rPr>
              <w:t xml:space="preserve">A note on terminology. </w:t>
            </w:r>
            <w:r w:rsidDel="00000000" w:rsidR="00000000" w:rsidRPr="00000000">
              <w:rPr>
                <w:b w:val="0"/>
                <w:bCs w:val="0"/>
                <w:i w:val="0"/>
                <w:iCs w:val="0"/>
                <w:color w:val="222222"/>
                <w:sz w:val="21"/>
                <w:szCs w:val="21"/>
                <w:rtl w:val="0"/>
              </w:rPr>
              <w:t xml:space="preserve">Keep explanatory sequential, QUAN then qual, distinct from exploratory sequential, QUAL then quan, where the qualitative phase comes first to build a model the quantitative phase then tests. The two are mirror images and are judged on different joins.</w:t>
            </w:r>
            <w:r w:rsidDel="00000000" w:rsidR="00000000" w:rsidRPr="00000000">
              <w:rPr>
                <w:rtl w:val="0"/>
              </w:rPr>
            </w:r>
          </w:p>
        </w:tc>
      </w:tr>
    </w:tbl>
    <w:p w:rsidR="00000000" w:rsidDel="00000000" w:rsidP="00000000" w:rsidRDefault="00000000" w:rsidRPr="00000000" w14:paraId="0000007C">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76" w:lineRule="auto"/>
        <w:ind w:left="0" w:right="0" w:firstLine="0"/>
        <w:jc w:val="left"/>
        <w:rPr/>
      </w:pPr>
      <w:r w:rsidDel="00000000" w:rsidR="00000000" w:rsidRPr="00000000">
        <w:rPr>
          <w:rtl w:val="0"/>
        </w:rPr>
      </w:r>
    </w:p>
    <w:sectPr>
      <w:footerReference r:id="rId6" w:type="default"/>
      <w:pgSz w:h="15840" w:w="12240" w:orient="portrait"/>
      <w:pgMar w:bottom="1300" w:top="1300" w:left="1440" w:right="1440" w:header="708" w:footer="708"/>
      <w:pgNumType w:start="1"/>
    </w:sectPr>
  </w:body>
</w:document>
</file>

<file path=word/fontTable.xml><?xml version="1.0" encoding="utf-8"?>
<w:font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xmlns:w16="http://schemas.microsoft.com/office/word/2018/wordml" xmlns:w16cex="http://schemas.microsoft.com/office/word/2018/wordml/cex" xmlns:w16cid="http://schemas.microsoft.com/office/word/2016/wordml/cid" xmlns="http://schemas.microsoft.com/office/tasks/2019/documenttasks" xmlns:cr="http://schemas.microsoft.com/office/comments/2020/reactions">
  <w:font w:name="Calibri"/>
  <w:font w:name="Georgia"/>
  <w:font w:name="Cambria"/>
</w:fonts>
</file>

<file path=word/footer1.xml><?xml version="1.0" encoding="utf-8"?>
<w:ftr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xmlns:w16="http://schemas.microsoft.com/office/word/2018/wordml" xmlns:w16cex="http://schemas.microsoft.com/office/word/2018/wordml/cex" xmlns:w16cid="http://schemas.microsoft.com/office/word/2016/wordml/cid" xmlns="http://schemas.microsoft.com/office/tasks/2019/documenttasks" xmlns:cr="http://schemas.microsoft.com/office/comments/2020/reactions">
  <w:p w:rsidR="00000000" w:rsidDel="00000000" w:rsidP="00000000" w:rsidRDefault="00000000" w:rsidRPr="00000000" w14:paraId="0000007D">
    <w:pPr>
      <w:pBdr>
        <w:top w:color="dad3e6" w:space="6" w:sz="4" w:val="single"/>
      </w:pBdr>
      <w:tabs>
        <w:tab w:val="right" w:leader="none" w:pos="9360"/>
      </w:tabs>
      <w:rPr/>
    </w:pPr>
    <w:r w:rsidDel="00000000" w:rsidR="00000000" w:rsidRPr="00000000">
      <w:rPr>
        <w:color w:val="5e6975"/>
        <w:sz w:val="16"/>
        <w:szCs w:val="16"/>
        <w:rtl w:val="0"/>
      </w:rPr>
      <w:t xml:space="preserve">Mixed Methods Research  ·  Practitioner Supplement  ·  Dr Caroline JawadPage </w:t>
    </w:r>
    <w:r w:rsidDel="00000000" w:rsidR="00000000" w:rsidRPr="00000000">
      <w:rPr>
        <w:color w:val="5e6975"/>
        <w:sz w:val="16"/>
        <w:szCs w:val="16"/>
      </w:rPr>
      <w:fldChar w:fldCharType="begin"/>
      <w:instrText xml:space="preserve">PAGE</w:instrText>
      <w:fldChar w:fldCharType="separate"/>
      <w:fldChar w:fldCharType="end"/>
    </w:r>
    <w:r w:rsidDel="00000000" w:rsidR="00000000" w:rsidRPr="00000000">
      <w:rPr>
        <w:rtl w:val="0"/>
      </w:rPr>
    </w:r>
  </w:p>
</w:ftr>
</file>

<file path=word/numbering.xml><?xml version="1.0" encoding="utf-8"?>
<w:numbering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xmlns:w16="http://schemas.microsoft.com/office/word/2018/wordml" xmlns:w16cex="http://schemas.microsoft.com/office/word/2018/wordml/cex" xmlns:w16cid="http://schemas.microsoft.com/office/word/2016/wordml/cid" xmlns="http://schemas.microsoft.com/office/tasks/2019/documenttasks" xmlns:cr="http://schemas.microsoft.com/office/comments/2020/reaction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xmlns:w16="http://schemas.microsoft.com/office/word/2018/wordml" xmlns:w16cex="http://schemas.microsoft.com/office/word/2018/wordml/cex" xmlns:w16cid="http://schemas.microsoft.com/office/word/2016/wordml/cid" xmlns="http://schemas.microsoft.com/office/tasks/2019/documenttasks" xmlns:cr="http://schemas.microsoft.com/office/comments/2020/reactions">
  <w:embedTrueTypeFonts w:val="1"/>
  <w:defaultTabStop w:val="720"/>
  <w:compat>
    <w:compatSetting w:val="15" w:name="compatibilityMode" w:uri="http://schemas.microsoft.com/office/word"/>
  </w:compat>
  <w:clrSchemeMapping w:bg1="light1" w:t1="dark1" w:bg2="light2" w:t2="dark2" w:accent1="accent1" w:accent2="accent2" w:accent3="accent3" w:accent4="accent4" w:accent5="accent5" w:accent6="accent6" w:hyperlink="hyperlink" w:followedHyperlink="followedHyperlink"/>
</w:settings>
</file>

<file path=word/styles.xml><?xml version="1.0" encoding="utf-8"?>
<w:style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xmlns:w16="http://schemas.microsoft.com/office/word/2018/wordml" xmlns:w16cex="http://schemas.microsoft.com/office/word/2018/wordml/cex" xmlns:w16cid="http://schemas.microsoft.com/office/word/2016/wordml/cid" xmlns="http://schemas.microsoft.com/office/tasks/2019/documenttasks" xmlns:cr="http://schemas.microsoft.com/office/comments/2020/reactions">
  <w:docDefaults>
    <w:rPrDefault>
      <w:rPr>
        <w:rFonts w:ascii="Calibri" w:cs="Calibri" w:eastAsia="Calibri" w:hAnsi="Calibri"/>
        <w:color w:val="222222"/>
        <w:sz w:val="21"/>
        <w:szCs w:val="21"/>
      </w:rPr>
    </w:rPrDefault>
    <w:pPrDefault>
      <w:pPr/>
    </w:pPrDefault>
  </w:docDefaults>
  <w:style w:type="table" w:styleId="TableNormal" w:default="1">
    <w:name w:val="TableNormal"/>
    <w:tblPr>
      <w:tblCellMar>
        <w:top w:w="100.0" w:type="dxa"/>
        <w:left w:w="100.0" w:type="dxa"/>
        <w:bottom w:w="100.0" w:type="dxa"/>
        <w:right w:w="100.0" w:type="dxa"/>
      </w:tblCellMar>
    </w:tblPr>
  </w:style>
  <w:style w:type="paragraph" w:styleId="Normal" w:default="1">
    <w:name w:val="normal"/>
  </w:style>
  <w:style w:type="paragraph" w:styleId="Heading1">
    <w:name w:val="heading 1"/>
    <w:basedOn w:val="Normal"/>
    <w:next w:val="Normal"/>
    <w:pPr>
      <w:keepNext w:val="0"/>
      <w:keepLines w:val="0"/>
      <w:pageBreakBefore w:val="0"/>
      <w:widowControl w:val="1"/>
      <w:pBdr>
        <w:top w:space="0" w:sz="0" w:val="nil"/>
        <w:left w:space="0" w:sz="0" w:val="nil"/>
        <w:bottom w:color="dad3e6" w:space="6" w:sz="8" w:val="single"/>
        <w:right w:space="0" w:sz="0" w:val="nil"/>
        <w:between w:space="0" w:sz="0" w:val="nil"/>
      </w:pBdr>
      <w:shd w:fill="auto" w:val="clear"/>
      <w:spacing w:after="140" w:before="320" w:line="240" w:lineRule="auto"/>
      <w:ind w:left="0" w:right="0" w:firstLine="0"/>
      <w:jc w:val="left"/>
    </w:pPr>
    <w:rPr>
      <w:rFonts w:ascii="Calibri" w:cs="Calibri" w:eastAsia="Calibri" w:hAnsi="Calibri"/>
      <w:b w:val="1"/>
      <w:bCs w:val="1"/>
      <w:i w:val="0"/>
      <w:iCs w:val="0"/>
      <w:smallCaps w:val="0"/>
      <w:strike w:val="0"/>
      <w:color w:val="4b2c7a"/>
      <w:sz w:val="28"/>
      <w:szCs w:val="28"/>
      <w:u w:val="none"/>
      <w:shd w:fill="auto" w:val="clear"/>
      <w:vertAlign w:val="baseline"/>
    </w:rPr>
  </w:style>
  <w:style w:type="paragraph" w:styleId="Heading2">
    <w:name w:val="heading 2"/>
    <w:basedOn w:val="Normal"/>
    <w:next w:val="Normal"/>
    <w:pPr>
      <w:keepNext w:val="0"/>
      <w:keepLines w:val="0"/>
      <w:pageBreakBefore w:val="0"/>
      <w:widowControl w:val="1"/>
      <w:pBdr>
        <w:top w:space="0" w:sz="0" w:val="nil"/>
        <w:left w:space="0" w:sz="0" w:val="nil"/>
        <w:bottom w:space="0" w:sz="0" w:val="nil"/>
        <w:right w:space="0" w:sz="0" w:val="nil"/>
        <w:between w:space="0" w:sz="0" w:val="nil"/>
      </w:pBdr>
      <w:shd w:fill="auto" w:val="clear"/>
      <w:spacing w:after="90" w:before="220" w:line="240" w:lineRule="auto"/>
      <w:ind w:left="0" w:right="0" w:firstLine="0"/>
      <w:jc w:val="left"/>
    </w:pPr>
    <w:rPr>
      <w:rFonts w:ascii="Calibri" w:cs="Calibri" w:eastAsia="Calibri" w:hAnsi="Calibri"/>
      <w:b w:val="1"/>
      <w:bCs w:val="1"/>
      <w:i w:val="0"/>
      <w:iCs w:val="0"/>
      <w:smallCaps w:val="0"/>
      <w:strike w:val="0"/>
      <w:color w:val="1d6b6b"/>
      <w:sz w:val="23"/>
      <w:szCs w:val="23"/>
      <w:u w:val="none"/>
      <w:shd w:fill="auto" w:val="clear"/>
      <w:vertAlign w:val="baseline"/>
    </w:rPr>
  </w:style>
  <w:style w:type="paragraph" w:styleId="Heading3">
    <w:name w:val="heading 3"/>
    <w:basedOn w:val="Normal"/>
    <w:next w:val="Normal"/>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240" w:lineRule="auto"/>
      <w:ind w:left="0" w:right="0" w:firstLine="0"/>
      <w:jc w:val="left"/>
    </w:pPr>
    <w:rPr>
      <w:rFonts w:ascii="Calibri" w:cs="Calibri" w:eastAsia="Calibri" w:hAnsi="Calibri"/>
      <w:b w:val="0"/>
      <w:bCs w:val="0"/>
      <w:i w:val="0"/>
      <w:iCs w:val="0"/>
      <w:smallCaps w:val="0"/>
      <w:strike w:val="0"/>
      <w:color w:val="1f4d78"/>
      <w:sz w:val="24"/>
      <w:szCs w:val="24"/>
      <w:u w:val="none"/>
      <w:shd w:fill="auto" w:val="clear"/>
      <w:vertAlign w:val="baseline"/>
    </w:rPr>
  </w:style>
  <w:style w:type="paragraph" w:styleId="Heading4">
    <w:name w:val="heading 4"/>
    <w:basedOn w:val="Normal"/>
    <w:next w:val="Normal"/>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240" w:lineRule="auto"/>
      <w:ind w:left="0" w:right="0" w:firstLine="0"/>
      <w:jc w:val="left"/>
    </w:pPr>
    <w:rPr>
      <w:rFonts w:ascii="Calibri" w:cs="Calibri" w:eastAsia="Calibri" w:hAnsi="Calibri"/>
      <w:b w:val="0"/>
      <w:bCs w:val="0"/>
      <w:i w:val="1"/>
      <w:iCs w:val="1"/>
      <w:smallCaps w:val="0"/>
      <w:strike w:val="0"/>
      <w:color w:val="2e74b5"/>
      <w:sz w:val="21"/>
      <w:szCs w:val="21"/>
      <w:u w:val="none"/>
      <w:shd w:fill="auto" w:val="clear"/>
      <w:vertAlign w:val="baseline"/>
    </w:rPr>
  </w:style>
  <w:style w:type="paragraph" w:styleId="Heading5">
    <w:name w:val="heading 5"/>
    <w:basedOn w:val="Normal"/>
    <w:next w:val="Normal"/>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240" w:lineRule="auto"/>
      <w:ind w:left="0" w:right="0" w:firstLine="0"/>
      <w:jc w:val="left"/>
    </w:pPr>
    <w:rPr>
      <w:rFonts w:ascii="Calibri" w:cs="Calibri" w:eastAsia="Calibri" w:hAnsi="Calibri"/>
      <w:b w:val="0"/>
      <w:bCs w:val="0"/>
      <w:i w:val="0"/>
      <w:iCs w:val="0"/>
      <w:smallCaps w:val="0"/>
      <w:strike w:val="0"/>
      <w:color w:val="2e74b5"/>
      <w:sz w:val="21"/>
      <w:szCs w:val="21"/>
      <w:u w:val="none"/>
      <w:shd w:fill="auto" w:val="clear"/>
      <w:vertAlign w:val="baseline"/>
    </w:rPr>
  </w:style>
  <w:style w:type="paragraph" w:styleId="Heading6">
    <w:name w:val="heading 6"/>
    <w:basedOn w:val="Normal"/>
    <w:next w:val="Normal"/>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240" w:lineRule="auto"/>
      <w:ind w:left="0" w:right="0" w:firstLine="0"/>
      <w:jc w:val="left"/>
    </w:pPr>
    <w:rPr>
      <w:rFonts w:ascii="Calibri" w:cs="Calibri" w:eastAsia="Calibri" w:hAnsi="Calibri"/>
      <w:b w:val="0"/>
      <w:bCs w:val="0"/>
      <w:i w:val="0"/>
      <w:iCs w:val="0"/>
      <w:smallCaps w:val="0"/>
      <w:strike w:val="0"/>
      <w:color w:val="1f4d78"/>
      <w:sz w:val="21"/>
      <w:szCs w:val="21"/>
      <w:u w:val="none"/>
      <w:shd w:fill="auto" w:val="clear"/>
      <w:vertAlign w:val="baseline"/>
    </w:rPr>
  </w:style>
  <w:style w:type="paragraph" w:styleId="Title">
    <w:name w:val="Title"/>
    <w:basedOn w:val="Normal"/>
    <w:next w:val="Normal"/>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240" w:lineRule="auto"/>
      <w:ind w:left="0" w:right="0" w:firstLine="0"/>
      <w:jc w:val="left"/>
    </w:pPr>
    <w:rPr>
      <w:rFonts w:ascii="Calibri" w:cs="Calibri" w:eastAsia="Calibri" w:hAnsi="Calibri"/>
      <w:b w:val="0"/>
      <w:bCs w:val="0"/>
      <w:i w:val="0"/>
      <w:iCs w:val="0"/>
      <w:smallCaps w:val="0"/>
      <w:strike w:val="0"/>
      <w:color w:val="222222"/>
      <w:sz w:val="56"/>
      <w:szCs w:val="56"/>
      <w:u w:val="none"/>
      <w:shd w:fill="auto" w:val="clear"/>
      <w:vertAlign w:val="baseline"/>
    </w:rPr>
  </w:style>
  <w:style w:type="paragraph" w:styleId="Subtitle">
    <w:name w:val="Subtitle"/>
    <w:basedOn w:val="Normal"/>
    <w:next w:val="Normal"/>
    <w:pPr>
      <w:keepNext w:val="1"/>
      <w:keepLines w:val="1"/>
      <w:pageBreakBefore w:val="0"/>
      <w:spacing w:after="80" w:before="360" w:lineRule="auto"/>
    </w:pPr>
    <w:rPr>
      <w:rFonts w:ascii="Georgia" w:cs="Georgia" w:eastAsia="Georgia" w:hAnsi="Georgia"/>
      <w:i w:val="1"/>
      <w:iCs w:val="1"/>
      <w:color w:val="666666"/>
      <w:sz w:val="48"/>
      <w:szCs w:val="48"/>
    </w:rPr>
  </w:style>
  <w:style w:type="table" w:styleId="Table1">
    <w:basedOn w:val="TableNormal"/>
    <w:tblPr>
      <w:tblStyleRowBandSize w:val="1"/>
      <w:tblStyleColBandSize w:val="1"/>
      <w:tblCellMar>
        <w:top w:w="0.0" w:type="dxa"/>
        <w:left w:w="115.0" w:type="dxa"/>
        <w:bottom w:w="0.0" w:type="dxa"/>
        <w:right w:w="115.0" w:type="dxa"/>
      </w:tblCellMar>
    </w:tblPr>
  </w:style>
  <w:style w:type="table" w:styleId="Table2">
    <w:basedOn w:val="TableNormal"/>
    <w:tblPr>
      <w:tblStyleRowBandSize w:val="1"/>
      <w:tblStyleColBandSize w:val="1"/>
      <w:tblCellMar>
        <w:top w:w="0.0" w:type="dxa"/>
        <w:left w:w="115.0" w:type="dxa"/>
        <w:bottom w:w="0.0" w:type="dxa"/>
        <w:right w:w="115.0" w:type="dxa"/>
      </w:tblCellMar>
    </w:tblPr>
  </w:style>
  <w:style w:type="table" w:styleId="Table3">
    <w:basedOn w:val="TableNormal"/>
    <w:tblPr>
      <w:tblStyleRowBandSize w:val="1"/>
      <w:tblStyleColBandSize w:val="1"/>
      <w:tblCellMar>
        <w:top w:w="0.0" w:type="dxa"/>
        <w:left w:w="115.0" w:type="dxa"/>
        <w:bottom w:w="0.0" w:type="dxa"/>
        <w:right w:w="115.0" w:type="dxa"/>
      </w:tblCellMar>
    </w:tblPr>
  </w:style>
  <w:style w:type="table" w:styleId="Table4">
    <w:basedOn w:val="TableNormal"/>
    <w:tblPr>
      <w:tblStyleRowBandSize w:val="1"/>
      <w:tblStyleColBandSize w:val="1"/>
      <w:tblCellMar>
        <w:top w:w="0.0" w:type="dxa"/>
        <w:left w:w="115.0" w:type="dxa"/>
        <w:bottom w:w="0.0" w:type="dxa"/>
        <w:right w:w="115.0" w:type="dxa"/>
      </w:tblCellMar>
    </w:tblPr>
  </w:style>
  <w:style w:type="table" w:styleId="Table5">
    <w:basedOn w:val="TableNormal"/>
    <w:tblPr>
      <w:tblStyleRowBandSize w:val="1"/>
      <w:tblStyleColBandSize w:val="1"/>
      <w:tblCellMar>
        <w:top w:w="0.0" w:type="dxa"/>
        <w:left w:w="115.0" w:type="dxa"/>
        <w:bottom w:w="0.0" w:type="dxa"/>
        <w:right w:w="115.0" w:type="dxa"/>
      </w:tblCellMar>
    </w:tblPr>
  </w:style>
  <w:style w:type="table" w:styleId="Table6">
    <w:basedOn w:val="TableNormal"/>
    <w:tblPr>
      <w:tblStyleRowBandSize w:val="1"/>
      <w:tblStyleColBandSize w:val="1"/>
      <w:tblCellMar>
        <w:top w:w="0.0" w:type="dxa"/>
        <w:left w:w="115.0" w:type="dxa"/>
        <w:bottom w:w="0.0" w:type="dxa"/>
        <w:right w:w="115.0" w:type="dxa"/>
      </w:tblCellMar>
    </w:tblPr>
  </w:style>
  <w:style w:type="table" w:styleId="Table7">
    <w:basedOn w:val="TableNormal"/>
    <w:tblPr>
      <w:tblStyleRowBandSize w:val="1"/>
      <w:tblStyleColBandSize w:val="1"/>
      <w:tblCellMar>
        <w:top w:w="0.0" w:type="dxa"/>
        <w:left w:w="115.0" w:type="dxa"/>
        <w:bottom w:w="0.0" w:type="dxa"/>
        <w:right w:w="115.0" w:type="dxa"/>
      </w:tblCellMar>
    </w:tblPr>
  </w:style>
  <w:style w:type="table" w:styleId="Table8">
    <w:basedOn w:val="TableNormal"/>
    <w:tblPr>
      <w:tblStyleRowBandSize w:val="1"/>
      <w:tblStyleColBandSize w:val="1"/>
      <w:tblCellMar>
        <w:top w:w="0.0" w:type="dxa"/>
        <w:left w:w="115.0" w:type="dxa"/>
        <w:bottom w:w="0.0" w:type="dxa"/>
        <w:right w:w="115.0" w:type="dxa"/>
      </w:tblCellMar>
    </w:tblPr>
  </w:style>
  <w:style w:type="table" w:styleId="Table9">
    <w:basedOn w:val="TableNormal"/>
    <w:tblPr>
      <w:tblStyleRowBandSize w:val="1"/>
      <w:tblStyleColBandSize w:val="1"/>
      <w:tblCellMar>
        <w:top w:w="0.0" w:type="dxa"/>
        <w:left w:w="115.0" w:type="dxa"/>
        <w:bottom w:w="0.0" w:type="dxa"/>
        <w:right w:w="115.0" w:type="dxa"/>
      </w:tblCellMar>
    </w:tblPr>
  </w:style>
  <w:style w:type="table" w:styleId="Table10">
    <w:basedOn w:val="TableNormal"/>
    <w:tblPr>
      <w:tblStyleRowBandSize w:val="1"/>
      <w:tblStyleColBandSize w:val="1"/>
      <w:tblCellMar>
        <w:top w:w="0.0" w:type="dxa"/>
        <w:left w:w="115.0" w:type="dxa"/>
        <w:bottom w:w="0.0" w:type="dxa"/>
        <w:right w:w="115.0" w:type="dxa"/>
      </w:tblCellMar>
    </w:tblPr>
  </w:style>
  <w:style w:type="table" w:styleId="Table11">
    <w:basedOn w:val="TableNormal"/>
    <w:tblPr>
      <w:tblStyleRowBandSize w:val="1"/>
      <w:tblStyleColBandSize w:val="1"/>
      <w:tblCellMar>
        <w:top w:w="0.0" w:type="dxa"/>
        <w:left w:w="115.0" w:type="dxa"/>
        <w:bottom w:w="0.0" w:type="dxa"/>
        <w:right w:w="115.0" w:type="dxa"/>
      </w:tblCellMar>
    </w:tblPr>
  </w:style>
  <w:style w:type="table" w:styleId="Table12">
    <w:basedOn w:val="TableNormal"/>
    <w:tblPr>
      <w:tblStyleRowBandSize w:val="1"/>
      <w:tblStyleColBandSize w:val="1"/>
      <w:tblCellMar>
        <w:top w:w="0.0" w:type="dxa"/>
        <w:left w:w="115.0" w:type="dxa"/>
        <w:bottom w:w="0.0" w:type="dxa"/>
        <w:right w:w="115.0" w:type="dxa"/>
      </w:tblCellMar>
    </w:tblPr>
  </w:style>
</w:styles>
</file>

<file path=word/_rels/document.xml.rels><?xml version="1.0" encoding="UTF-8" standalone="yes"?><Relationships xmlns="http://schemas.openxmlformats.org/package/2006/relationships"><Relationship Id="rId1" Type="http://schemas.openxmlformats.org/officeDocument/2006/relationships/theme" Target="theme/theme1.xml"/><Relationship Id="rId2" Type="http://schemas.openxmlformats.org/officeDocument/2006/relationships/settings" Target="settings.xml"/><Relationship Id="rId3" Type="http://schemas.openxmlformats.org/officeDocument/2006/relationships/fontTable" Target="fontTable.xml"/><Relationship Id="rId4" Type="http://schemas.openxmlformats.org/officeDocument/2006/relationships/numbering" Target="numbering.xml"/><Relationship Id="rId5" Type="http://schemas.openxmlformats.org/officeDocument/2006/relationships/styles" Target="styles.xml"/><Relationship Id="rId6"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