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1F01AC" w14:textId="39515F9B" w:rsidR="00816FB4" w:rsidRDefault="00100899" w:rsidP="00100899">
      <w:pPr>
        <w:pStyle w:val="Heading1"/>
      </w:pPr>
      <w:r>
        <w:t>AI acknowledgement</w:t>
      </w:r>
    </w:p>
    <w:p w14:paraId="5515D1CD" w14:textId="77777777" w:rsidR="0010283F" w:rsidRPr="0010283F" w:rsidRDefault="0010283F" w:rsidP="0010283F">
      <w:pPr>
        <w:numPr>
          <w:ilvl w:val="0"/>
          <w:numId w:val="1"/>
        </w:numPr>
      </w:pPr>
      <w:r w:rsidRPr="0010283F">
        <w:t xml:space="preserve">AI Acknowledgement statement: </w:t>
      </w:r>
    </w:p>
    <w:p w14:paraId="411E7F9D" w14:textId="77777777" w:rsidR="0010283F" w:rsidRPr="0010283F" w:rsidRDefault="0010283F" w:rsidP="0010283F">
      <w:r w:rsidRPr="0010283F">
        <w:t>I acknowledge the use of the AI tools listed below. I confirm that I have not presented any AI generated text as my own work. I confirm I have copies of my drafts, notes, and other resources I used before, and after the use of AI tools which I may be asked to provide in evidence.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324"/>
        <w:gridCol w:w="1405"/>
        <w:gridCol w:w="1653"/>
        <w:gridCol w:w="2914"/>
      </w:tblGrid>
      <w:tr w:rsidR="0010283F" w:rsidRPr="0010283F" w14:paraId="060F9DB2" w14:textId="77777777" w:rsidTr="004A4ADA"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127137" w14:textId="77777777" w:rsidR="0010283F" w:rsidRPr="0010283F" w:rsidRDefault="0010283F" w:rsidP="0010283F">
            <w:pPr>
              <w:spacing w:after="160" w:line="278" w:lineRule="auto"/>
              <w:rPr>
                <w:b/>
                <w:bCs/>
              </w:rPr>
            </w:pPr>
            <w:r w:rsidRPr="0010283F">
              <w:rPr>
                <w:b/>
                <w:bCs/>
              </w:rPr>
              <w:t xml:space="preserve">AI Tool (with </w:t>
            </w:r>
            <w:proofErr w:type="spellStart"/>
            <w:r w:rsidRPr="0010283F">
              <w:rPr>
                <w:b/>
                <w:bCs/>
              </w:rPr>
              <w:t>url</w:t>
            </w:r>
            <w:proofErr w:type="spellEnd"/>
            <w:r w:rsidRPr="0010283F">
              <w:rPr>
                <w:b/>
                <w:bCs/>
              </w:rPr>
              <w:t>)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8E3A40" w14:textId="77777777" w:rsidR="0010283F" w:rsidRPr="0010283F" w:rsidRDefault="0010283F" w:rsidP="0010283F">
            <w:pPr>
              <w:spacing w:after="160" w:line="278" w:lineRule="auto"/>
              <w:rPr>
                <w:b/>
                <w:bCs/>
              </w:rPr>
            </w:pPr>
            <w:r w:rsidRPr="0010283F">
              <w:rPr>
                <w:b/>
                <w:bCs/>
              </w:rPr>
              <w:t>Date used</w:t>
            </w:r>
          </w:p>
        </w:tc>
        <w:tc>
          <w:tcPr>
            <w:tcW w:w="16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5D78FA" w14:textId="77777777" w:rsidR="0010283F" w:rsidRPr="0010283F" w:rsidRDefault="0010283F" w:rsidP="0010283F">
            <w:pPr>
              <w:spacing w:after="160" w:line="278" w:lineRule="auto"/>
              <w:rPr>
                <w:b/>
                <w:bCs/>
              </w:rPr>
            </w:pPr>
            <w:r w:rsidRPr="0010283F">
              <w:rPr>
                <w:b/>
                <w:bCs/>
              </w:rPr>
              <w:t>Why did you use this tool</w:t>
            </w:r>
          </w:p>
        </w:tc>
        <w:tc>
          <w:tcPr>
            <w:tcW w:w="29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F6CC7D" w14:textId="77777777" w:rsidR="0010283F" w:rsidRPr="0010283F" w:rsidRDefault="0010283F" w:rsidP="0010283F">
            <w:pPr>
              <w:spacing w:after="160" w:line="278" w:lineRule="auto"/>
              <w:rPr>
                <w:b/>
                <w:bCs/>
              </w:rPr>
            </w:pPr>
            <w:r w:rsidRPr="0010283F">
              <w:rPr>
                <w:b/>
                <w:bCs/>
              </w:rPr>
              <w:t>Example prompt(s)</w:t>
            </w:r>
          </w:p>
        </w:tc>
      </w:tr>
      <w:tr w:rsidR="0010283F" w:rsidRPr="0010283F" w14:paraId="694BD6D2" w14:textId="77777777" w:rsidTr="004A4ADA"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2177AE" w14:textId="726B0965" w:rsidR="0010283F" w:rsidRPr="0010283F" w:rsidRDefault="0010283F" w:rsidP="0010283F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 xml:space="preserve">Microsoft </w:t>
            </w:r>
            <w:proofErr w:type="spellStart"/>
            <w:r>
              <w:rPr>
                <w:i/>
                <w:iCs/>
              </w:rPr>
              <w:t>copiliot</w:t>
            </w:r>
            <w:proofErr w:type="spellEnd"/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F902A9" w14:textId="6DC1587B" w:rsidR="0010283F" w:rsidRPr="0010283F" w:rsidRDefault="00F368B2" w:rsidP="0010283F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>06</w:t>
            </w:r>
            <w:r w:rsidR="0010283F" w:rsidRPr="0010283F">
              <w:rPr>
                <w:i/>
                <w:iCs/>
              </w:rPr>
              <w:t>/0</w:t>
            </w:r>
            <w:r>
              <w:rPr>
                <w:i/>
                <w:iCs/>
              </w:rPr>
              <w:t>5</w:t>
            </w:r>
            <w:r w:rsidR="0010283F" w:rsidRPr="0010283F">
              <w:rPr>
                <w:i/>
                <w:iCs/>
              </w:rPr>
              <w:t>/202</w:t>
            </w:r>
            <w:r>
              <w:rPr>
                <w:i/>
                <w:iCs/>
              </w:rPr>
              <w:t>6</w:t>
            </w:r>
          </w:p>
        </w:tc>
        <w:tc>
          <w:tcPr>
            <w:tcW w:w="16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E7ECED" w14:textId="1BFCF2FE" w:rsidR="0010283F" w:rsidRPr="0010283F" w:rsidRDefault="00F368B2" w:rsidP="0010283F">
            <w:pPr>
              <w:spacing w:after="160" w:line="278" w:lineRule="auto"/>
              <w:rPr>
                <w:i/>
                <w:iCs/>
              </w:rPr>
            </w:pPr>
            <w:proofErr w:type="spellStart"/>
            <w:r>
              <w:rPr>
                <w:i/>
                <w:iCs/>
              </w:rPr>
              <w:t>Refrase</w:t>
            </w:r>
            <w:proofErr w:type="spellEnd"/>
            <w:r>
              <w:rPr>
                <w:i/>
                <w:iCs/>
              </w:rPr>
              <w:t xml:space="preserve"> my work</w:t>
            </w:r>
            <w:r w:rsidR="00C3541A">
              <w:rPr>
                <w:i/>
                <w:iCs/>
              </w:rPr>
              <w:t>/ summarise research</w:t>
            </w:r>
          </w:p>
        </w:tc>
        <w:tc>
          <w:tcPr>
            <w:tcW w:w="29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43BFDE" w14:textId="77777777" w:rsidR="0010283F" w:rsidRDefault="0010283F" w:rsidP="0010283F">
            <w:pPr>
              <w:spacing w:after="160" w:line="278" w:lineRule="auto"/>
              <w:rPr>
                <w:i/>
                <w:iCs/>
              </w:rPr>
            </w:pPr>
            <w:r w:rsidRPr="0010283F">
              <w:rPr>
                <w:i/>
                <w:iCs/>
              </w:rPr>
              <w:t xml:space="preserve">Please </w:t>
            </w:r>
            <w:r w:rsidR="00C3541A">
              <w:rPr>
                <w:i/>
                <w:iCs/>
              </w:rPr>
              <w:t xml:space="preserve">help me to make my paragraph flow more </w:t>
            </w:r>
            <w:r w:rsidR="007024C0">
              <w:rPr>
                <w:i/>
                <w:iCs/>
              </w:rPr>
              <w:t>effectively.</w:t>
            </w:r>
          </w:p>
          <w:p w14:paraId="697930A3" w14:textId="5858BE03" w:rsidR="007024C0" w:rsidRPr="0010283F" w:rsidRDefault="007024C0" w:rsidP="0010283F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>Summarise this research on the cognitive behavioural approach</w:t>
            </w:r>
          </w:p>
        </w:tc>
      </w:tr>
      <w:tr w:rsidR="0010283F" w:rsidRPr="0010283F" w14:paraId="55C5854C" w14:textId="77777777" w:rsidTr="004A4ADA"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7D2EED" w14:textId="50FE1AEC" w:rsidR="0010283F" w:rsidRPr="0010283F" w:rsidRDefault="007024C0" w:rsidP="0010283F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>My bib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7DFE81" w14:textId="09C507BA" w:rsidR="0010283F" w:rsidRPr="0010283F" w:rsidRDefault="007024C0" w:rsidP="0010283F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>06</w:t>
            </w:r>
            <w:r w:rsidR="0010283F" w:rsidRPr="0010283F">
              <w:rPr>
                <w:i/>
                <w:iCs/>
              </w:rPr>
              <w:t>/0</w:t>
            </w:r>
            <w:r>
              <w:rPr>
                <w:i/>
                <w:iCs/>
              </w:rPr>
              <w:t>5</w:t>
            </w:r>
            <w:r w:rsidR="0010283F" w:rsidRPr="0010283F">
              <w:rPr>
                <w:i/>
                <w:iCs/>
              </w:rPr>
              <w:t>/202</w:t>
            </w:r>
            <w:r>
              <w:rPr>
                <w:i/>
                <w:iCs/>
              </w:rPr>
              <w:t>6</w:t>
            </w:r>
          </w:p>
        </w:tc>
        <w:tc>
          <w:tcPr>
            <w:tcW w:w="16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9994DA" w14:textId="426D93B6" w:rsidR="0010283F" w:rsidRPr="0010283F" w:rsidRDefault="002128EF" w:rsidP="0010283F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>Help generate my reference list</w:t>
            </w:r>
          </w:p>
        </w:tc>
        <w:tc>
          <w:tcPr>
            <w:tcW w:w="29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F01795" w14:textId="737EB27E" w:rsidR="0010283F" w:rsidRPr="0010283F" w:rsidRDefault="002128EF" w:rsidP="0010283F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>Can you check my references for this work?</w:t>
            </w:r>
          </w:p>
        </w:tc>
      </w:tr>
      <w:tr w:rsidR="0010283F" w:rsidRPr="0010283F" w14:paraId="0AD1F40F" w14:textId="77777777" w:rsidTr="004A4ADA"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978A1B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99EAF3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16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D74E82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29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BB029" w14:textId="77777777" w:rsidR="0010283F" w:rsidRPr="0010283F" w:rsidRDefault="0010283F" w:rsidP="0010283F">
            <w:pPr>
              <w:spacing w:after="160" w:line="278" w:lineRule="auto"/>
            </w:pPr>
          </w:p>
        </w:tc>
      </w:tr>
      <w:tr w:rsidR="0010283F" w:rsidRPr="0010283F" w14:paraId="212C9769" w14:textId="77777777" w:rsidTr="004A4ADA"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8C8ACA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528B9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16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E803AC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29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E19562" w14:textId="77777777" w:rsidR="0010283F" w:rsidRPr="0010283F" w:rsidRDefault="0010283F" w:rsidP="0010283F">
            <w:pPr>
              <w:spacing w:after="160" w:line="278" w:lineRule="auto"/>
            </w:pPr>
          </w:p>
        </w:tc>
      </w:tr>
      <w:tr w:rsidR="0010283F" w:rsidRPr="0010283F" w14:paraId="15385963" w14:textId="77777777" w:rsidTr="004A4ADA"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B96392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DBC5E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16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A0444D" w14:textId="77777777" w:rsidR="0010283F" w:rsidRPr="0010283F" w:rsidRDefault="0010283F" w:rsidP="0010283F">
            <w:pPr>
              <w:spacing w:after="160" w:line="278" w:lineRule="auto"/>
            </w:pPr>
          </w:p>
        </w:tc>
        <w:tc>
          <w:tcPr>
            <w:tcW w:w="29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693C3A" w14:textId="77777777" w:rsidR="0010283F" w:rsidRPr="0010283F" w:rsidRDefault="0010283F" w:rsidP="0010283F">
            <w:pPr>
              <w:spacing w:after="160" w:line="278" w:lineRule="auto"/>
            </w:pPr>
          </w:p>
        </w:tc>
      </w:tr>
      <w:tr w:rsidR="004A4ADA" w:rsidRPr="0010283F" w14:paraId="665D8F5B" w14:textId="77777777" w:rsidTr="004A4ADA"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BD723A" w14:textId="77777777" w:rsidR="004A4ADA" w:rsidRPr="0010283F" w:rsidRDefault="004A4ADA" w:rsidP="0010283F"/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D3EA45" w14:textId="77777777" w:rsidR="004A4ADA" w:rsidRPr="0010283F" w:rsidRDefault="004A4ADA" w:rsidP="0010283F"/>
        </w:tc>
        <w:tc>
          <w:tcPr>
            <w:tcW w:w="16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CF32AE" w14:textId="77777777" w:rsidR="004A4ADA" w:rsidRPr="0010283F" w:rsidRDefault="004A4ADA" w:rsidP="0010283F"/>
        </w:tc>
        <w:tc>
          <w:tcPr>
            <w:tcW w:w="29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82058" w14:textId="77777777" w:rsidR="004A4ADA" w:rsidRPr="0010283F" w:rsidRDefault="004A4ADA" w:rsidP="0010283F"/>
        </w:tc>
      </w:tr>
    </w:tbl>
    <w:p w14:paraId="2DC9D60D" w14:textId="3127E999" w:rsidR="0010283F" w:rsidRDefault="004A4ADA" w:rsidP="004A4ADA">
      <w:pPr>
        <w:pStyle w:val="Heading1"/>
      </w:pPr>
      <w:r>
        <w:t>Link to Padlet</w:t>
      </w:r>
    </w:p>
    <w:p w14:paraId="2CF2DD8E" w14:textId="5210E905" w:rsidR="004A4ADA" w:rsidRPr="004A4ADA" w:rsidRDefault="002835C4" w:rsidP="004A4ADA">
      <w:hyperlink r:id="rId5" w:history="1">
        <w:r w:rsidRPr="00732F79">
          <w:rPr>
            <w:rStyle w:val="Hyperlink"/>
          </w:rPr>
          <w:t>https://padlet.com/2500315_1/creative-reflex</w:t>
        </w:r>
        <w:r w:rsidRPr="00732F79">
          <w:rPr>
            <w:rStyle w:val="Hyperlink"/>
          </w:rPr>
          <w:t>i</w:t>
        </w:r>
        <w:r w:rsidRPr="00732F79">
          <w:rPr>
            <w:rStyle w:val="Hyperlink"/>
          </w:rPr>
          <w:t>ve-journal-lvfvgc3apne1986</w:t>
        </w:r>
      </w:hyperlink>
      <w:r>
        <w:t xml:space="preserve"> </w:t>
      </w:r>
    </w:p>
    <w:p w14:paraId="47B37866" w14:textId="629B949C" w:rsidR="00100899" w:rsidRDefault="00332A61" w:rsidP="00332A61">
      <w:pPr>
        <w:pStyle w:val="Heading1"/>
      </w:pPr>
      <w:r>
        <w:t>Reference list</w:t>
      </w:r>
    </w:p>
    <w:p w14:paraId="03D6E2D4" w14:textId="77777777" w:rsidR="004A4ADA" w:rsidRDefault="004A4ADA" w:rsidP="004A4ADA">
      <w:r w:rsidRPr="00DA43C7">
        <w:t>BOOTH, J.W. and NEILL, J.T., 2017. Coping strategies and the development of psychological resilience. </w:t>
      </w:r>
      <w:r w:rsidRPr="00DA43C7">
        <w:rPr>
          <w:i/>
          <w:iCs/>
        </w:rPr>
        <w:t>Journal of Outdoor and Environmental Education, </w:t>
      </w:r>
      <w:r w:rsidRPr="00DA43C7">
        <w:rPr>
          <w:b/>
          <w:bCs/>
        </w:rPr>
        <w:t>20</w:t>
      </w:r>
      <w:r w:rsidRPr="00DA43C7">
        <w:t>(1), pp. 47-54.</w:t>
      </w:r>
    </w:p>
    <w:p w14:paraId="65C88EE5" w14:textId="77777777" w:rsidR="004A4ADA" w:rsidRDefault="004A4ADA" w:rsidP="004A4ADA">
      <w:r w:rsidRPr="00365934">
        <w:t xml:space="preserve">Kolb, A.Y. and Kolb, D.A. (2009) ‘The learning way: Meta-cognitive aspects of experiential learning’, </w:t>
      </w:r>
      <w:r w:rsidRPr="00365934">
        <w:rPr>
          <w:i/>
          <w:iCs/>
        </w:rPr>
        <w:t>Simulation &amp; Gaming</w:t>
      </w:r>
      <w:r w:rsidRPr="00365934">
        <w:t xml:space="preserve">, 40(3), pp. 297–327. </w:t>
      </w:r>
      <w:proofErr w:type="spellStart"/>
      <w:r w:rsidRPr="00365934">
        <w:t>doi</w:t>
      </w:r>
      <w:proofErr w:type="spellEnd"/>
      <w:r w:rsidRPr="00365934">
        <w:t>: 10.1177/1046878108325713.</w:t>
      </w:r>
    </w:p>
    <w:p w14:paraId="5A1EC3A7" w14:textId="77777777" w:rsidR="004A4ADA" w:rsidRDefault="004A4ADA" w:rsidP="004A4ADA">
      <w:r w:rsidRPr="009F0F60">
        <w:lastRenderedPageBreak/>
        <w:t>Schweitzer, R.D., Glab, H. and Brymer, E. (2018) ‘</w:t>
      </w:r>
      <w:r w:rsidRPr="009F0F60">
        <w:rPr>
          <w:i/>
          <w:iCs/>
        </w:rPr>
        <w:t>The human–nature experience: A phenomenological</w:t>
      </w:r>
      <w:r w:rsidRPr="009F0F60">
        <w:rPr>
          <w:i/>
          <w:iCs/>
        </w:rPr>
        <w:noBreakHyphen/>
        <w:t>psychoanalytic perspective</w:t>
      </w:r>
      <w:r w:rsidRPr="009F0F60">
        <w:t xml:space="preserve">’, </w:t>
      </w:r>
      <w:r w:rsidRPr="009F0F60">
        <w:rPr>
          <w:i/>
          <w:iCs/>
        </w:rPr>
        <w:t>Frontiers in Psychology</w:t>
      </w:r>
      <w:r w:rsidRPr="009F0F60">
        <w:t xml:space="preserve">, 9, p. 969. </w:t>
      </w:r>
      <w:proofErr w:type="spellStart"/>
      <w:r w:rsidRPr="009F0F60">
        <w:t>doi</w:t>
      </w:r>
      <w:proofErr w:type="spellEnd"/>
      <w:r w:rsidRPr="009F0F60">
        <w:t>: 10.3389/fpsyg.2018.00969.</w:t>
      </w:r>
    </w:p>
    <w:p w14:paraId="6944BD0D" w14:textId="77777777" w:rsidR="004A4ADA" w:rsidRDefault="004A4ADA" w:rsidP="004A4ADA">
      <w:pPr>
        <w:rPr>
          <w:i/>
          <w:iCs/>
        </w:rPr>
      </w:pPr>
      <w:r w:rsidRPr="00826BE5">
        <w:t xml:space="preserve">Csikszentmihalyi, M. (1990) </w:t>
      </w:r>
      <w:r w:rsidRPr="00826BE5">
        <w:rPr>
          <w:i/>
          <w:iCs/>
        </w:rPr>
        <w:t>Flow: The psychology of optimal experience</w:t>
      </w:r>
    </w:p>
    <w:p w14:paraId="0D157E55" w14:textId="77777777" w:rsidR="004A4ADA" w:rsidRDefault="004A4ADA" w:rsidP="004A4ADA">
      <w:r w:rsidRPr="00561ACF">
        <w:t>Berman, D.S. and Davis</w:t>
      </w:r>
      <w:r w:rsidRPr="00561ACF">
        <w:noBreakHyphen/>
        <w:t xml:space="preserve">Berman, J. (2005) ‘Positive psychology and outdoor education’, </w:t>
      </w:r>
      <w:r w:rsidRPr="00561ACF">
        <w:rPr>
          <w:i/>
          <w:iCs/>
        </w:rPr>
        <w:t>Journal of Experiential Education</w:t>
      </w:r>
      <w:r w:rsidRPr="00561ACF">
        <w:t xml:space="preserve">, 28(1), pp. 17–24. </w:t>
      </w:r>
      <w:proofErr w:type="spellStart"/>
      <w:r w:rsidRPr="00561ACF">
        <w:t>doi</w:t>
      </w:r>
      <w:proofErr w:type="spellEnd"/>
      <w:r w:rsidRPr="00561ACF">
        <w:t>: 10.1177/105382590502800104.</w:t>
      </w:r>
    </w:p>
    <w:p w14:paraId="0C9C37DB" w14:textId="77777777" w:rsidR="004A4ADA" w:rsidRDefault="004A4ADA" w:rsidP="004A4ADA">
      <w:r w:rsidRPr="00D920DB">
        <w:t xml:space="preserve">Bratman, G.N. </w:t>
      </w:r>
      <w:r w:rsidRPr="00D920DB">
        <w:rPr>
          <w:i/>
          <w:iCs/>
        </w:rPr>
        <w:t>et al.</w:t>
      </w:r>
      <w:r w:rsidRPr="00D920DB">
        <w:t xml:space="preserve"> (2019) ‘Nature and mental health: An ecosystem service perspective’, </w:t>
      </w:r>
      <w:r w:rsidRPr="00D920DB">
        <w:rPr>
          <w:i/>
          <w:iCs/>
        </w:rPr>
        <w:t>Science Advances</w:t>
      </w:r>
      <w:r w:rsidRPr="00D920DB">
        <w:t xml:space="preserve">, 5(7), p. eaax0903. </w:t>
      </w:r>
      <w:proofErr w:type="spellStart"/>
      <w:r w:rsidRPr="00D920DB">
        <w:t>doi</w:t>
      </w:r>
      <w:proofErr w:type="spellEnd"/>
      <w:r w:rsidRPr="00D920DB">
        <w:t>: 10.1126/</w:t>
      </w:r>
      <w:proofErr w:type="gramStart"/>
      <w:r w:rsidRPr="00D920DB">
        <w:t>sciadv.aax</w:t>
      </w:r>
      <w:proofErr w:type="gramEnd"/>
      <w:r w:rsidRPr="00D920DB">
        <w:t>0903.</w:t>
      </w:r>
    </w:p>
    <w:p w14:paraId="60179024" w14:textId="77777777" w:rsidR="004A4ADA" w:rsidRDefault="004A4ADA" w:rsidP="004A4ADA">
      <w:r w:rsidRPr="00BB60BD">
        <w:t>MAUND, P.R., IRVINE, K.N., REEVES, J., STRONG, E., CROMIE, R., DALLIMER, M. and DAVIES, Z.G., 2019. Wetlands for Wellbeing: Piloting a Nature-Based Health Intervention for the Management of Anxiety and Depression. </w:t>
      </w:r>
      <w:r w:rsidRPr="00BB60BD">
        <w:rPr>
          <w:i/>
          <w:iCs/>
        </w:rPr>
        <w:t>International Journal of Environmental Research and Public Health, </w:t>
      </w:r>
      <w:r w:rsidRPr="00BB60BD">
        <w:rPr>
          <w:b/>
          <w:bCs/>
        </w:rPr>
        <w:t>16</w:t>
      </w:r>
      <w:r w:rsidRPr="00BB60BD">
        <w:t>(22).</w:t>
      </w:r>
    </w:p>
    <w:p w14:paraId="0301AF24" w14:textId="77777777" w:rsidR="004A4ADA" w:rsidRDefault="004A4ADA" w:rsidP="004A4ADA">
      <w:r w:rsidRPr="00B77B92">
        <w:t>Bettmann, J.E., Speelman, E., Blumenthal, E., Couch, S. and McArthur, T. (2024) ‘How does nature exposure affect adults with symptoms of mental illness? A meta</w:t>
      </w:r>
      <w:r w:rsidRPr="00B77B92">
        <w:noBreakHyphen/>
        <w:t xml:space="preserve">analysis’, </w:t>
      </w:r>
      <w:r w:rsidRPr="00B77B92">
        <w:rPr>
          <w:i/>
          <w:iCs/>
        </w:rPr>
        <w:t>International Journal of Mental Health Nursing</w:t>
      </w:r>
      <w:r w:rsidRPr="00B77B92">
        <w:t xml:space="preserve">, 33(6), pp. 1889–1907. </w:t>
      </w:r>
      <w:proofErr w:type="spellStart"/>
      <w:r w:rsidRPr="00B77B92">
        <w:t>doi</w:t>
      </w:r>
      <w:proofErr w:type="spellEnd"/>
      <w:r w:rsidRPr="00B77B92">
        <w:t>: 10.1111/inm.13400.</w:t>
      </w:r>
      <w:r>
        <w:t xml:space="preserve"> </w:t>
      </w:r>
    </w:p>
    <w:p w14:paraId="72A8A76E" w14:textId="77777777" w:rsidR="004A4ADA" w:rsidRDefault="004A4ADA" w:rsidP="004A4ADA">
      <w:r w:rsidRPr="0000228A">
        <w:t xml:space="preserve">Monroy, M. and Keltner, D. (2023) ‘Awe as a pathway to mental and physical health’, </w:t>
      </w:r>
      <w:r w:rsidRPr="0000228A">
        <w:rPr>
          <w:i/>
          <w:iCs/>
        </w:rPr>
        <w:t>Perspectives on Psychological Science</w:t>
      </w:r>
      <w:r w:rsidRPr="0000228A">
        <w:t xml:space="preserve">, 18(2). </w:t>
      </w:r>
      <w:proofErr w:type="spellStart"/>
      <w:r w:rsidRPr="0000228A">
        <w:t>doi</w:t>
      </w:r>
      <w:proofErr w:type="spellEnd"/>
      <w:r w:rsidRPr="0000228A">
        <w:t>: 10.1177/17456916221094856.</w:t>
      </w:r>
    </w:p>
    <w:p w14:paraId="4B2C1F5F" w14:textId="77777777" w:rsidR="004A4ADA" w:rsidRDefault="004A4ADA" w:rsidP="004A4ADA">
      <w:r w:rsidRPr="00BB05F7">
        <w:t>Boniface, M.R. (2000) 'Towards an understanding of flow and other positive experience phenomena within outdoor and adventurous activities', </w:t>
      </w:r>
      <w:r w:rsidRPr="00BB05F7">
        <w:rPr>
          <w:i/>
          <w:iCs/>
        </w:rPr>
        <w:t>Journal of adventure education and outdoor learning</w:t>
      </w:r>
      <w:r w:rsidRPr="00BB05F7">
        <w:t xml:space="preserve">, 1(1), pp. 55–68. Available at: </w:t>
      </w:r>
      <w:hyperlink r:id="rId6" w:history="1">
        <w:r w:rsidRPr="00732F79">
          <w:rPr>
            <w:rStyle w:val="Hyperlink"/>
          </w:rPr>
          <w:t>https://doi.org/10.1080/14729670085200071</w:t>
        </w:r>
      </w:hyperlink>
      <w:r w:rsidRPr="00BB05F7">
        <w:t>.</w:t>
      </w:r>
    </w:p>
    <w:p w14:paraId="76BC6C61" w14:textId="77777777" w:rsidR="004A4ADA" w:rsidRDefault="004A4ADA" w:rsidP="004A4ADA">
      <w:proofErr w:type="spellStart"/>
      <w:r w:rsidRPr="00A237ED">
        <w:t>Farkić</w:t>
      </w:r>
      <w:proofErr w:type="spellEnd"/>
      <w:r w:rsidRPr="00A237ED">
        <w:t>, J. </w:t>
      </w:r>
      <w:r w:rsidRPr="00A237ED">
        <w:rPr>
          <w:i/>
          <w:iCs/>
        </w:rPr>
        <w:t>et al.</w:t>
      </w:r>
      <w:r w:rsidRPr="00A237ED">
        <w:t> (2025) 'Restoring ‘Love of Life’ Through Outdoor Adventures: A Biophilic Approach', </w:t>
      </w:r>
      <w:r w:rsidRPr="00A237ED">
        <w:rPr>
          <w:i/>
          <w:iCs/>
        </w:rPr>
        <w:t>The international journal of tourism research</w:t>
      </w:r>
      <w:r w:rsidRPr="00A237ED">
        <w:t xml:space="preserve">, 27(2). Available at: </w:t>
      </w:r>
      <w:hyperlink r:id="rId7" w:history="1">
        <w:r w:rsidRPr="00732F79">
          <w:rPr>
            <w:rStyle w:val="Hyperlink"/>
          </w:rPr>
          <w:t>https://doi.org/10.1002/jtr.70023</w:t>
        </w:r>
      </w:hyperlink>
      <w:r w:rsidRPr="00A237ED">
        <w:t>.</w:t>
      </w:r>
    </w:p>
    <w:p w14:paraId="3596C285" w14:textId="77777777" w:rsidR="004A4ADA" w:rsidRDefault="004A4ADA" w:rsidP="004A4ADA">
      <w:r w:rsidRPr="00DC74C2">
        <w:t xml:space="preserve">Joseph, S., Murphy, D. and Holford, J. (2020) 'Positive education: A new look at Freedom to </w:t>
      </w:r>
      <w:proofErr w:type="gramStart"/>
      <w:r w:rsidRPr="00DC74C2">
        <w:t>Learn;,</w:t>
      </w:r>
      <w:proofErr w:type="gramEnd"/>
      <w:r w:rsidRPr="00DC74C2">
        <w:t xml:space="preserve"> Oxford review of education, 46(5), pp. 549–562. Available at: </w:t>
      </w:r>
      <w:hyperlink r:id="rId8" w:history="1">
        <w:r w:rsidRPr="00732F79">
          <w:rPr>
            <w:rStyle w:val="Hyperlink"/>
          </w:rPr>
          <w:t>https://doi.org/10.1080/03054985.2020.1726310</w:t>
        </w:r>
      </w:hyperlink>
      <w:r w:rsidRPr="00DC74C2">
        <w:t>.</w:t>
      </w:r>
      <w:r>
        <w:t xml:space="preserve"> </w:t>
      </w:r>
    </w:p>
    <w:p w14:paraId="73B136C3" w14:textId="77777777" w:rsidR="004A4ADA" w:rsidRPr="00B74B67" w:rsidRDefault="004A4ADA" w:rsidP="004A4ADA">
      <w:r w:rsidRPr="00B74B67">
        <w:t>Maslow, A. H. (1943) 'A theory of human motivation', </w:t>
      </w:r>
      <w:r w:rsidRPr="00B74B67">
        <w:rPr>
          <w:i/>
          <w:iCs/>
        </w:rPr>
        <w:t>Psychological Review</w:t>
      </w:r>
      <w:r w:rsidRPr="00B74B67">
        <w:t>, 50 (4), 370-96. Available at: </w:t>
      </w:r>
      <w:hyperlink r:id="rId9" w:tgtFrame="_blank" w:history="1">
        <w:r w:rsidRPr="00B74B67">
          <w:rPr>
            <w:rStyle w:val="Hyperlink"/>
          </w:rPr>
          <w:t>https://psychclassics.yorku.ca/Maslow/motivation.htm</w:t>
        </w:r>
      </w:hyperlink>
    </w:p>
    <w:p w14:paraId="708EDDDC" w14:textId="77777777" w:rsidR="004A4ADA" w:rsidRDefault="004A4ADA" w:rsidP="004A4ADA">
      <w:r w:rsidRPr="00B74B67">
        <w:t>Smith, T.E. and Knapp, C. (2011)</w:t>
      </w:r>
      <w:r w:rsidRPr="00B74B67">
        <w:rPr>
          <w:i/>
          <w:iCs/>
        </w:rPr>
        <w:t xml:space="preserve"> Sourcebook of experiential </w:t>
      </w:r>
      <w:proofErr w:type="gramStart"/>
      <w:r w:rsidRPr="00B74B67">
        <w:rPr>
          <w:i/>
          <w:iCs/>
        </w:rPr>
        <w:t>education</w:t>
      </w:r>
      <w:r w:rsidRPr="00B74B67">
        <w:rPr>
          <w:rFonts w:ascii="Arial" w:hAnsi="Arial" w:cs="Arial"/>
          <w:i/>
          <w:iCs/>
        </w:rPr>
        <w:t> </w:t>
      </w:r>
      <w:r w:rsidRPr="00B74B67">
        <w:rPr>
          <w:i/>
          <w:iCs/>
        </w:rPr>
        <w:t>:</w:t>
      </w:r>
      <w:proofErr w:type="gramEnd"/>
      <w:r w:rsidRPr="00B74B67">
        <w:rPr>
          <w:i/>
          <w:iCs/>
        </w:rPr>
        <w:t xml:space="preserve"> key thinkers and their contributions</w:t>
      </w:r>
      <w:r w:rsidRPr="00B74B67">
        <w:t xml:space="preserve">. New York: Routledge. Available at: </w:t>
      </w:r>
      <w:hyperlink r:id="rId10" w:history="1">
        <w:r w:rsidRPr="00732F79">
          <w:rPr>
            <w:rStyle w:val="Hyperlink"/>
          </w:rPr>
          <w:t>https://doi.org/10.4324/9780203838983</w:t>
        </w:r>
      </w:hyperlink>
      <w:r w:rsidRPr="00B74B67">
        <w:t>.</w:t>
      </w:r>
      <w:r>
        <w:t xml:space="preserve"> </w:t>
      </w:r>
    </w:p>
    <w:p w14:paraId="33E2270D" w14:textId="77777777" w:rsidR="004A4ADA" w:rsidRDefault="004A4ADA" w:rsidP="004A4ADA">
      <w:r w:rsidRPr="00D33971">
        <w:lastRenderedPageBreak/>
        <w:t>Thomas, G. (2008) 'Facilitate First Thyself: The Person-</w:t>
      </w:r>
      <w:proofErr w:type="spellStart"/>
      <w:r w:rsidRPr="00D33971">
        <w:t>Centered</w:t>
      </w:r>
      <w:proofErr w:type="spellEnd"/>
      <w:r w:rsidRPr="00D33971">
        <w:t xml:space="preserve"> Dimension of Facilitator Education', </w:t>
      </w:r>
      <w:r w:rsidRPr="00D33971">
        <w:rPr>
          <w:i/>
          <w:iCs/>
        </w:rPr>
        <w:t>The Journal of Experiential Education</w:t>
      </w:r>
      <w:r w:rsidRPr="00D33971">
        <w:t xml:space="preserve">, 31(2), pp. 168–188. Available at: </w:t>
      </w:r>
      <w:hyperlink r:id="rId11" w:history="1">
        <w:r w:rsidRPr="00732F79">
          <w:rPr>
            <w:rStyle w:val="Hyperlink"/>
          </w:rPr>
          <w:t>https://doi.org/10.1177/105382590803100205</w:t>
        </w:r>
      </w:hyperlink>
      <w:r w:rsidRPr="00D33971">
        <w:t>.</w:t>
      </w:r>
      <w:r>
        <w:t xml:space="preserve"> </w:t>
      </w:r>
    </w:p>
    <w:p w14:paraId="0600E762" w14:textId="77777777" w:rsidR="004A4ADA" w:rsidRPr="00B74B67" w:rsidRDefault="004A4ADA" w:rsidP="004A4ADA">
      <w:r w:rsidRPr="00D33971">
        <w:t>Thomas, G. J. (2019) ‘Learning to be a group facilitator in outdoor education: using self-awareness to overcome fears and be fully present’, </w:t>
      </w:r>
      <w:r w:rsidRPr="00D33971">
        <w:rPr>
          <w:i/>
          <w:iCs/>
        </w:rPr>
        <w:t>Journal of Adventure Education and Outdoor Learning</w:t>
      </w:r>
      <w:r w:rsidRPr="00D33971">
        <w:t xml:space="preserve">, 19(4), pp. 287–300. </w:t>
      </w:r>
      <w:proofErr w:type="spellStart"/>
      <w:r w:rsidRPr="00D33971">
        <w:t>doi</w:t>
      </w:r>
      <w:proofErr w:type="spellEnd"/>
      <w:r w:rsidRPr="00D33971">
        <w:t>: 10.1080/14729679.2018.1509720.</w:t>
      </w:r>
      <w:r>
        <w:t xml:space="preserve"> </w:t>
      </w:r>
    </w:p>
    <w:p w14:paraId="6BB93CEB" w14:textId="77777777" w:rsidR="004A4ADA" w:rsidRDefault="004A4ADA" w:rsidP="004A4ADA"/>
    <w:p w14:paraId="0FBD71D2" w14:textId="77777777" w:rsidR="00332A61" w:rsidRPr="00332A61" w:rsidRDefault="00332A61" w:rsidP="00332A61"/>
    <w:sectPr w:rsidR="00332A61" w:rsidRPr="00332A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046EFB"/>
    <w:multiLevelType w:val="hybridMultilevel"/>
    <w:tmpl w:val="7F52E7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176503382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9DC"/>
    <w:rsid w:val="00100899"/>
    <w:rsid w:val="0010283F"/>
    <w:rsid w:val="002128EF"/>
    <w:rsid w:val="002835C4"/>
    <w:rsid w:val="00332A61"/>
    <w:rsid w:val="004A4ADA"/>
    <w:rsid w:val="006B160F"/>
    <w:rsid w:val="007024C0"/>
    <w:rsid w:val="007049DC"/>
    <w:rsid w:val="00816FB4"/>
    <w:rsid w:val="00C3541A"/>
    <w:rsid w:val="00CE7F2C"/>
    <w:rsid w:val="00F368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C0226"/>
  <w15:chartTrackingRefBased/>
  <w15:docId w15:val="{E0036B06-EE83-429A-BD39-29BAA7DF52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49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49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49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49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49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49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49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49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49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49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49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49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49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49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49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49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49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49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49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49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49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49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49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49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49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49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49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49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49D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028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028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28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35C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3054985.2020.172631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002/jtr.70023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80/14729670085200071" TargetMode="External"/><Relationship Id="rId11" Type="http://schemas.openxmlformats.org/officeDocument/2006/relationships/hyperlink" Target="https://doi.org/10.1177/105382590803100205" TargetMode="External"/><Relationship Id="rId5" Type="http://schemas.openxmlformats.org/officeDocument/2006/relationships/hyperlink" Target="https://padlet.com/2500315_1/creative-reflexive-journal-lvfvgc3apne1986" TargetMode="External"/><Relationship Id="rId10" Type="http://schemas.openxmlformats.org/officeDocument/2006/relationships/hyperlink" Target="https://doi.org/10.4324/978020383898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sychclassics.yorku.ca/Maslow/motivation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623</Words>
  <Characters>3776</Characters>
  <Application>Microsoft Office Word</Application>
  <DocSecurity>0</DocSecurity>
  <Lines>59</Lines>
  <Paragraphs>12</Paragraphs>
  <ScaleCrop>false</ScaleCrop>
  <Company/>
  <LinksUpToDate>false</LinksUpToDate>
  <CharactersWithSpaces>4387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Jones</dc:creator>
  <cp:keywords/>
  <dc:description/>
  <cp:lastModifiedBy>William Jones</cp:lastModifiedBy>
  <cp:revision>10</cp:revision>
  <dcterms:created xsi:type="dcterms:W3CDTF">2026-05-06T16:10:00Z</dcterms:created>
  <dcterms:modified xsi:type="dcterms:W3CDTF">2026-05-06T16:18:00Z</dcterms:modified>
</cp:coreProperties>
</file>