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1DF589" w14:textId="77777777" w:rsidR="007C069C" w:rsidRDefault="007C069C" w:rsidP="000F1157">
      <w:pPr>
        <w:tabs>
          <w:tab w:val="left" w:pos="5502"/>
        </w:tabs>
        <w:rPr>
          <w:rFonts w:ascii="Arial" w:hAnsi="Arial" w:cs="Arial"/>
        </w:rPr>
      </w:pPr>
    </w:p>
    <w:p w14:paraId="5306864B" w14:textId="62DFC1E2" w:rsidR="00D35D50" w:rsidRDefault="00D35D50" w:rsidP="000F1157">
      <w:pPr>
        <w:tabs>
          <w:tab w:val="left" w:pos="5502"/>
        </w:tabs>
        <w:rPr>
          <w:rFonts w:ascii="Arial" w:hAnsi="Arial" w:cs="Arial"/>
          <w:b/>
          <w:bCs/>
        </w:rPr>
      </w:pPr>
      <w:r>
        <w:rPr>
          <w:noProof/>
        </w:rPr>
        <w:drawing>
          <wp:inline distT="0" distB="0" distL="0" distR="0" wp14:anchorId="160B5A3F" wp14:editId="6FE038D9">
            <wp:extent cx="3048000" cy="1385570"/>
            <wp:effectExtent l="0" t="0" r="0" b="5080"/>
            <wp:docPr id="2120597447"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93211" cy="1406122"/>
                    </a:xfrm>
                    <a:prstGeom prst="rect">
                      <a:avLst/>
                    </a:prstGeom>
                    <a:noFill/>
                  </pic:spPr>
                </pic:pic>
              </a:graphicData>
            </a:graphic>
          </wp:inline>
        </w:drawing>
      </w:r>
    </w:p>
    <w:p w14:paraId="02F11B87" w14:textId="77777777" w:rsidR="00D35D50" w:rsidRDefault="00D35D50" w:rsidP="000F1157">
      <w:pPr>
        <w:tabs>
          <w:tab w:val="left" w:pos="5502"/>
        </w:tabs>
        <w:rPr>
          <w:rFonts w:ascii="Arial" w:hAnsi="Arial" w:cs="Arial"/>
          <w:b/>
          <w:bCs/>
        </w:rPr>
      </w:pPr>
    </w:p>
    <w:p w14:paraId="4F2CA30A" w14:textId="77777777" w:rsidR="00D35D50" w:rsidRDefault="00D35D50" w:rsidP="000F1157">
      <w:pPr>
        <w:tabs>
          <w:tab w:val="left" w:pos="5502"/>
        </w:tabs>
        <w:rPr>
          <w:rFonts w:ascii="Arial" w:hAnsi="Arial" w:cs="Arial"/>
          <w:b/>
          <w:bCs/>
        </w:rPr>
      </w:pPr>
    </w:p>
    <w:p w14:paraId="4FA898B1" w14:textId="77777777" w:rsidR="00D35D50" w:rsidRDefault="00D35D50" w:rsidP="000F1157">
      <w:pPr>
        <w:tabs>
          <w:tab w:val="left" w:pos="5502"/>
        </w:tabs>
        <w:rPr>
          <w:rFonts w:ascii="Arial" w:hAnsi="Arial" w:cs="Arial"/>
          <w:b/>
          <w:bCs/>
        </w:rPr>
      </w:pPr>
    </w:p>
    <w:p w14:paraId="7558E471" w14:textId="7E77A958" w:rsidR="000F1157" w:rsidRPr="00D35D50" w:rsidRDefault="00D35D50" w:rsidP="000F1157">
      <w:pPr>
        <w:tabs>
          <w:tab w:val="left" w:pos="5502"/>
        </w:tabs>
        <w:rPr>
          <w:rFonts w:ascii="Arial" w:hAnsi="Arial" w:cs="Arial"/>
          <w:b/>
          <w:bCs/>
        </w:rPr>
      </w:pPr>
      <w:r w:rsidRPr="00D35D50">
        <w:rPr>
          <w:rFonts w:ascii="Arial" w:hAnsi="Arial" w:cs="Arial"/>
          <w:b/>
          <w:bCs/>
        </w:rPr>
        <w:t>Student Name: Martin Ogadimma</w:t>
      </w:r>
    </w:p>
    <w:p w14:paraId="741C1F80" w14:textId="4500D984" w:rsidR="00D35D50" w:rsidRPr="00D35D50" w:rsidRDefault="00D35D50" w:rsidP="000F1157">
      <w:pPr>
        <w:tabs>
          <w:tab w:val="left" w:pos="5502"/>
        </w:tabs>
        <w:rPr>
          <w:rFonts w:ascii="Arial" w:hAnsi="Arial" w:cs="Arial"/>
          <w:b/>
          <w:bCs/>
        </w:rPr>
      </w:pPr>
      <w:r w:rsidRPr="00D35D50">
        <w:rPr>
          <w:rFonts w:ascii="Arial" w:hAnsi="Arial" w:cs="Arial"/>
          <w:b/>
          <w:bCs/>
        </w:rPr>
        <w:t>Student Number: 2435763</w:t>
      </w:r>
    </w:p>
    <w:p w14:paraId="00753652" w14:textId="582476D9" w:rsidR="00D35D50" w:rsidRPr="00D35D50" w:rsidRDefault="00D35D50" w:rsidP="000F1157">
      <w:pPr>
        <w:tabs>
          <w:tab w:val="left" w:pos="5502"/>
        </w:tabs>
        <w:rPr>
          <w:rFonts w:ascii="Arial" w:hAnsi="Arial" w:cs="Arial"/>
          <w:b/>
          <w:bCs/>
        </w:rPr>
      </w:pPr>
      <w:r w:rsidRPr="00D35D50">
        <w:rPr>
          <w:rFonts w:ascii="Arial" w:hAnsi="Arial" w:cs="Arial"/>
          <w:b/>
          <w:bCs/>
        </w:rPr>
        <w:t>Module: Principles of Health and Social Care Practice</w:t>
      </w:r>
    </w:p>
    <w:p w14:paraId="63B59D3A" w14:textId="188CBF25" w:rsidR="00D35D50" w:rsidRPr="00D35D50" w:rsidRDefault="00D35D50" w:rsidP="000F1157">
      <w:pPr>
        <w:tabs>
          <w:tab w:val="left" w:pos="5502"/>
        </w:tabs>
        <w:rPr>
          <w:rFonts w:ascii="Arial" w:hAnsi="Arial" w:cs="Arial"/>
          <w:b/>
          <w:bCs/>
        </w:rPr>
      </w:pPr>
      <w:r w:rsidRPr="00D35D50">
        <w:rPr>
          <w:rFonts w:ascii="Arial" w:hAnsi="Arial" w:cs="Arial"/>
          <w:b/>
          <w:bCs/>
        </w:rPr>
        <w:t>Module Code: BMHP5016</w:t>
      </w:r>
    </w:p>
    <w:p w14:paraId="5A357BC1" w14:textId="68E3A670" w:rsidR="00D35D50" w:rsidRPr="00D35D50" w:rsidRDefault="00D35D50" w:rsidP="000F1157">
      <w:pPr>
        <w:tabs>
          <w:tab w:val="left" w:pos="5502"/>
        </w:tabs>
        <w:rPr>
          <w:rFonts w:ascii="Arial" w:hAnsi="Arial" w:cs="Arial"/>
          <w:b/>
          <w:bCs/>
        </w:rPr>
      </w:pPr>
      <w:r w:rsidRPr="00D35D50">
        <w:rPr>
          <w:rFonts w:ascii="Arial" w:hAnsi="Arial" w:cs="Arial"/>
          <w:b/>
          <w:bCs/>
        </w:rPr>
        <w:t>Assignment title: Written Report</w:t>
      </w:r>
    </w:p>
    <w:p w14:paraId="25D3F349" w14:textId="7DA3950B" w:rsidR="00D35D50" w:rsidRPr="00D35D50" w:rsidRDefault="00D35D50" w:rsidP="000F1157">
      <w:pPr>
        <w:tabs>
          <w:tab w:val="left" w:pos="5502"/>
        </w:tabs>
        <w:rPr>
          <w:rFonts w:ascii="Arial" w:hAnsi="Arial" w:cs="Arial"/>
          <w:b/>
          <w:bCs/>
        </w:rPr>
      </w:pPr>
      <w:r w:rsidRPr="00D35D50">
        <w:rPr>
          <w:rFonts w:ascii="Arial" w:hAnsi="Arial" w:cs="Arial"/>
          <w:b/>
          <w:bCs/>
        </w:rPr>
        <w:t>Lecturer: Azida Zainol</w:t>
      </w:r>
    </w:p>
    <w:p w14:paraId="2E471629" w14:textId="66FB8F99" w:rsidR="00D35D50" w:rsidRPr="00D35D50" w:rsidRDefault="00D35D50" w:rsidP="000F1157">
      <w:pPr>
        <w:tabs>
          <w:tab w:val="left" w:pos="5502"/>
        </w:tabs>
        <w:rPr>
          <w:rFonts w:ascii="Arial" w:hAnsi="Arial" w:cs="Arial"/>
          <w:b/>
          <w:bCs/>
        </w:rPr>
      </w:pPr>
      <w:r w:rsidRPr="00D35D50">
        <w:rPr>
          <w:rFonts w:ascii="Arial" w:hAnsi="Arial" w:cs="Arial"/>
          <w:b/>
          <w:bCs/>
        </w:rPr>
        <w:t>Submission Date: 26/07/2026</w:t>
      </w:r>
    </w:p>
    <w:p w14:paraId="6E40A8F3" w14:textId="77777777" w:rsidR="000F1157" w:rsidRPr="00265062" w:rsidRDefault="000F1157" w:rsidP="000F1157">
      <w:pPr>
        <w:tabs>
          <w:tab w:val="left" w:pos="5502"/>
        </w:tabs>
        <w:rPr>
          <w:rFonts w:ascii="Arial" w:hAnsi="Arial" w:cs="Arial"/>
        </w:rPr>
      </w:pPr>
    </w:p>
    <w:p w14:paraId="419E73AE" w14:textId="77777777" w:rsidR="000F1157" w:rsidRPr="00265062" w:rsidRDefault="000F1157" w:rsidP="000F1157">
      <w:pPr>
        <w:tabs>
          <w:tab w:val="left" w:pos="5502"/>
        </w:tabs>
        <w:rPr>
          <w:rFonts w:ascii="Arial" w:hAnsi="Arial" w:cs="Arial"/>
        </w:rPr>
      </w:pPr>
    </w:p>
    <w:p w14:paraId="76C8A85C" w14:textId="77777777" w:rsidR="000F1157" w:rsidRPr="00265062" w:rsidRDefault="000F1157" w:rsidP="000F1157">
      <w:pPr>
        <w:tabs>
          <w:tab w:val="left" w:pos="5502"/>
        </w:tabs>
        <w:rPr>
          <w:rFonts w:ascii="Arial" w:hAnsi="Arial" w:cs="Arial"/>
        </w:rPr>
      </w:pPr>
    </w:p>
    <w:p w14:paraId="472B2D66" w14:textId="77777777" w:rsidR="00334907" w:rsidRDefault="00334907" w:rsidP="00104B44">
      <w:pPr>
        <w:rPr>
          <w:rFonts w:ascii="Arial" w:hAnsi="Arial" w:cs="Arial"/>
          <w:b/>
          <w:bCs/>
        </w:rPr>
      </w:pPr>
    </w:p>
    <w:p w14:paraId="7692A65A" w14:textId="77777777" w:rsidR="00334907" w:rsidRDefault="00334907" w:rsidP="00104B44">
      <w:pPr>
        <w:rPr>
          <w:rFonts w:ascii="Arial" w:hAnsi="Arial" w:cs="Arial"/>
          <w:b/>
          <w:bCs/>
        </w:rPr>
      </w:pPr>
    </w:p>
    <w:p w14:paraId="169E7146" w14:textId="77777777" w:rsidR="00334907" w:rsidRDefault="00334907" w:rsidP="00104B44">
      <w:pPr>
        <w:rPr>
          <w:rFonts w:ascii="Arial" w:hAnsi="Arial" w:cs="Arial"/>
          <w:b/>
          <w:bCs/>
        </w:rPr>
      </w:pPr>
    </w:p>
    <w:p w14:paraId="6D92CA55" w14:textId="77777777" w:rsidR="00334907" w:rsidRDefault="00334907" w:rsidP="00104B44">
      <w:pPr>
        <w:rPr>
          <w:rFonts w:ascii="Arial" w:hAnsi="Arial" w:cs="Arial"/>
          <w:b/>
          <w:bCs/>
        </w:rPr>
      </w:pPr>
    </w:p>
    <w:p w14:paraId="5FA41F5C" w14:textId="77777777" w:rsidR="00334907" w:rsidRDefault="00334907" w:rsidP="00104B44">
      <w:pPr>
        <w:rPr>
          <w:rFonts w:ascii="Arial" w:hAnsi="Arial" w:cs="Arial"/>
          <w:b/>
          <w:bCs/>
        </w:rPr>
      </w:pPr>
    </w:p>
    <w:p w14:paraId="50D70EE9" w14:textId="77777777" w:rsidR="00334907" w:rsidRDefault="00334907" w:rsidP="00104B44">
      <w:pPr>
        <w:rPr>
          <w:rFonts w:ascii="Arial" w:hAnsi="Arial" w:cs="Arial"/>
          <w:b/>
          <w:bCs/>
        </w:rPr>
      </w:pPr>
    </w:p>
    <w:p w14:paraId="42293F93" w14:textId="77777777" w:rsidR="00334907" w:rsidRDefault="00334907" w:rsidP="00104B44">
      <w:pPr>
        <w:rPr>
          <w:rFonts w:ascii="Arial" w:hAnsi="Arial" w:cs="Arial"/>
          <w:b/>
          <w:bCs/>
        </w:rPr>
      </w:pPr>
    </w:p>
    <w:p w14:paraId="0938C547" w14:textId="77777777" w:rsidR="00334907" w:rsidRDefault="00334907" w:rsidP="00104B44">
      <w:pPr>
        <w:rPr>
          <w:rFonts w:ascii="Arial" w:hAnsi="Arial" w:cs="Arial"/>
          <w:b/>
          <w:bCs/>
        </w:rPr>
      </w:pPr>
    </w:p>
    <w:p w14:paraId="0E5C6FC3" w14:textId="77777777" w:rsidR="00334907" w:rsidRDefault="00334907" w:rsidP="00104B44">
      <w:pPr>
        <w:rPr>
          <w:rFonts w:ascii="Arial" w:hAnsi="Arial" w:cs="Arial"/>
          <w:b/>
          <w:bCs/>
        </w:rPr>
      </w:pPr>
    </w:p>
    <w:p w14:paraId="1B1A3314" w14:textId="77777777" w:rsidR="00664B87" w:rsidRDefault="00664B87" w:rsidP="00517F72">
      <w:pPr>
        <w:spacing w:line="360" w:lineRule="auto"/>
        <w:rPr>
          <w:rFonts w:ascii="Arial" w:hAnsi="Arial" w:cs="Arial"/>
          <w:b/>
          <w:bCs/>
        </w:rPr>
      </w:pPr>
    </w:p>
    <w:p w14:paraId="2BAC12A7" w14:textId="77777777" w:rsidR="00743474" w:rsidRDefault="00743474" w:rsidP="00515E6E">
      <w:pPr>
        <w:spacing w:line="360" w:lineRule="auto"/>
        <w:rPr>
          <w:rFonts w:ascii="Arial" w:hAnsi="Arial" w:cs="Arial"/>
          <w:b/>
          <w:bCs/>
        </w:rPr>
      </w:pPr>
    </w:p>
    <w:p w14:paraId="54A9FB63" w14:textId="77777777" w:rsidR="00743474" w:rsidRDefault="00743474" w:rsidP="00515E6E">
      <w:pPr>
        <w:spacing w:line="360" w:lineRule="auto"/>
        <w:rPr>
          <w:rFonts w:ascii="Arial" w:hAnsi="Arial" w:cs="Arial"/>
          <w:b/>
          <w:bCs/>
        </w:rPr>
      </w:pPr>
    </w:p>
    <w:p w14:paraId="2C19A887" w14:textId="035450BC" w:rsidR="00DA5D8B" w:rsidRPr="00D73ACE" w:rsidRDefault="00104B44" w:rsidP="00515E6E">
      <w:pPr>
        <w:spacing w:line="360" w:lineRule="auto"/>
        <w:rPr>
          <w:rFonts w:ascii="Arial" w:hAnsi="Arial" w:cs="Arial"/>
        </w:rPr>
      </w:pPr>
      <w:r w:rsidRPr="00501DD3">
        <w:rPr>
          <w:rFonts w:ascii="Arial" w:hAnsi="Arial" w:cs="Arial"/>
          <w:b/>
          <w:bCs/>
        </w:rPr>
        <w:lastRenderedPageBreak/>
        <w:t>Abstract</w:t>
      </w:r>
    </w:p>
    <w:p w14:paraId="2B86D7B5" w14:textId="0DF57EEE" w:rsidR="00C71E4E" w:rsidRPr="00D73ACE" w:rsidRDefault="00C71E4E" w:rsidP="00515E6E">
      <w:pPr>
        <w:spacing w:line="360" w:lineRule="auto"/>
        <w:jc w:val="both"/>
        <w:rPr>
          <w:rFonts w:ascii="Arial" w:hAnsi="Arial" w:cs="Arial"/>
          <w:color w:val="EE0000"/>
        </w:rPr>
      </w:pPr>
      <w:r w:rsidRPr="00D73ACE">
        <w:rPr>
          <w:rFonts w:ascii="Arial" w:hAnsi="Arial" w:cs="Arial"/>
        </w:rPr>
        <w:t xml:space="preserve">This report </w:t>
      </w:r>
      <w:r w:rsidR="003A672B" w:rsidRPr="00D73ACE">
        <w:rPr>
          <w:rFonts w:ascii="Arial" w:hAnsi="Arial" w:cs="Arial"/>
        </w:rPr>
        <w:t>will explore</w:t>
      </w:r>
      <w:r w:rsidRPr="00D73ACE">
        <w:rPr>
          <w:rFonts w:ascii="Arial" w:hAnsi="Arial" w:cs="Arial"/>
        </w:rPr>
        <w:t> the importance of person-centred care (PCC) and partnership working (PW) within Adult Community Nursing Services in the NHS.</w:t>
      </w:r>
      <w:r w:rsidRPr="00D73ACE">
        <w:rPr>
          <w:rFonts w:ascii="Arial" w:hAnsi="Arial" w:cs="Arial"/>
          <w:color w:val="EE0000"/>
        </w:rPr>
        <w:t xml:space="preserve"> </w:t>
      </w:r>
      <w:r w:rsidRPr="00D73ACE">
        <w:rPr>
          <w:rFonts w:ascii="Arial" w:hAnsi="Arial" w:cs="Arial"/>
          <w:color w:val="000000" w:themeColor="text1"/>
        </w:rPr>
        <w:t xml:space="preserve">With a </w:t>
      </w:r>
      <w:r w:rsidRPr="00D73ACE">
        <w:rPr>
          <w:rFonts w:ascii="Arial" w:hAnsi="Arial" w:cs="Arial"/>
        </w:rPr>
        <w:t>particular focus on residential care home settings.</w:t>
      </w:r>
      <w:r w:rsidR="00AC1182" w:rsidRPr="00D73ACE">
        <w:rPr>
          <w:rFonts w:ascii="Arial" w:hAnsi="Arial" w:cs="Arial"/>
        </w:rPr>
        <w:t xml:space="preserve"> This report </w:t>
      </w:r>
      <w:r w:rsidR="00401962" w:rsidRPr="00D73ACE">
        <w:rPr>
          <w:rFonts w:ascii="Arial" w:hAnsi="Arial" w:cs="Arial"/>
        </w:rPr>
        <w:t>examines</w:t>
      </w:r>
      <w:r w:rsidR="00AC1182" w:rsidRPr="00D73ACE">
        <w:rPr>
          <w:rFonts w:ascii="Arial" w:hAnsi="Arial" w:cs="Arial"/>
        </w:rPr>
        <w:t xml:space="preserve"> the benefits and limitations of PCC, critically examines relevant underpinning theories, and analyses the ethical foundations that shape care delivery. </w:t>
      </w:r>
      <w:r w:rsidRPr="00D73ACE">
        <w:rPr>
          <w:rFonts w:ascii="Arial" w:hAnsi="Arial" w:cs="Arial"/>
        </w:rPr>
        <w:t xml:space="preserve"> </w:t>
      </w:r>
      <w:r w:rsidR="00B24396" w:rsidRPr="00D73ACE">
        <w:rPr>
          <w:rFonts w:ascii="Arial" w:hAnsi="Arial" w:cs="Arial"/>
          <w:color w:val="000000" w:themeColor="text1"/>
        </w:rPr>
        <w:t>Also explore</w:t>
      </w:r>
      <w:r w:rsidRPr="00D73ACE">
        <w:rPr>
          <w:rFonts w:ascii="Arial" w:hAnsi="Arial" w:cs="Arial"/>
          <w:color w:val="000000" w:themeColor="text1"/>
        </w:rPr>
        <w:t> </w:t>
      </w:r>
      <w:r w:rsidRPr="00D73ACE">
        <w:rPr>
          <w:rFonts w:ascii="Arial" w:hAnsi="Arial" w:cs="Arial"/>
        </w:rPr>
        <w:t xml:space="preserve">how PCC promotes dignity, autonomy, independence and individualised care while recognising the importance of collaborative working between health and social care </w:t>
      </w:r>
      <w:r w:rsidR="00EA7867" w:rsidRPr="00D73ACE">
        <w:rPr>
          <w:rFonts w:ascii="Arial" w:hAnsi="Arial" w:cs="Arial"/>
        </w:rPr>
        <w:t>p</w:t>
      </w:r>
      <w:r w:rsidRPr="00D73ACE">
        <w:rPr>
          <w:rFonts w:ascii="Arial" w:hAnsi="Arial" w:cs="Arial"/>
        </w:rPr>
        <w:t xml:space="preserve">rofessionals to improve outcomes for residents. </w:t>
      </w:r>
    </w:p>
    <w:p w14:paraId="6F0E168A" w14:textId="5E081F3A" w:rsidR="00C71E4E" w:rsidRPr="00D73ACE" w:rsidRDefault="00C71E4E" w:rsidP="00515E6E">
      <w:pPr>
        <w:spacing w:line="360" w:lineRule="auto"/>
        <w:jc w:val="both"/>
        <w:rPr>
          <w:rFonts w:ascii="Arial" w:hAnsi="Arial" w:cs="Arial"/>
        </w:rPr>
      </w:pPr>
      <w:r w:rsidRPr="00D73ACE">
        <w:rPr>
          <w:rFonts w:ascii="Arial" w:hAnsi="Arial" w:cs="Arial"/>
        </w:rPr>
        <w:t>Maslow’s Hierarchy of needs is used as the theoretical foundation for examining how attending to residents’ physical, psychological and social needs contribute to holistic person-centred care. The Care Act 2014, Health and Care Act 2022, Human Rights Act 1998, Equality Act 2010, and Mental Capacity Act 2005 are among the pertinent UK laws and policies that are analysed to show how they affect care facility practices. According to the report's conclusion, excellent partnership working, strong laws, capable leadership, and a qualified workforce are all necessary for person-cantered care to be effective. To promote the ongoing growth of person-cantered and integrated care throughout the country, recommendations include bolstering staff training, developing interdisciplinary collaboration, boosting digital information exchange, and raising investment in the care home workforce.</w:t>
      </w:r>
    </w:p>
    <w:p w14:paraId="2CF6B958" w14:textId="77777777" w:rsidR="00C71E4E" w:rsidRPr="00501DD3" w:rsidRDefault="00C71E4E" w:rsidP="0058215E">
      <w:pPr>
        <w:spacing w:line="360" w:lineRule="auto"/>
        <w:rPr>
          <w:rFonts w:ascii="Arial" w:hAnsi="Arial" w:cs="Arial"/>
        </w:rPr>
      </w:pPr>
    </w:p>
    <w:p w14:paraId="5249C8A6" w14:textId="77777777" w:rsidR="001B1C37" w:rsidRPr="007C3DE5" w:rsidRDefault="001B1C37" w:rsidP="001B1C37">
      <w:pPr>
        <w:rPr>
          <w:rFonts w:ascii="Arial" w:hAnsi="Arial" w:cs="Arial"/>
          <w:b/>
          <w:bCs/>
        </w:rPr>
      </w:pPr>
      <w:r w:rsidRPr="007C3DE5">
        <w:rPr>
          <w:rFonts w:ascii="Arial" w:hAnsi="Arial" w:cs="Arial"/>
          <w:b/>
          <w:bCs/>
        </w:rPr>
        <w:t>Introduction</w:t>
      </w:r>
    </w:p>
    <w:p w14:paraId="73A376BF" w14:textId="653C92F9" w:rsidR="001B1C37" w:rsidRPr="007C3DE5" w:rsidRDefault="001B1C37" w:rsidP="00D73ACE">
      <w:pPr>
        <w:spacing w:line="360" w:lineRule="auto"/>
        <w:jc w:val="both"/>
        <w:rPr>
          <w:rFonts w:ascii="Arial" w:hAnsi="Arial" w:cs="Arial"/>
        </w:rPr>
      </w:pPr>
      <w:r w:rsidRPr="007C3DE5">
        <w:rPr>
          <w:rFonts w:ascii="Arial" w:hAnsi="Arial" w:cs="Arial"/>
        </w:rPr>
        <w:t xml:space="preserve">The purpose of this report is to </w:t>
      </w:r>
      <w:r w:rsidR="004C53DB">
        <w:rPr>
          <w:rFonts w:ascii="Arial" w:hAnsi="Arial" w:cs="Arial"/>
        </w:rPr>
        <w:t>discuss</w:t>
      </w:r>
      <w:r w:rsidRPr="007C3DE5">
        <w:rPr>
          <w:rFonts w:ascii="Arial" w:hAnsi="Arial" w:cs="Arial"/>
        </w:rPr>
        <w:t xml:space="preserve"> the principles of person-centred care (PCC) and partnership working (PW) within UK health and social care. It will define PCC, explore its benefits and limitations, and critically examine a relevant theory underpinning PCC. Ethical fundamentals will be analysed, followed by an evaluation of PW and its application within a chosen practice setting. The report will focus specifically on </w:t>
      </w:r>
      <w:r w:rsidR="00C20ECF" w:rsidRPr="007C3DE5">
        <w:rPr>
          <w:rFonts w:ascii="Arial" w:hAnsi="Arial" w:cs="Arial"/>
        </w:rPr>
        <w:t xml:space="preserve">Adult Community </w:t>
      </w:r>
      <w:r w:rsidRPr="007C3DE5">
        <w:rPr>
          <w:rFonts w:ascii="Arial" w:hAnsi="Arial" w:cs="Arial"/>
        </w:rPr>
        <w:t>services</w:t>
      </w:r>
      <w:r w:rsidR="00C20ECF" w:rsidRPr="007C3DE5">
        <w:rPr>
          <w:rFonts w:ascii="Arial" w:hAnsi="Arial" w:cs="Arial"/>
        </w:rPr>
        <w:t xml:space="preserve"> in the NHS</w:t>
      </w:r>
      <w:r w:rsidRPr="007C3DE5">
        <w:rPr>
          <w:rFonts w:ascii="Arial" w:hAnsi="Arial" w:cs="Arial"/>
        </w:rPr>
        <w:t>, wher</w:t>
      </w:r>
      <w:r w:rsidR="005D0353" w:rsidRPr="007C3DE5">
        <w:rPr>
          <w:rFonts w:ascii="Arial" w:hAnsi="Arial" w:cs="Arial"/>
        </w:rPr>
        <w:t>e</w:t>
      </w:r>
      <w:r w:rsidRPr="007C3DE5">
        <w:rPr>
          <w:rFonts w:ascii="Arial" w:hAnsi="Arial" w:cs="Arial"/>
        </w:rPr>
        <w:t xml:space="preserve"> PCC and PW are essential for supporting individuals with complex and fluctuating needs. Relevant policy and legislation will be discussed, and evidence-based recommendations will be provided to support future development of PCC and PW in the UK.</w:t>
      </w:r>
      <w:r w:rsidR="00C34DA7" w:rsidRPr="007C3DE5">
        <w:rPr>
          <w:rFonts w:ascii="Arial" w:hAnsi="Arial" w:cs="Arial"/>
        </w:rPr>
        <w:t xml:space="preserve"> Maslow’s Hierarchy of needs </w:t>
      </w:r>
      <w:r w:rsidR="00006BDC" w:rsidRPr="007C3DE5">
        <w:rPr>
          <w:rFonts w:ascii="Arial" w:hAnsi="Arial" w:cs="Arial"/>
        </w:rPr>
        <w:t>(</w:t>
      </w:r>
      <w:r w:rsidR="00E10FC8" w:rsidRPr="007C3DE5">
        <w:rPr>
          <w:rFonts w:ascii="Arial" w:hAnsi="Arial" w:cs="Arial"/>
        </w:rPr>
        <w:t>Maslow’s 1943)</w:t>
      </w:r>
      <w:r w:rsidR="00971554" w:rsidRPr="007C3DE5">
        <w:rPr>
          <w:rFonts w:ascii="Arial" w:hAnsi="Arial" w:cs="Arial"/>
        </w:rPr>
        <w:t>.</w:t>
      </w:r>
      <w:r w:rsidR="00E10FC8" w:rsidRPr="007C3DE5">
        <w:rPr>
          <w:rFonts w:ascii="Arial" w:hAnsi="Arial" w:cs="Arial"/>
        </w:rPr>
        <w:t xml:space="preserve"> </w:t>
      </w:r>
      <w:r w:rsidR="000A658D" w:rsidRPr="007C3DE5">
        <w:rPr>
          <w:rFonts w:ascii="Arial" w:hAnsi="Arial" w:cs="Arial"/>
        </w:rPr>
        <w:t>I</w:t>
      </w:r>
      <w:r w:rsidR="00C34DA7" w:rsidRPr="007C3DE5">
        <w:rPr>
          <w:rFonts w:ascii="Arial" w:hAnsi="Arial" w:cs="Arial"/>
        </w:rPr>
        <w:t>s used as the theoretical foundation for examining how attending to residents’ physical, psychological and social needs contribute to holistic person-centred care.</w:t>
      </w:r>
    </w:p>
    <w:p w14:paraId="610F738C" w14:textId="77777777" w:rsidR="001B1C37" w:rsidRDefault="001B1C37" w:rsidP="001B1C37"/>
    <w:p w14:paraId="713C4207" w14:textId="77777777" w:rsidR="00160155" w:rsidRDefault="00160155" w:rsidP="00614F04">
      <w:pPr>
        <w:spacing w:line="360" w:lineRule="auto"/>
        <w:rPr>
          <w:rFonts w:ascii="Arial" w:hAnsi="Arial" w:cs="Arial"/>
          <w:b/>
          <w:bCs/>
        </w:rPr>
      </w:pPr>
    </w:p>
    <w:p w14:paraId="27E1E177" w14:textId="77777777" w:rsidR="00160155" w:rsidRDefault="00160155" w:rsidP="00614F04">
      <w:pPr>
        <w:spacing w:line="360" w:lineRule="auto"/>
        <w:rPr>
          <w:rFonts w:ascii="Arial" w:hAnsi="Arial" w:cs="Arial"/>
          <w:b/>
          <w:bCs/>
        </w:rPr>
      </w:pPr>
    </w:p>
    <w:p w14:paraId="333ED18A" w14:textId="2FBE0566" w:rsidR="00796761" w:rsidRPr="00501DD3" w:rsidRDefault="00796761" w:rsidP="00614F04">
      <w:pPr>
        <w:spacing w:line="360" w:lineRule="auto"/>
        <w:rPr>
          <w:rFonts w:ascii="Arial" w:hAnsi="Arial" w:cs="Arial"/>
          <w:b/>
          <w:bCs/>
        </w:rPr>
      </w:pPr>
      <w:r w:rsidRPr="00501DD3">
        <w:rPr>
          <w:rFonts w:ascii="Arial" w:hAnsi="Arial" w:cs="Arial"/>
          <w:b/>
          <w:bCs/>
        </w:rPr>
        <w:lastRenderedPageBreak/>
        <w:t>Person-Centred Care: Definition, Benefits and Limitations</w:t>
      </w:r>
    </w:p>
    <w:p w14:paraId="1BEFCF34" w14:textId="77777777" w:rsidR="00FA24BB" w:rsidRPr="002E068A" w:rsidRDefault="00796761" w:rsidP="0039145A">
      <w:pPr>
        <w:spacing w:line="360" w:lineRule="auto"/>
        <w:jc w:val="both"/>
        <w:rPr>
          <w:rFonts w:ascii="Arial" w:hAnsi="Arial" w:cs="Arial"/>
          <w:color w:val="000000" w:themeColor="text1"/>
        </w:rPr>
      </w:pPr>
      <w:r w:rsidRPr="002E068A">
        <w:rPr>
          <w:rFonts w:ascii="Arial" w:hAnsi="Arial" w:cs="Arial"/>
        </w:rPr>
        <w:t xml:space="preserve">Person-centred care (PCC) is a fundamental approach within contemporary health and social care that places individuals at the centre of decisions regarding their health, treatment and wellbeing. PCC is defined by the Health Foundation (2016) as care that honours and considers a person's preferences, needs, and values, making sure that these elements inform service delivery and </w:t>
      </w:r>
      <w:r w:rsidRPr="002E068A">
        <w:rPr>
          <w:rFonts w:ascii="Arial" w:hAnsi="Arial" w:cs="Arial"/>
          <w:color w:val="000000" w:themeColor="text1"/>
        </w:rPr>
        <w:t>planning.</w:t>
      </w:r>
      <w:r w:rsidRPr="002E068A">
        <w:rPr>
          <w:rFonts w:ascii="Arial" w:hAnsi="Arial" w:cs="Arial"/>
        </w:rPr>
        <w:t xml:space="preserve"> In a similar vein, the World Health Organization (2016) emphasises that person-centred methods include organising health care around the needs of individuals, families, and communities rather than concentrating only on medical issues. </w:t>
      </w:r>
      <w:r w:rsidRPr="002E068A">
        <w:rPr>
          <w:rFonts w:ascii="Arial" w:hAnsi="Arial" w:cs="Arial"/>
          <w:color w:val="000000" w:themeColor="text1"/>
        </w:rPr>
        <w:t>McCormack and McCance (2017)</w:t>
      </w:r>
      <w:r w:rsidR="00A07577" w:rsidRPr="002E068A">
        <w:rPr>
          <w:rFonts w:ascii="Arial" w:hAnsi="Arial" w:cs="Arial"/>
          <w:color w:val="000000" w:themeColor="text1"/>
        </w:rPr>
        <w:t>.</w:t>
      </w:r>
      <w:r w:rsidR="003F6C4C" w:rsidRPr="002E068A">
        <w:rPr>
          <w:rFonts w:ascii="Arial" w:hAnsi="Arial" w:cs="Arial"/>
          <w:color w:val="000000" w:themeColor="text1"/>
        </w:rPr>
        <w:t xml:space="preserve"> </w:t>
      </w:r>
    </w:p>
    <w:p w14:paraId="00F216B7" w14:textId="7DE3CF43" w:rsidR="002C032C" w:rsidRPr="002E068A" w:rsidRDefault="002C032C" w:rsidP="0039145A">
      <w:pPr>
        <w:spacing w:line="360" w:lineRule="auto"/>
        <w:jc w:val="both"/>
        <w:rPr>
          <w:rFonts w:ascii="Arial" w:hAnsi="Arial" w:cs="Arial"/>
        </w:rPr>
      </w:pPr>
      <w:r w:rsidRPr="002E068A">
        <w:rPr>
          <w:rFonts w:ascii="Arial" w:hAnsi="Arial" w:cs="Arial"/>
        </w:rPr>
        <w:t>Benefits of PCC</w:t>
      </w:r>
      <w:r w:rsidR="00AF2941" w:rsidRPr="002E068A">
        <w:rPr>
          <w:rFonts w:ascii="Arial" w:hAnsi="Arial" w:cs="Arial"/>
        </w:rPr>
        <w:t xml:space="preserve"> is to </w:t>
      </w:r>
      <w:r w:rsidRPr="002E068A">
        <w:rPr>
          <w:rFonts w:ascii="Arial" w:hAnsi="Arial" w:cs="Arial"/>
        </w:rPr>
        <w:t>Improv patient satisfaction: Individuals feel heard, respected, and involved in their care.</w:t>
      </w:r>
    </w:p>
    <w:p w14:paraId="625E2333" w14:textId="77777777" w:rsidR="002C032C" w:rsidRPr="002E068A" w:rsidRDefault="002C032C" w:rsidP="0039145A">
      <w:pPr>
        <w:jc w:val="both"/>
        <w:rPr>
          <w:rFonts w:ascii="Arial" w:hAnsi="Arial" w:cs="Arial"/>
        </w:rPr>
      </w:pPr>
      <w:r w:rsidRPr="002E068A">
        <w:rPr>
          <w:rFonts w:ascii="Arial" w:hAnsi="Arial" w:cs="Arial"/>
        </w:rPr>
        <w:t>Better health outcomes: PCC is associated with increased adherence to treatment and improved wellbeing.</w:t>
      </w:r>
    </w:p>
    <w:p w14:paraId="507948A0" w14:textId="77777777" w:rsidR="002C032C" w:rsidRPr="002E068A" w:rsidRDefault="002C032C" w:rsidP="0039145A">
      <w:pPr>
        <w:jc w:val="both"/>
        <w:rPr>
          <w:rFonts w:ascii="Arial" w:hAnsi="Arial" w:cs="Arial"/>
        </w:rPr>
      </w:pPr>
      <w:r w:rsidRPr="002E068A">
        <w:rPr>
          <w:rFonts w:ascii="Arial" w:hAnsi="Arial" w:cs="Arial"/>
        </w:rPr>
        <w:t>Holistic care delivery: PCC considers emotional, social, and psychological needs, not just clinical symptoms.</w:t>
      </w:r>
    </w:p>
    <w:p w14:paraId="57E3F30C" w14:textId="77777777" w:rsidR="002C032C" w:rsidRPr="002E068A" w:rsidRDefault="002C032C" w:rsidP="0039145A">
      <w:pPr>
        <w:jc w:val="both"/>
        <w:rPr>
          <w:rFonts w:ascii="Arial" w:hAnsi="Arial" w:cs="Arial"/>
        </w:rPr>
      </w:pPr>
      <w:r w:rsidRPr="002E068A">
        <w:rPr>
          <w:rFonts w:ascii="Arial" w:hAnsi="Arial" w:cs="Arial"/>
        </w:rPr>
        <w:t>Enhanced trust and communication: Stronger therapeutic relationships improve engagement.</w:t>
      </w:r>
    </w:p>
    <w:p w14:paraId="3412E38B" w14:textId="00467445" w:rsidR="009D1B0F" w:rsidRPr="002E068A" w:rsidRDefault="009D1B0F" w:rsidP="0039145A">
      <w:pPr>
        <w:jc w:val="both"/>
        <w:rPr>
          <w:rFonts w:ascii="Arial" w:hAnsi="Arial" w:cs="Arial"/>
        </w:rPr>
      </w:pPr>
      <w:r w:rsidRPr="002E068A">
        <w:rPr>
          <w:rFonts w:ascii="Arial" w:hAnsi="Arial" w:cs="Arial"/>
        </w:rPr>
        <w:t>Limitations of PCC</w:t>
      </w:r>
      <w:r w:rsidR="0048000C" w:rsidRPr="002E068A">
        <w:rPr>
          <w:rFonts w:ascii="Arial" w:hAnsi="Arial" w:cs="Arial"/>
        </w:rPr>
        <w:t xml:space="preserve"> is to </w:t>
      </w:r>
      <w:r w:rsidRPr="002E068A">
        <w:rPr>
          <w:rFonts w:ascii="Arial" w:hAnsi="Arial" w:cs="Arial"/>
        </w:rPr>
        <w:t>Resource constraints: Time pressures, staff shortages, and high caseloads can limit personalised care.</w:t>
      </w:r>
    </w:p>
    <w:p w14:paraId="53B02BB4" w14:textId="77777777" w:rsidR="009D1B0F" w:rsidRPr="002E068A" w:rsidRDefault="009D1B0F" w:rsidP="0039145A">
      <w:pPr>
        <w:jc w:val="both"/>
        <w:rPr>
          <w:rFonts w:ascii="Arial" w:hAnsi="Arial" w:cs="Arial"/>
        </w:rPr>
      </w:pPr>
      <w:r w:rsidRPr="002E068A">
        <w:rPr>
          <w:rFonts w:ascii="Arial" w:hAnsi="Arial" w:cs="Arial"/>
        </w:rPr>
        <w:t>Variability in staff training: Not all practitioners have the skills or confidence to deliver PCC effectively.</w:t>
      </w:r>
    </w:p>
    <w:p w14:paraId="28897AEC" w14:textId="77777777" w:rsidR="009D1B0F" w:rsidRPr="002E068A" w:rsidRDefault="009D1B0F" w:rsidP="0039145A">
      <w:pPr>
        <w:jc w:val="both"/>
        <w:rPr>
          <w:rFonts w:ascii="Arial" w:hAnsi="Arial" w:cs="Arial"/>
        </w:rPr>
      </w:pPr>
      <w:r w:rsidRPr="002E068A">
        <w:rPr>
          <w:rFonts w:ascii="Arial" w:hAnsi="Arial" w:cs="Arial"/>
        </w:rPr>
        <w:t>Organisational barriers: Rigid systems, targets, and bureaucracy can hinder flexibility.</w:t>
      </w:r>
    </w:p>
    <w:p w14:paraId="3D3D841B" w14:textId="77777777" w:rsidR="009D1B0F" w:rsidRPr="002E068A" w:rsidRDefault="009D1B0F" w:rsidP="0039145A">
      <w:pPr>
        <w:jc w:val="both"/>
        <w:rPr>
          <w:rFonts w:ascii="Arial" w:hAnsi="Arial" w:cs="Arial"/>
        </w:rPr>
      </w:pPr>
      <w:r w:rsidRPr="002E068A">
        <w:rPr>
          <w:rFonts w:ascii="Arial" w:hAnsi="Arial" w:cs="Arial"/>
        </w:rPr>
        <w:t>Complex needs: In mental health settings, fluctuating capacity may complicate shared decision-making.</w:t>
      </w:r>
    </w:p>
    <w:p w14:paraId="03C1D315" w14:textId="70F35AE3" w:rsidR="00A72B41" w:rsidRPr="002E068A" w:rsidRDefault="00A72B41" w:rsidP="0039145A">
      <w:pPr>
        <w:spacing w:line="360" w:lineRule="auto"/>
        <w:jc w:val="both"/>
        <w:rPr>
          <w:rFonts w:ascii="Arial" w:hAnsi="Arial" w:cs="Arial"/>
        </w:rPr>
      </w:pPr>
      <w:r w:rsidRPr="002E068A">
        <w:rPr>
          <w:rFonts w:ascii="Arial" w:hAnsi="Arial" w:cs="Arial"/>
        </w:rPr>
        <w:t xml:space="preserve">Additionally, PCC encourages efficient communication between patients, carers, and professionals, enhancing continuity of care and guarantee that interventions consider each patient's priorities and aspirations. Even with these advantages, PCC implementation is still difficult. The amount of time available to establish deep therapeutic relationships may be restricted by staff shortages, growing caseloads, and budgetary constraints in community programs. Individuals' ability to actively participate in decision-making may be impacted by differences in health literacy, cognitive ability, and internet access, and limited appointment times may lead to task-focused rather than holistic care. Effective implementation may be further hampered by organisational cultures that place a higher priority on efficiency goals than on relationship-based practice. As a result, even though PCC is a crucial benchmark for effective and compassionate care, it is still an aspirational strategy that needs sufficient funding, encouraging leadership, and ongoing commitment to be regularly integrated into Adult Community Nursing practice. </w:t>
      </w:r>
    </w:p>
    <w:p w14:paraId="1A2DF8F6" w14:textId="77777777" w:rsidR="00363731" w:rsidRPr="002E068A" w:rsidRDefault="00363731" w:rsidP="0039145A">
      <w:pPr>
        <w:spacing w:line="360" w:lineRule="auto"/>
        <w:jc w:val="both"/>
        <w:rPr>
          <w:rFonts w:ascii="Arial" w:hAnsi="Arial" w:cs="Arial"/>
          <w:b/>
          <w:bCs/>
        </w:rPr>
      </w:pPr>
    </w:p>
    <w:p w14:paraId="59EFE93E" w14:textId="77777777" w:rsidR="00EA52BB" w:rsidRDefault="00EA52BB" w:rsidP="00875A92">
      <w:pPr>
        <w:spacing w:line="360" w:lineRule="auto"/>
        <w:rPr>
          <w:rFonts w:ascii="Arial" w:hAnsi="Arial" w:cs="Arial"/>
          <w:b/>
          <w:bCs/>
        </w:rPr>
      </w:pPr>
    </w:p>
    <w:p w14:paraId="074FAB06" w14:textId="165F1D33" w:rsidR="00363731" w:rsidRPr="00501DD3" w:rsidRDefault="00875A92" w:rsidP="00D73ACE">
      <w:pPr>
        <w:spacing w:line="360" w:lineRule="auto"/>
        <w:rPr>
          <w:rFonts w:ascii="Arial" w:hAnsi="Arial" w:cs="Arial"/>
          <w:b/>
          <w:bCs/>
        </w:rPr>
      </w:pPr>
      <w:r w:rsidRPr="00501DD3">
        <w:rPr>
          <w:rFonts w:ascii="Arial" w:hAnsi="Arial" w:cs="Arial"/>
          <w:b/>
          <w:bCs/>
        </w:rPr>
        <w:t xml:space="preserve">Relevant Theories Underpinning Person-Centred Care </w:t>
      </w:r>
    </w:p>
    <w:p w14:paraId="68ABF778" w14:textId="7B55028C" w:rsidR="00875A92" w:rsidRPr="00501DD3" w:rsidRDefault="00875A92" w:rsidP="00D73ACE">
      <w:pPr>
        <w:spacing w:line="360" w:lineRule="auto"/>
        <w:jc w:val="both"/>
        <w:rPr>
          <w:rFonts w:ascii="Arial" w:hAnsi="Arial" w:cs="Arial"/>
          <w:b/>
          <w:bCs/>
        </w:rPr>
      </w:pPr>
      <w:r w:rsidRPr="00501DD3">
        <w:rPr>
          <w:rFonts w:ascii="Arial" w:hAnsi="Arial" w:cs="Arial"/>
        </w:rPr>
        <w:t xml:space="preserve">Another significant theory that supports the principles of Person-Centred Care is Maslow’s Hierarchy of </w:t>
      </w:r>
      <w:r w:rsidR="007354DE" w:rsidRPr="00501DD3">
        <w:rPr>
          <w:rFonts w:ascii="Arial" w:hAnsi="Arial" w:cs="Arial"/>
        </w:rPr>
        <w:t>Needs (</w:t>
      </w:r>
      <w:r w:rsidR="00BC7163" w:rsidRPr="00501DD3">
        <w:rPr>
          <w:rFonts w:ascii="Arial" w:hAnsi="Arial" w:cs="Arial"/>
        </w:rPr>
        <w:t>Maslow, 1943)</w:t>
      </w:r>
      <w:r w:rsidRPr="00501DD3">
        <w:rPr>
          <w:rFonts w:ascii="Arial" w:hAnsi="Arial" w:cs="Arial"/>
        </w:rPr>
        <w:t>. Maslow’s motivational theory proposes that human needs are organised into a hierarchy, often represented as a pyramid, where individuals must have their fundamental needs addressed before they can achieve higher levels of personal development. The hierarchy begins with physiological needs, including food, water, warmth, and rest, followed by safety needs, such as security, stability, and protection. Higher-level needs include love and belonging, esteem, and self-actualisation, which refers to achieving personal potential and fulfilment.</w:t>
      </w:r>
    </w:p>
    <w:p w14:paraId="2841972E" w14:textId="636ABB7F" w:rsidR="00875A92" w:rsidRDefault="00875A92" w:rsidP="00D73ACE">
      <w:pPr>
        <w:spacing w:line="360" w:lineRule="auto"/>
        <w:jc w:val="both"/>
        <w:rPr>
          <w:rFonts w:ascii="Arial" w:hAnsi="Arial" w:cs="Arial"/>
        </w:rPr>
      </w:pPr>
      <w:r w:rsidRPr="00501DD3">
        <w:rPr>
          <w:rFonts w:ascii="Arial" w:hAnsi="Arial" w:cs="Arial"/>
        </w:rPr>
        <w:t>Maslow’s theory supports PCC because it highlights that effective care must consider the whole person rather than focusing only on medical conditions. A person-centred approach requires healthcare professionals to identify these underlying needs and work collaboratively with individuals and partner organisations to address them.</w:t>
      </w:r>
    </w:p>
    <w:p w14:paraId="41AA926B" w14:textId="5532FB54" w:rsidR="000B43A4" w:rsidRPr="004B70D1" w:rsidRDefault="00B86288" w:rsidP="00D73ACE">
      <w:pPr>
        <w:spacing w:line="360" w:lineRule="auto"/>
        <w:jc w:val="both"/>
        <w:rPr>
          <w:rFonts w:ascii="Arial" w:hAnsi="Arial" w:cs="Arial"/>
        </w:rPr>
      </w:pPr>
      <w:r>
        <w:rPr>
          <w:rFonts w:ascii="Arial" w:hAnsi="Arial" w:cs="Arial"/>
        </w:rPr>
        <w:t xml:space="preserve">The </w:t>
      </w:r>
      <w:r w:rsidR="000B43A4" w:rsidRPr="004B70D1">
        <w:rPr>
          <w:rFonts w:ascii="Arial" w:hAnsi="Arial" w:cs="Arial"/>
        </w:rPr>
        <w:t>Critical Analysis</w:t>
      </w:r>
      <w:r w:rsidR="004D2605" w:rsidRPr="004B70D1">
        <w:rPr>
          <w:rFonts w:ascii="Arial" w:hAnsi="Arial" w:cs="Arial"/>
        </w:rPr>
        <w:t xml:space="preserve"> is the</w:t>
      </w:r>
      <w:r w:rsidR="000B43A4" w:rsidRPr="004B70D1">
        <w:rPr>
          <w:rFonts w:ascii="Arial" w:hAnsi="Arial" w:cs="Arial"/>
        </w:rPr>
        <w:t xml:space="preserve"> PCNF provides a structured, evidence-based approach to PCC, highlighting the importance of both individual practitioner skills and organisational support. However, critics argue that the model is idealistic and difficult to implement in overstretched services. In community mental health settings, the model’s emphasis on therapeutic relationships aligns well with recovery-oriented practice, but environmental constraints (e.g., staff shortages) often limit its full application.</w:t>
      </w:r>
    </w:p>
    <w:p w14:paraId="54FAABCA" w14:textId="36FCFBC9" w:rsidR="00613EA7" w:rsidRPr="004B70D1" w:rsidRDefault="00875A92" w:rsidP="00D73ACE">
      <w:pPr>
        <w:spacing w:line="360" w:lineRule="auto"/>
        <w:jc w:val="both"/>
        <w:rPr>
          <w:rFonts w:ascii="Arial" w:eastAsia="Times New Roman" w:hAnsi="Arial" w:cs="Arial"/>
          <w:kern w:val="0"/>
          <w:lang w:eastAsia="en-GB"/>
          <w14:ligatures w14:val="none"/>
        </w:rPr>
      </w:pPr>
      <w:r w:rsidRPr="004B70D1">
        <w:rPr>
          <w:rFonts w:ascii="Arial" w:hAnsi="Arial" w:cs="Arial"/>
        </w:rPr>
        <w:t>The theory also supports the importance of dignity and independence within PCC. Once basic needs are supported, individuals may be better able to participate in decision-making, develop confidence, and work towards personal goals. For example, supporting an older adult to remain independent within their own home may involve addressing safety concerns, promoting social connections, and enabling meaningful activities that improve quality of life.</w:t>
      </w:r>
      <w:r w:rsidR="00613EA7" w:rsidRPr="004B70D1">
        <w:rPr>
          <w:rFonts w:ascii="Arial" w:hAnsi="Arial" w:cs="Arial"/>
        </w:rPr>
        <w:t xml:space="preserve"> </w:t>
      </w:r>
      <w:r w:rsidR="00613EA7" w:rsidRPr="004B70D1">
        <w:rPr>
          <w:rFonts w:ascii="Arial" w:eastAsia="Times New Roman" w:hAnsi="Arial" w:cs="Arial"/>
          <w:kern w:val="0"/>
          <w:lang w:eastAsia="en-GB"/>
          <w14:ligatures w14:val="none"/>
        </w:rPr>
        <w:t>(Cherry, 2024).</w:t>
      </w:r>
    </w:p>
    <w:p w14:paraId="755D1D67" w14:textId="77777777" w:rsidR="00F523EB" w:rsidRDefault="00F523EB" w:rsidP="002416DE">
      <w:pPr>
        <w:spacing w:line="360" w:lineRule="auto"/>
        <w:jc w:val="both"/>
        <w:rPr>
          <w:rFonts w:ascii="Arial" w:hAnsi="Arial" w:cs="Arial"/>
        </w:rPr>
      </w:pPr>
    </w:p>
    <w:p w14:paraId="6AFB0B03" w14:textId="77777777" w:rsidR="00CD33F8" w:rsidRDefault="00CD33F8" w:rsidP="00614F04">
      <w:pPr>
        <w:spacing w:line="360" w:lineRule="auto"/>
        <w:rPr>
          <w:rFonts w:ascii="Arial" w:hAnsi="Arial" w:cs="Arial"/>
          <w:b/>
          <w:bCs/>
        </w:rPr>
      </w:pPr>
    </w:p>
    <w:p w14:paraId="764ADB64" w14:textId="77777777" w:rsidR="00CD33F8" w:rsidRDefault="00CD33F8" w:rsidP="00614F04">
      <w:pPr>
        <w:spacing w:line="360" w:lineRule="auto"/>
        <w:rPr>
          <w:rFonts w:ascii="Arial" w:hAnsi="Arial" w:cs="Arial"/>
          <w:b/>
          <w:bCs/>
        </w:rPr>
      </w:pPr>
    </w:p>
    <w:p w14:paraId="0B012371" w14:textId="77777777" w:rsidR="002416DE" w:rsidRDefault="002416DE" w:rsidP="00614F04">
      <w:pPr>
        <w:spacing w:line="360" w:lineRule="auto"/>
        <w:rPr>
          <w:rFonts w:ascii="Arial" w:hAnsi="Arial" w:cs="Arial"/>
          <w:b/>
          <w:bCs/>
        </w:rPr>
      </w:pPr>
    </w:p>
    <w:p w14:paraId="7564026A" w14:textId="77777777" w:rsidR="002416DE" w:rsidRDefault="002416DE" w:rsidP="00614F04">
      <w:pPr>
        <w:spacing w:line="360" w:lineRule="auto"/>
        <w:rPr>
          <w:rFonts w:ascii="Arial" w:hAnsi="Arial" w:cs="Arial"/>
          <w:b/>
          <w:bCs/>
        </w:rPr>
      </w:pPr>
    </w:p>
    <w:p w14:paraId="30DE093C" w14:textId="45B96BA9" w:rsidR="00D738B2" w:rsidRPr="00501DD3" w:rsidRDefault="00D738B2" w:rsidP="00614F04">
      <w:pPr>
        <w:spacing w:line="360" w:lineRule="auto"/>
        <w:rPr>
          <w:rFonts w:ascii="Arial" w:hAnsi="Arial" w:cs="Arial"/>
        </w:rPr>
      </w:pPr>
      <w:r w:rsidRPr="00501DD3">
        <w:rPr>
          <w:rFonts w:ascii="Arial" w:hAnsi="Arial" w:cs="Arial"/>
          <w:b/>
          <w:bCs/>
        </w:rPr>
        <w:lastRenderedPageBreak/>
        <w:t>Ethical Fundamentals in Health and Social Care</w:t>
      </w:r>
    </w:p>
    <w:p w14:paraId="68419F6A" w14:textId="77777777" w:rsidR="00D738B2" w:rsidRPr="00501DD3" w:rsidRDefault="00D738B2" w:rsidP="00D73ACE">
      <w:pPr>
        <w:spacing w:line="360" w:lineRule="auto"/>
        <w:jc w:val="both"/>
        <w:rPr>
          <w:rFonts w:ascii="Arial" w:hAnsi="Arial" w:cs="Arial"/>
        </w:rPr>
      </w:pPr>
      <w:r w:rsidRPr="00501DD3">
        <w:rPr>
          <w:rFonts w:ascii="Arial" w:hAnsi="Arial" w:cs="Arial"/>
        </w:rPr>
        <w:t>Person-centred care (PCC) and collaborative work in Adult Community Nursing Services are fundamentally based on ethical values. According to Beauchamp and Childress (2019), autonomy, beneficence, non-maleficence, and justice are the four fundamental tenets of biological ethics. These guidelines assist medical practitioners in making choices that uphold patients' rights and advance safe and efficient treatment.</w:t>
      </w:r>
    </w:p>
    <w:p w14:paraId="1342FBBA" w14:textId="12B4016E" w:rsidR="00E63299" w:rsidRPr="00501DD3" w:rsidRDefault="00295201" w:rsidP="00D73ACE">
      <w:pPr>
        <w:spacing w:line="360" w:lineRule="auto"/>
        <w:jc w:val="both"/>
        <w:rPr>
          <w:rFonts w:ascii="Arial" w:hAnsi="Arial" w:cs="Arial"/>
        </w:rPr>
      </w:pPr>
      <w:r w:rsidRPr="00501DD3">
        <w:rPr>
          <w:rFonts w:ascii="Arial" w:hAnsi="Arial" w:cs="Arial"/>
        </w:rPr>
        <w:t>Autonomy is t</w:t>
      </w:r>
      <w:r w:rsidR="00D738B2" w:rsidRPr="00501DD3">
        <w:rPr>
          <w:rFonts w:ascii="Arial" w:hAnsi="Arial" w:cs="Arial"/>
        </w:rPr>
        <w:t>he right of an individual to make knowledgeable choices regarding their own medical care is referred to as autonomy. This calls on community nurses to give patients clear information and assist them in making decisions that align with their preferences and values. For instance, even if they are aware of the possible health hazards, a person with diabetes may refuse insulin treatment.</w:t>
      </w:r>
      <w:r w:rsidR="00E63299" w:rsidRPr="00501DD3">
        <w:rPr>
          <w:rFonts w:ascii="Arial" w:hAnsi="Arial" w:cs="Arial"/>
        </w:rPr>
        <w:t xml:space="preserve"> Respecting autonomy necessitates acknowledging the person's right to make educated decisions when they have capacity, even though the nurse may think this choice is detrimental.</w:t>
      </w:r>
    </w:p>
    <w:p w14:paraId="51A82943" w14:textId="0BBFDA07" w:rsidR="00D738B2" w:rsidRPr="00501DD3" w:rsidRDefault="00E63299" w:rsidP="00D73ACE">
      <w:pPr>
        <w:spacing w:line="360" w:lineRule="auto"/>
        <w:jc w:val="both"/>
        <w:rPr>
          <w:rFonts w:ascii="Arial" w:hAnsi="Arial" w:cs="Arial"/>
        </w:rPr>
      </w:pPr>
      <w:r w:rsidRPr="00501DD3">
        <w:rPr>
          <w:rFonts w:ascii="Arial" w:hAnsi="Arial" w:cs="Arial"/>
        </w:rPr>
        <w:t>While non-maleficence concentrates on preventing avoidable harm, beneficence compels healthcare providers to work in patients' best interests. By promoting health, keeping an eye on chronic illnesses, and guaranteeing safe drug administration, community nurses exemplify these values. For instance, precise drug reviews and discussion with general practitioners can lower the risks of improper prescriptions or side effects. However, when patients refuse suggested interventions, these ideals may clash with autonomy.</w:t>
      </w:r>
    </w:p>
    <w:p w14:paraId="57911495" w14:textId="28F78132" w:rsidR="00E63299" w:rsidRPr="00501DD3" w:rsidRDefault="00E63299" w:rsidP="00D73ACE">
      <w:pPr>
        <w:spacing w:line="360" w:lineRule="auto"/>
        <w:jc w:val="both"/>
        <w:rPr>
          <w:rFonts w:ascii="Arial" w:hAnsi="Arial" w:cs="Arial"/>
        </w:rPr>
      </w:pPr>
      <w:r w:rsidRPr="00501DD3">
        <w:rPr>
          <w:rFonts w:ascii="Arial" w:hAnsi="Arial" w:cs="Arial"/>
        </w:rPr>
        <w:t>Fairness and equal access to healthcare are related to justice. Community nurses must consider health disparities that affect people, such as those who live in rural locations and may have less access to community resources, transportation challenges, or specialised treatments. To guarantee that PCC is provided equitably, these disparities must be addressed.</w:t>
      </w:r>
    </w:p>
    <w:p w14:paraId="005F0C41" w14:textId="207F9DD4" w:rsidR="00E63299" w:rsidRPr="00501DD3" w:rsidRDefault="00E63299" w:rsidP="00D73ACE">
      <w:pPr>
        <w:spacing w:line="360" w:lineRule="auto"/>
        <w:jc w:val="both"/>
        <w:rPr>
          <w:rFonts w:ascii="Arial" w:hAnsi="Arial" w:cs="Arial"/>
        </w:rPr>
      </w:pPr>
      <w:r w:rsidRPr="00501DD3">
        <w:rPr>
          <w:rFonts w:ascii="Arial" w:hAnsi="Arial" w:cs="Arial"/>
        </w:rPr>
        <w:t>In community practice, ethical conundrums are frequent. When an elderly person wants to stay at home despite the danger of falls or self-neglect, nurses may need to strike a balance between fostering independence and their safeguarding duties. Therefore, making ethical decisions calls for professional judgement, teamwork, and regard for patient safety as well as individual rights.</w:t>
      </w:r>
    </w:p>
    <w:p w14:paraId="3EDFF59B" w14:textId="77777777" w:rsidR="00D738B2" w:rsidRPr="00501DD3" w:rsidRDefault="00D738B2" w:rsidP="00876966">
      <w:pPr>
        <w:spacing w:line="360" w:lineRule="auto"/>
        <w:jc w:val="both"/>
        <w:rPr>
          <w:rFonts w:ascii="Arial" w:hAnsi="Arial" w:cs="Arial"/>
        </w:rPr>
      </w:pPr>
    </w:p>
    <w:p w14:paraId="326B8C1C" w14:textId="77777777" w:rsidR="00E63299" w:rsidRPr="00501DD3" w:rsidRDefault="00E63299" w:rsidP="00614F04">
      <w:pPr>
        <w:spacing w:line="360" w:lineRule="auto"/>
        <w:rPr>
          <w:rFonts w:ascii="Arial" w:hAnsi="Arial" w:cs="Arial"/>
          <w:b/>
          <w:bCs/>
        </w:rPr>
      </w:pPr>
      <w:r w:rsidRPr="00501DD3">
        <w:rPr>
          <w:rFonts w:ascii="Arial" w:hAnsi="Arial" w:cs="Arial"/>
          <w:b/>
          <w:bCs/>
        </w:rPr>
        <w:t>Partnership Working in Adult Community Nursing Services</w:t>
      </w:r>
    </w:p>
    <w:p w14:paraId="50B96602" w14:textId="538EA2E6" w:rsidR="00501DD3" w:rsidRPr="00501DD3" w:rsidRDefault="00501DD3" w:rsidP="00876966">
      <w:pPr>
        <w:spacing w:line="360" w:lineRule="auto"/>
        <w:jc w:val="both"/>
        <w:rPr>
          <w:rFonts w:ascii="Arial" w:hAnsi="Arial" w:cs="Arial"/>
        </w:rPr>
      </w:pPr>
      <w:r w:rsidRPr="00501DD3">
        <w:rPr>
          <w:rFonts w:ascii="Arial" w:hAnsi="Arial" w:cs="Arial"/>
        </w:rPr>
        <w:t>Partnership working (PW) is the collaborative process through which health and social care professionals, organisations, individuals and families work together to plan, deliver and evaluate care. Its purpose is to provide coordinated, person</w:t>
      </w:r>
      <w:r w:rsidRPr="00501DD3">
        <w:rPr>
          <w:rFonts w:ascii="Arial" w:hAnsi="Arial" w:cs="Arial"/>
        </w:rPr>
        <w:noBreakHyphen/>
        <w:t xml:space="preserve">centred support that meets </w:t>
      </w:r>
      <w:r w:rsidRPr="00501DD3">
        <w:rPr>
          <w:rFonts w:ascii="Arial" w:hAnsi="Arial" w:cs="Arial"/>
        </w:rPr>
        <w:lastRenderedPageBreak/>
        <w:t>physical, psychological and social needs (Glasby &amp; Dickinson, 2021). PW is particularly important in care homes, where residents often have complex, multiple conditions requiring input from nurses, GPs, therapists, social workers and family carers.</w:t>
      </w:r>
    </w:p>
    <w:p w14:paraId="738B2DD2" w14:textId="77777777" w:rsidR="00501DD3" w:rsidRPr="00501DD3" w:rsidRDefault="00501DD3" w:rsidP="00876966">
      <w:pPr>
        <w:spacing w:line="360" w:lineRule="auto"/>
        <w:jc w:val="both"/>
        <w:rPr>
          <w:rFonts w:ascii="Arial" w:hAnsi="Arial" w:cs="Arial"/>
        </w:rPr>
      </w:pPr>
      <w:r w:rsidRPr="00501DD3">
        <w:rPr>
          <w:rFonts w:ascii="Arial" w:hAnsi="Arial" w:cs="Arial"/>
        </w:rPr>
        <w:t>The introduction of Integrated Care Systems (ICSs) under the Health and Care Act 2022 has strengthened collaboration by encouraging shared responsibility for service planning and delivery. This integrated model reduces fragmentation and supports more consistent, equitable care—crucial in care homes where residents frequently require multidisciplinary input.</w:t>
      </w:r>
    </w:p>
    <w:p w14:paraId="3D69BBFD" w14:textId="77777777" w:rsidR="00501DD3" w:rsidRPr="00501DD3" w:rsidRDefault="00501DD3" w:rsidP="00876966">
      <w:pPr>
        <w:spacing w:line="360" w:lineRule="auto"/>
        <w:jc w:val="both"/>
        <w:rPr>
          <w:rFonts w:ascii="Arial" w:hAnsi="Arial" w:cs="Arial"/>
        </w:rPr>
      </w:pPr>
      <w:r w:rsidRPr="00501DD3">
        <w:rPr>
          <w:rFonts w:ascii="Arial" w:hAnsi="Arial" w:cs="Arial"/>
        </w:rPr>
        <w:t>PW offers significant benefits. Shared expertise enables comprehensive care planning, reduces duplication and improves continuity. Regular communication supports early identification of deterioration, safer medication management and stronger safeguarding. Involving family carers ensures cultural values and personal preferences shape care decisions.</w:t>
      </w:r>
    </w:p>
    <w:p w14:paraId="1C5DA590" w14:textId="0F253ADC" w:rsidR="00501DD3" w:rsidRPr="00501DD3" w:rsidRDefault="00501DD3" w:rsidP="00876966">
      <w:pPr>
        <w:spacing w:line="360" w:lineRule="auto"/>
        <w:jc w:val="both"/>
        <w:rPr>
          <w:rFonts w:ascii="Arial" w:hAnsi="Arial" w:cs="Arial"/>
        </w:rPr>
      </w:pPr>
      <w:r w:rsidRPr="00501DD3">
        <w:rPr>
          <w:rFonts w:ascii="Arial" w:hAnsi="Arial" w:cs="Arial"/>
        </w:rPr>
        <w:t>However, challenges persist.</w:t>
      </w:r>
      <w:r w:rsidR="00805573">
        <w:rPr>
          <w:rFonts w:ascii="Arial" w:hAnsi="Arial" w:cs="Arial"/>
        </w:rPr>
        <w:t xml:space="preserve"> </w:t>
      </w:r>
      <w:r w:rsidRPr="00501DD3">
        <w:rPr>
          <w:rFonts w:ascii="Arial" w:hAnsi="Arial" w:cs="Arial"/>
        </w:rPr>
        <w:t>Communication barriers, incompatible digital systems, confidentiality concerns and differing organisational priorities can hinder coordination. Workforce shortages and financial pressures further limit opportunities for joint training.</w:t>
      </w:r>
    </w:p>
    <w:p w14:paraId="4FA5582F" w14:textId="77777777" w:rsidR="00501DD3" w:rsidRPr="00501DD3" w:rsidRDefault="00501DD3" w:rsidP="00876966">
      <w:pPr>
        <w:spacing w:line="360" w:lineRule="auto"/>
        <w:jc w:val="both"/>
        <w:rPr>
          <w:rFonts w:ascii="Arial" w:hAnsi="Arial" w:cs="Arial"/>
        </w:rPr>
      </w:pPr>
      <w:r w:rsidRPr="00501DD3">
        <w:rPr>
          <w:rFonts w:ascii="Arial" w:hAnsi="Arial" w:cs="Arial"/>
        </w:rPr>
        <w:t>Overall, PW enhances service delivery and resident outcomes, but its effectiveness relies on strong leadership, clear communication, mutual trust and adequate resources within care home settings</w:t>
      </w:r>
    </w:p>
    <w:p w14:paraId="0259C21E" w14:textId="77777777" w:rsidR="00501DD3" w:rsidRPr="00501DD3" w:rsidRDefault="00501DD3" w:rsidP="00876966">
      <w:pPr>
        <w:spacing w:line="360" w:lineRule="auto"/>
        <w:jc w:val="both"/>
        <w:rPr>
          <w:rFonts w:ascii="Arial" w:hAnsi="Arial" w:cs="Arial"/>
        </w:rPr>
      </w:pPr>
    </w:p>
    <w:p w14:paraId="23325EA3" w14:textId="77777777" w:rsidR="009F0206" w:rsidRDefault="009F0206" w:rsidP="00876966">
      <w:pPr>
        <w:spacing w:line="360" w:lineRule="auto"/>
        <w:rPr>
          <w:rFonts w:ascii="Arial" w:hAnsi="Arial" w:cs="Arial"/>
          <w:b/>
          <w:bCs/>
        </w:rPr>
      </w:pPr>
    </w:p>
    <w:p w14:paraId="08023788" w14:textId="51722641" w:rsidR="00803D41" w:rsidRPr="00501DD3" w:rsidRDefault="00803D41" w:rsidP="00614F04">
      <w:pPr>
        <w:spacing w:line="360" w:lineRule="auto"/>
        <w:rPr>
          <w:rFonts w:ascii="Arial" w:hAnsi="Arial" w:cs="Arial"/>
          <w:b/>
          <w:bCs/>
        </w:rPr>
      </w:pPr>
      <w:r w:rsidRPr="00501DD3">
        <w:rPr>
          <w:rFonts w:ascii="Arial" w:hAnsi="Arial" w:cs="Arial"/>
          <w:b/>
          <w:bCs/>
        </w:rPr>
        <w:t>Policy and Legislation Supporting Person-Centred Care and Partnership Working</w:t>
      </w:r>
    </w:p>
    <w:p w14:paraId="67F25AD9" w14:textId="5B40BC7A" w:rsidR="00803D41" w:rsidRPr="00501DD3" w:rsidRDefault="00803D41" w:rsidP="00DA3A68">
      <w:pPr>
        <w:spacing w:line="360" w:lineRule="auto"/>
        <w:jc w:val="both"/>
        <w:rPr>
          <w:rFonts w:ascii="Arial" w:hAnsi="Arial" w:cs="Arial"/>
        </w:rPr>
      </w:pPr>
      <w:r w:rsidRPr="00501DD3">
        <w:rPr>
          <w:rFonts w:ascii="Arial" w:hAnsi="Arial" w:cs="Arial"/>
        </w:rPr>
        <w:t xml:space="preserve">Person-centred care (PCC) and partnership working (PW) within Adult Community Nursing Services are shaped by a range of UK policies and legislation designed to promote safe, equitable and integrated healthcare. </w:t>
      </w:r>
    </w:p>
    <w:p w14:paraId="2C1DCCBB" w14:textId="5FA6514C" w:rsidR="00443C45" w:rsidRPr="00501DD3" w:rsidRDefault="00803D41" w:rsidP="00DA3A68">
      <w:pPr>
        <w:spacing w:line="360" w:lineRule="auto"/>
        <w:jc w:val="both"/>
        <w:rPr>
          <w:rFonts w:ascii="Arial" w:eastAsia="Times New Roman" w:hAnsi="Arial" w:cs="Arial"/>
          <w:kern w:val="0"/>
          <w:lang w:eastAsia="en-GB"/>
          <w14:ligatures w14:val="none"/>
        </w:rPr>
      </w:pPr>
      <w:r w:rsidRPr="00501DD3">
        <w:rPr>
          <w:rFonts w:ascii="Arial" w:hAnsi="Arial" w:cs="Arial"/>
          <w:color w:val="000000" w:themeColor="text1"/>
        </w:rPr>
        <w:t xml:space="preserve">Integrated Care Systems (ICSs) were created by the Health and Care Act of 2022, </w:t>
      </w:r>
      <w:r w:rsidRPr="00501DD3">
        <w:rPr>
          <w:rFonts w:ascii="Arial" w:hAnsi="Arial" w:cs="Arial"/>
        </w:rPr>
        <w:t>which mandates that NHS organisations, local governments, and partner agencies work together to improve population health and lessen inequality.</w:t>
      </w:r>
      <w:r w:rsidR="00443C45" w:rsidRPr="00501DD3">
        <w:rPr>
          <w:rFonts w:ascii="Arial" w:hAnsi="Arial" w:cs="Arial"/>
        </w:rPr>
        <w:t xml:space="preserve"> </w:t>
      </w:r>
      <w:r w:rsidRPr="00501DD3">
        <w:rPr>
          <w:rFonts w:ascii="Arial" w:hAnsi="Arial" w:cs="Arial"/>
        </w:rPr>
        <w:t xml:space="preserve"> </w:t>
      </w:r>
      <w:r w:rsidR="00443C45" w:rsidRPr="00501DD3">
        <w:rPr>
          <w:rFonts w:ascii="Arial" w:eastAsia="Times New Roman" w:hAnsi="Arial" w:cs="Arial"/>
          <w:kern w:val="0"/>
          <w:lang w:eastAsia="en-GB"/>
          <w14:ligatures w14:val="none"/>
        </w:rPr>
        <w:t>(NHS England, 2021).</w:t>
      </w:r>
    </w:p>
    <w:p w14:paraId="68866CA0" w14:textId="0E43F106" w:rsidR="00803D41" w:rsidRPr="00501DD3" w:rsidRDefault="00803D41" w:rsidP="00DA3A68">
      <w:pPr>
        <w:spacing w:line="360" w:lineRule="auto"/>
        <w:jc w:val="both"/>
        <w:rPr>
          <w:rFonts w:ascii="Arial" w:hAnsi="Arial" w:cs="Arial"/>
        </w:rPr>
      </w:pPr>
      <w:r w:rsidRPr="00501DD3">
        <w:rPr>
          <w:rFonts w:ascii="Arial" w:hAnsi="Arial" w:cs="Arial"/>
        </w:rPr>
        <w:t xml:space="preserve">By promoting tighter cooperation between nurses, social workers, and volunteer organisations, ICSs encourage partnership working in community nursing, allowing for more coordinated and individualised treatment. Consistent integration across regions, however, </w:t>
      </w:r>
      <w:r w:rsidRPr="00501DD3">
        <w:rPr>
          <w:rFonts w:ascii="Arial" w:hAnsi="Arial" w:cs="Arial"/>
        </w:rPr>
        <w:lastRenderedPageBreak/>
        <w:t>may be hampered by variations in local implementation, financial arrangements, and organisational agendas.</w:t>
      </w:r>
    </w:p>
    <w:p w14:paraId="6F60682C" w14:textId="079F6A8D" w:rsidR="00B30765" w:rsidRPr="00501DD3" w:rsidRDefault="00B30765" w:rsidP="00DA3A68">
      <w:pPr>
        <w:spacing w:line="360" w:lineRule="auto"/>
        <w:jc w:val="both"/>
        <w:rPr>
          <w:rFonts w:ascii="Arial" w:hAnsi="Arial" w:cs="Arial"/>
        </w:rPr>
      </w:pPr>
      <w:r w:rsidRPr="00501DD3">
        <w:rPr>
          <w:rFonts w:ascii="Arial" w:hAnsi="Arial" w:cs="Arial"/>
        </w:rPr>
        <w:t>Through the concepts of individualised assessment, care planning, and prevention, the</w:t>
      </w:r>
      <w:r w:rsidRPr="00501DD3">
        <w:rPr>
          <w:rFonts w:ascii="Arial" w:hAnsi="Arial" w:cs="Arial"/>
          <w:color w:val="000000" w:themeColor="text1"/>
        </w:rPr>
        <w:t xml:space="preserve"> Care Act of </w:t>
      </w:r>
      <w:r w:rsidR="008B03DA" w:rsidRPr="00501DD3">
        <w:rPr>
          <w:rFonts w:ascii="Arial" w:hAnsi="Arial" w:cs="Arial"/>
          <w:color w:val="000000" w:themeColor="text1"/>
        </w:rPr>
        <w:t>(</w:t>
      </w:r>
      <w:r w:rsidRPr="00501DD3">
        <w:rPr>
          <w:rFonts w:ascii="Arial" w:hAnsi="Arial" w:cs="Arial"/>
          <w:color w:val="000000" w:themeColor="text1"/>
        </w:rPr>
        <w:t>2014</w:t>
      </w:r>
      <w:r w:rsidR="008B03DA" w:rsidRPr="00501DD3">
        <w:rPr>
          <w:rFonts w:ascii="Arial" w:hAnsi="Arial" w:cs="Arial"/>
          <w:color w:val="000000" w:themeColor="text1"/>
        </w:rPr>
        <w:t>)</w:t>
      </w:r>
      <w:r w:rsidRPr="00501DD3">
        <w:rPr>
          <w:rFonts w:ascii="Arial" w:hAnsi="Arial" w:cs="Arial"/>
          <w:color w:val="000000" w:themeColor="text1"/>
        </w:rPr>
        <w:t xml:space="preserve"> </w:t>
      </w:r>
      <w:r w:rsidR="00697423" w:rsidRPr="00501DD3">
        <w:rPr>
          <w:rFonts w:ascii="Arial" w:hAnsi="Arial" w:cs="Arial"/>
        </w:rPr>
        <w:t>centres</w:t>
      </w:r>
      <w:r w:rsidRPr="00501DD3">
        <w:rPr>
          <w:rFonts w:ascii="Arial" w:hAnsi="Arial" w:cs="Arial"/>
        </w:rPr>
        <w:t xml:space="preserve"> adult social care around the well-being of the individual. By ensuring that people's needs, preferences, and objectives are </w:t>
      </w:r>
      <w:r w:rsidR="00697423" w:rsidRPr="00501DD3">
        <w:rPr>
          <w:rFonts w:ascii="Arial" w:hAnsi="Arial" w:cs="Arial"/>
        </w:rPr>
        <w:t>considered</w:t>
      </w:r>
      <w:r w:rsidRPr="00501DD3">
        <w:rPr>
          <w:rFonts w:ascii="Arial" w:hAnsi="Arial" w:cs="Arial"/>
        </w:rPr>
        <w:t xml:space="preserve"> when making decisions about their assistance, this promotes PCC. By recognising evolving health needs and collaborating with social workers to coordinate treatment, community nurses make a valuable contribution. However, funding constraints for adult social care and a lack of workers may limit the availability of individualised and preventative interventions.</w:t>
      </w:r>
    </w:p>
    <w:p w14:paraId="39A050D3" w14:textId="3E22508A" w:rsidR="00B30765" w:rsidRPr="00501DD3" w:rsidRDefault="00B30765" w:rsidP="00DA3A68">
      <w:pPr>
        <w:spacing w:line="360" w:lineRule="auto"/>
        <w:jc w:val="both"/>
        <w:rPr>
          <w:rFonts w:ascii="Arial" w:hAnsi="Arial" w:cs="Arial"/>
        </w:rPr>
      </w:pPr>
      <w:r w:rsidRPr="00501DD3">
        <w:rPr>
          <w:rFonts w:ascii="Arial" w:hAnsi="Arial" w:cs="Arial"/>
        </w:rPr>
        <w:t xml:space="preserve">Patient choice and more integration between health and social care providers were encouraged under </w:t>
      </w:r>
      <w:r w:rsidRPr="00501DD3">
        <w:rPr>
          <w:rFonts w:ascii="Arial" w:hAnsi="Arial" w:cs="Arial"/>
          <w:color w:val="000000" w:themeColor="text1"/>
        </w:rPr>
        <w:t xml:space="preserve">the Health and Social Care Act of </w:t>
      </w:r>
      <w:r w:rsidR="008B03DA" w:rsidRPr="00501DD3">
        <w:rPr>
          <w:rFonts w:ascii="Arial" w:hAnsi="Arial" w:cs="Arial"/>
          <w:color w:val="000000" w:themeColor="text1"/>
        </w:rPr>
        <w:t>(</w:t>
      </w:r>
      <w:r w:rsidRPr="00501DD3">
        <w:rPr>
          <w:rFonts w:ascii="Arial" w:hAnsi="Arial" w:cs="Arial"/>
          <w:color w:val="000000" w:themeColor="text1"/>
        </w:rPr>
        <w:t>2012</w:t>
      </w:r>
      <w:r w:rsidR="008B03DA" w:rsidRPr="00501DD3">
        <w:rPr>
          <w:rFonts w:ascii="Arial" w:hAnsi="Arial" w:cs="Arial"/>
          <w:color w:val="000000" w:themeColor="text1"/>
        </w:rPr>
        <w:t>)</w:t>
      </w:r>
      <w:r w:rsidRPr="00501DD3">
        <w:rPr>
          <w:rFonts w:ascii="Arial" w:hAnsi="Arial" w:cs="Arial"/>
          <w:color w:val="000000" w:themeColor="text1"/>
        </w:rPr>
        <w:t xml:space="preserve">. </w:t>
      </w:r>
      <w:r w:rsidRPr="00501DD3">
        <w:rPr>
          <w:rFonts w:ascii="Arial" w:hAnsi="Arial" w:cs="Arial"/>
        </w:rPr>
        <w:t>While integration can enhance care coordination, increased choice promotes autonomy, a crucial component of PCC. However, legislation-related organisational reorganisation was attacked for adding complexity and perhaps causing service dispersion.</w:t>
      </w:r>
    </w:p>
    <w:p w14:paraId="22BCD6AC" w14:textId="2A6EB979" w:rsidR="00B30765" w:rsidRPr="00501DD3" w:rsidRDefault="00B30765" w:rsidP="00DA3A68">
      <w:pPr>
        <w:spacing w:line="360" w:lineRule="auto"/>
        <w:jc w:val="both"/>
        <w:rPr>
          <w:rFonts w:ascii="Arial" w:hAnsi="Arial" w:cs="Arial"/>
        </w:rPr>
      </w:pPr>
      <w:r w:rsidRPr="00501DD3">
        <w:rPr>
          <w:rFonts w:ascii="Arial" w:hAnsi="Arial" w:cs="Arial"/>
        </w:rPr>
        <w:t xml:space="preserve">A person's right to respect for their private and family life is safeguarded by the </w:t>
      </w:r>
      <w:r w:rsidRPr="00501DD3">
        <w:rPr>
          <w:rFonts w:ascii="Arial" w:hAnsi="Arial" w:cs="Arial"/>
          <w:color w:val="000000" w:themeColor="text1"/>
        </w:rPr>
        <w:t>Human Rights Act of 1998</w:t>
      </w:r>
      <w:r w:rsidR="006B4FA6">
        <w:rPr>
          <w:rFonts w:ascii="Arial" w:hAnsi="Arial" w:cs="Arial"/>
          <w:color w:val="000000" w:themeColor="text1"/>
        </w:rPr>
        <w:t>).</w:t>
      </w:r>
      <w:r w:rsidRPr="00501DD3">
        <w:rPr>
          <w:rFonts w:ascii="Arial" w:hAnsi="Arial" w:cs="Arial"/>
          <w:color w:val="000000" w:themeColor="text1"/>
        </w:rPr>
        <w:t xml:space="preserve"> </w:t>
      </w:r>
      <w:r w:rsidR="006B4FA6" w:rsidRPr="00501DD3">
        <w:rPr>
          <w:rFonts w:ascii="Arial" w:hAnsi="Arial" w:cs="Arial"/>
          <w:color w:val="000000" w:themeColor="text1"/>
        </w:rPr>
        <w:t>specifically,</w:t>
      </w:r>
      <w:r w:rsidRPr="00501DD3">
        <w:rPr>
          <w:rFonts w:ascii="Arial" w:hAnsi="Arial" w:cs="Arial"/>
          <w:color w:val="000000" w:themeColor="text1"/>
        </w:rPr>
        <w:t xml:space="preserve"> Article 8</w:t>
      </w:r>
      <w:r w:rsidRPr="00501DD3">
        <w:rPr>
          <w:rFonts w:ascii="Arial" w:hAnsi="Arial" w:cs="Arial"/>
        </w:rPr>
        <w:t>. In community nursing, where care is frequently provided in patients' homes, this promotes dignity, privacy, and secrecy. However, nurses may find it difficult to strike a balance between the need to communicate information for safeguarding grounds and maintaining confidentiality.</w:t>
      </w:r>
    </w:p>
    <w:p w14:paraId="6BFF7C58" w14:textId="644F5C23" w:rsidR="002E5605" w:rsidRPr="00501DD3" w:rsidRDefault="00B30765" w:rsidP="00DA3A68">
      <w:pPr>
        <w:spacing w:line="360" w:lineRule="auto"/>
        <w:jc w:val="both"/>
        <w:rPr>
          <w:rFonts w:ascii="Arial" w:eastAsia="Times New Roman" w:hAnsi="Arial" w:cs="Arial"/>
          <w:kern w:val="0"/>
          <w:lang w:eastAsia="en-GB"/>
          <w14:ligatures w14:val="none"/>
        </w:rPr>
      </w:pPr>
      <w:r w:rsidRPr="00501DD3">
        <w:rPr>
          <w:rFonts w:ascii="Arial" w:hAnsi="Arial" w:cs="Arial"/>
        </w:rPr>
        <w:t>However, adequate funding, labour availability, and efficient digital systems are necessary for successful deployment. As a result, even while laws and policies provide PCC and PW a solid foundation, there are still issues that affect how they are implemented in Adult Community Nursing Services.</w:t>
      </w:r>
      <w:r w:rsidR="00F70392" w:rsidRPr="00501DD3">
        <w:rPr>
          <w:rFonts w:ascii="Arial" w:hAnsi="Arial" w:cs="Arial"/>
        </w:rPr>
        <w:t xml:space="preserve"> </w:t>
      </w:r>
      <w:r w:rsidR="002E5605" w:rsidRPr="00501DD3">
        <w:rPr>
          <w:rFonts w:ascii="Arial" w:eastAsia="Times New Roman" w:hAnsi="Arial" w:cs="Arial"/>
          <w:kern w:val="0"/>
          <w:lang w:eastAsia="en-GB"/>
          <w14:ligatures w14:val="none"/>
        </w:rPr>
        <w:t>(CQC, 2025)</w:t>
      </w:r>
      <w:r w:rsidR="00501DD3" w:rsidRPr="00501DD3">
        <w:rPr>
          <w:rFonts w:ascii="Arial" w:eastAsia="Times New Roman" w:hAnsi="Arial" w:cs="Arial"/>
          <w:kern w:val="0"/>
          <w:lang w:eastAsia="en-GB"/>
          <w14:ligatures w14:val="none"/>
        </w:rPr>
        <w:t>.</w:t>
      </w:r>
    </w:p>
    <w:p w14:paraId="4A240E8F" w14:textId="77777777" w:rsidR="00501DD3" w:rsidRPr="00501DD3" w:rsidRDefault="00501DD3" w:rsidP="00DA3A68">
      <w:pPr>
        <w:jc w:val="both"/>
        <w:rPr>
          <w:rFonts w:ascii="Arial" w:hAnsi="Arial" w:cs="Arial"/>
        </w:rPr>
      </w:pPr>
    </w:p>
    <w:p w14:paraId="53F65B0C" w14:textId="43EF307D" w:rsidR="00B30765" w:rsidRPr="00501DD3" w:rsidRDefault="00B30765" w:rsidP="00B30765">
      <w:pPr>
        <w:rPr>
          <w:rFonts w:ascii="Arial" w:hAnsi="Arial" w:cs="Arial"/>
          <w:b/>
          <w:bCs/>
        </w:rPr>
      </w:pPr>
      <w:r w:rsidRPr="00501DD3">
        <w:rPr>
          <w:rFonts w:ascii="Arial" w:hAnsi="Arial" w:cs="Arial"/>
          <w:b/>
          <w:bCs/>
        </w:rPr>
        <w:t>Recommendations for Future Development of Person-Centred Care and Partnership Working</w:t>
      </w:r>
    </w:p>
    <w:p w14:paraId="740BA505" w14:textId="5C70D93F" w:rsidR="005757B0" w:rsidRPr="00501DD3" w:rsidRDefault="005757B0" w:rsidP="00DA3A68">
      <w:pPr>
        <w:spacing w:line="360" w:lineRule="auto"/>
        <w:jc w:val="both"/>
        <w:rPr>
          <w:rFonts w:ascii="Arial" w:eastAsia="Times New Roman" w:hAnsi="Arial" w:cs="Arial"/>
          <w:kern w:val="0"/>
          <w:lang w:eastAsia="en-GB"/>
          <w14:ligatures w14:val="none"/>
        </w:rPr>
      </w:pPr>
      <w:r w:rsidRPr="00501DD3">
        <w:rPr>
          <w:rFonts w:ascii="Arial" w:eastAsia="Times New Roman" w:hAnsi="Arial" w:cs="Arial"/>
          <w:kern w:val="0"/>
          <w:lang w:eastAsia="en-GB"/>
          <w14:ligatures w14:val="none"/>
        </w:rPr>
        <w:t>Strengthening person</w:t>
      </w:r>
      <w:r w:rsidRPr="00501DD3">
        <w:rPr>
          <w:rFonts w:ascii="Arial" w:eastAsia="Times New Roman" w:hAnsi="Arial" w:cs="Arial"/>
          <w:kern w:val="0"/>
          <w:lang w:eastAsia="en-GB"/>
          <w14:ligatures w14:val="none"/>
        </w:rPr>
        <w:noBreakHyphen/>
        <w:t>centred care (PCC) and partnership working (PW) in Adult Community Nursing Services requires targeted investment and system</w:t>
      </w:r>
      <w:r w:rsidRPr="00501DD3">
        <w:rPr>
          <w:rFonts w:ascii="Arial" w:eastAsia="Times New Roman" w:hAnsi="Arial" w:cs="Arial"/>
          <w:kern w:val="0"/>
          <w:lang w:eastAsia="en-GB"/>
          <w14:ligatures w14:val="none"/>
        </w:rPr>
        <w:noBreakHyphen/>
        <w:t>wide improvement. Expanding digital integration across NHS and social care settings would support shared electronic records, improving communication, reducing duplication, and enhancing continuity of care. Implementation, however, demands substantial funding, reliable infrastructure, staff training, and attention to digital exclusion among older adults. Increased investment in workforce development is also essential, enabling nurses to build skills in relationship</w:t>
      </w:r>
      <w:r w:rsidRPr="00501DD3">
        <w:rPr>
          <w:rFonts w:ascii="Arial" w:eastAsia="Times New Roman" w:hAnsi="Arial" w:cs="Arial"/>
          <w:kern w:val="0"/>
          <w:lang w:eastAsia="en-GB"/>
          <w14:ligatures w14:val="none"/>
        </w:rPr>
        <w:noBreakHyphen/>
        <w:t>based care, cultural competence, communication, and shared decision</w:t>
      </w:r>
      <w:r w:rsidRPr="00501DD3">
        <w:rPr>
          <w:rFonts w:ascii="Arial" w:eastAsia="Times New Roman" w:hAnsi="Arial" w:cs="Arial"/>
          <w:kern w:val="0"/>
          <w:lang w:eastAsia="en-GB"/>
          <w14:ligatures w14:val="none"/>
        </w:rPr>
        <w:noBreakHyphen/>
        <w:t xml:space="preserve">making, despite current staffing pressures. Finally, Integrated Care Systems should further promote interdisciplinary </w:t>
      </w:r>
      <w:r w:rsidRPr="00501DD3">
        <w:rPr>
          <w:rFonts w:ascii="Arial" w:eastAsia="Times New Roman" w:hAnsi="Arial" w:cs="Arial"/>
          <w:kern w:val="0"/>
          <w:lang w:eastAsia="en-GB"/>
          <w14:ligatures w14:val="none"/>
        </w:rPr>
        <w:lastRenderedPageBreak/>
        <w:t>collaboration between community nursing, mental health, social care, and voluntary organisations to deliver earlier, more holistic interventions. Achieving sustainable progress will require strong leadership, aligned priorities, and ongoing financial commitment to embed PCC and PW across community services.</w:t>
      </w:r>
      <w:r w:rsidRPr="00501DD3">
        <w:rPr>
          <w:rFonts w:ascii="Arial" w:hAnsi="Arial" w:cs="Arial"/>
        </w:rPr>
        <w:t xml:space="preserve"> </w:t>
      </w:r>
      <w:r w:rsidRPr="00501DD3">
        <w:rPr>
          <w:rFonts w:ascii="Arial" w:eastAsia="Times New Roman" w:hAnsi="Arial" w:cs="Arial"/>
          <w:kern w:val="0"/>
          <w:lang w:eastAsia="en-GB"/>
          <w14:ligatures w14:val="none"/>
        </w:rPr>
        <w:t>(Cherry, 2024)</w:t>
      </w:r>
    </w:p>
    <w:p w14:paraId="49F341EE" w14:textId="7DC6ABD8" w:rsidR="005757B0" w:rsidRPr="00501DD3" w:rsidRDefault="005757B0" w:rsidP="00DA3A68">
      <w:pPr>
        <w:spacing w:line="360" w:lineRule="auto"/>
        <w:jc w:val="both"/>
        <w:rPr>
          <w:rFonts w:ascii="Arial" w:eastAsia="Times New Roman" w:hAnsi="Arial" w:cs="Arial"/>
          <w:kern w:val="0"/>
          <w:lang w:eastAsia="en-GB"/>
          <w14:ligatures w14:val="none"/>
        </w:rPr>
      </w:pPr>
    </w:p>
    <w:p w14:paraId="218FBFF6" w14:textId="1923E5B0" w:rsidR="00CE1CCB" w:rsidRPr="00501DD3" w:rsidRDefault="00CE1CCB" w:rsidP="00CE1CCB">
      <w:pPr>
        <w:rPr>
          <w:rFonts w:ascii="Arial" w:hAnsi="Arial" w:cs="Arial"/>
          <w:b/>
          <w:bCs/>
        </w:rPr>
      </w:pPr>
      <w:r w:rsidRPr="00501DD3">
        <w:rPr>
          <w:rFonts w:ascii="Arial" w:hAnsi="Arial" w:cs="Arial"/>
          <w:b/>
          <w:bCs/>
        </w:rPr>
        <w:t>Conclusion</w:t>
      </w:r>
    </w:p>
    <w:p w14:paraId="1DF61A43" w14:textId="023C7CE6" w:rsidR="00697423" w:rsidRPr="00501DD3" w:rsidRDefault="003F4FA5" w:rsidP="009C2435">
      <w:pPr>
        <w:spacing w:line="360" w:lineRule="auto"/>
        <w:jc w:val="both"/>
        <w:rPr>
          <w:rFonts w:ascii="Arial" w:hAnsi="Arial" w:cs="Arial"/>
          <w:b/>
          <w:bCs/>
        </w:rPr>
      </w:pPr>
      <w:r w:rsidRPr="00501DD3">
        <w:rPr>
          <w:rFonts w:ascii="Arial" w:hAnsi="Arial" w:cs="Arial"/>
        </w:rPr>
        <w:t>This report has demonstrated that person-centred care (PCC) and partnership working (PW) are essential components of effective Adult Community Nursing Services within the NHS.</w:t>
      </w:r>
      <w:r w:rsidR="00511CBA" w:rsidRPr="00501DD3">
        <w:rPr>
          <w:rFonts w:ascii="Arial" w:hAnsi="Arial" w:cs="Arial"/>
        </w:rPr>
        <w:t xml:space="preserve"> </w:t>
      </w:r>
      <w:r w:rsidRPr="00501DD3">
        <w:rPr>
          <w:rFonts w:ascii="Arial" w:hAnsi="Arial" w:cs="Arial"/>
        </w:rPr>
        <w:t xml:space="preserve">While PW improves coordination across the health, social care, and voluntary sectors, PCC guarantees that care is influenced by individuals' needs, values, and autonomy. A solid basis for holistic and rights-based practice is provided by ethical principles, Maslow's Hierarchy of Needs, and important laws like the Health and Care Act of 2022 and the Care Act of 2014. However, implementation is still hampered by issues including workforce demands, scarce resources, and uneven digital integration. Future advancement depends on enhancing staff training, investing in digital systems, and fortifying multidisciplinary collaboration. In general, PCC and PW continue to be essential to providing high-quality, integrated care that promotes people' independence, dignity, and better results in community settings. </w:t>
      </w:r>
    </w:p>
    <w:p w14:paraId="735BAEE4" w14:textId="77777777" w:rsidR="00697423" w:rsidRPr="003F4FA5" w:rsidRDefault="00697423" w:rsidP="00DA3A68">
      <w:pPr>
        <w:ind w:firstLine="851"/>
        <w:jc w:val="both"/>
        <w:rPr>
          <w:rFonts w:ascii="Arial" w:hAnsi="Arial" w:cs="Arial"/>
        </w:rPr>
      </w:pPr>
    </w:p>
    <w:p w14:paraId="1012A0EF" w14:textId="77777777" w:rsidR="00697423" w:rsidRPr="00334907" w:rsidRDefault="00697423" w:rsidP="00DA3A68">
      <w:pPr>
        <w:ind w:firstLine="851"/>
        <w:jc w:val="both"/>
        <w:rPr>
          <w:rFonts w:ascii="Arial" w:hAnsi="Arial" w:cs="Arial"/>
          <w:b/>
          <w:bCs/>
        </w:rPr>
      </w:pPr>
    </w:p>
    <w:p w14:paraId="70A7F1C4" w14:textId="77777777" w:rsidR="00697423" w:rsidRPr="00334907" w:rsidRDefault="00697423" w:rsidP="00CE1CCB">
      <w:pPr>
        <w:rPr>
          <w:rFonts w:ascii="Arial" w:hAnsi="Arial" w:cs="Arial"/>
          <w:b/>
          <w:bCs/>
        </w:rPr>
      </w:pPr>
    </w:p>
    <w:p w14:paraId="0463F7F2" w14:textId="77777777" w:rsidR="00697423" w:rsidRPr="00334907" w:rsidRDefault="00697423" w:rsidP="00CE1CCB">
      <w:pPr>
        <w:rPr>
          <w:rFonts w:ascii="Arial" w:hAnsi="Arial" w:cs="Arial"/>
          <w:b/>
          <w:bCs/>
        </w:rPr>
      </w:pPr>
    </w:p>
    <w:p w14:paraId="4BDFDB8C" w14:textId="77777777" w:rsidR="00697423" w:rsidRPr="00334907" w:rsidRDefault="00697423" w:rsidP="00CE1CCB">
      <w:pPr>
        <w:rPr>
          <w:rFonts w:ascii="Arial" w:hAnsi="Arial" w:cs="Arial"/>
          <w:b/>
          <w:bCs/>
        </w:rPr>
      </w:pPr>
    </w:p>
    <w:p w14:paraId="3A66C42A" w14:textId="77777777" w:rsidR="00697423" w:rsidRPr="00334907" w:rsidRDefault="00697423" w:rsidP="00CE1CCB">
      <w:pPr>
        <w:rPr>
          <w:rFonts w:ascii="Arial" w:hAnsi="Arial" w:cs="Arial"/>
          <w:b/>
          <w:bCs/>
        </w:rPr>
      </w:pPr>
    </w:p>
    <w:p w14:paraId="3AAB0B00" w14:textId="77777777" w:rsidR="00697423" w:rsidRPr="00334907" w:rsidRDefault="00697423" w:rsidP="00CE1CCB">
      <w:pPr>
        <w:rPr>
          <w:rFonts w:ascii="Arial" w:hAnsi="Arial" w:cs="Arial"/>
          <w:b/>
          <w:bCs/>
        </w:rPr>
      </w:pPr>
    </w:p>
    <w:p w14:paraId="630B46B1" w14:textId="77777777" w:rsidR="00697423" w:rsidRPr="00334907" w:rsidRDefault="00697423" w:rsidP="00CE1CCB">
      <w:pPr>
        <w:rPr>
          <w:rFonts w:ascii="Arial" w:hAnsi="Arial" w:cs="Arial"/>
          <w:b/>
          <w:bCs/>
        </w:rPr>
      </w:pPr>
    </w:p>
    <w:p w14:paraId="218F8819" w14:textId="77777777" w:rsidR="00697423" w:rsidRPr="00334907" w:rsidRDefault="00697423" w:rsidP="00CE1CCB">
      <w:pPr>
        <w:rPr>
          <w:rFonts w:ascii="Arial" w:hAnsi="Arial" w:cs="Arial"/>
          <w:b/>
          <w:bCs/>
        </w:rPr>
      </w:pPr>
    </w:p>
    <w:p w14:paraId="2AD3A99B" w14:textId="77777777" w:rsidR="00697423" w:rsidRPr="00334907" w:rsidRDefault="00697423" w:rsidP="00CE1CCB">
      <w:pPr>
        <w:rPr>
          <w:rFonts w:ascii="Arial" w:hAnsi="Arial" w:cs="Arial"/>
          <w:b/>
          <w:bCs/>
        </w:rPr>
      </w:pPr>
    </w:p>
    <w:p w14:paraId="493DA4F7" w14:textId="77777777" w:rsidR="00697423" w:rsidRPr="00334907" w:rsidRDefault="00697423" w:rsidP="00CE1CCB">
      <w:pPr>
        <w:rPr>
          <w:rFonts w:ascii="Arial" w:hAnsi="Arial" w:cs="Arial"/>
          <w:b/>
          <w:bCs/>
        </w:rPr>
      </w:pPr>
    </w:p>
    <w:p w14:paraId="42318397" w14:textId="77777777" w:rsidR="00697423" w:rsidRPr="00334907" w:rsidRDefault="00697423" w:rsidP="00CE1CCB">
      <w:pPr>
        <w:rPr>
          <w:rFonts w:ascii="Arial" w:hAnsi="Arial" w:cs="Arial"/>
          <w:b/>
          <w:bCs/>
        </w:rPr>
      </w:pPr>
    </w:p>
    <w:p w14:paraId="7FF41D5D" w14:textId="77777777" w:rsidR="00697423" w:rsidRPr="00334907" w:rsidRDefault="00697423" w:rsidP="00CE1CCB">
      <w:pPr>
        <w:rPr>
          <w:rFonts w:ascii="Arial" w:hAnsi="Arial" w:cs="Arial"/>
          <w:b/>
          <w:bCs/>
        </w:rPr>
      </w:pPr>
    </w:p>
    <w:p w14:paraId="4CA33164" w14:textId="77777777" w:rsidR="00743474" w:rsidRDefault="00743474" w:rsidP="00C66ACE">
      <w:pPr>
        <w:rPr>
          <w:rFonts w:ascii="Times New Roman" w:hAnsi="Times New Roman" w:cs="Times New Roman"/>
          <w:b/>
          <w:bCs/>
        </w:rPr>
      </w:pPr>
    </w:p>
    <w:p w14:paraId="4C1D1BF9" w14:textId="77777777" w:rsidR="00743474" w:rsidRDefault="00743474" w:rsidP="00C66ACE">
      <w:pPr>
        <w:rPr>
          <w:rFonts w:ascii="Times New Roman" w:hAnsi="Times New Roman" w:cs="Times New Roman"/>
          <w:b/>
          <w:bCs/>
        </w:rPr>
      </w:pPr>
    </w:p>
    <w:p w14:paraId="558CF0CE" w14:textId="77777777" w:rsidR="00743474" w:rsidRDefault="00743474" w:rsidP="00C66ACE">
      <w:pPr>
        <w:rPr>
          <w:rFonts w:ascii="Times New Roman" w:hAnsi="Times New Roman" w:cs="Times New Roman"/>
          <w:b/>
          <w:bCs/>
        </w:rPr>
      </w:pPr>
    </w:p>
    <w:p w14:paraId="2204A830" w14:textId="13C7080F" w:rsidR="00781509" w:rsidRPr="008B03DA" w:rsidRDefault="008B03DA" w:rsidP="00C66ACE">
      <w:pPr>
        <w:rPr>
          <w:rFonts w:ascii="Times New Roman" w:hAnsi="Times New Roman" w:cs="Times New Roman"/>
          <w:b/>
          <w:bCs/>
        </w:rPr>
      </w:pPr>
      <w:r w:rsidRPr="008B03DA">
        <w:rPr>
          <w:rFonts w:ascii="Times New Roman" w:hAnsi="Times New Roman" w:cs="Times New Roman"/>
          <w:b/>
          <w:bCs/>
        </w:rPr>
        <w:lastRenderedPageBreak/>
        <w:t>Reference</w:t>
      </w:r>
    </w:p>
    <w:p w14:paraId="6F559187" w14:textId="77777777" w:rsidR="00774802" w:rsidRPr="007C069C" w:rsidRDefault="00774802" w:rsidP="007C069C">
      <w:pPr>
        <w:pStyle w:val="ListParagraph"/>
        <w:numPr>
          <w:ilvl w:val="0"/>
          <w:numId w:val="6"/>
        </w:numPr>
        <w:rPr>
          <w:rFonts w:ascii="Times New Roman" w:hAnsi="Times New Roman" w:cs="Times New Roman"/>
        </w:rPr>
      </w:pPr>
      <w:r w:rsidRPr="007C069C">
        <w:rPr>
          <w:rFonts w:ascii="Times New Roman" w:hAnsi="Times New Roman" w:cs="Times New Roman"/>
        </w:rPr>
        <w:t xml:space="preserve">Beauchamp, T.L. &amp; Childress, J.F. (2019) </w:t>
      </w:r>
      <w:r w:rsidRPr="007C069C">
        <w:rPr>
          <w:rFonts w:ascii="Times New Roman" w:hAnsi="Times New Roman" w:cs="Times New Roman"/>
          <w:i/>
          <w:iCs/>
        </w:rPr>
        <w:t>Principles of Biomedical Ethics</w:t>
      </w:r>
      <w:r w:rsidRPr="007C069C">
        <w:rPr>
          <w:rFonts w:ascii="Times New Roman" w:hAnsi="Times New Roman" w:cs="Times New Roman"/>
        </w:rPr>
        <w:t xml:space="preserve">. 8th </w:t>
      </w:r>
      <w:proofErr w:type="spellStart"/>
      <w:r w:rsidRPr="007C069C">
        <w:rPr>
          <w:rFonts w:ascii="Times New Roman" w:hAnsi="Times New Roman" w:cs="Times New Roman"/>
        </w:rPr>
        <w:t>edn</w:t>
      </w:r>
      <w:proofErr w:type="spellEnd"/>
      <w:r w:rsidRPr="007C069C">
        <w:rPr>
          <w:rFonts w:ascii="Times New Roman" w:hAnsi="Times New Roman" w:cs="Times New Roman"/>
        </w:rPr>
        <w:t xml:space="preserve">. Oxford: Oxford University Press. Available at: </w:t>
      </w:r>
      <w:hyperlink r:id="rId9" w:tgtFrame="_blank" w:tooltip="global.oup.com" w:history="1">
        <w:r w:rsidRPr="007C069C">
          <w:rPr>
            <w:rStyle w:val="Hyperlink"/>
            <w:rFonts w:ascii="Times New Roman" w:hAnsi="Times New Roman" w:cs="Times New Roman"/>
          </w:rPr>
          <w:t>https://global.oup.com/academic/product/principles-of-biomedical-ethics-9780190640873</w:t>
        </w:r>
      </w:hyperlink>
      <w:r w:rsidRPr="007C069C">
        <w:rPr>
          <w:rFonts w:ascii="Times New Roman" w:hAnsi="Times New Roman" w:cs="Times New Roman"/>
        </w:rPr>
        <w:t xml:space="preserve"> (Accessed: 16 July 2026).</w:t>
      </w:r>
    </w:p>
    <w:p w14:paraId="40BCD943" w14:textId="77777777" w:rsidR="00774802" w:rsidRPr="007C069C" w:rsidRDefault="00774802" w:rsidP="007C069C">
      <w:pPr>
        <w:pStyle w:val="ListParagraph"/>
        <w:numPr>
          <w:ilvl w:val="0"/>
          <w:numId w:val="6"/>
        </w:numPr>
        <w:rPr>
          <w:rFonts w:ascii="Times New Roman" w:hAnsi="Times New Roman" w:cs="Times New Roman"/>
        </w:rPr>
      </w:pPr>
      <w:r w:rsidRPr="007C069C">
        <w:rPr>
          <w:rFonts w:ascii="Times New Roman" w:hAnsi="Times New Roman" w:cs="Times New Roman"/>
        </w:rPr>
        <w:t xml:space="preserve">Care Quality Commission (CQC) (2025) </w:t>
      </w:r>
      <w:r w:rsidRPr="007C069C">
        <w:rPr>
          <w:rFonts w:ascii="Times New Roman" w:hAnsi="Times New Roman" w:cs="Times New Roman"/>
          <w:i/>
          <w:iCs/>
        </w:rPr>
        <w:t>Partnerships and communities</w:t>
      </w:r>
      <w:r w:rsidRPr="007C069C">
        <w:rPr>
          <w:rFonts w:ascii="Times New Roman" w:hAnsi="Times New Roman" w:cs="Times New Roman"/>
        </w:rPr>
        <w:t xml:space="preserve">. Available at: </w:t>
      </w:r>
      <w:hyperlink r:id="rId10" w:tgtFrame="_blank" w:tooltip="www.cqc.org.uk" w:history="1">
        <w:r w:rsidRPr="007C069C">
          <w:rPr>
            <w:rStyle w:val="Hyperlink"/>
            <w:rFonts w:ascii="Times New Roman" w:hAnsi="Times New Roman" w:cs="Times New Roman"/>
          </w:rPr>
          <w:t>https://www.cqc.org.uk/guidance-regulation/local-authorities/assessment-framework/theme2/partnerships</w:t>
        </w:r>
      </w:hyperlink>
      <w:r w:rsidRPr="007C069C">
        <w:rPr>
          <w:rFonts w:ascii="Times New Roman" w:hAnsi="Times New Roman" w:cs="Times New Roman"/>
        </w:rPr>
        <w:t xml:space="preserve"> (Accessed: 16 July 2026).</w:t>
      </w:r>
    </w:p>
    <w:p w14:paraId="27E7A480" w14:textId="77777777" w:rsidR="00774802" w:rsidRPr="007C069C" w:rsidRDefault="00774802" w:rsidP="007C069C">
      <w:pPr>
        <w:pStyle w:val="ListParagraph"/>
        <w:numPr>
          <w:ilvl w:val="0"/>
          <w:numId w:val="6"/>
        </w:numPr>
        <w:rPr>
          <w:rFonts w:ascii="Times New Roman" w:hAnsi="Times New Roman" w:cs="Times New Roman"/>
        </w:rPr>
      </w:pPr>
      <w:r w:rsidRPr="007C069C">
        <w:rPr>
          <w:rFonts w:ascii="Times New Roman" w:hAnsi="Times New Roman" w:cs="Times New Roman"/>
        </w:rPr>
        <w:t xml:space="preserve">Chase, P. (2020) </w:t>
      </w:r>
      <w:r w:rsidRPr="007C069C">
        <w:rPr>
          <w:rFonts w:ascii="Times New Roman" w:hAnsi="Times New Roman" w:cs="Times New Roman"/>
          <w:i/>
          <w:iCs/>
        </w:rPr>
        <w:t>What are the benefits and importance of person-centred care?</w:t>
      </w:r>
      <w:r w:rsidRPr="007C069C">
        <w:rPr>
          <w:rFonts w:ascii="Times New Roman" w:hAnsi="Times New Roman" w:cs="Times New Roman"/>
        </w:rPr>
        <w:t xml:space="preserve"> Nurses Group Homecare. Available at: </w:t>
      </w:r>
      <w:hyperlink r:id="rId11" w:tgtFrame="_blank" w:tooltip="nursesgrouphomecare.co.uk" w:history="1">
        <w:r w:rsidRPr="007C069C">
          <w:rPr>
            <w:rStyle w:val="Hyperlink"/>
            <w:rFonts w:ascii="Times New Roman" w:hAnsi="Times New Roman" w:cs="Times New Roman"/>
          </w:rPr>
          <w:t>https://nursesgrouphomecare.co.uk/person-centred-care-importance</w:t>
        </w:r>
      </w:hyperlink>
      <w:r w:rsidRPr="007C069C">
        <w:rPr>
          <w:rFonts w:ascii="Times New Roman" w:hAnsi="Times New Roman" w:cs="Times New Roman"/>
        </w:rPr>
        <w:t xml:space="preserve"> (Accessed: 16 July 2026).</w:t>
      </w:r>
    </w:p>
    <w:p w14:paraId="7C9E8F13" w14:textId="77777777" w:rsidR="00774802" w:rsidRPr="007C069C" w:rsidRDefault="00774802" w:rsidP="007C069C">
      <w:pPr>
        <w:pStyle w:val="ListParagraph"/>
        <w:numPr>
          <w:ilvl w:val="0"/>
          <w:numId w:val="6"/>
        </w:numPr>
        <w:rPr>
          <w:rFonts w:ascii="Times New Roman" w:hAnsi="Times New Roman" w:cs="Times New Roman"/>
        </w:rPr>
      </w:pPr>
      <w:r w:rsidRPr="007C069C">
        <w:rPr>
          <w:rFonts w:ascii="Times New Roman" w:hAnsi="Times New Roman" w:cs="Times New Roman"/>
        </w:rPr>
        <w:t xml:space="preserve">Cherry, K. (2024) </w:t>
      </w:r>
      <w:r w:rsidRPr="007C069C">
        <w:rPr>
          <w:rFonts w:ascii="Times New Roman" w:hAnsi="Times New Roman" w:cs="Times New Roman"/>
          <w:i/>
          <w:iCs/>
        </w:rPr>
        <w:t>Maslow’s hierarchy of needs</w:t>
      </w:r>
      <w:r w:rsidRPr="007C069C">
        <w:rPr>
          <w:rFonts w:ascii="Times New Roman" w:hAnsi="Times New Roman" w:cs="Times New Roman"/>
        </w:rPr>
        <w:t xml:space="preserve">. </w:t>
      </w:r>
      <w:proofErr w:type="spellStart"/>
      <w:r w:rsidRPr="007C069C">
        <w:rPr>
          <w:rFonts w:ascii="Times New Roman" w:hAnsi="Times New Roman" w:cs="Times New Roman"/>
        </w:rPr>
        <w:t>VeryWellMind</w:t>
      </w:r>
      <w:proofErr w:type="spellEnd"/>
      <w:r w:rsidRPr="007C069C">
        <w:rPr>
          <w:rFonts w:ascii="Times New Roman" w:hAnsi="Times New Roman" w:cs="Times New Roman"/>
        </w:rPr>
        <w:t xml:space="preserve">. Available at: </w:t>
      </w:r>
      <w:hyperlink r:id="rId12" w:tgtFrame="_blank" w:tooltip="www.verywellmind.com" w:history="1">
        <w:r w:rsidRPr="007C069C">
          <w:rPr>
            <w:rStyle w:val="Hyperlink"/>
            <w:rFonts w:ascii="Times New Roman" w:hAnsi="Times New Roman" w:cs="Times New Roman"/>
          </w:rPr>
          <w:t>https://www.verywellmind.com/what-is-maslows-hierarchy-of-needs-4136760</w:t>
        </w:r>
      </w:hyperlink>
      <w:r w:rsidRPr="007C069C">
        <w:rPr>
          <w:rFonts w:ascii="Times New Roman" w:hAnsi="Times New Roman" w:cs="Times New Roman"/>
        </w:rPr>
        <w:t xml:space="preserve"> (Accessed: 16 July 2026).</w:t>
      </w:r>
    </w:p>
    <w:p w14:paraId="69E3BE2A" w14:textId="77777777" w:rsidR="00774802" w:rsidRPr="007C069C" w:rsidRDefault="00774802" w:rsidP="007C069C">
      <w:pPr>
        <w:pStyle w:val="ListParagraph"/>
        <w:numPr>
          <w:ilvl w:val="0"/>
          <w:numId w:val="6"/>
        </w:numPr>
        <w:rPr>
          <w:rFonts w:ascii="Times New Roman" w:hAnsi="Times New Roman" w:cs="Times New Roman"/>
        </w:rPr>
      </w:pPr>
      <w:r w:rsidRPr="007C069C">
        <w:rPr>
          <w:rFonts w:ascii="Times New Roman" w:hAnsi="Times New Roman" w:cs="Times New Roman"/>
        </w:rPr>
        <w:t xml:space="preserve">Department of Health (2014) </w:t>
      </w:r>
      <w:r w:rsidRPr="007C069C">
        <w:rPr>
          <w:rFonts w:ascii="Times New Roman" w:hAnsi="Times New Roman" w:cs="Times New Roman"/>
          <w:i/>
          <w:iCs/>
        </w:rPr>
        <w:t>Care Act 2014</w:t>
      </w:r>
      <w:r w:rsidRPr="007C069C">
        <w:rPr>
          <w:rFonts w:ascii="Times New Roman" w:hAnsi="Times New Roman" w:cs="Times New Roman"/>
        </w:rPr>
        <w:t xml:space="preserve">. London: HMSO. Available at: </w:t>
      </w:r>
      <w:hyperlink r:id="rId13" w:tgtFrame="_blank" w:tooltip="www.legislation.gov.uk" w:history="1">
        <w:r w:rsidRPr="007C069C">
          <w:rPr>
            <w:rStyle w:val="Hyperlink"/>
            <w:rFonts w:ascii="Times New Roman" w:hAnsi="Times New Roman" w:cs="Times New Roman"/>
          </w:rPr>
          <w:t>https://www.legislation.gov.uk/ukpga/2014/23/contents</w:t>
        </w:r>
      </w:hyperlink>
      <w:r w:rsidRPr="007C069C">
        <w:rPr>
          <w:rFonts w:ascii="Times New Roman" w:hAnsi="Times New Roman" w:cs="Times New Roman"/>
        </w:rPr>
        <w:t xml:space="preserve"> (Accessed: 16 July 2026).</w:t>
      </w:r>
    </w:p>
    <w:p w14:paraId="6103519C" w14:textId="46880A98" w:rsidR="00774802" w:rsidRPr="007C069C" w:rsidRDefault="00774802" w:rsidP="007C069C">
      <w:pPr>
        <w:pStyle w:val="ListParagraph"/>
        <w:numPr>
          <w:ilvl w:val="0"/>
          <w:numId w:val="6"/>
        </w:numPr>
        <w:rPr>
          <w:rFonts w:ascii="Times New Roman" w:hAnsi="Times New Roman" w:cs="Times New Roman"/>
        </w:rPr>
      </w:pPr>
      <w:r w:rsidRPr="007C069C">
        <w:rPr>
          <w:rFonts w:ascii="Times New Roman" w:hAnsi="Times New Roman" w:cs="Times New Roman"/>
        </w:rPr>
        <w:t xml:space="preserve">Department of Health and Social Care (2022) </w:t>
      </w:r>
      <w:r w:rsidRPr="007C069C">
        <w:rPr>
          <w:rFonts w:ascii="Times New Roman" w:hAnsi="Times New Roman" w:cs="Times New Roman"/>
          <w:i/>
          <w:iCs/>
        </w:rPr>
        <w:t>Health and Care Act 2022</w:t>
      </w:r>
      <w:r w:rsidRPr="007C069C">
        <w:rPr>
          <w:rFonts w:ascii="Times New Roman" w:hAnsi="Times New Roman" w:cs="Times New Roman"/>
        </w:rPr>
        <w:t xml:space="preserve">. London: HMSO. Available at: </w:t>
      </w:r>
      <w:hyperlink r:id="rId14" w:tgtFrame="_blank" w:tooltip="www.legislation.gov.uk" w:history="1">
        <w:r w:rsidRPr="007C069C">
          <w:rPr>
            <w:rStyle w:val="Hyperlink"/>
            <w:rFonts w:ascii="Times New Roman" w:hAnsi="Times New Roman" w:cs="Times New Roman"/>
          </w:rPr>
          <w:t>https://www.legislation.gov.uk/ukpga/2022/31/contents</w:t>
        </w:r>
      </w:hyperlink>
      <w:r w:rsidRPr="007C069C">
        <w:rPr>
          <w:rFonts w:ascii="Times New Roman" w:hAnsi="Times New Roman" w:cs="Times New Roman"/>
        </w:rPr>
        <w:t xml:space="preserve"> (Accessed: 16 July 2026).</w:t>
      </w:r>
    </w:p>
    <w:p w14:paraId="575EAD47" w14:textId="77777777" w:rsidR="00774802" w:rsidRPr="007C069C" w:rsidRDefault="00774802" w:rsidP="007C069C">
      <w:pPr>
        <w:pStyle w:val="ListParagraph"/>
        <w:numPr>
          <w:ilvl w:val="0"/>
          <w:numId w:val="6"/>
        </w:numPr>
        <w:rPr>
          <w:rFonts w:ascii="Times New Roman" w:hAnsi="Times New Roman" w:cs="Times New Roman"/>
        </w:rPr>
      </w:pPr>
      <w:r w:rsidRPr="007C069C">
        <w:rPr>
          <w:rFonts w:ascii="Times New Roman" w:hAnsi="Times New Roman" w:cs="Times New Roman"/>
        </w:rPr>
        <w:t xml:space="preserve">Glasby, J. &amp; Dickinson, H. (2021) </w:t>
      </w:r>
      <w:r w:rsidRPr="007C069C">
        <w:rPr>
          <w:rFonts w:ascii="Times New Roman" w:hAnsi="Times New Roman" w:cs="Times New Roman"/>
          <w:i/>
          <w:iCs/>
        </w:rPr>
        <w:t>Partnership Working in Health and Social Care</w:t>
      </w:r>
      <w:r w:rsidRPr="007C069C">
        <w:rPr>
          <w:rFonts w:ascii="Times New Roman" w:hAnsi="Times New Roman" w:cs="Times New Roman"/>
        </w:rPr>
        <w:t xml:space="preserve">. 3rd </w:t>
      </w:r>
      <w:proofErr w:type="spellStart"/>
      <w:r w:rsidRPr="007C069C">
        <w:rPr>
          <w:rFonts w:ascii="Times New Roman" w:hAnsi="Times New Roman" w:cs="Times New Roman"/>
        </w:rPr>
        <w:t>edn</w:t>
      </w:r>
      <w:proofErr w:type="spellEnd"/>
      <w:r w:rsidRPr="007C069C">
        <w:rPr>
          <w:rFonts w:ascii="Times New Roman" w:hAnsi="Times New Roman" w:cs="Times New Roman"/>
        </w:rPr>
        <w:t xml:space="preserve">. Bristol: Policy Press. Available at: </w:t>
      </w:r>
      <w:hyperlink r:id="rId15" w:tgtFrame="_blank" w:tooltip="policy.bristoluniversitypress.co.uk" w:history="1">
        <w:r w:rsidRPr="007C069C">
          <w:rPr>
            <w:rStyle w:val="Hyperlink"/>
            <w:rFonts w:ascii="Times New Roman" w:hAnsi="Times New Roman" w:cs="Times New Roman"/>
          </w:rPr>
          <w:t>https://policy.bristoluniversitypress.co.uk/partnership-working-in-health-and-social-care</w:t>
        </w:r>
      </w:hyperlink>
      <w:r w:rsidRPr="007C069C">
        <w:rPr>
          <w:rFonts w:ascii="Times New Roman" w:hAnsi="Times New Roman" w:cs="Times New Roman"/>
        </w:rPr>
        <w:t xml:space="preserve"> (Accessed: 16 July 2026).</w:t>
      </w:r>
    </w:p>
    <w:p w14:paraId="05BCA350" w14:textId="77777777" w:rsidR="00774802" w:rsidRPr="007C069C" w:rsidRDefault="00774802" w:rsidP="007C069C">
      <w:pPr>
        <w:pStyle w:val="ListParagraph"/>
        <w:numPr>
          <w:ilvl w:val="0"/>
          <w:numId w:val="6"/>
        </w:numPr>
        <w:rPr>
          <w:rFonts w:ascii="Times New Roman" w:hAnsi="Times New Roman" w:cs="Times New Roman"/>
        </w:rPr>
      </w:pPr>
      <w:r w:rsidRPr="007C069C">
        <w:rPr>
          <w:rFonts w:ascii="Times New Roman" w:hAnsi="Times New Roman" w:cs="Times New Roman"/>
        </w:rPr>
        <w:t xml:space="preserve">HM Government (2010) </w:t>
      </w:r>
      <w:r w:rsidRPr="007C069C">
        <w:rPr>
          <w:rFonts w:ascii="Times New Roman" w:hAnsi="Times New Roman" w:cs="Times New Roman"/>
          <w:i/>
          <w:iCs/>
        </w:rPr>
        <w:t>Equality Act 2010</w:t>
      </w:r>
      <w:r w:rsidRPr="007C069C">
        <w:rPr>
          <w:rFonts w:ascii="Times New Roman" w:hAnsi="Times New Roman" w:cs="Times New Roman"/>
        </w:rPr>
        <w:t xml:space="preserve">. London: HMSO. Available at: </w:t>
      </w:r>
      <w:hyperlink r:id="rId16" w:tgtFrame="_blank" w:tooltip="www.legislation.gov.uk" w:history="1">
        <w:r w:rsidRPr="007C069C">
          <w:rPr>
            <w:rStyle w:val="Hyperlink"/>
            <w:rFonts w:ascii="Times New Roman" w:hAnsi="Times New Roman" w:cs="Times New Roman"/>
          </w:rPr>
          <w:t>https://www.legislation.gov.uk/ukpga/2010/15/contents</w:t>
        </w:r>
      </w:hyperlink>
      <w:r w:rsidRPr="007C069C">
        <w:rPr>
          <w:rFonts w:ascii="Times New Roman" w:hAnsi="Times New Roman" w:cs="Times New Roman"/>
        </w:rPr>
        <w:t xml:space="preserve"> (Accessed: 16 July 2026).</w:t>
      </w:r>
    </w:p>
    <w:p w14:paraId="30D1F8C6" w14:textId="77777777" w:rsidR="00774802" w:rsidRPr="007C069C" w:rsidRDefault="00774802" w:rsidP="007C069C">
      <w:pPr>
        <w:pStyle w:val="ListParagraph"/>
        <w:numPr>
          <w:ilvl w:val="0"/>
          <w:numId w:val="6"/>
        </w:numPr>
        <w:rPr>
          <w:rFonts w:ascii="Times New Roman" w:hAnsi="Times New Roman" w:cs="Times New Roman"/>
        </w:rPr>
      </w:pPr>
      <w:r w:rsidRPr="007C069C">
        <w:rPr>
          <w:rFonts w:ascii="Times New Roman" w:hAnsi="Times New Roman" w:cs="Times New Roman"/>
        </w:rPr>
        <w:t xml:space="preserve">HM Government (2012) </w:t>
      </w:r>
      <w:r w:rsidRPr="007C069C">
        <w:rPr>
          <w:rFonts w:ascii="Times New Roman" w:hAnsi="Times New Roman" w:cs="Times New Roman"/>
          <w:i/>
          <w:iCs/>
        </w:rPr>
        <w:t>Health and Social Care Act 2012</w:t>
      </w:r>
      <w:r w:rsidRPr="007C069C">
        <w:rPr>
          <w:rFonts w:ascii="Times New Roman" w:hAnsi="Times New Roman" w:cs="Times New Roman"/>
        </w:rPr>
        <w:t xml:space="preserve">. London: HMSO. Available at: </w:t>
      </w:r>
      <w:hyperlink r:id="rId17" w:tgtFrame="_blank" w:tooltip="www.legislation.gov.uk" w:history="1">
        <w:r w:rsidRPr="007C069C">
          <w:rPr>
            <w:rStyle w:val="Hyperlink"/>
            <w:rFonts w:ascii="Times New Roman" w:hAnsi="Times New Roman" w:cs="Times New Roman"/>
          </w:rPr>
          <w:t>https://www.legislation.gov.uk/ukpga/2012/7/contents</w:t>
        </w:r>
      </w:hyperlink>
      <w:r w:rsidRPr="007C069C">
        <w:rPr>
          <w:rFonts w:ascii="Times New Roman" w:hAnsi="Times New Roman" w:cs="Times New Roman"/>
        </w:rPr>
        <w:t xml:space="preserve"> (Accessed: 16 July 2026).</w:t>
      </w:r>
    </w:p>
    <w:p w14:paraId="02418D10" w14:textId="77777777" w:rsidR="00774802" w:rsidRPr="007C069C" w:rsidRDefault="00774802" w:rsidP="007C069C">
      <w:pPr>
        <w:pStyle w:val="ListParagraph"/>
        <w:numPr>
          <w:ilvl w:val="0"/>
          <w:numId w:val="6"/>
        </w:numPr>
        <w:rPr>
          <w:rFonts w:ascii="Times New Roman" w:hAnsi="Times New Roman" w:cs="Times New Roman"/>
        </w:rPr>
      </w:pPr>
      <w:r w:rsidRPr="007C069C">
        <w:rPr>
          <w:rFonts w:ascii="Times New Roman" w:hAnsi="Times New Roman" w:cs="Times New Roman"/>
        </w:rPr>
        <w:t xml:space="preserve">Maslow, A.H. (1943) ‘A Theory of Human Motivation’, </w:t>
      </w:r>
      <w:r w:rsidRPr="007C069C">
        <w:rPr>
          <w:rFonts w:ascii="Times New Roman" w:hAnsi="Times New Roman" w:cs="Times New Roman"/>
          <w:i/>
          <w:iCs/>
        </w:rPr>
        <w:t>Psychological Review</w:t>
      </w:r>
      <w:r w:rsidRPr="007C069C">
        <w:rPr>
          <w:rFonts w:ascii="Times New Roman" w:hAnsi="Times New Roman" w:cs="Times New Roman"/>
        </w:rPr>
        <w:t xml:space="preserve">, 50(4), pp. 370–396. Available at: </w:t>
      </w:r>
      <w:hyperlink r:id="rId18" w:tgtFrame="_blank" w:tooltip="psychclassics.yorku.ca" w:history="1">
        <w:r w:rsidRPr="007C069C">
          <w:rPr>
            <w:rStyle w:val="Hyperlink"/>
            <w:rFonts w:ascii="Times New Roman" w:hAnsi="Times New Roman" w:cs="Times New Roman"/>
          </w:rPr>
          <w:t>https://psychclassics.yorku.ca/Maslow/motivation.htm</w:t>
        </w:r>
      </w:hyperlink>
      <w:r w:rsidRPr="007C069C">
        <w:rPr>
          <w:rFonts w:ascii="Times New Roman" w:hAnsi="Times New Roman" w:cs="Times New Roman"/>
        </w:rPr>
        <w:t xml:space="preserve"> (Accessed: 16 July 2026).</w:t>
      </w:r>
    </w:p>
    <w:p w14:paraId="27CD5D14" w14:textId="7A9551EB" w:rsidR="00774802" w:rsidRPr="007C069C" w:rsidRDefault="00774802" w:rsidP="007C069C">
      <w:pPr>
        <w:pStyle w:val="ListParagraph"/>
        <w:numPr>
          <w:ilvl w:val="0"/>
          <w:numId w:val="6"/>
        </w:numPr>
        <w:rPr>
          <w:rFonts w:ascii="Times New Roman" w:hAnsi="Times New Roman" w:cs="Times New Roman"/>
        </w:rPr>
      </w:pPr>
      <w:r w:rsidRPr="007C069C">
        <w:rPr>
          <w:rFonts w:ascii="Times New Roman" w:hAnsi="Times New Roman" w:cs="Times New Roman"/>
        </w:rPr>
        <w:t xml:space="preserve">McCance, T. &amp; McCormack, B. (2017) </w:t>
      </w:r>
      <w:r w:rsidRPr="007C069C">
        <w:rPr>
          <w:rFonts w:ascii="Times New Roman" w:hAnsi="Times New Roman" w:cs="Times New Roman"/>
          <w:i/>
          <w:iCs/>
        </w:rPr>
        <w:t>The Person-centred Practice Framework</w:t>
      </w:r>
      <w:r w:rsidRPr="007C069C">
        <w:rPr>
          <w:rFonts w:ascii="Times New Roman" w:hAnsi="Times New Roman" w:cs="Times New Roman"/>
        </w:rPr>
        <w:t xml:space="preserve">. Nurse Key. Available at: </w:t>
      </w:r>
      <w:hyperlink r:id="rId19" w:history="1">
        <w:r w:rsidRPr="007C069C">
          <w:rPr>
            <w:rStyle w:val="Hyperlink"/>
            <w:rFonts w:ascii="Times New Roman" w:hAnsi="Times New Roman" w:cs="Times New Roman"/>
          </w:rPr>
          <w:t>https://nursekey.com/the-person-centred-practice-framework/</w:t>
        </w:r>
      </w:hyperlink>
      <w:r w:rsidRPr="007C069C">
        <w:rPr>
          <w:rFonts w:ascii="Times New Roman" w:hAnsi="Times New Roman" w:cs="Times New Roman"/>
        </w:rPr>
        <w:t xml:space="preserve"> (Accessed: 16 July 2026).</w:t>
      </w:r>
    </w:p>
    <w:p w14:paraId="0C789FF0" w14:textId="77777777" w:rsidR="00774802" w:rsidRPr="007C069C" w:rsidRDefault="00774802" w:rsidP="007C069C">
      <w:pPr>
        <w:pStyle w:val="ListParagraph"/>
        <w:numPr>
          <w:ilvl w:val="0"/>
          <w:numId w:val="6"/>
        </w:numPr>
        <w:rPr>
          <w:rFonts w:ascii="Times New Roman" w:hAnsi="Times New Roman" w:cs="Times New Roman"/>
        </w:rPr>
      </w:pPr>
      <w:r w:rsidRPr="007C069C">
        <w:rPr>
          <w:rFonts w:ascii="Times New Roman" w:hAnsi="Times New Roman" w:cs="Times New Roman"/>
        </w:rPr>
        <w:t xml:space="preserve">McCormack, B. &amp; McCance, T. (2017) </w:t>
      </w:r>
      <w:r w:rsidRPr="007C069C">
        <w:rPr>
          <w:rFonts w:ascii="Times New Roman" w:hAnsi="Times New Roman" w:cs="Times New Roman"/>
          <w:i/>
          <w:iCs/>
        </w:rPr>
        <w:t>Person Centred Practice in Nursing and Health Care: Theory and Practice</w:t>
      </w:r>
      <w:r w:rsidRPr="007C069C">
        <w:rPr>
          <w:rFonts w:ascii="Times New Roman" w:hAnsi="Times New Roman" w:cs="Times New Roman"/>
        </w:rPr>
        <w:t xml:space="preserve">. 2nd </w:t>
      </w:r>
      <w:proofErr w:type="spellStart"/>
      <w:r w:rsidRPr="007C069C">
        <w:rPr>
          <w:rFonts w:ascii="Times New Roman" w:hAnsi="Times New Roman" w:cs="Times New Roman"/>
        </w:rPr>
        <w:t>edn</w:t>
      </w:r>
      <w:proofErr w:type="spellEnd"/>
      <w:r w:rsidRPr="007C069C">
        <w:rPr>
          <w:rFonts w:ascii="Times New Roman" w:hAnsi="Times New Roman" w:cs="Times New Roman"/>
        </w:rPr>
        <w:t xml:space="preserve">. Oxford: Wiley Blackwell. Available at: </w:t>
      </w:r>
      <w:hyperlink r:id="rId20" w:tgtFrame="_blank" w:tooltip="www.wiley.com" w:history="1">
        <w:r w:rsidRPr="007C069C">
          <w:rPr>
            <w:rStyle w:val="Hyperlink"/>
            <w:rFonts w:ascii="Times New Roman" w:hAnsi="Times New Roman" w:cs="Times New Roman"/>
          </w:rPr>
          <w:t>https://www.wiley.com/en-gb/Person+Centred+Practice+in+Nursing+and+Health+Care%3A+Theory+and+Practice%2C+2nd+Edition-p-9781118998854</w:t>
        </w:r>
      </w:hyperlink>
      <w:r w:rsidRPr="007C069C">
        <w:rPr>
          <w:rFonts w:ascii="Times New Roman" w:hAnsi="Times New Roman" w:cs="Times New Roman"/>
        </w:rPr>
        <w:t xml:space="preserve"> (Accessed: 16 July 2026).</w:t>
      </w:r>
    </w:p>
    <w:p w14:paraId="0A9C723D" w14:textId="77777777" w:rsidR="00774802" w:rsidRPr="007C069C" w:rsidRDefault="00774802" w:rsidP="007C069C">
      <w:pPr>
        <w:pStyle w:val="ListParagraph"/>
        <w:numPr>
          <w:ilvl w:val="0"/>
          <w:numId w:val="6"/>
        </w:numPr>
        <w:rPr>
          <w:rFonts w:ascii="Times New Roman" w:hAnsi="Times New Roman" w:cs="Times New Roman"/>
        </w:rPr>
      </w:pPr>
      <w:r w:rsidRPr="007C069C">
        <w:rPr>
          <w:rFonts w:ascii="Times New Roman" w:hAnsi="Times New Roman" w:cs="Times New Roman"/>
        </w:rPr>
        <w:t xml:space="preserve">NHS England (2019) </w:t>
      </w:r>
      <w:r w:rsidRPr="007C069C">
        <w:rPr>
          <w:rFonts w:ascii="Times New Roman" w:hAnsi="Times New Roman" w:cs="Times New Roman"/>
          <w:i/>
          <w:iCs/>
        </w:rPr>
        <w:t>The NHS Long Term Plan</w:t>
      </w:r>
      <w:r w:rsidRPr="007C069C">
        <w:rPr>
          <w:rFonts w:ascii="Times New Roman" w:hAnsi="Times New Roman" w:cs="Times New Roman"/>
        </w:rPr>
        <w:t xml:space="preserve">. London: NHS England. Available at: </w:t>
      </w:r>
      <w:hyperlink r:id="rId21" w:tgtFrame="_blank" w:tooltip="www.longtermplan.nhs.uk" w:history="1">
        <w:r w:rsidRPr="007C069C">
          <w:rPr>
            <w:rStyle w:val="Hyperlink"/>
            <w:rFonts w:ascii="Times New Roman" w:hAnsi="Times New Roman" w:cs="Times New Roman"/>
          </w:rPr>
          <w:t>https://www.longtermplan.nhs.uk/</w:t>
        </w:r>
      </w:hyperlink>
      <w:r w:rsidRPr="007C069C">
        <w:rPr>
          <w:rFonts w:ascii="Times New Roman" w:hAnsi="Times New Roman" w:cs="Times New Roman"/>
        </w:rPr>
        <w:t xml:space="preserve"> (Accessed: 16 July 2026).</w:t>
      </w:r>
    </w:p>
    <w:p w14:paraId="2ED73C8B" w14:textId="77777777" w:rsidR="00774802" w:rsidRPr="007C069C" w:rsidRDefault="00774802" w:rsidP="007C069C">
      <w:pPr>
        <w:pStyle w:val="ListParagraph"/>
        <w:numPr>
          <w:ilvl w:val="0"/>
          <w:numId w:val="6"/>
        </w:numPr>
        <w:rPr>
          <w:rFonts w:ascii="Times New Roman" w:hAnsi="Times New Roman" w:cs="Times New Roman"/>
        </w:rPr>
      </w:pPr>
      <w:r w:rsidRPr="007C069C">
        <w:rPr>
          <w:rFonts w:ascii="Times New Roman" w:hAnsi="Times New Roman" w:cs="Times New Roman"/>
        </w:rPr>
        <w:t xml:space="preserve">NHS England (2021) </w:t>
      </w:r>
      <w:r w:rsidRPr="007C069C">
        <w:rPr>
          <w:rFonts w:ascii="Times New Roman" w:hAnsi="Times New Roman" w:cs="Times New Roman"/>
          <w:i/>
          <w:iCs/>
        </w:rPr>
        <w:t>Integrated Care Systems: Design Framework</w:t>
      </w:r>
      <w:r w:rsidRPr="007C069C">
        <w:rPr>
          <w:rFonts w:ascii="Times New Roman" w:hAnsi="Times New Roman" w:cs="Times New Roman"/>
        </w:rPr>
        <w:t xml:space="preserve">. Available at: </w:t>
      </w:r>
      <w:hyperlink r:id="rId22" w:tgtFrame="_blank" w:tooltip="www.england.nhs.uk" w:history="1">
        <w:r w:rsidRPr="007C069C">
          <w:rPr>
            <w:rStyle w:val="Hyperlink"/>
            <w:rFonts w:ascii="Times New Roman" w:hAnsi="Times New Roman" w:cs="Times New Roman"/>
          </w:rPr>
          <w:t>https://www.england.nhs.uk/wp-content/uploads/2021/06/B0642-ics-design-framework-june-2021.pdf</w:t>
        </w:r>
      </w:hyperlink>
      <w:r w:rsidRPr="007C069C">
        <w:rPr>
          <w:rFonts w:ascii="Times New Roman" w:hAnsi="Times New Roman" w:cs="Times New Roman"/>
        </w:rPr>
        <w:t xml:space="preserve"> (Accessed: 16 July 2026).</w:t>
      </w:r>
    </w:p>
    <w:p w14:paraId="65354C4A" w14:textId="77777777" w:rsidR="00774802" w:rsidRPr="007C069C" w:rsidRDefault="00774802" w:rsidP="007C069C">
      <w:pPr>
        <w:pStyle w:val="ListParagraph"/>
        <w:numPr>
          <w:ilvl w:val="0"/>
          <w:numId w:val="6"/>
        </w:numPr>
        <w:rPr>
          <w:rFonts w:ascii="Times New Roman" w:hAnsi="Times New Roman" w:cs="Times New Roman"/>
        </w:rPr>
      </w:pPr>
      <w:r w:rsidRPr="007C069C">
        <w:rPr>
          <w:rFonts w:ascii="Times New Roman" w:hAnsi="Times New Roman" w:cs="Times New Roman"/>
        </w:rPr>
        <w:t xml:space="preserve">Rogers, C.R. (1961) </w:t>
      </w:r>
      <w:r w:rsidRPr="007C069C">
        <w:rPr>
          <w:rFonts w:ascii="Times New Roman" w:hAnsi="Times New Roman" w:cs="Times New Roman"/>
          <w:i/>
          <w:iCs/>
        </w:rPr>
        <w:t>On Becoming a Person</w:t>
      </w:r>
      <w:r w:rsidRPr="007C069C">
        <w:rPr>
          <w:rFonts w:ascii="Times New Roman" w:hAnsi="Times New Roman" w:cs="Times New Roman"/>
        </w:rPr>
        <w:t xml:space="preserve">. Boston: Houghton Mifflin. (Accessible overview) Available at: </w:t>
      </w:r>
      <w:hyperlink r:id="rId23" w:tgtFrame="_blank" w:tooltip="www.goodreads.com" w:history="1">
        <w:r w:rsidRPr="007C069C">
          <w:rPr>
            <w:rStyle w:val="Hyperlink"/>
            <w:rFonts w:ascii="Times New Roman" w:hAnsi="Times New Roman" w:cs="Times New Roman"/>
          </w:rPr>
          <w:t>https://www.goodreads.com/book/show/25678.On_Becoming_a_Person</w:t>
        </w:r>
      </w:hyperlink>
      <w:r w:rsidRPr="007C069C">
        <w:rPr>
          <w:rFonts w:ascii="Times New Roman" w:hAnsi="Times New Roman" w:cs="Times New Roman"/>
        </w:rPr>
        <w:t xml:space="preserve"> (Accessed: 16 July 2026).</w:t>
      </w:r>
    </w:p>
    <w:p w14:paraId="48BC8DFF" w14:textId="54EB62D7" w:rsidR="00774802" w:rsidRPr="007C069C" w:rsidRDefault="00774802" w:rsidP="007C069C">
      <w:pPr>
        <w:pStyle w:val="ListParagraph"/>
        <w:numPr>
          <w:ilvl w:val="0"/>
          <w:numId w:val="6"/>
        </w:numPr>
        <w:rPr>
          <w:rFonts w:ascii="Times New Roman" w:hAnsi="Times New Roman" w:cs="Times New Roman"/>
        </w:rPr>
      </w:pPr>
      <w:r w:rsidRPr="007C069C">
        <w:rPr>
          <w:rFonts w:ascii="Times New Roman" w:hAnsi="Times New Roman" w:cs="Times New Roman"/>
        </w:rPr>
        <w:t xml:space="preserve">World Health Organization (WHO) (2016) </w:t>
      </w:r>
      <w:r w:rsidRPr="007C069C">
        <w:rPr>
          <w:rFonts w:ascii="Times New Roman" w:hAnsi="Times New Roman" w:cs="Times New Roman"/>
          <w:i/>
          <w:iCs/>
        </w:rPr>
        <w:t>Framework on Integrated, People Centred Health Services</w:t>
      </w:r>
      <w:r w:rsidRPr="007C069C">
        <w:rPr>
          <w:rFonts w:ascii="Times New Roman" w:hAnsi="Times New Roman" w:cs="Times New Roman"/>
        </w:rPr>
        <w:t xml:space="preserve">. Available at: </w:t>
      </w:r>
      <w:hyperlink r:id="rId24" w:tgtFrame="_blank" w:tooltip="www.who.int" w:history="1">
        <w:r w:rsidRPr="007C069C">
          <w:rPr>
            <w:rStyle w:val="Hyperlink"/>
            <w:rFonts w:ascii="Times New Roman" w:hAnsi="Times New Roman" w:cs="Times New Roman"/>
          </w:rPr>
          <w:t>https://www.who.int/publications/i/item/9789241564977</w:t>
        </w:r>
      </w:hyperlink>
      <w:r w:rsidRPr="007C069C">
        <w:rPr>
          <w:rFonts w:ascii="Times New Roman" w:hAnsi="Times New Roman" w:cs="Times New Roman"/>
        </w:rPr>
        <w:t xml:space="preserve"> (Accessed: 16 July 2026)</w:t>
      </w:r>
      <w:r w:rsidR="00511CBA" w:rsidRPr="007C069C">
        <w:rPr>
          <w:rFonts w:ascii="Times New Roman" w:hAnsi="Times New Roman" w:cs="Times New Roman"/>
        </w:rPr>
        <w:t>.</w:t>
      </w:r>
    </w:p>
    <w:p w14:paraId="207B2254" w14:textId="77777777" w:rsidR="00774802" w:rsidRPr="00774802" w:rsidRDefault="00774802" w:rsidP="00B30765">
      <w:pPr>
        <w:rPr>
          <w:rFonts w:ascii="Times New Roman" w:hAnsi="Times New Roman" w:cs="Times New Roman"/>
        </w:rPr>
      </w:pPr>
    </w:p>
    <w:sectPr w:rsidR="00774802" w:rsidRPr="00774802">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4E30E6" w14:textId="77777777" w:rsidR="001B234F" w:rsidRDefault="001B234F" w:rsidP="000F1157">
      <w:pPr>
        <w:spacing w:after="0" w:line="240" w:lineRule="auto"/>
      </w:pPr>
      <w:r>
        <w:separator/>
      </w:r>
    </w:p>
  </w:endnote>
  <w:endnote w:type="continuationSeparator" w:id="0">
    <w:p w14:paraId="3E83E830" w14:textId="77777777" w:rsidR="001B234F" w:rsidRDefault="001B234F" w:rsidP="000F1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3477438"/>
      <w:docPartObj>
        <w:docPartGallery w:val="Page Numbers (Bottom of Page)"/>
        <w:docPartUnique/>
      </w:docPartObj>
    </w:sdtPr>
    <w:sdtContent>
      <w:p w14:paraId="392EF509" w14:textId="3EDC0514" w:rsidR="00530930" w:rsidRDefault="00530930">
        <w:pPr>
          <w:pStyle w:val="Footer"/>
          <w:jc w:val="center"/>
        </w:pPr>
        <w:r>
          <w:fldChar w:fldCharType="begin"/>
        </w:r>
        <w:r>
          <w:instrText>PAGE   \* MERGEFORMAT</w:instrText>
        </w:r>
        <w:r>
          <w:fldChar w:fldCharType="separate"/>
        </w:r>
        <w:r>
          <w:t>2</w:t>
        </w:r>
        <w:r>
          <w:fldChar w:fldCharType="end"/>
        </w:r>
      </w:p>
    </w:sdtContent>
  </w:sdt>
  <w:p w14:paraId="39918250" w14:textId="77777777" w:rsidR="00814278" w:rsidRDefault="008142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60D0D4" w14:textId="77777777" w:rsidR="001B234F" w:rsidRDefault="001B234F" w:rsidP="000F1157">
      <w:pPr>
        <w:spacing w:after="0" w:line="240" w:lineRule="auto"/>
      </w:pPr>
      <w:r>
        <w:separator/>
      </w:r>
    </w:p>
  </w:footnote>
  <w:footnote w:type="continuationSeparator" w:id="0">
    <w:p w14:paraId="02B26183" w14:textId="77777777" w:rsidR="001B234F" w:rsidRDefault="001B234F" w:rsidP="000F11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04208"/>
    <w:multiLevelType w:val="hybridMultilevel"/>
    <w:tmpl w:val="438E0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D96A0C"/>
    <w:multiLevelType w:val="multilevel"/>
    <w:tmpl w:val="313420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FC70D8"/>
    <w:multiLevelType w:val="hybridMultilevel"/>
    <w:tmpl w:val="9E128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302E11"/>
    <w:multiLevelType w:val="hybridMultilevel"/>
    <w:tmpl w:val="F9A48E2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437F19CC"/>
    <w:multiLevelType w:val="hybridMultilevel"/>
    <w:tmpl w:val="B29C9C3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49A46C60"/>
    <w:multiLevelType w:val="multilevel"/>
    <w:tmpl w:val="E6060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5B383E"/>
    <w:multiLevelType w:val="hybridMultilevel"/>
    <w:tmpl w:val="AA089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1216C6"/>
    <w:multiLevelType w:val="multilevel"/>
    <w:tmpl w:val="B16AA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4288104">
    <w:abstractNumId w:val="1"/>
  </w:num>
  <w:num w:numId="2" w16cid:durableId="64961667">
    <w:abstractNumId w:val="3"/>
  </w:num>
  <w:num w:numId="3" w16cid:durableId="434904981">
    <w:abstractNumId w:val="4"/>
  </w:num>
  <w:num w:numId="4" w16cid:durableId="326246842">
    <w:abstractNumId w:val="0"/>
  </w:num>
  <w:num w:numId="5" w16cid:durableId="445346914">
    <w:abstractNumId w:val="2"/>
  </w:num>
  <w:num w:numId="6" w16cid:durableId="1875462967">
    <w:abstractNumId w:val="6"/>
  </w:num>
  <w:num w:numId="7" w16cid:durableId="1658797696">
    <w:abstractNumId w:val="5"/>
  </w:num>
  <w:num w:numId="8" w16cid:durableId="5602863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B44"/>
    <w:rsid w:val="000046B9"/>
    <w:rsid w:val="00006BDC"/>
    <w:rsid w:val="00051F76"/>
    <w:rsid w:val="00054CC1"/>
    <w:rsid w:val="00073BFC"/>
    <w:rsid w:val="000A658D"/>
    <w:rsid w:val="000B4395"/>
    <w:rsid w:val="000B43A4"/>
    <w:rsid w:val="000F1157"/>
    <w:rsid w:val="00104B44"/>
    <w:rsid w:val="00111541"/>
    <w:rsid w:val="00120189"/>
    <w:rsid w:val="00143520"/>
    <w:rsid w:val="00145307"/>
    <w:rsid w:val="00160155"/>
    <w:rsid w:val="001679F2"/>
    <w:rsid w:val="0018161D"/>
    <w:rsid w:val="00184935"/>
    <w:rsid w:val="00194EF8"/>
    <w:rsid w:val="001B1C37"/>
    <w:rsid w:val="001B234F"/>
    <w:rsid w:val="001B706C"/>
    <w:rsid w:val="001E0278"/>
    <w:rsid w:val="001F3993"/>
    <w:rsid w:val="001F5C75"/>
    <w:rsid w:val="002416DE"/>
    <w:rsid w:val="00245283"/>
    <w:rsid w:val="00283E2C"/>
    <w:rsid w:val="00295201"/>
    <w:rsid w:val="002A502B"/>
    <w:rsid w:val="002C032C"/>
    <w:rsid w:val="002C2783"/>
    <w:rsid w:val="002C5EF2"/>
    <w:rsid w:val="002E068A"/>
    <w:rsid w:val="002E5605"/>
    <w:rsid w:val="002F0F1E"/>
    <w:rsid w:val="0031528A"/>
    <w:rsid w:val="00315E9B"/>
    <w:rsid w:val="00324778"/>
    <w:rsid w:val="00332D28"/>
    <w:rsid w:val="00334907"/>
    <w:rsid w:val="0033542C"/>
    <w:rsid w:val="00342CB0"/>
    <w:rsid w:val="00344D77"/>
    <w:rsid w:val="003603DD"/>
    <w:rsid w:val="00362FA6"/>
    <w:rsid w:val="00363731"/>
    <w:rsid w:val="00390656"/>
    <w:rsid w:val="0039145A"/>
    <w:rsid w:val="00393C30"/>
    <w:rsid w:val="003A672B"/>
    <w:rsid w:val="003A74D7"/>
    <w:rsid w:val="003B3872"/>
    <w:rsid w:val="003E5105"/>
    <w:rsid w:val="003F4FA5"/>
    <w:rsid w:val="003F6C4C"/>
    <w:rsid w:val="00401962"/>
    <w:rsid w:val="0041661D"/>
    <w:rsid w:val="0042374A"/>
    <w:rsid w:val="00440274"/>
    <w:rsid w:val="00443C45"/>
    <w:rsid w:val="00453915"/>
    <w:rsid w:val="0048000C"/>
    <w:rsid w:val="004B5E4B"/>
    <w:rsid w:val="004B70D1"/>
    <w:rsid w:val="004C53DB"/>
    <w:rsid w:val="004D2605"/>
    <w:rsid w:val="004D2DB2"/>
    <w:rsid w:val="00501DD3"/>
    <w:rsid w:val="00511CBA"/>
    <w:rsid w:val="00515E6E"/>
    <w:rsid w:val="00517F72"/>
    <w:rsid w:val="00526BF7"/>
    <w:rsid w:val="00527692"/>
    <w:rsid w:val="00530930"/>
    <w:rsid w:val="005314E4"/>
    <w:rsid w:val="00532C58"/>
    <w:rsid w:val="0053518E"/>
    <w:rsid w:val="005411DD"/>
    <w:rsid w:val="00554AE7"/>
    <w:rsid w:val="00555CE8"/>
    <w:rsid w:val="00556BC0"/>
    <w:rsid w:val="005721A6"/>
    <w:rsid w:val="005757B0"/>
    <w:rsid w:val="0058215E"/>
    <w:rsid w:val="005B6BCF"/>
    <w:rsid w:val="005D0242"/>
    <w:rsid w:val="005D0353"/>
    <w:rsid w:val="005D18D2"/>
    <w:rsid w:val="005D402D"/>
    <w:rsid w:val="005D7FE8"/>
    <w:rsid w:val="005E2295"/>
    <w:rsid w:val="006026DB"/>
    <w:rsid w:val="00613EA7"/>
    <w:rsid w:val="00614F04"/>
    <w:rsid w:val="00630ED8"/>
    <w:rsid w:val="00664B87"/>
    <w:rsid w:val="0066769C"/>
    <w:rsid w:val="006905FF"/>
    <w:rsid w:val="00690EF5"/>
    <w:rsid w:val="00697423"/>
    <w:rsid w:val="006B4FA6"/>
    <w:rsid w:val="006D2DA3"/>
    <w:rsid w:val="006D72A0"/>
    <w:rsid w:val="00727415"/>
    <w:rsid w:val="00735376"/>
    <w:rsid w:val="007354DE"/>
    <w:rsid w:val="00743474"/>
    <w:rsid w:val="007625A5"/>
    <w:rsid w:val="00773152"/>
    <w:rsid w:val="007747E8"/>
    <w:rsid w:val="00774802"/>
    <w:rsid w:val="00781509"/>
    <w:rsid w:val="00785BF0"/>
    <w:rsid w:val="00793390"/>
    <w:rsid w:val="00796761"/>
    <w:rsid w:val="007C069C"/>
    <w:rsid w:val="007C3DE5"/>
    <w:rsid w:val="007D051F"/>
    <w:rsid w:val="00803D41"/>
    <w:rsid w:val="00805573"/>
    <w:rsid w:val="00814278"/>
    <w:rsid w:val="00827B52"/>
    <w:rsid w:val="008605FF"/>
    <w:rsid w:val="00875A92"/>
    <w:rsid w:val="00876966"/>
    <w:rsid w:val="008B03DA"/>
    <w:rsid w:val="008C3C7E"/>
    <w:rsid w:val="008C7497"/>
    <w:rsid w:val="008D50D0"/>
    <w:rsid w:val="00920DC1"/>
    <w:rsid w:val="009277FA"/>
    <w:rsid w:val="009409D6"/>
    <w:rsid w:val="00945570"/>
    <w:rsid w:val="009655EB"/>
    <w:rsid w:val="00971554"/>
    <w:rsid w:val="009762E3"/>
    <w:rsid w:val="00982727"/>
    <w:rsid w:val="009B509B"/>
    <w:rsid w:val="009B65F5"/>
    <w:rsid w:val="009C2435"/>
    <w:rsid w:val="009D1B0F"/>
    <w:rsid w:val="009F0206"/>
    <w:rsid w:val="009F47E2"/>
    <w:rsid w:val="00A01C17"/>
    <w:rsid w:val="00A059A0"/>
    <w:rsid w:val="00A07577"/>
    <w:rsid w:val="00A72B41"/>
    <w:rsid w:val="00AA0B49"/>
    <w:rsid w:val="00AB07B3"/>
    <w:rsid w:val="00AC025F"/>
    <w:rsid w:val="00AC1182"/>
    <w:rsid w:val="00AF2941"/>
    <w:rsid w:val="00B24396"/>
    <w:rsid w:val="00B30765"/>
    <w:rsid w:val="00B519FB"/>
    <w:rsid w:val="00B72594"/>
    <w:rsid w:val="00B75702"/>
    <w:rsid w:val="00B86288"/>
    <w:rsid w:val="00B94CB3"/>
    <w:rsid w:val="00BC7163"/>
    <w:rsid w:val="00BD47EC"/>
    <w:rsid w:val="00BE70FB"/>
    <w:rsid w:val="00BE794E"/>
    <w:rsid w:val="00BF50F2"/>
    <w:rsid w:val="00C20ECF"/>
    <w:rsid w:val="00C33515"/>
    <w:rsid w:val="00C34DA7"/>
    <w:rsid w:val="00C66ACE"/>
    <w:rsid w:val="00C71E4E"/>
    <w:rsid w:val="00CA4803"/>
    <w:rsid w:val="00CD33F8"/>
    <w:rsid w:val="00CE1CCB"/>
    <w:rsid w:val="00D33C46"/>
    <w:rsid w:val="00D35D50"/>
    <w:rsid w:val="00D44669"/>
    <w:rsid w:val="00D50065"/>
    <w:rsid w:val="00D51F46"/>
    <w:rsid w:val="00D52A46"/>
    <w:rsid w:val="00D55B18"/>
    <w:rsid w:val="00D66811"/>
    <w:rsid w:val="00D7195D"/>
    <w:rsid w:val="00D738B2"/>
    <w:rsid w:val="00D73ACE"/>
    <w:rsid w:val="00DA3A68"/>
    <w:rsid w:val="00DA3AAC"/>
    <w:rsid w:val="00DA5D8B"/>
    <w:rsid w:val="00DA6373"/>
    <w:rsid w:val="00DB121D"/>
    <w:rsid w:val="00DB2721"/>
    <w:rsid w:val="00DD143E"/>
    <w:rsid w:val="00E00354"/>
    <w:rsid w:val="00E10FC8"/>
    <w:rsid w:val="00E63299"/>
    <w:rsid w:val="00E650F9"/>
    <w:rsid w:val="00E7794C"/>
    <w:rsid w:val="00EA52BB"/>
    <w:rsid w:val="00EA7867"/>
    <w:rsid w:val="00EB37D8"/>
    <w:rsid w:val="00EB545F"/>
    <w:rsid w:val="00EF6771"/>
    <w:rsid w:val="00F05D9A"/>
    <w:rsid w:val="00F45249"/>
    <w:rsid w:val="00F46800"/>
    <w:rsid w:val="00F523EB"/>
    <w:rsid w:val="00F614FE"/>
    <w:rsid w:val="00F657D7"/>
    <w:rsid w:val="00F70392"/>
    <w:rsid w:val="00F7123D"/>
    <w:rsid w:val="00F8264A"/>
    <w:rsid w:val="00F923C5"/>
    <w:rsid w:val="00FA0570"/>
    <w:rsid w:val="00FA24BB"/>
    <w:rsid w:val="00FA4F0E"/>
    <w:rsid w:val="00FB4905"/>
    <w:rsid w:val="00FD4248"/>
    <w:rsid w:val="00FF2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FBFED"/>
  <w15:chartTrackingRefBased/>
  <w15:docId w15:val="{F12B8B91-6DA4-4FC2-B8DD-9E285BA88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57B0"/>
  </w:style>
  <w:style w:type="paragraph" w:styleId="Heading1">
    <w:name w:val="heading 1"/>
    <w:basedOn w:val="Normal"/>
    <w:next w:val="Normal"/>
    <w:link w:val="Heading1Char"/>
    <w:uiPriority w:val="9"/>
    <w:qFormat/>
    <w:rsid w:val="00104B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04B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04B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04B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4B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4B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4B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4B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4B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4B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04B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04B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04B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4B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4B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4B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4B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4B44"/>
    <w:rPr>
      <w:rFonts w:eastAsiaTheme="majorEastAsia" w:cstheme="majorBidi"/>
      <w:color w:val="272727" w:themeColor="text1" w:themeTint="D8"/>
    </w:rPr>
  </w:style>
  <w:style w:type="paragraph" w:styleId="Title">
    <w:name w:val="Title"/>
    <w:basedOn w:val="Normal"/>
    <w:next w:val="Normal"/>
    <w:link w:val="TitleChar"/>
    <w:uiPriority w:val="10"/>
    <w:qFormat/>
    <w:rsid w:val="00104B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4B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4B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4B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4B44"/>
    <w:pPr>
      <w:spacing w:before="160"/>
      <w:jc w:val="center"/>
    </w:pPr>
    <w:rPr>
      <w:i/>
      <w:iCs/>
      <w:color w:val="404040" w:themeColor="text1" w:themeTint="BF"/>
    </w:rPr>
  </w:style>
  <w:style w:type="character" w:customStyle="1" w:styleId="QuoteChar">
    <w:name w:val="Quote Char"/>
    <w:basedOn w:val="DefaultParagraphFont"/>
    <w:link w:val="Quote"/>
    <w:uiPriority w:val="29"/>
    <w:rsid w:val="00104B44"/>
    <w:rPr>
      <w:i/>
      <w:iCs/>
      <w:color w:val="404040" w:themeColor="text1" w:themeTint="BF"/>
    </w:rPr>
  </w:style>
  <w:style w:type="paragraph" w:styleId="ListParagraph">
    <w:name w:val="List Paragraph"/>
    <w:basedOn w:val="Normal"/>
    <w:uiPriority w:val="34"/>
    <w:qFormat/>
    <w:rsid w:val="00104B44"/>
    <w:pPr>
      <w:ind w:left="720"/>
      <w:contextualSpacing/>
    </w:pPr>
  </w:style>
  <w:style w:type="character" w:styleId="IntenseEmphasis">
    <w:name w:val="Intense Emphasis"/>
    <w:basedOn w:val="DefaultParagraphFont"/>
    <w:uiPriority w:val="21"/>
    <w:qFormat/>
    <w:rsid w:val="00104B44"/>
    <w:rPr>
      <w:i/>
      <w:iCs/>
      <w:color w:val="0F4761" w:themeColor="accent1" w:themeShade="BF"/>
    </w:rPr>
  </w:style>
  <w:style w:type="paragraph" w:styleId="IntenseQuote">
    <w:name w:val="Intense Quote"/>
    <w:basedOn w:val="Normal"/>
    <w:next w:val="Normal"/>
    <w:link w:val="IntenseQuoteChar"/>
    <w:uiPriority w:val="30"/>
    <w:qFormat/>
    <w:rsid w:val="00104B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4B44"/>
    <w:rPr>
      <w:i/>
      <w:iCs/>
      <w:color w:val="0F4761" w:themeColor="accent1" w:themeShade="BF"/>
    </w:rPr>
  </w:style>
  <w:style w:type="character" w:styleId="IntenseReference">
    <w:name w:val="Intense Reference"/>
    <w:basedOn w:val="DefaultParagraphFont"/>
    <w:uiPriority w:val="32"/>
    <w:qFormat/>
    <w:rsid w:val="00104B44"/>
    <w:rPr>
      <w:b/>
      <w:bCs/>
      <w:smallCaps/>
      <w:color w:val="0F4761" w:themeColor="accent1" w:themeShade="BF"/>
      <w:spacing w:val="5"/>
    </w:rPr>
  </w:style>
  <w:style w:type="paragraph" w:styleId="TOCHeading">
    <w:name w:val="TOC Heading"/>
    <w:basedOn w:val="Heading1"/>
    <w:next w:val="Normal"/>
    <w:uiPriority w:val="39"/>
    <w:unhideWhenUsed/>
    <w:qFormat/>
    <w:rsid w:val="000F1157"/>
    <w:pPr>
      <w:spacing w:before="240" w:after="0"/>
      <w:outlineLvl w:val="9"/>
    </w:pPr>
    <w:rPr>
      <w:kern w:val="0"/>
      <w:sz w:val="32"/>
      <w:szCs w:val="32"/>
      <w:lang w:eastAsia="en-GB"/>
      <w14:ligatures w14:val="none"/>
    </w:rPr>
  </w:style>
  <w:style w:type="paragraph" w:styleId="EndnoteText">
    <w:name w:val="endnote text"/>
    <w:basedOn w:val="Normal"/>
    <w:link w:val="EndnoteTextChar"/>
    <w:uiPriority w:val="99"/>
    <w:semiHidden/>
    <w:unhideWhenUsed/>
    <w:rsid w:val="000F115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F1157"/>
    <w:rPr>
      <w:sz w:val="20"/>
      <w:szCs w:val="20"/>
    </w:rPr>
  </w:style>
  <w:style w:type="character" w:styleId="EndnoteReference">
    <w:name w:val="endnote reference"/>
    <w:basedOn w:val="DefaultParagraphFont"/>
    <w:uiPriority w:val="99"/>
    <w:semiHidden/>
    <w:unhideWhenUsed/>
    <w:rsid w:val="000F1157"/>
    <w:rPr>
      <w:vertAlign w:val="superscript"/>
    </w:rPr>
  </w:style>
  <w:style w:type="character" w:styleId="Hyperlink">
    <w:name w:val="Hyperlink"/>
    <w:basedOn w:val="DefaultParagraphFont"/>
    <w:uiPriority w:val="99"/>
    <w:unhideWhenUsed/>
    <w:rsid w:val="000F1157"/>
    <w:rPr>
      <w:color w:val="467886" w:themeColor="hyperlink"/>
      <w:u w:val="single"/>
    </w:rPr>
  </w:style>
  <w:style w:type="paragraph" w:styleId="TOC1">
    <w:name w:val="toc 1"/>
    <w:basedOn w:val="Normal"/>
    <w:next w:val="Normal"/>
    <w:autoRedefine/>
    <w:uiPriority w:val="39"/>
    <w:unhideWhenUsed/>
    <w:rsid w:val="000F1157"/>
    <w:pPr>
      <w:spacing w:after="100"/>
    </w:pPr>
  </w:style>
  <w:style w:type="paragraph" w:styleId="TOC2">
    <w:name w:val="toc 2"/>
    <w:basedOn w:val="Normal"/>
    <w:next w:val="Normal"/>
    <w:autoRedefine/>
    <w:uiPriority w:val="39"/>
    <w:unhideWhenUsed/>
    <w:rsid w:val="000F1157"/>
    <w:pPr>
      <w:spacing w:after="100"/>
      <w:ind w:left="220"/>
    </w:pPr>
  </w:style>
  <w:style w:type="paragraph" w:styleId="TOC3">
    <w:name w:val="toc 3"/>
    <w:basedOn w:val="Normal"/>
    <w:next w:val="Normal"/>
    <w:autoRedefine/>
    <w:uiPriority w:val="39"/>
    <w:unhideWhenUsed/>
    <w:rsid w:val="000F1157"/>
    <w:pPr>
      <w:spacing w:after="100"/>
      <w:ind w:left="440"/>
    </w:pPr>
  </w:style>
  <w:style w:type="paragraph" w:styleId="NormalWeb">
    <w:name w:val="Normal (Web)"/>
    <w:basedOn w:val="Normal"/>
    <w:uiPriority w:val="99"/>
    <w:semiHidden/>
    <w:unhideWhenUsed/>
    <w:rsid w:val="006905F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690EF5"/>
    <w:rPr>
      <w:color w:val="605E5C"/>
      <w:shd w:val="clear" w:color="auto" w:fill="E1DFDD"/>
    </w:rPr>
  </w:style>
  <w:style w:type="character" w:styleId="FollowedHyperlink">
    <w:name w:val="FollowedHyperlink"/>
    <w:basedOn w:val="DefaultParagraphFont"/>
    <w:uiPriority w:val="99"/>
    <w:semiHidden/>
    <w:unhideWhenUsed/>
    <w:rsid w:val="00774802"/>
    <w:rPr>
      <w:color w:val="96607D" w:themeColor="followedHyperlink"/>
      <w:u w:val="single"/>
    </w:rPr>
  </w:style>
  <w:style w:type="paragraph" w:styleId="Header">
    <w:name w:val="header"/>
    <w:basedOn w:val="Normal"/>
    <w:link w:val="HeaderChar"/>
    <w:uiPriority w:val="99"/>
    <w:unhideWhenUsed/>
    <w:rsid w:val="008142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4278"/>
  </w:style>
  <w:style w:type="paragraph" w:styleId="Footer">
    <w:name w:val="footer"/>
    <w:basedOn w:val="Normal"/>
    <w:link w:val="FooterChar"/>
    <w:uiPriority w:val="99"/>
    <w:unhideWhenUsed/>
    <w:rsid w:val="008142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42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14/23/contents?utm_source=copilot.com" TargetMode="External"/><Relationship Id="rId18" Type="http://schemas.openxmlformats.org/officeDocument/2006/relationships/hyperlink" Target="https://psychclassics.yorku.ca/Maslow/motivation.htm?utm_source=copilot.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longtermplan.nhs.uk/?utm_source=copilot.com" TargetMode="External"/><Relationship Id="rId7" Type="http://schemas.openxmlformats.org/officeDocument/2006/relationships/endnotes" Target="endnotes.xml"/><Relationship Id="rId12" Type="http://schemas.openxmlformats.org/officeDocument/2006/relationships/hyperlink" Target="https://www.verywellmind.com/what-is-maslows-hierarchy-of-needs-4136760?utm_source=copilot.com" TargetMode="External"/><Relationship Id="rId17" Type="http://schemas.openxmlformats.org/officeDocument/2006/relationships/hyperlink" Target="https://www.legislation.gov.uk/ukpga/2012/7/contents?utm_source=copilot.com"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legislation.gov.uk/ukpga/2010/15/contents?utm_source=copilot.com" TargetMode="External"/><Relationship Id="rId20" Type="http://schemas.openxmlformats.org/officeDocument/2006/relationships/hyperlink" Target="https://www.wiley.com/en-gb/Person+Centred+Practice+in+Nursing+and+Health+Care%3A+Theory+and+Practice%2C+2nd+Edition-p-9781118998854?utm_source=copilo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ursesgrouphomecare.co.uk/person-centred-care-importance?utm_source=copilot.com" TargetMode="External"/><Relationship Id="rId24" Type="http://schemas.openxmlformats.org/officeDocument/2006/relationships/hyperlink" Target="https://www.who.int/publications/i/item/9789241564977?utm_source=copilot.com" TargetMode="External"/><Relationship Id="rId5" Type="http://schemas.openxmlformats.org/officeDocument/2006/relationships/webSettings" Target="webSettings.xml"/><Relationship Id="rId15" Type="http://schemas.openxmlformats.org/officeDocument/2006/relationships/hyperlink" Target="https://policy.bristoluniversitypress.co.uk/partnership-working-in-health-and-social-care?utm_source=copilot.com" TargetMode="External"/><Relationship Id="rId23" Type="http://schemas.openxmlformats.org/officeDocument/2006/relationships/hyperlink" Target="https://www.goodreads.com/book/show/25678.On_Becoming_a_Person?utm_source=copilot.com" TargetMode="External"/><Relationship Id="rId10" Type="http://schemas.openxmlformats.org/officeDocument/2006/relationships/hyperlink" Target="https://www.cqc.org.uk/guidance-regulation/local-authorities/assessment-framework/theme2/partnerships?utm_source=copilot.com" TargetMode="External"/><Relationship Id="rId19" Type="http://schemas.openxmlformats.org/officeDocument/2006/relationships/hyperlink" Target="https://nursekey.com/the-person-centred-practice-framework/" TargetMode="External"/><Relationship Id="rId4" Type="http://schemas.openxmlformats.org/officeDocument/2006/relationships/settings" Target="settings.xml"/><Relationship Id="rId9" Type="http://schemas.openxmlformats.org/officeDocument/2006/relationships/hyperlink" Target="https://global.oup.com/academic/product/principles-of-biomedical-ethics-9780190640873?utm_source=copilot.com" TargetMode="External"/><Relationship Id="rId14" Type="http://schemas.openxmlformats.org/officeDocument/2006/relationships/hyperlink" Target="https://www.legislation.gov.uk/ukpga/2022/31/contents?utm_source=copilot.com" TargetMode="External"/><Relationship Id="rId22" Type="http://schemas.openxmlformats.org/officeDocument/2006/relationships/hyperlink" Target="https://www.england.nhs.uk/wp-content/uploads/2021/06/B0642-ics-design-framework-june-2021.pdf?utm_source=copilot.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467B58-BC78-440F-B35C-D8CDE453C8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672</TotalTime>
  <Pages>9</Pages>
  <Words>3241</Words>
  <Characters>18474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Ogadimma (2435763)</dc:creator>
  <cp:keywords/>
  <dc:description/>
  <cp:lastModifiedBy>Martin Ogadimma (2435763)</cp:lastModifiedBy>
  <cp:revision>156</cp:revision>
  <dcterms:created xsi:type="dcterms:W3CDTF">2026-07-14T00:05:00Z</dcterms:created>
  <dcterms:modified xsi:type="dcterms:W3CDTF">2026-07-25T17:22:00Z</dcterms:modified>
</cp:coreProperties>
</file>