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B5C57" w14:textId="77777777" w:rsidR="000B3133" w:rsidRDefault="00334212">
      <w:pPr>
        <w:spacing w:line="360" w:lineRule="auto"/>
        <w:jc w:val="center"/>
        <w:rPr>
          <w:rFonts w:eastAsia="Times New Roman"/>
          <w:lang w:val="en-GB"/>
        </w:rPr>
      </w:pPr>
      <w:r>
        <w:rPr>
          <w:rFonts w:eastAsia="Times New Roman"/>
          <w:noProof/>
          <w:lang w:val="en-GB"/>
        </w:rPr>
        <w:drawing>
          <wp:inline distT="0" distB="0" distL="0" distR="0" wp14:anchorId="125C2ED8" wp14:editId="757DCD09">
            <wp:extent cx="2205038" cy="894168"/>
            <wp:effectExtent l="0" t="0" r="0" b="0"/>
            <wp:docPr id="1026"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5" cstate="print"/>
                    <a:srcRect/>
                    <a:stretch/>
                  </pic:blipFill>
                  <pic:spPr>
                    <a:xfrm>
                      <a:off x="0" y="0"/>
                      <a:ext cx="2205038" cy="894168"/>
                    </a:xfrm>
                    <a:prstGeom prst="rect">
                      <a:avLst/>
                    </a:prstGeom>
                  </pic:spPr>
                </pic:pic>
              </a:graphicData>
            </a:graphic>
          </wp:inline>
        </w:drawing>
      </w:r>
    </w:p>
    <w:p w14:paraId="24B24974" w14:textId="77777777" w:rsidR="000B3133" w:rsidRDefault="00334212">
      <w:pPr>
        <w:spacing w:line="360" w:lineRule="auto"/>
        <w:jc w:val="center"/>
        <w:rPr>
          <w:rFonts w:eastAsia="Times New Roman"/>
          <w:b/>
          <w:bCs/>
          <w:lang w:val="en-GB"/>
        </w:rPr>
      </w:pPr>
      <w:r>
        <w:rPr>
          <w:rFonts w:eastAsia="Times New Roman"/>
          <w:b/>
          <w:bCs/>
          <w:lang w:val="en-GB"/>
        </w:rPr>
        <w:t>Programme: MSc Public Health and Social Care in Practice</w:t>
      </w:r>
    </w:p>
    <w:p w14:paraId="66B8A46E" w14:textId="77777777" w:rsidR="000B3133" w:rsidRDefault="00334212">
      <w:pPr>
        <w:spacing w:line="360" w:lineRule="auto"/>
        <w:jc w:val="center"/>
        <w:rPr>
          <w:rFonts w:eastAsia="Times New Roman"/>
          <w:b/>
          <w:bCs/>
          <w:lang w:val="en-GB"/>
        </w:rPr>
      </w:pPr>
      <w:r>
        <w:rPr>
          <w:rFonts w:eastAsia="Times New Roman"/>
          <w:b/>
          <w:bCs/>
          <w:lang w:val="en-GB"/>
        </w:rPr>
        <w:t>Module: Quality Assurance and Service Improvements</w:t>
      </w:r>
    </w:p>
    <w:p w14:paraId="54890021" w14:textId="77777777" w:rsidR="000B3133" w:rsidRDefault="00334212">
      <w:pPr>
        <w:spacing w:line="360" w:lineRule="auto"/>
        <w:jc w:val="center"/>
        <w:rPr>
          <w:rFonts w:eastAsia="Times New Roman"/>
          <w:b/>
          <w:bCs/>
          <w:lang w:val="en-GB"/>
        </w:rPr>
      </w:pPr>
      <w:r>
        <w:rPr>
          <w:rFonts w:eastAsia="Times New Roman"/>
          <w:b/>
          <w:bCs/>
          <w:lang w:val="en-GB"/>
        </w:rPr>
        <w:t xml:space="preserve">Module code: LCHS7006 </w:t>
      </w:r>
    </w:p>
    <w:p w14:paraId="26D6C89B" w14:textId="77777777" w:rsidR="000B3133" w:rsidRDefault="00334212">
      <w:pPr>
        <w:spacing w:line="360" w:lineRule="auto"/>
        <w:jc w:val="center"/>
        <w:rPr>
          <w:rFonts w:eastAsia="Times New Roman"/>
          <w:b/>
          <w:bCs/>
          <w:lang w:val="en-GB"/>
        </w:rPr>
      </w:pPr>
      <w:r>
        <w:rPr>
          <w:rFonts w:eastAsia="Times New Roman"/>
          <w:b/>
          <w:bCs/>
          <w:lang w:val="en-GB"/>
        </w:rPr>
        <w:t>Assignment Title: Component 2 Service Improvement Report</w:t>
      </w:r>
    </w:p>
    <w:p w14:paraId="34A96960" w14:textId="3D4A4716" w:rsidR="00DF3279" w:rsidRDefault="00DF3279" w:rsidP="00280694">
      <w:pPr>
        <w:spacing w:line="360" w:lineRule="auto"/>
        <w:jc w:val="center"/>
        <w:rPr>
          <w:rFonts w:eastAsia="Times New Roman"/>
          <w:b/>
          <w:bCs/>
          <w:lang w:val="en-GB"/>
        </w:rPr>
      </w:pPr>
      <w:r>
        <w:rPr>
          <w:rFonts w:eastAsia="Times New Roman"/>
          <w:b/>
          <w:bCs/>
          <w:lang w:val="en-GB"/>
        </w:rPr>
        <w:t xml:space="preserve">Lecturer : </w:t>
      </w:r>
      <w:r w:rsidRPr="00DA281E">
        <w:rPr>
          <w:rFonts w:eastAsia="Times New Roman"/>
          <w:b/>
          <w:bCs/>
        </w:rPr>
        <w:t>Christopher Mafuva</w:t>
      </w:r>
    </w:p>
    <w:p w14:paraId="18DABB40" w14:textId="75C97025" w:rsidR="000B3133" w:rsidRDefault="00334212">
      <w:pPr>
        <w:spacing w:line="360" w:lineRule="auto"/>
        <w:jc w:val="center"/>
        <w:rPr>
          <w:rFonts w:eastAsia="Times New Roman"/>
          <w:b/>
          <w:bCs/>
          <w:lang w:val="en-US"/>
        </w:rPr>
      </w:pPr>
      <w:r>
        <w:rPr>
          <w:rFonts w:eastAsia="Times New Roman"/>
          <w:b/>
          <w:bCs/>
          <w:lang w:val="en-US"/>
        </w:rPr>
        <w:t xml:space="preserve">Student Name: </w:t>
      </w:r>
      <w:r w:rsidR="00F95BCA">
        <w:rPr>
          <w:rFonts w:eastAsia="Times New Roman"/>
          <w:b/>
          <w:bCs/>
          <w:lang w:val="en-US"/>
        </w:rPr>
        <w:t>: Dhruv Satishbhai Soni</w:t>
      </w:r>
    </w:p>
    <w:p w14:paraId="1A4E5108" w14:textId="56F3CF69" w:rsidR="000B3133" w:rsidRDefault="00334212">
      <w:pPr>
        <w:spacing w:line="360" w:lineRule="auto"/>
        <w:jc w:val="center"/>
        <w:rPr>
          <w:rFonts w:eastAsia="Times New Roman"/>
          <w:b/>
          <w:bCs/>
          <w:lang w:val="en-GB"/>
        </w:rPr>
      </w:pPr>
      <w:r>
        <w:rPr>
          <w:rFonts w:eastAsia="Times New Roman"/>
          <w:b/>
          <w:bCs/>
          <w:lang w:val="en-US"/>
        </w:rPr>
        <w:t>Student ID:</w:t>
      </w:r>
      <w:r w:rsidR="00F95BCA">
        <w:rPr>
          <w:rFonts w:eastAsia="Times New Roman"/>
          <w:b/>
          <w:bCs/>
          <w:lang w:val="en-US"/>
        </w:rPr>
        <w:t xml:space="preserve"> 2521762</w:t>
      </w:r>
    </w:p>
    <w:p w14:paraId="49875E06" w14:textId="77777777" w:rsidR="000B3133" w:rsidRDefault="00334212">
      <w:pPr>
        <w:spacing w:line="360" w:lineRule="auto"/>
        <w:jc w:val="center"/>
        <w:rPr>
          <w:rFonts w:eastAsia="Times New Roman"/>
          <w:b/>
          <w:bCs/>
          <w:lang w:val="en-GB"/>
        </w:rPr>
      </w:pPr>
      <w:r>
        <w:rPr>
          <w:rFonts w:eastAsia="Times New Roman"/>
          <w:b/>
          <w:bCs/>
          <w:lang w:val="en-GB"/>
        </w:rPr>
        <w:t>Word Count: 3258</w:t>
      </w:r>
    </w:p>
    <w:p w14:paraId="692ED5E8" w14:textId="1FACB329" w:rsidR="000B3133" w:rsidRDefault="000B3133">
      <w:pPr>
        <w:spacing w:line="360" w:lineRule="auto"/>
        <w:jc w:val="center"/>
        <w:rPr>
          <w:rFonts w:eastAsia="Times New Roman"/>
          <w:b/>
          <w:bCs/>
          <w:lang w:val="en-GB"/>
        </w:rPr>
      </w:pPr>
    </w:p>
    <w:p w14:paraId="44D11B4B" w14:textId="77777777" w:rsidR="000B3133" w:rsidRDefault="000B3133">
      <w:pPr>
        <w:spacing w:line="360" w:lineRule="auto"/>
        <w:jc w:val="both"/>
        <w:rPr>
          <w:rFonts w:eastAsia="Times New Roman"/>
          <w:lang w:val="en-GB"/>
        </w:rPr>
      </w:pPr>
    </w:p>
    <w:p w14:paraId="2510E94F" w14:textId="77777777" w:rsidR="000B3133" w:rsidRDefault="00334212">
      <w:pPr>
        <w:rPr>
          <w:lang w:val="en-GB"/>
        </w:rPr>
      </w:pPr>
      <w:r>
        <w:rPr>
          <w:lang w:val="en-GB"/>
        </w:rPr>
        <w:br w:type="page"/>
      </w:r>
    </w:p>
    <w:p w14:paraId="14D3461B" w14:textId="77777777" w:rsidR="000B3133" w:rsidRDefault="00334212">
      <w:pPr>
        <w:pStyle w:val="TOCHeading"/>
        <w:spacing w:line="360" w:lineRule="auto"/>
        <w:jc w:val="center"/>
        <w:rPr>
          <w:rFonts w:ascii="Arial" w:hAnsi="Arial" w:cs="Arial"/>
          <w:b/>
          <w:bCs/>
          <w:color w:val="000000"/>
          <w:sz w:val="22"/>
          <w:szCs w:val="22"/>
        </w:rPr>
      </w:pPr>
      <w:r>
        <w:rPr>
          <w:rFonts w:ascii="Arial" w:hAnsi="Arial" w:cs="Arial"/>
          <w:b/>
          <w:bCs/>
          <w:color w:val="000000"/>
          <w:sz w:val="22"/>
          <w:szCs w:val="22"/>
        </w:rPr>
        <w:lastRenderedPageBreak/>
        <w:t>Table of Contents</w:t>
      </w:r>
    </w:p>
    <w:p w14:paraId="08353B73" w14:textId="2D6CBFFC" w:rsidR="000B3133" w:rsidRDefault="00334212">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237377802" w:history="1">
        <w:r>
          <w:rPr>
            <w:rStyle w:val="Hyperlink"/>
            <w:noProof/>
            <w:lang w:val="en-GB"/>
          </w:rPr>
          <w:t>Introduction</w:t>
        </w:r>
        <w:r>
          <w:rPr>
            <w:noProof/>
            <w:webHidden/>
          </w:rPr>
          <w:tab/>
        </w:r>
        <w:r>
          <w:rPr>
            <w:noProof/>
            <w:webHidden/>
          </w:rPr>
          <w:fldChar w:fldCharType="begin"/>
        </w:r>
        <w:r>
          <w:rPr>
            <w:noProof/>
            <w:webHidden/>
          </w:rPr>
          <w:instrText xml:space="preserve"> PAGEREF _Toc237377802 \h </w:instrText>
        </w:r>
        <w:r>
          <w:rPr>
            <w:noProof/>
            <w:webHidden/>
          </w:rPr>
        </w:r>
        <w:r>
          <w:rPr>
            <w:noProof/>
            <w:webHidden/>
          </w:rPr>
          <w:fldChar w:fldCharType="separate"/>
        </w:r>
        <w:r w:rsidR="00F95BCA">
          <w:rPr>
            <w:noProof/>
            <w:webHidden/>
          </w:rPr>
          <w:t>3</w:t>
        </w:r>
        <w:r>
          <w:rPr>
            <w:noProof/>
            <w:webHidden/>
          </w:rPr>
          <w:fldChar w:fldCharType="end"/>
        </w:r>
      </w:hyperlink>
    </w:p>
    <w:p w14:paraId="7D3662BF" w14:textId="209538F1" w:rsidR="000B3133" w:rsidRDefault="00334212">
      <w:pPr>
        <w:pStyle w:val="TOC2"/>
        <w:tabs>
          <w:tab w:val="right" w:leader="dot" w:pos="9350"/>
        </w:tabs>
        <w:spacing w:line="360" w:lineRule="auto"/>
        <w:jc w:val="both"/>
        <w:rPr>
          <w:noProof/>
        </w:rPr>
      </w:pPr>
      <w:hyperlink w:anchor="_Toc237377803" w:history="1">
        <w:r>
          <w:rPr>
            <w:rStyle w:val="Hyperlink"/>
            <w:noProof/>
            <w:lang w:val="en-GB"/>
          </w:rPr>
          <w:t>Background and Context</w:t>
        </w:r>
        <w:r>
          <w:rPr>
            <w:noProof/>
            <w:webHidden/>
          </w:rPr>
          <w:tab/>
        </w:r>
        <w:r>
          <w:rPr>
            <w:noProof/>
            <w:webHidden/>
          </w:rPr>
          <w:fldChar w:fldCharType="begin"/>
        </w:r>
        <w:r>
          <w:rPr>
            <w:noProof/>
            <w:webHidden/>
          </w:rPr>
          <w:instrText xml:space="preserve"> PAGEREF _Toc237377803 \h </w:instrText>
        </w:r>
        <w:r>
          <w:rPr>
            <w:noProof/>
            <w:webHidden/>
          </w:rPr>
        </w:r>
        <w:r>
          <w:rPr>
            <w:noProof/>
            <w:webHidden/>
          </w:rPr>
          <w:fldChar w:fldCharType="separate"/>
        </w:r>
        <w:r w:rsidR="00F95BCA">
          <w:rPr>
            <w:noProof/>
            <w:webHidden/>
          </w:rPr>
          <w:t>3</w:t>
        </w:r>
        <w:r>
          <w:rPr>
            <w:noProof/>
            <w:webHidden/>
          </w:rPr>
          <w:fldChar w:fldCharType="end"/>
        </w:r>
      </w:hyperlink>
    </w:p>
    <w:p w14:paraId="2A772D87" w14:textId="44AF47ED" w:rsidR="000B3133" w:rsidRDefault="00334212">
      <w:pPr>
        <w:pStyle w:val="TOC2"/>
        <w:tabs>
          <w:tab w:val="right" w:leader="dot" w:pos="9350"/>
        </w:tabs>
        <w:spacing w:line="360" w:lineRule="auto"/>
        <w:jc w:val="both"/>
        <w:rPr>
          <w:noProof/>
        </w:rPr>
      </w:pPr>
      <w:hyperlink w:anchor="_Toc237377804" w:history="1">
        <w:r>
          <w:rPr>
            <w:rStyle w:val="Hyperlink"/>
            <w:noProof/>
            <w:lang w:val="en-GB"/>
          </w:rPr>
          <w:t>Quality Assurance Failure</w:t>
        </w:r>
        <w:r>
          <w:rPr>
            <w:noProof/>
            <w:webHidden/>
          </w:rPr>
          <w:tab/>
        </w:r>
        <w:r>
          <w:rPr>
            <w:noProof/>
            <w:webHidden/>
          </w:rPr>
          <w:fldChar w:fldCharType="begin"/>
        </w:r>
        <w:r>
          <w:rPr>
            <w:noProof/>
            <w:webHidden/>
          </w:rPr>
          <w:instrText xml:space="preserve"> PAGEREF _Toc237377804 \h </w:instrText>
        </w:r>
        <w:r>
          <w:rPr>
            <w:noProof/>
            <w:webHidden/>
          </w:rPr>
        </w:r>
        <w:r>
          <w:rPr>
            <w:noProof/>
            <w:webHidden/>
          </w:rPr>
          <w:fldChar w:fldCharType="separate"/>
        </w:r>
        <w:r w:rsidR="00F95BCA">
          <w:rPr>
            <w:noProof/>
            <w:webHidden/>
          </w:rPr>
          <w:t>3</w:t>
        </w:r>
        <w:r>
          <w:rPr>
            <w:noProof/>
            <w:webHidden/>
          </w:rPr>
          <w:fldChar w:fldCharType="end"/>
        </w:r>
      </w:hyperlink>
    </w:p>
    <w:p w14:paraId="391A5C80" w14:textId="79749B84" w:rsidR="000B3133" w:rsidRDefault="00334212">
      <w:pPr>
        <w:pStyle w:val="TOC2"/>
        <w:tabs>
          <w:tab w:val="right" w:leader="dot" w:pos="9350"/>
        </w:tabs>
        <w:spacing w:line="360" w:lineRule="auto"/>
        <w:jc w:val="both"/>
        <w:rPr>
          <w:noProof/>
        </w:rPr>
      </w:pPr>
      <w:hyperlink w:anchor="_Toc237377805" w:history="1">
        <w:r>
          <w:rPr>
            <w:rStyle w:val="Hyperlink"/>
            <w:noProof/>
            <w:lang w:val="en-GB"/>
          </w:rPr>
          <w:t>Consequences for Service Provision</w:t>
        </w:r>
        <w:r>
          <w:rPr>
            <w:noProof/>
            <w:webHidden/>
          </w:rPr>
          <w:tab/>
        </w:r>
        <w:r>
          <w:rPr>
            <w:noProof/>
            <w:webHidden/>
          </w:rPr>
          <w:fldChar w:fldCharType="begin"/>
        </w:r>
        <w:r>
          <w:rPr>
            <w:noProof/>
            <w:webHidden/>
          </w:rPr>
          <w:instrText xml:space="preserve"> PAGEREF _Toc237377805 \h </w:instrText>
        </w:r>
        <w:r>
          <w:rPr>
            <w:noProof/>
            <w:webHidden/>
          </w:rPr>
        </w:r>
        <w:r>
          <w:rPr>
            <w:noProof/>
            <w:webHidden/>
          </w:rPr>
          <w:fldChar w:fldCharType="separate"/>
        </w:r>
        <w:r w:rsidR="00F95BCA">
          <w:rPr>
            <w:noProof/>
            <w:webHidden/>
          </w:rPr>
          <w:t>4</w:t>
        </w:r>
        <w:r>
          <w:rPr>
            <w:noProof/>
            <w:webHidden/>
          </w:rPr>
          <w:fldChar w:fldCharType="end"/>
        </w:r>
      </w:hyperlink>
    </w:p>
    <w:p w14:paraId="435B66C7" w14:textId="6D2C39E4" w:rsidR="000B3133" w:rsidRDefault="00334212">
      <w:pPr>
        <w:pStyle w:val="TOC1"/>
        <w:tabs>
          <w:tab w:val="right" w:leader="dot" w:pos="9350"/>
        </w:tabs>
        <w:spacing w:line="360" w:lineRule="auto"/>
        <w:jc w:val="both"/>
        <w:rPr>
          <w:noProof/>
        </w:rPr>
      </w:pPr>
      <w:hyperlink w:anchor="_Toc237377806" w:history="1">
        <w:r>
          <w:rPr>
            <w:rStyle w:val="Hyperlink"/>
            <w:noProof/>
            <w:lang w:val="en-GB"/>
          </w:rPr>
          <w:t>Main Body</w:t>
        </w:r>
        <w:r>
          <w:rPr>
            <w:noProof/>
            <w:webHidden/>
          </w:rPr>
          <w:tab/>
        </w:r>
        <w:r>
          <w:rPr>
            <w:noProof/>
            <w:webHidden/>
          </w:rPr>
          <w:fldChar w:fldCharType="begin"/>
        </w:r>
        <w:r>
          <w:rPr>
            <w:noProof/>
            <w:webHidden/>
          </w:rPr>
          <w:instrText xml:space="preserve"> PAGEREF _Toc237377806 \h </w:instrText>
        </w:r>
        <w:r>
          <w:rPr>
            <w:noProof/>
            <w:webHidden/>
          </w:rPr>
        </w:r>
        <w:r>
          <w:rPr>
            <w:noProof/>
            <w:webHidden/>
          </w:rPr>
          <w:fldChar w:fldCharType="separate"/>
        </w:r>
        <w:r w:rsidR="00F95BCA">
          <w:rPr>
            <w:noProof/>
            <w:webHidden/>
          </w:rPr>
          <w:t>5</w:t>
        </w:r>
        <w:r>
          <w:rPr>
            <w:noProof/>
            <w:webHidden/>
          </w:rPr>
          <w:fldChar w:fldCharType="end"/>
        </w:r>
      </w:hyperlink>
    </w:p>
    <w:p w14:paraId="2482B6B0" w14:textId="5F830EAF" w:rsidR="000B3133" w:rsidRDefault="00334212">
      <w:pPr>
        <w:pStyle w:val="TOC2"/>
        <w:tabs>
          <w:tab w:val="right" w:leader="dot" w:pos="9350"/>
        </w:tabs>
        <w:spacing w:line="360" w:lineRule="auto"/>
        <w:jc w:val="both"/>
        <w:rPr>
          <w:noProof/>
        </w:rPr>
      </w:pPr>
      <w:hyperlink w:anchor="_Toc237377807" w:history="1">
        <w:r>
          <w:rPr>
            <w:rStyle w:val="Hyperlink"/>
            <w:noProof/>
            <w:lang w:val="en-GB"/>
          </w:rPr>
          <w:t>Critical analysis of the quality problem</w:t>
        </w:r>
        <w:r>
          <w:rPr>
            <w:noProof/>
            <w:webHidden/>
          </w:rPr>
          <w:tab/>
        </w:r>
        <w:r>
          <w:rPr>
            <w:noProof/>
            <w:webHidden/>
          </w:rPr>
          <w:fldChar w:fldCharType="begin"/>
        </w:r>
        <w:r>
          <w:rPr>
            <w:noProof/>
            <w:webHidden/>
          </w:rPr>
          <w:instrText xml:space="preserve"> PAGEREF _Toc237377807 \h </w:instrText>
        </w:r>
        <w:r>
          <w:rPr>
            <w:noProof/>
            <w:webHidden/>
          </w:rPr>
        </w:r>
        <w:r>
          <w:rPr>
            <w:noProof/>
            <w:webHidden/>
          </w:rPr>
          <w:fldChar w:fldCharType="separate"/>
        </w:r>
        <w:r w:rsidR="00F95BCA">
          <w:rPr>
            <w:noProof/>
            <w:webHidden/>
          </w:rPr>
          <w:t>5</w:t>
        </w:r>
        <w:r>
          <w:rPr>
            <w:noProof/>
            <w:webHidden/>
          </w:rPr>
          <w:fldChar w:fldCharType="end"/>
        </w:r>
      </w:hyperlink>
    </w:p>
    <w:p w14:paraId="45A741F9" w14:textId="79F18FEC" w:rsidR="000B3133" w:rsidRDefault="00334212">
      <w:pPr>
        <w:pStyle w:val="TOC2"/>
        <w:tabs>
          <w:tab w:val="right" w:leader="dot" w:pos="9350"/>
        </w:tabs>
        <w:spacing w:line="360" w:lineRule="auto"/>
        <w:jc w:val="both"/>
        <w:rPr>
          <w:noProof/>
        </w:rPr>
      </w:pPr>
      <w:hyperlink w:anchor="_Toc237377808" w:history="1">
        <w:r>
          <w:rPr>
            <w:rStyle w:val="Hyperlink"/>
            <w:noProof/>
            <w:lang w:val="en-GB"/>
          </w:rPr>
          <w:t>Rationale for the Quality Improvement Frameworks</w:t>
        </w:r>
        <w:r>
          <w:rPr>
            <w:noProof/>
            <w:webHidden/>
          </w:rPr>
          <w:tab/>
        </w:r>
        <w:r>
          <w:rPr>
            <w:noProof/>
            <w:webHidden/>
          </w:rPr>
          <w:fldChar w:fldCharType="begin"/>
        </w:r>
        <w:r>
          <w:rPr>
            <w:noProof/>
            <w:webHidden/>
          </w:rPr>
          <w:instrText xml:space="preserve"> PAGEREF _Toc237377808 \h </w:instrText>
        </w:r>
        <w:r>
          <w:rPr>
            <w:noProof/>
            <w:webHidden/>
          </w:rPr>
        </w:r>
        <w:r>
          <w:rPr>
            <w:noProof/>
            <w:webHidden/>
          </w:rPr>
          <w:fldChar w:fldCharType="separate"/>
        </w:r>
        <w:r w:rsidR="00F95BCA">
          <w:rPr>
            <w:noProof/>
            <w:webHidden/>
          </w:rPr>
          <w:t>5</w:t>
        </w:r>
        <w:r>
          <w:rPr>
            <w:noProof/>
            <w:webHidden/>
          </w:rPr>
          <w:fldChar w:fldCharType="end"/>
        </w:r>
      </w:hyperlink>
    </w:p>
    <w:p w14:paraId="3C9AC499" w14:textId="6E31CB5A" w:rsidR="000B3133" w:rsidRDefault="00334212">
      <w:pPr>
        <w:pStyle w:val="TOC2"/>
        <w:tabs>
          <w:tab w:val="right" w:leader="dot" w:pos="9350"/>
        </w:tabs>
        <w:spacing w:line="360" w:lineRule="auto"/>
        <w:jc w:val="both"/>
        <w:rPr>
          <w:noProof/>
        </w:rPr>
      </w:pPr>
      <w:hyperlink w:anchor="_Toc237377809" w:history="1">
        <w:r>
          <w:rPr>
            <w:rStyle w:val="Hyperlink"/>
            <w:noProof/>
            <w:lang w:val="en-GB"/>
          </w:rPr>
          <w:t>Fishbone Analysis: Recognising the Root Causes</w:t>
        </w:r>
        <w:r>
          <w:rPr>
            <w:noProof/>
            <w:webHidden/>
          </w:rPr>
          <w:tab/>
        </w:r>
        <w:r>
          <w:rPr>
            <w:noProof/>
            <w:webHidden/>
          </w:rPr>
          <w:fldChar w:fldCharType="begin"/>
        </w:r>
        <w:r>
          <w:rPr>
            <w:noProof/>
            <w:webHidden/>
          </w:rPr>
          <w:instrText xml:space="preserve"> PAGEREF _Toc237377809 \h </w:instrText>
        </w:r>
        <w:r>
          <w:rPr>
            <w:noProof/>
            <w:webHidden/>
          </w:rPr>
        </w:r>
        <w:r>
          <w:rPr>
            <w:noProof/>
            <w:webHidden/>
          </w:rPr>
          <w:fldChar w:fldCharType="separate"/>
        </w:r>
        <w:r w:rsidR="00F95BCA">
          <w:rPr>
            <w:noProof/>
            <w:webHidden/>
          </w:rPr>
          <w:t>6</w:t>
        </w:r>
        <w:r>
          <w:rPr>
            <w:noProof/>
            <w:webHidden/>
          </w:rPr>
          <w:fldChar w:fldCharType="end"/>
        </w:r>
      </w:hyperlink>
    </w:p>
    <w:p w14:paraId="187504F1" w14:textId="1B708372" w:rsidR="000B3133" w:rsidRDefault="00334212">
      <w:pPr>
        <w:pStyle w:val="TOC2"/>
        <w:tabs>
          <w:tab w:val="right" w:leader="dot" w:pos="9350"/>
        </w:tabs>
        <w:spacing w:line="360" w:lineRule="auto"/>
        <w:jc w:val="both"/>
        <w:rPr>
          <w:noProof/>
        </w:rPr>
      </w:pPr>
      <w:hyperlink w:anchor="_Toc237377810" w:history="1">
        <w:r>
          <w:rPr>
            <w:rStyle w:val="Hyperlink"/>
            <w:noProof/>
            <w:lang w:val="en-GB"/>
          </w:rPr>
          <w:t>5 Whys Analysis: Tracing the Underlying Causes</w:t>
        </w:r>
        <w:r>
          <w:rPr>
            <w:noProof/>
            <w:webHidden/>
          </w:rPr>
          <w:tab/>
        </w:r>
        <w:r>
          <w:rPr>
            <w:noProof/>
            <w:webHidden/>
          </w:rPr>
          <w:fldChar w:fldCharType="begin"/>
        </w:r>
        <w:r>
          <w:rPr>
            <w:noProof/>
            <w:webHidden/>
          </w:rPr>
          <w:instrText xml:space="preserve"> PAGEREF _Toc237377810 \h </w:instrText>
        </w:r>
        <w:r>
          <w:rPr>
            <w:noProof/>
            <w:webHidden/>
          </w:rPr>
        </w:r>
        <w:r>
          <w:rPr>
            <w:noProof/>
            <w:webHidden/>
          </w:rPr>
          <w:fldChar w:fldCharType="separate"/>
        </w:r>
        <w:r w:rsidR="00F95BCA">
          <w:rPr>
            <w:noProof/>
            <w:webHidden/>
          </w:rPr>
          <w:t>7</w:t>
        </w:r>
        <w:r>
          <w:rPr>
            <w:noProof/>
            <w:webHidden/>
          </w:rPr>
          <w:fldChar w:fldCharType="end"/>
        </w:r>
      </w:hyperlink>
    </w:p>
    <w:p w14:paraId="5C4B3F7B" w14:textId="3A73975A" w:rsidR="000B3133" w:rsidRDefault="00334212">
      <w:pPr>
        <w:pStyle w:val="TOC2"/>
        <w:tabs>
          <w:tab w:val="right" w:leader="dot" w:pos="9350"/>
        </w:tabs>
        <w:spacing w:line="360" w:lineRule="auto"/>
        <w:jc w:val="both"/>
        <w:rPr>
          <w:noProof/>
        </w:rPr>
      </w:pPr>
      <w:hyperlink w:anchor="_Toc237377811" w:history="1">
        <w:r>
          <w:rPr>
            <w:rStyle w:val="Hyperlink"/>
            <w:noProof/>
            <w:lang w:val="en-GB"/>
          </w:rPr>
          <w:t>Donabedian Model: Structure-Process-Outcome Analysis</w:t>
        </w:r>
        <w:r>
          <w:rPr>
            <w:noProof/>
            <w:webHidden/>
          </w:rPr>
          <w:tab/>
        </w:r>
        <w:r>
          <w:rPr>
            <w:noProof/>
            <w:webHidden/>
          </w:rPr>
          <w:fldChar w:fldCharType="begin"/>
        </w:r>
        <w:r>
          <w:rPr>
            <w:noProof/>
            <w:webHidden/>
          </w:rPr>
          <w:instrText xml:space="preserve"> PAGEREF _Toc237377811 \h </w:instrText>
        </w:r>
        <w:r>
          <w:rPr>
            <w:noProof/>
            <w:webHidden/>
          </w:rPr>
        </w:r>
        <w:r>
          <w:rPr>
            <w:noProof/>
            <w:webHidden/>
          </w:rPr>
          <w:fldChar w:fldCharType="separate"/>
        </w:r>
        <w:r w:rsidR="00F95BCA">
          <w:rPr>
            <w:noProof/>
            <w:webHidden/>
          </w:rPr>
          <w:t>8</w:t>
        </w:r>
        <w:r>
          <w:rPr>
            <w:noProof/>
            <w:webHidden/>
          </w:rPr>
          <w:fldChar w:fldCharType="end"/>
        </w:r>
      </w:hyperlink>
    </w:p>
    <w:p w14:paraId="4DCF38C9" w14:textId="41F7F7D4" w:rsidR="000B3133" w:rsidRDefault="00334212">
      <w:pPr>
        <w:pStyle w:val="TOC2"/>
        <w:tabs>
          <w:tab w:val="right" w:leader="dot" w:pos="9350"/>
        </w:tabs>
        <w:spacing w:line="360" w:lineRule="auto"/>
        <w:jc w:val="both"/>
        <w:rPr>
          <w:noProof/>
        </w:rPr>
      </w:pPr>
      <w:hyperlink w:anchor="_Toc237377812" w:history="1">
        <w:r>
          <w:rPr>
            <w:rStyle w:val="Hyperlink"/>
            <w:noProof/>
            <w:lang w:val="en-GB"/>
          </w:rPr>
          <w:t>SWOT Analysis: Organisational Capacity for Improvement</w:t>
        </w:r>
        <w:r>
          <w:rPr>
            <w:noProof/>
            <w:webHidden/>
          </w:rPr>
          <w:tab/>
        </w:r>
        <w:r>
          <w:rPr>
            <w:noProof/>
            <w:webHidden/>
          </w:rPr>
          <w:fldChar w:fldCharType="begin"/>
        </w:r>
        <w:r>
          <w:rPr>
            <w:noProof/>
            <w:webHidden/>
          </w:rPr>
          <w:instrText xml:space="preserve"> PAGEREF _Toc237377812 \h </w:instrText>
        </w:r>
        <w:r>
          <w:rPr>
            <w:noProof/>
            <w:webHidden/>
          </w:rPr>
        </w:r>
        <w:r>
          <w:rPr>
            <w:noProof/>
            <w:webHidden/>
          </w:rPr>
          <w:fldChar w:fldCharType="separate"/>
        </w:r>
        <w:r w:rsidR="00F95BCA">
          <w:rPr>
            <w:noProof/>
            <w:webHidden/>
          </w:rPr>
          <w:t>9</w:t>
        </w:r>
        <w:r>
          <w:rPr>
            <w:noProof/>
            <w:webHidden/>
          </w:rPr>
          <w:fldChar w:fldCharType="end"/>
        </w:r>
      </w:hyperlink>
    </w:p>
    <w:p w14:paraId="21C24E77" w14:textId="3F08820F" w:rsidR="000B3133" w:rsidRDefault="00334212">
      <w:pPr>
        <w:pStyle w:val="TOC2"/>
        <w:tabs>
          <w:tab w:val="right" w:leader="dot" w:pos="9350"/>
        </w:tabs>
        <w:spacing w:line="360" w:lineRule="auto"/>
        <w:jc w:val="both"/>
        <w:rPr>
          <w:noProof/>
        </w:rPr>
      </w:pPr>
      <w:hyperlink w:anchor="_Toc237377813" w:history="1">
        <w:r>
          <w:rPr>
            <w:rStyle w:val="Hyperlink"/>
            <w:noProof/>
            <w:lang w:val="en-GB"/>
          </w:rPr>
          <w:t>Critical Synthesis of the Findings</w:t>
        </w:r>
        <w:r>
          <w:rPr>
            <w:noProof/>
            <w:webHidden/>
          </w:rPr>
          <w:tab/>
        </w:r>
        <w:r>
          <w:rPr>
            <w:noProof/>
            <w:webHidden/>
          </w:rPr>
          <w:fldChar w:fldCharType="begin"/>
        </w:r>
        <w:r>
          <w:rPr>
            <w:noProof/>
            <w:webHidden/>
          </w:rPr>
          <w:instrText xml:space="preserve"> PAGEREF _Toc237377813 \h </w:instrText>
        </w:r>
        <w:r>
          <w:rPr>
            <w:noProof/>
            <w:webHidden/>
          </w:rPr>
        </w:r>
        <w:r>
          <w:rPr>
            <w:noProof/>
            <w:webHidden/>
          </w:rPr>
          <w:fldChar w:fldCharType="separate"/>
        </w:r>
        <w:r w:rsidR="00F95BCA">
          <w:rPr>
            <w:noProof/>
            <w:webHidden/>
          </w:rPr>
          <w:t>10</w:t>
        </w:r>
        <w:r>
          <w:rPr>
            <w:noProof/>
            <w:webHidden/>
          </w:rPr>
          <w:fldChar w:fldCharType="end"/>
        </w:r>
      </w:hyperlink>
    </w:p>
    <w:p w14:paraId="3648DDBC" w14:textId="71D24577" w:rsidR="000B3133" w:rsidRDefault="00334212">
      <w:pPr>
        <w:pStyle w:val="TOC1"/>
        <w:tabs>
          <w:tab w:val="right" w:leader="dot" w:pos="9350"/>
        </w:tabs>
        <w:spacing w:line="360" w:lineRule="auto"/>
        <w:jc w:val="both"/>
        <w:rPr>
          <w:noProof/>
        </w:rPr>
      </w:pPr>
      <w:hyperlink w:anchor="_Toc237377814" w:history="1">
        <w:r>
          <w:rPr>
            <w:rStyle w:val="Hyperlink"/>
            <w:noProof/>
            <w:lang w:val="en-GB"/>
          </w:rPr>
          <w:t>Recommendations</w:t>
        </w:r>
        <w:r>
          <w:rPr>
            <w:noProof/>
            <w:webHidden/>
          </w:rPr>
          <w:tab/>
        </w:r>
        <w:r>
          <w:rPr>
            <w:noProof/>
            <w:webHidden/>
          </w:rPr>
          <w:fldChar w:fldCharType="begin"/>
        </w:r>
        <w:r>
          <w:rPr>
            <w:noProof/>
            <w:webHidden/>
          </w:rPr>
          <w:instrText xml:space="preserve"> PAGEREF _Toc237377814 \h </w:instrText>
        </w:r>
        <w:r>
          <w:rPr>
            <w:noProof/>
            <w:webHidden/>
          </w:rPr>
        </w:r>
        <w:r>
          <w:rPr>
            <w:noProof/>
            <w:webHidden/>
          </w:rPr>
          <w:fldChar w:fldCharType="separate"/>
        </w:r>
        <w:r w:rsidR="00F95BCA">
          <w:rPr>
            <w:noProof/>
            <w:webHidden/>
          </w:rPr>
          <w:t>10</w:t>
        </w:r>
        <w:r>
          <w:rPr>
            <w:noProof/>
            <w:webHidden/>
          </w:rPr>
          <w:fldChar w:fldCharType="end"/>
        </w:r>
      </w:hyperlink>
    </w:p>
    <w:p w14:paraId="246F391C" w14:textId="1CB91BF0" w:rsidR="000B3133" w:rsidRDefault="00334212">
      <w:pPr>
        <w:pStyle w:val="TOC2"/>
        <w:tabs>
          <w:tab w:val="right" w:leader="dot" w:pos="9350"/>
        </w:tabs>
        <w:spacing w:line="360" w:lineRule="auto"/>
        <w:jc w:val="both"/>
        <w:rPr>
          <w:noProof/>
        </w:rPr>
      </w:pPr>
      <w:hyperlink w:anchor="_Toc237377815" w:history="1">
        <w:r>
          <w:rPr>
            <w:rStyle w:val="Hyperlink"/>
            <w:noProof/>
            <w:lang w:val="en-GB"/>
          </w:rPr>
          <w:t>Strengthening Clinical Governance and Escalation</w:t>
        </w:r>
        <w:r>
          <w:rPr>
            <w:noProof/>
            <w:webHidden/>
          </w:rPr>
          <w:tab/>
        </w:r>
        <w:r>
          <w:rPr>
            <w:noProof/>
            <w:webHidden/>
          </w:rPr>
          <w:fldChar w:fldCharType="begin"/>
        </w:r>
        <w:r>
          <w:rPr>
            <w:noProof/>
            <w:webHidden/>
          </w:rPr>
          <w:instrText xml:space="preserve"> PAGEREF _Toc237377815 \h </w:instrText>
        </w:r>
        <w:r>
          <w:rPr>
            <w:noProof/>
            <w:webHidden/>
          </w:rPr>
        </w:r>
        <w:r>
          <w:rPr>
            <w:noProof/>
            <w:webHidden/>
          </w:rPr>
          <w:fldChar w:fldCharType="separate"/>
        </w:r>
        <w:r w:rsidR="00F95BCA">
          <w:rPr>
            <w:noProof/>
            <w:webHidden/>
          </w:rPr>
          <w:t>10</w:t>
        </w:r>
        <w:r>
          <w:rPr>
            <w:noProof/>
            <w:webHidden/>
          </w:rPr>
          <w:fldChar w:fldCharType="end"/>
        </w:r>
      </w:hyperlink>
    </w:p>
    <w:p w14:paraId="59EEA968" w14:textId="1418351C" w:rsidR="000B3133" w:rsidRDefault="00334212">
      <w:pPr>
        <w:pStyle w:val="TOC2"/>
        <w:tabs>
          <w:tab w:val="right" w:leader="dot" w:pos="9350"/>
        </w:tabs>
        <w:spacing w:line="360" w:lineRule="auto"/>
        <w:jc w:val="both"/>
        <w:rPr>
          <w:noProof/>
        </w:rPr>
      </w:pPr>
      <w:hyperlink w:anchor="_Toc237377816" w:history="1">
        <w:r>
          <w:rPr>
            <w:rStyle w:val="Hyperlink"/>
            <w:noProof/>
            <w:lang w:val="en-GB"/>
          </w:rPr>
          <w:t>Developing an Open Reporting and Safety Culture</w:t>
        </w:r>
        <w:r>
          <w:rPr>
            <w:noProof/>
            <w:webHidden/>
          </w:rPr>
          <w:tab/>
        </w:r>
        <w:r>
          <w:rPr>
            <w:noProof/>
            <w:webHidden/>
          </w:rPr>
          <w:fldChar w:fldCharType="begin"/>
        </w:r>
        <w:r>
          <w:rPr>
            <w:noProof/>
            <w:webHidden/>
          </w:rPr>
          <w:instrText xml:space="preserve"> PAGEREF _Toc237377816 \h </w:instrText>
        </w:r>
        <w:r>
          <w:rPr>
            <w:noProof/>
            <w:webHidden/>
          </w:rPr>
        </w:r>
        <w:r>
          <w:rPr>
            <w:noProof/>
            <w:webHidden/>
          </w:rPr>
          <w:fldChar w:fldCharType="separate"/>
        </w:r>
        <w:r w:rsidR="00F95BCA">
          <w:rPr>
            <w:noProof/>
            <w:webHidden/>
          </w:rPr>
          <w:t>11</w:t>
        </w:r>
        <w:r>
          <w:rPr>
            <w:noProof/>
            <w:webHidden/>
          </w:rPr>
          <w:fldChar w:fldCharType="end"/>
        </w:r>
      </w:hyperlink>
    </w:p>
    <w:p w14:paraId="33E5EA80" w14:textId="236C5FD9" w:rsidR="000B3133" w:rsidRDefault="00334212">
      <w:pPr>
        <w:pStyle w:val="TOC2"/>
        <w:tabs>
          <w:tab w:val="right" w:leader="dot" w:pos="9350"/>
        </w:tabs>
        <w:spacing w:line="360" w:lineRule="auto"/>
        <w:jc w:val="both"/>
        <w:rPr>
          <w:noProof/>
        </w:rPr>
      </w:pPr>
      <w:hyperlink w:anchor="_Toc237377817" w:history="1">
        <w:r>
          <w:rPr>
            <w:rStyle w:val="Hyperlink"/>
            <w:noProof/>
            <w:lang w:val="en-GB"/>
          </w:rPr>
          <w:t>PDSA Implementation</w:t>
        </w:r>
        <w:r>
          <w:rPr>
            <w:noProof/>
            <w:webHidden/>
          </w:rPr>
          <w:tab/>
        </w:r>
        <w:r>
          <w:rPr>
            <w:noProof/>
            <w:webHidden/>
          </w:rPr>
          <w:fldChar w:fldCharType="begin"/>
        </w:r>
        <w:r>
          <w:rPr>
            <w:noProof/>
            <w:webHidden/>
          </w:rPr>
          <w:instrText xml:space="preserve"> PAGEREF _Toc237377817 \h </w:instrText>
        </w:r>
        <w:r>
          <w:rPr>
            <w:noProof/>
            <w:webHidden/>
          </w:rPr>
        </w:r>
        <w:r>
          <w:rPr>
            <w:noProof/>
            <w:webHidden/>
          </w:rPr>
          <w:fldChar w:fldCharType="separate"/>
        </w:r>
        <w:r w:rsidR="00F95BCA">
          <w:rPr>
            <w:noProof/>
            <w:webHidden/>
          </w:rPr>
          <w:t>12</w:t>
        </w:r>
        <w:r>
          <w:rPr>
            <w:noProof/>
            <w:webHidden/>
          </w:rPr>
          <w:fldChar w:fldCharType="end"/>
        </w:r>
      </w:hyperlink>
    </w:p>
    <w:p w14:paraId="166203AC" w14:textId="6922DCEA" w:rsidR="000B3133" w:rsidRDefault="00334212">
      <w:pPr>
        <w:pStyle w:val="TOC2"/>
        <w:tabs>
          <w:tab w:val="right" w:leader="dot" w:pos="9350"/>
        </w:tabs>
        <w:spacing w:line="360" w:lineRule="auto"/>
        <w:jc w:val="both"/>
        <w:rPr>
          <w:noProof/>
        </w:rPr>
      </w:pPr>
      <w:hyperlink w:anchor="_Toc237377818" w:history="1">
        <w:r>
          <w:rPr>
            <w:rStyle w:val="Hyperlink"/>
            <w:noProof/>
            <w:lang w:val="en-GB"/>
          </w:rPr>
          <w:t>Lean Approach to Reducing Process Delays</w:t>
        </w:r>
        <w:r>
          <w:rPr>
            <w:noProof/>
            <w:webHidden/>
          </w:rPr>
          <w:tab/>
        </w:r>
        <w:r>
          <w:rPr>
            <w:noProof/>
            <w:webHidden/>
          </w:rPr>
          <w:fldChar w:fldCharType="begin"/>
        </w:r>
        <w:r>
          <w:rPr>
            <w:noProof/>
            <w:webHidden/>
          </w:rPr>
          <w:instrText xml:space="preserve"> PAGEREF _Toc237377818 \h </w:instrText>
        </w:r>
        <w:r>
          <w:rPr>
            <w:noProof/>
            <w:webHidden/>
          </w:rPr>
        </w:r>
        <w:r>
          <w:rPr>
            <w:noProof/>
            <w:webHidden/>
          </w:rPr>
          <w:fldChar w:fldCharType="separate"/>
        </w:r>
        <w:r w:rsidR="00F95BCA">
          <w:rPr>
            <w:noProof/>
            <w:webHidden/>
          </w:rPr>
          <w:t>12</w:t>
        </w:r>
        <w:r>
          <w:rPr>
            <w:noProof/>
            <w:webHidden/>
          </w:rPr>
          <w:fldChar w:fldCharType="end"/>
        </w:r>
      </w:hyperlink>
    </w:p>
    <w:p w14:paraId="4933A8C9" w14:textId="079A37CC" w:rsidR="000B3133" w:rsidRDefault="00334212">
      <w:pPr>
        <w:pStyle w:val="TOC2"/>
        <w:tabs>
          <w:tab w:val="right" w:leader="dot" w:pos="9350"/>
        </w:tabs>
        <w:spacing w:line="360" w:lineRule="auto"/>
        <w:jc w:val="both"/>
        <w:rPr>
          <w:noProof/>
        </w:rPr>
      </w:pPr>
      <w:hyperlink w:anchor="_Toc237377819" w:history="1">
        <w:r>
          <w:rPr>
            <w:rStyle w:val="Hyperlink"/>
            <w:noProof/>
            <w:lang w:val="en-GB"/>
          </w:rPr>
          <w:t>Six Sigma for Incident-Reporting Reliability</w:t>
        </w:r>
        <w:r>
          <w:rPr>
            <w:noProof/>
            <w:webHidden/>
          </w:rPr>
          <w:tab/>
        </w:r>
        <w:r>
          <w:rPr>
            <w:noProof/>
            <w:webHidden/>
          </w:rPr>
          <w:fldChar w:fldCharType="begin"/>
        </w:r>
        <w:r>
          <w:rPr>
            <w:noProof/>
            <w:webHidden/>
          </w:rPr>
          <w:instrText xml:space="preserve"> PAGEREF _Toc237377819 \h </w:instrText>
        </w:r>
        <w:r>
          <w:rPr>
            <w:noProof/>
            <w:webHidden/>
          </w:rPr>
        </w:r>
        <w:r>
          <w:rPr>
            <w:noProof/>
            <w:webHidden/>
          </w:rPr>
          <w:fldChar w:fldCharType="separate"/>
        </w:r>
        <w:r w:rsidR="00F95BCA">
          <w:rPr>
            <w:noProof/>
            <w:webHidden/>
          </w:rPr>
          <w:t>13</w:t>
        </w:r>
        <w:r>
          <w:rPr>
            <w:noProof/>
            <w:webHidden/>
          </w:rPr>
          <w:fldChar w:fldCharType="end"/>
        </w:r>
      </w:hyperlink>
    </w:p>
    <w:p w14:paraId="5DDF15E9" w14:textId="429882DA" w:rsidR="000B3133" w:rsidRDefault="00334212">
      <w:pPr>
        <w:pStyle w:val="TOC2"/>
        <w:tabs>
          <w:tab w:val="right" w:leader="dot" w:pos="9350"/>
        </w:tabs>
        <w:spacing w:line="360" w:lineRule="auto"/>
        <w:jc w:val="both"/>
        <w:rPr>
          <w:noProof/>
        </w:rPr>
      </w:pPr>
      <w:hyperlink w:anchor="_Toc237377820" w:history="1">
        <w:r>
          <w:rPr>
            <w:rStyle w:val="Hyperlink"/>
            <w:noProof/>
            <w:lang w:val="en-GB"/>
          </w:rPr>
          <w:t>Monitoring and Sustaining Improvement</w:t>
        </w:r>
        <w:r>
          <w:rPr>
            <w:noProof/>
            <w:webHidden/>
          </w:rPr>
          <w:tab/>
        </w:r>
        <w:r>
          <w:rPr>
            <w:noProof/>
            <w:webHidden/>
          </w:rPr>
          <w:fldChar w:fldCharType="begin"/>
        </w:r>
        <w:r>
          <w:rPr>
            <w:noProof/>
            <w:webHidden/>
          </w:rPr>
          <w:instrText xml:space="preserve"> PAGEREF _Toc237377820 \h </w:instrText>
        </w:r>
        <w:r>
          <w:rPr>
            <w:noProof/>
            <w:webHidden/>
          </w:rPr>
        </w:r>
        <w:r>
          <w:rPr>
            <w:noProof/>
            <w:webHidden/>
          </w:rPr>
          <w:fldChar w:fldCharType="separate"/>
        </w:r>
        <w:r w:rsidR="00F95BCA">
          <w:rPr>
            <w:noProof/>
            <w:webHidden/>
          </w:rPr>
          <w:t>13</w:t>
        </w:r>
        <w:r>
          <w:rPr>
            <w:noProof/>
            <w:webHidden/>
          </w:rPr>
          <w:fldChar w:fldCharType="end"/>
        </w:r>
      </w:hyperlink>
    </w:p>
    <w:p w14:paraId="52588541" w14:textId="1D833D22" w:rsidR="000B3133" w:rsidRDefault="00334212">
      <w:pPr>
        <w:pStyle w:val="TOC1"/>
        <w:tabs>
          <w:tab w:val="right" w:leader="dot" w:pos="9350"/>
        </w:tabs>
        <w:spacing w:line="360" w:lineRule="auto"/>
        <w:jc w:val="both"/>
        <w:rPr>
          <w:noProof/>
        </w:rPr>
      </w:pPr>
      <w:hyperlink w:anchor="_Toc237377821" w:history="1">
        <w:r>
          <w:rPr>
            <w:rStyle w:val="Hyperlink"/>
            <w:noProof/>
            <w:lang w:val="en-GB"/>
          </w:rPr>
          <w:t>Conclusion</w:t>
        </w:r>
        <w:r>
          <w:rPr>
            <w:noProof/>
            <w:webHidden/>
          </w:rPr>
          <w:tab/>
        </w:r>
        <w:r>
          <w:rPr>
            <w:noProof/>
            <w:webHidden/>
          </w:rPr>
          <w:fldChar w:fldCharType="begin"/>
        </w:r>
        <w:r>
          <w:rPr>
            <w:noProof/>
            <w:webHidden/>
          </w:rPr>
          <w:instrText xml:space="preserve"> PAGEREF _Toc237377821 \h </w:instrText>
        </w:r>
        <w:r>
          <w:rPr>
            <w:noProof/>
            <w:webHidden/>
          </w:rPr>
        </w:r>
        <w:r>
          <w:rPr>
            <w:noProof/>
            <w:webHidden/>
          </w:rPr>
          <w:fldChar w:fldCharType="separate"/>
        </w:r>
        <w:r w:rsidR="00F95BCA">
          <w:rPr>
            <w:noProof/>
            <w:webHidden/>
          </w:rPr>
          <w:t>14</w:t>
        </w:r>
        <w:r>
          <w:rPr>
            <w:noProof/>
            <w:webHidden/>
          </w:rPr>
          <w:fldChar w:fldCharType="end"/>
        </w:r>
      </w:hyperlink>
    </w:p>
    <w:p w14:paraId="28FCE0E3" w14:textId="27FBB923" w:rsidR="000B3133" w:rsidRDefault="00334212">
      <w:pPr>
        <w:pStyle w:val="TOC1"/>
        <w:tabs>
          <w:tab w:val="right" w:leader="dot" w:pos="9350"/>
        </w:tabs>
        <w:spacing w:line="360" w:lineRule="auto"/>
        <w:jc w:val="both"/>
        <w:rPr>
          <w:noProof/>
        </w:rPr>
      </w:pPr>
      <w:hyperlink w:anchor="_Toc237377822" w:history="1">
        <w:r>
          <w:rPr>
            <w:rStyle w:val="Hyperlink"/>
            <w:noProof/>
            <w:lang w:val="en-GB"/>
          </w:rPr>
          <w:t>References</w:t>
        </w:r>
        <w:r>
          <w:rPr>
            <w:noProof/>
            <w:webHidden/>
          </w:rPr>
          <w:tab/>
        </w:r>
        <w:r>
          <w:rPr>
            <w:noProof/>
            <w:webHidden/>
          </w:rPr>
          <w:fldChar w:fldCharType="begin"/>
        </w:r>
        <w:r>
          <w:rPr>
            <w:noProof/>
            <w:webHidden/>
          </w:rPr>
          <w:instrText xml:space="preserve"> PAGEREF _Toc237377822 \h </w:instrText>
        </w:r>
        <w:r>
          <w:rPr>
            <w:noProof/>
            <w:webHidden/>
          </w:rPr>
        </w:r>
        <w:r>
          <w:rPr>
            <w:noProof/>
            <w:webHidden/>
          </w:rPr>
          <w:fldChar w:fldCharType="separate"/>
        </w:r>
        <w:r w:rsidR="00F95BCA">
          <w:rPr>
            <w:noProof/>
            <w:webHidden/>
          </w:rPr>
          <w:t>16</w:t>
        </w:r>
        <w:r>
          <w:rPr>
            <w:noProof/>
            <w:webHidden/>
          </w:rPr>
          <w:fldChar w:fldCharType="end"/>
        </w:r>
      </w:hyperlink>
    </w:p>
    <w:p w14:paraId="084C28E1" w14:textId="77777777" w:rsidR="000B3133" w:rsidRDefault="00334212">
      <w:pPr>
        <w:spacing w:line="360" w:lineRule="auto"/>
        <w:jc w:val="both"/>
      </w:pPr>
      <w:r>
        <w:rPr>
          <w:b/>
          <w:bCs/>
          <w:noProof/>
        </w:rPr>
        <w:fldChar w:fldCharType="end"/>
      </w:r>
    </w:p>
    <w:p w14:paraId="6CC8ECFE" w14:textId="77777777" w:rsidR="000B3133" w:rsidRDefault="00334212">
      <w:pPr>
        <w:spacing w:line="360" w:lineRule="auto"/>
        <w:jc w:val="both"/>
        <w:rPr>
          <w:rFonts w:eastAsia="Times New Roman"/>
          <w:lang w:val="en-GB"/>
        </w:rPr>
      </w:pPr>
      <w:r>
        <w:rPr>
          <w:rFonts w:eastAsia="Times New Roman"/>
          <w:lang w:val="en-GB"/>
        </w:rPr>
        <w:br w:type="page"/>
      </w:r>
    </w:p>
    <w:p w14:paraId="7338C162" w14:textId="77777777" w:rsidR="000B3133" w:rsidRDefault="00334212">
      <w:pPr>
        <w:pStyle w:val="Heading1"/>
        <w:rPr>
          <w:lang w:val="en-GB"/>
        </w:rPr>
      </w:pPr>
      <w:bookmarkStart w:id="0" w:name="_Toc237377802"/>
      <w:r>
        <w:rPr>
          <w:lang w:val="en-GB"/>
        </w:rPr>
        <w:lastRenderedPageBreak/>
        <w:t>Introduction</w:t>
      </w:r>
      <w:bookmarkEnd w:id="0"/>
      <w:r>
        <w:rPr>
          <w:lang w:val="en-GB"/>
        </w:rPr>
        <w:t xml:space="preserve"> </w:t>
      </w:r>
    </w:p>
    <w:p w14:paraId="635FC935" w14:textId="77777777" w:rsidR="000B3133" w:rsidRDefault="00334212">
      <w:pPr>
        <w:pStyle w:val="Heading2"/>
        <w:rPr>
          <w:lang w:val="en-GB"/>
        </w:rPr>
      </w:pPr>
      <w:bookmarkStart w:id="1" w:name="_Toc237377803"/>
      <w:r>
        <w:rPr>
          <w:lang w:val="en-GB"/>
        </w:rPr>
        <w:t>Background and Context</w:t>
      </w:r>
      <w:bookmarkEnd w:id="1"/>
    </w:p>
    <w:p w14:paraId="6CB6D2CA" w14:textId="77777777" w:rsidR="000B3133" w:rsidRDefault="00334212">
      <w:pPr>
        <w:spacing w:line="360" w:lineRule="auto"/>
        <w:jc w:val="both"/>
        <w:rPr>
          <w:rFonts w:eastAsia="Times New Roman"/>
          <w:lang w:val="en-GB"/>
        </w:rPr>
      </w:pPr>
      <w:r>
        <w:rPr>
          <w:rFonts w:eastAsia="Times New Roman"/>
          <w:lang w:val="en-GB"/>
        </w:rPr>
        <w:t xml:space="preserve">Patient safety is a important dimension of healthcare quality since effective health services must minimise avoidable harm and provide safe, timely and patient-centred care. In this context, quality assurance mainly relies on effective clinical governance, incident reporting, risk escalation and organisational learning. The Lucy Letby case has represented major patient-safety failures at the Countess of Chester Hospital's neonatal unit during 2015-2016, when an unusual number of neonatal deaths and unexplained collapses occurred (Lawrence and Conn, 2024). Letby, a neonatal nurse who was working at the unit, was subsequently convicted of the murder of seven babies and the attempted murder of six others (Levitt, 2026). Additionally, the case has also exposed significant weaknesses in the Trust’s clinical governance and quality-assurance arrangements, particularly concerning the management of emerging safety concerns and organisational responses to clinical warnings (Lawrence and Conn, 2024). </w:t>
      </w:r>
    </w:p>
    <w:p w14:paraId="3CC175BC" w14:textId="77777777" w:rsidR="000B3133" w:rsidRDefault="00334212">
      <w:pPr>
        <w:pStyle w:val="Heading2"/>
        <w:rPr>
          <w:lang w:val="en-GB"/>
        </w:rPr>
      </w:pPr>
      <w:bookmarkStart w:id="2" w:name="_Toc237377804"/>
      <w:r>
        <w:rPr>
          <w:lang w:val="en-GB"/>
        </w:rPr>
        <w:t>Quality Assurance Failure</w:t>
      </w:r>
      <w:bookmarkEnd w:id="2"/>
    </w:p>
    <w:p w14:paraId="64CE8BEE" w14:textId="77777777" w:rsidR="000B3133" w:rsidRDefault="00334212">
      <w:pPr>
        <w:spacing w:line="360" w:lineRule="auto"/>
        <w:jc w:val="both"/>
        <w:rPr>
          <w:rFonts w:eastAsia="Times New Roman"/>
          <w:lang w:val="en-GB"/>
        </w:rPr>
      </w:pPr>
      <w:r>
        <w:rPr>
          <w:rFonts w:eastAsia="Times New Roman"/>
          <w:lang w:val="en-GB"/>
        </w:rPr>
        <w:t xml:space="preserve">The principal quality concern assessed in this report is the failure of organisational systems for recognising, escalating, investigating and responding effectively to repeated indicators of potential neonatal harm </w:t>
      </w:r>
      <w:r>
        <w:rPr>
          <w:rFonts w:eastAsia="Times New Roman"/>
          <w:lang w:val="en-US"/>
        </w:rPr>
        <w:t>(</w:t>
      </w:r>
      <w:r>
        <w:rPr>
          <w:rFonts w:eastAsia="Times New Roman"/>
          <w:lang w:val="en-GB"/>
        </w:rPr>
        <w:t xml:space="preserve">Lawrence and Conn, 2024). Instead of interpreting the events solely as individual professional misconduct, a systems-based perspective identifies the simultaneous failure of multiple safety barriers. Application of the Swiss Cheese model has recognised delayed managerial response, poor incident reporting, weak governance, staffing pressures and a defensive organisational culture as interconnected contributory factors (Wiegmann et al., 2022). </w:t>
      </w:r>
    </w:p>
    <w:p w14:paraId="62DB131C" w14:textId="77777777" w:rsidR="000B3133" w:rsidRDefault="00334212">
      <w:pPr>
        <w:spacing w:line="360" w:lineRule="auto"/>
        <w:jc w:val="center"/>
        <w:rPr>
          <w:rFonts w:eastAsia="Times New Roman"/>
          <w:lang w:val="en-GB"/>
        </w:rPr>
      </w:pPr>
      <w:r>
        <w:rPr>
          <w:rFonts w:eastAsia="Times New Roman"/>
          <w:noProof/>
          <w:lang w:val="en-GB"/>
        </w:rPr>
        <w:lastRenderedPageBreak/>
        <w:drawing>
          <wp:inline distT="0" distB="0" distL="0" distR="0" wp14:anchorId="762FD7CA" wp14:editId="24765499">
            <wp:extent cx="4336049" cy="2283433"/>
            <wp:effectExtent l="25400" t="25400" r="25400" b="25400"/>
            <wp:docPr id="1027"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6" cstate="print"/>
                    <a:srcRect t="12166" b="14929"/>
                    <a:stretch/>
                  </pic:blipFill>
                  <pic:spPr>
                    <a:xfrm>
                      <a:off x="0" y="0"/>
                      <a:ext cx="4336049" cy="2283433"/>
                    </a:xfrm>
                    <a:prstGeom prst="rect">
                      <a:avLst/>
                    </a:prstGeom>
                    <a:ln w="25400" cap="flat" cmpd="sng">
                      <a:solidFill>
                        <a:srgbClr val="000000"/>
                      </a:solidFill>
                      <a:prstDash val="solid"/>
                      <a:round/>
                      <a:headEnd type="none" w="med" len="med"/>
                      <a:tailEnd type="none" w="med" len="med"/>
                    </a:ln>
                  </pic:spPr>
                </pic:pic>
              </a:graphicData>
            </a:graphic>
          </wp:inline>
        </w:drawing>
      </w:r>
    </w:p>
    <w:p w14:paraId="0978F75C" w14:textId="77777777" w:rsidR="000B3133" w:rsidRDefault="00334212">
      <w:pPr>
        <w:spacing w:line="360" w:lineRule="auto"/>
        <w:jc w:val="center"/>
        <w:rPr>
          <w:rFonts w:eastAsia="Times New Roman"/>
          <w:b/>
          <w:bCs/>
          <w:lang w:val="en-GB"/>
        </w:rPr>
      </w:pPr>
      <w:r>
        <w:rPr>
          <w:rFonts w:eastAsia="Times New Roman"/>
          <w:b/>
          <w:bCs/>
          <w:lang w:val="en-GB"/>
        </w:rPr>
        <w:t>Figure 1: NHS Workforce Nutshell</w:t>
      </w:r>
    </w:p>
    <w:p w14:paraId="00B64444" w14:textId="77777777" w:rsidR="000B3133" w:rsidRDefault="00334212">
      <w:pPr>
        <w:spacing w:line="360" w:lineRule="auto"/>
        <w:jc w:val="center"/>
        <w:rPr>
          <w:rFonts w:eastAsia="Times New Roman"/>
          <w:lang w:val="en-GB"/>
        </w:rPr>
      </w:pPr>
      <w:r>
        <w:rPr>
          <w:rFonts w:eastAsia="Times New Roman"/>
          <w:lang w:val="en-GB"/>
        </w:rPr>
        <w:t>(Source: The King’s Fund, 2024)</w:t>
      </w:r>
    </w:p>
    <w:p w14:paraId="6B658EE3" w14:textId="77777777" w:rsidR="000B3133" w:rsidRDefault="00334212">
      <w:pPr>
        <w:spacing w:line="360" w:lineRule="auto"/>
        <w:jc w:val="both"/>
        <w:rPr>
          <w:rFonts w:eastAsia="Times New Roman"/>
          <w:lang w:val="en-GB"/>
        </w:rPr>
      </w:pPr>
      <w:r>
        <w:rPr>
          <w:rFonts w:eastAsia="Times New Roman"/>
          <w:lang w:val="en-GB"/>
        </w:rPr>
        <w:t xml:space="preserve">The wider NHS workforce context has further demonstrated the operational pressures facing healthcare organisations, with 121,000 vacancies (8.4%) and 154,000 staff leaving their posts (10.7%) reported in England in the year to September 2023 (The King's Fund, 2024). This workforce evidence has provided contextual pressure but does not have developed a direct causal interconnection with the events at the Countess of Chester Hospital. </w:t>
      </w:r>
    </w:p>
    <w:p w14:paraId="32277E6C" w14:textId="77777777" w:rsidR="000B3133" w:rsidRDefault="00334212">
      <w:pPr>
        <w:pStyle w:val="Heading2"/>
        <w:rPr>
          <w:lang w:val="en-GB"/>
        </w:rPr>
      </w:pPr>
      <w:bookmarkStart w:id="3" w:name="_Toc237377805"/>
      <w:r>
        <w:rPr>
          <w:lang w:val="en-GB"/>
        </w:rPr>
        <w:t>Consequences for Service Provision</w:t>
      </w:r>
      <w:bookmarkEnd w:id="3"/>
    </w:p>
    <w:p w14:paraId="3029C017" w14:textId="77777777" w:rsidR="000B3133" w:rsidRDefault="00334212">
      <w:pPr>
        <w:spacing w:line="360" w:lineRule="auto"/>
        <w:jc w:val="both"/>
        <w:rPr>
          <w:rFonts w:eastAsia="Times New Roman"/>
          <w:lang w:val="en-GB"/>
        </w:rPr>
      </w:pPr>
      <w:r>
        <w:rPr>
          <w:rFonts w:eastAsia="Times New Roman"/>
          <w:lang w:val="en-GB"/>
        </w:rPr>
        <w:t xml:space="preserve">The quality failure has impacted several dimensions of service provision. In this context, recognised avoidable neonatal harm as the primary quality consequences, while delayed investigations have prolonged organisational exposure to risk and contributed to subsequent external scrutiny (O'Donoghue et al., 2023). The case has also impacted interconnections between the organisation and families, with concerns regarding transparency, patient safety, responsiveness and patient-centred care. Additionally, evidence from patient-safety research has indicated that organisational safety culture is mainly linked with adverse-event outcomes, by demonstrating the significance of leadership, staff engagement and safety-related organisational practices in reducing the risks (Vikan et al., 2023). </w:t>
      </w:r>
    </w:p>
    <w:p w14:paraId="4CBAF770" w14:textId="77777777" w:rsidR="000B3133" w:rsidRDefault="00334212">
      <w:pPr>
        <w:spacing w:line="360" w:lineRule="auto"/>
        <w:jc w:val="both"/>
        <w:rPr>
          <w:rFonts w:eastAsia="Times New Roman"/>
          <w:b/>
          <w:bCs/>
          <w:i/>
          <w:iCs/>
          <w:lang w:val="en-GB"/>
        </w:rPr>
      </w:pPr>
      <w:r>
        <w:rPr>
          <w:rFonts w:eastAsia="Times New Roman"/>
          <w:b/>
          <w:bCs/>
          <w:i/>
          <w:iCs/>
          <w:lang w:val="en-GB"/>
        </w:rPr>
        <w:t>Aim and Analytical Approach</w:t>
      </w:r>
    </w:p>
    <w:p w14:paraId="3BB36FA9" w14:textId="77777777" w:rsidR="000B3133" w:rsidRDefault="00334212">
      <w:pPr>
        <w:spacing w:line="360" w:lineRule="auto"/>
        <w:jc w:val="both"/>
        <w:rPr>
          <w:rFonts w:eastAsia="Times New Roman"/>
          <w:b/>
          <w:bCs/>
          <w:lang w:val="en-GB"/>
        </w:rPr>
      </w:pPr>
      <w:r>
        <w:rPr>
          <w:rFonts w:eastAsia="Times New Roman"/>
          <w:lang w:val="en-GB"/>
        </w:rPr>
        <w:t xml:space="preserve">This report aims to critically analyse the organisational causes underlying the quality failure and establish evidence-based approaches for sustainable service improvement. The Fishbone Diagram will categorise the recognised contributory factors, while the Donabedian Model will assess failures across the structure, procedures and outcomes, extending the quality </w:t>
      </w:r>
      <w:r>
        <w:rPr>
          <w:rFonts w:eastAsia="Times New Roman"/>
          <w:lang w:val="en-GB"/>
        </w:rPr>
        <w:lastRenderedPageBreak/>
        <w:t>management analysis. Additionally, a SWOT analysis will evaluate the organisational context for development. Based on the identified root causes, endorsements will be developed and operationalised finished the PDSA framework, concentrating on clinical governance, growth of concerns, occurrence reporting, administrative learning and patient-safety declaration.</w:t>
      </w:r>
    </w:p>
    <w:p w14:paraId="6DCF766A" w14:textId="77777777" w:rsidR="000B3133" w:rsidRDefault="00334212">
      <w:pPr>
        <w:pStyle w:val="Heading1"/>
        <w:rPr>
          <w:lang w:val="en-GB"/>
        </w:rPr>
      </w:pPr>
      <w:bookmarkStart w:id="4" w:name="_Toc237377806"/>
      <w:r>
        <w:rPr>
          <w:lang w:val="en-GB"/>
        </w:rPr>
        <w:t>Main Body</w:t>
      </w:r>
      <w:bookmarkEnd w:id="4"/>
      <w:r>
        <w:rPr>
          <w:lang w:val="en-GB"/>
        </w:rPr>
        <w:t xml:space="preserve"> </w:t>
      </w:r>
    </w:p>
    <w:p w14:paraId="4AFEC069" w14:textId="77777777" w:rsidR="000B3133" w:rsidRDefault="00334212">
      <w:pPr>
        <w:pStyle w:val="Heading2"/>
        <w:rPr>
          <w:lang w:val="en-GB"/>
        </w:rPr>
      </w:pPr>
      <w:bookmarkStart w:id="5" w:name="_Toc237377807"/>
      <w:r>
        <w:rPr>
          <w:lang w:val="en-GB"/>
        </w:rPr>
        <w:t>Critical analysis of the quality problem</w:t>
      </w:r>
      <w:bookmarkEnd w:id="5"/>
    </w:p>
    <w:p w14:paraId="2A285862" w14:textId="77777777" w:rsidR="000B3133" w:rsidRDefault="00334212">
      <w:pPr>
        <w:spacing w:line="360" w:lineRule="auto"/>
        <w:jc w:val="both"/>
        <w:rPr>
          <w:rFonts w:eastAsia="Times New Roman"/>
          <w:lang w:val="en-GB"/>
        </w:rPr>
      </w:pPr>
      <w:r>
        <w:rPr>
          <w:rFonts w:eastAsia="Times New Roman"/>
          <w:lang w:val="en-GB"/>
        </w:rPr>
        <w:t>The central failure was systemic instead of attributable significantly to an individual practitioner. In this context, at the Countess of Chester Hospital, concerns regarding the repeated neonatal deaths and collapses were not meaningfully escalated or examined, while feebleness in clinical governance, incident reporting and leadership reduced opportunities for timely intervention have been recognised (Lawrence and Conn, 2024). A systems-based clarification will be more appropriate, as patient-safety failures can be emerged through connections between administrative structures, procedures and human factors instead of only through a single factor (Mistri, Badge and Shahu, 2023). Therefore, this provides the investigative base for suggesting the Fishbone Diagram, Donabedian Model and SWOT analysis.</w:t>
      </w:r>
    </w:p>
    <w:p w14:paraId="68D37214" w14:textId="77777777" w:rsidR="000B3133" w:rsidRDefault="00334212">
      <w:pPr>
        <w:pStyle w:val="Heading2"/>
        <w:rPr>
          <w:lang w:val="en-GB"/>
        </w:rPr>
      </w:pPr>
      <w:bookmarkStart w:id="6" w:name="_Toc237377808"/>
      <w:r>
        <w:rPr>
          <w:lang w:val="en-GB"/>
        </w:rPr>
        <w:t>Rationale for the Quality Improvement Frameworks</w:t>
      </w:r>
      <w:bookmarkEnd w:id="6"/>
      <w:r>
        <w:rPr>
          <w:lang w:val="en-GB"/>
        </w:rPr>
        <w:t xml:space="preserve"> </w:t>
      </w:r>
    </w:p>
    <w:p w14:paraId="12CC583D" w14:textId="77777777" w:rsidR="000B3133" w:rsidRDefault="00334212">
      <w:pPr>
        <w:spacing w:line="360" w:lineRule="auto"/>
        <w:jc w:val="both"/>
        <w:rPr>
          <w:rFonts w:eastAsia="Times New Roman"/>
          <w:lang w:val="en-GB"/>
        </w:rPr>
      </w:pPr>
      <w:r>
        <w:rPr>
          <w:rFonts w:eastAsia="Times New Roman"/>
          <w:lang w:val="en-GB"/>
        </w:rPr>
        <w:t>In the context of the Countess of Chester Hospital, repeated neonatal deaths and collapses have been accompanied by concerns from senior clinicians which were not significantly escalated or investigated, along with weaknesses in clinical governance, incident reporting, communication and organisational culture.  These interlinked failures are requiring complementary analytical approaches. The Fishbone Diagram will be appropriate for categorising contributory factors across leadership, staffing, communication, reporting and governance, supporting systematic recognition of interconnected causes (Mistri, Badge and Shahu, 2023). The Donabedian Model will allow the assessment of how weaknesses in organisational structure and care procedures contributed to the adverse outcomes. Moreover, a SWOT analysis will also inspect organisational assets, faintness, chances and threats by impacting the feasibility of improvement. Therefore, these frameworks will enable the recognised failures to be disapprovingly inspected from harmonising organisational and service-quality viewpoints.</w:t>
      </w:r>
    </w:p>
    <w:p w14:paraId="4461D003" w14:textId="77777777" w:rsidR="000B3133" w:rsidRDefault="00334212">
      <w:pPr>
        <w:pStyle w:val="Heading2"/>
        <w:rPr>
          <w:lang w:val="en-GB"/>
        </w:rPr>
      </w:pPr>
      <w:bookmarkStart w:id="7" w:name="_Toc237377809"/>
      <w:r>
        <w:rPr>
          <w:lang w:val="en-GB"/>
        </w:rPr>
        <w:lastRenderedPageBreak/>
        <w:t>Fishbone Analysis: Recognising the Root Causes</w:t>
      </w:r>
      <w:bookmarkEnd w:id="7"/>
      <w:r>
        <w:rPr>
          <w:lang w:val="en-GB"/>
        </w:rPr>
        <w:t xml:space="preserve"> </w:t>
      </w:r>
    </w:p>
    <w:p w14:paraId="7775D13D" w14:textId="77777777" w:rsidR="000B3133" w:rsidRDefault="00334212">
      <w:pPr>
        <w:spacing w:line="360" w:lineRule="auto"/>
        <w:jc w:val="center"/>
        <w:rPr>
          <w:rFonts w:eastAsia="Times New Roman"/>
          <w:lang w:val="en-GB"/>
        </w:rPr>
      </w:pPr>
      <w:r>
        <w:rPr>
          <w:rFonts w:eastAsia="Times New Roman"/>
          <w:noProof/>
          <w:lang w:val="en-GB"/>
        </w:rPr>
        <w:drawing>
          <wp:inline distT="0" distB="0" distL="0" distR="0" wp14:anchorId="6A9840EE" wp14:editId="6DFFD202">
            <wp:extent cx="4629742" cy="2351968"/>
            <wp:effectExtent l="25400" t="25400" r="25400" b="25400"/>
            <wp:docPr id="1028"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7" cstate="print"/>
                    <a:srcRect/>
                    <a:stretch/>
                  </pic:blipFill>
                  <pic:spPr>
                    <a:xfrm>
                      <a:off x="0" y="0"/>
                      <a:ext cx="4629742" cy="2351968"/>
                    </a:xfrm>
                    <a:prstGeom prst="rect">
                      <a:avLst/>
                    </a:prstGeom>
                    <a:ln w="25400" cap="flat" cmpd="sng">
                      <a:solidFill>
                        <a:srgbClr val="000000"/>
                      </a:solidFill>
                      <a:prstDash val="solid"/>
                      <a:round/>
                      <a:headEnd type="none" w="med" len="med"/>
                      <a:tailEnd type="none" w="med" len="med"/>
                    </a:ln>
                  </pic:spPr>
                </pic:pic>
              </a:graphicData>
            </a:graphic>
          </wp:inline>
        </w:drawing>
      </w:r>
    </w:p>
    <w:p w14:paraId="7DE8FC4E" w14:textId="77777777" w:rsidR="000B3133" w:rsidRDefault="00334212">
      <w:pPr>
        <w:spacing w:line="360" w:lineRule="auto"/>
        <w:jc w:val="center"/>
        <w:rPr>
          <w:rFonts w:eastAsia="Times New Roman"/>
          <w:b/>
          <w:bCs/>
          <w:lang w:val="en-GB"/>
        </w:rPr>
      </w:pPr>
      <w:r>
        <w:rPr>
          <w:rFonts w:eastAsia="Times New Roman"/>
          <w:b/>
          <w:bCs/>
          <w:lang w:val="en-GB"/>
        </w:rPr>
        <w:t>Figure 2: Fishbone Diagram</w:t>
      </w:r>
    </w:p>
    <w:p w14:paraId="6E2432F2" w14:textId="77777777" w:rsidR="000B3133" w:rsidRDefault="00334212">
      <w:pPr>
        <w:spacing w:line="360" w:lineRule="auto"/>
        <w:jc w:val="center"/>
        <w:rPr>
          <w:rFonts w:eastAsia="Times New Roman"/>
          <w:lang w:val="en-GB"/>
        </w:rPr>
      </w:pPr>
      <w:r>
        <w:rPr>
          <w:rFonts w:eastAsia="Times New Roman"/>
          <w:lang w:val="en-GB"/>
        </w:rPr>
        <w:t>(Source: Self-Created)</w:t>
      </w:r>
    </w:p>
    <w:p w14:paraId="7DC35C6E" w14:textId="77777777" w:rsidR="000B3133" w:rsidRDefault="00334212">
      <w:pPr>
        <w:spacing w:line="360" w:lineRule="auto"/>
        <w:jc w:val="both"/>
        <w:rPr>
          <w:rFonts w:eastAsia="Times New Roman"/>
          <w:lang w:val="en-GB"/>
        </w:rPr>
      </w:pPr>
      <w:r>
        <w:rPr>
          <w:rFonts w:eastAsia="Times New Roman"/>
          <w:lang w:val="en-GB"/>
        </w:rPr>
        <w:t xml:space="preserve">At the Countess of Chester Hospital, the Fishbone Diagram has recognised leadership and governance, communiqué, staffing, incident journalism and organisational culture as consistent contributors to the neonatal safety failure (Lawrence and Conn, 2024). </w:t>
      </w:r>
    </w:p>
    <w:p w14:paraId="4ABDE52A" w14:textId="77777777" w:rsidR="000B3133" w:rsidRDefault="00334212">
      <w:pPr>
        <w:spacing w:line="360" w:lineRule="auto"/>
        <w:jc w:val="both"/>
        <w:rPr>
          <w:rFonts w:eastAsia="Times New Roman"/>
          <w:lang w:val="en-GB"/>
        </w:rPr>
      </w:pPr>
      <w:r>
        <w:rPr>
          <w:rFonts w:eastAsia="Times New Roman"/>
          <w:lang w:val="en-GB"/>
        </w:rPr>
        <w:t xml:space="preserve">In this context, Leadership and Governance have been significant weaknesses as clinical concerns were not interpreted into timely administrative action. Delayed managerial responses and inadequate governance have demonstrated weaknesses in responsibility and escalation (Lawrence and Conn, 2024). This indicates that the problem has involved not only the availability of clinical information but also the organisational capacity for identifying its significance and initiating appropriate intervention. </w:t>
      </w:r>
    </w:p>
    <w:p w14:paraId="720D6A2D" w14:textId="77777777" w:rsidR="000B3133" w:rsidRDefault="00334212">
      <w:pPr>
        <w:spacing w:line="360" w:lineRule="auto"/>
        <w:jc w:val="both"/>
        <w:rPr>
          <w:rFonts w:eastAsia="Times New Roman"/>
          <w:lang w:val="en-GB"/>
        </w:rPr>
      </w:pPr>
      <w:r>
        <w:rPr>
          <w:rFonts w:eastAsia="Times New Roman"/>
          <w:lang w:val="en-GB"/>
        </w:rPr>
        <w:t>Additionally, incident reporting and monitoring have additionally weakened occasions for organisational learning. Inadequate incident reporting and failures are significant in distinguishing the patterns of harm as significant systematic weaknesses (Lawrence and Conn, 2024). Moreover, staffing and organisational culture provide additional interacting factors. Staffing pressures and a defensive organisational culture were identified as contributory issues (Mistri, Badge and Shahu, 2023).</w:t>
      </w:r>
    </w:p>
    <w:p w14:paraId="07AF2C19" w14:textId="77777777" w:rsidR="000B3133" w:rsidRDefault="00334212">
      <w:pPr>
        <w:spacing w:line="360" w:lineRule="auto"/>
        <w:jc w:val="both"/>
        <w:rPr>
          <w:rFonts w:eastAsia="Times New Roman"/>
          <w:lang w:val="en-GB"/>
        </w:rPr>
      </w:pPr>
      <w:r>
        <w:rPr>
          <w:rFonts w:eastAsia="Times New Roman"/>
          <w:lang w:val="en-GB"/>
        </w:rPr>
        <w:t>Overall, it can be interpreted that the Fishbone analysis has demonstrated that the quality failure resulted from interrelating organisational faintness rather than a single lacking process, supporting a systemic approach to service development.</w:t>
      </w:r>
    </w:p>
    <w:p w14:paraId="663B7659" w14:textId="77777777" w:rsidR="000B3133" w:rsidRDefault="00334212">
      <w:pPr>
        <w:pStyle w:val="Heading2"/>
        <w:rPr>
          <w:lang w:val="en-GB"/>
        </w:rPr>
      </w:pPr>
      <w:bookmarkStart w:id="8" w:name="_Toc237377810"/>
      <w:r>
        <w:rPr>
          <w:lang w:val="en-GB"/>
        </w:rPr>
        <w:lastRenderedPageBreak/>
        <w:t>5 Whys Analysis: Tracing the Underlying Causes</w:t>
      </w:r>
      <w:bookmarkEnd w:id="8"/>
    </w:p>
    <w:p w14:paraId="1238282D" w14:textId="77777777" w:rsidR="000B3133" w:rsidRDefault="00334212">
      <w:pPr>
        <w:spacing w:line="360" w:lineRule="auto"/>
        <w:jc w:val="both"/>
        <w:rPr>
          <w:rFonts w:eastAsia="Times New Roman"/>
          <w:lang w:val="en-GB"/>
        </w:rPr>
      </w:pPr>
      <w:r>
        <w:rPr>
          <w:rFonts w:eastAsia="Times New Roman"/>
          <w:lang w:val="en-GB"/>
        </w:rPr>
        <w:t xml:space="preserve">At the Countess of Chester Hospital, the central problem was failure to translate clinicians' concerns into timely organisational action. In this context, the 5 Whys analysis will recognise the following causal sequences. </w:t>
      </w:r>
    </w:p>
    <w:p w14:paraId="0F69F2C9" w14:textId="77777777" w:rsidR="000B3133" w:rsidRDefault="00334212">
      <w:pPr>
        <w:spacing w:line="360" w:lineRule="auto"/>
        <w:jc w:val="both"/>
        <w:rPr>
          <w:rFonts w:eastAsia="Times New Roman"/>
          <w:lang w:val="en-GB"/>
        </w:rPr>
      </w:pPr>
      <w:r>
        <w:rPr>
          <w:rFonts w:eastAsia="Times New Roman"/>
          <w:b/>
          <w:bCs/>
          <w:lang w:val="en-GB"/>
        </w:rPr>
        <w:t>Why 1:</w:t>
      </w:r>
      <w:r>
        <w:rPr>
          <w:rFonts w:eastAsia="Times New Roman"/>
          <w:lang w:val="en-GB"/>
        </w:rPr>
        <w:t xml:space="preserve"> Why were concerns not acted upon? </w:t>
      </w:r>
    </w:p>
    <w:p w14:paraId="6E93B17A" w14:textId="77777777" w:rsidR="000B3133" w:rsidRDefault="00334212">
      <w:pPr>
        <w:spacing w:line="360" w:lineRule="auto"/>
        <w:jc w:val="both"/>
        <w:rPr>
          <w:rFonts w:eastAsia="Times New Roman"/>
          <w:lang w:val="en-GB"/>
        </w:rPr>
      </w:pPr>
      <w:r>
        <w:rPr>
          <w:rFonts w:eastAsia="Times New Roman"/>
          <w:lang w:val="en-GB"/>
        </w:rPr>
        <w:t xml:space="preserve">Between the years 2015 and 2016, seven babies were murdered, and seven others were the subject of attempted-murder convictions, while concerns about unusual neonatal events were raised by clinicians (Lawrence and Conn, 2024). The neonatal unit also has experienced an unusually high number of deaths, with at least 13 babies dying between June 2015 and July 2016, compared with four deaths during the previous year (Humphries, 2025). </w:t>
      </w:r>
    </w:p>
    <w:p w14:paraId="330C98D2" w14:textId="77777777" w:rsidR="000B3133" w:rsidRDefault="00334212">
      <w:pPr>
        <w:spacing w:line="360" w:lineRule="auto"/>
        <w:jc w:val="both"/>
        <w:rPr>
          <w:rFonts w:eastAsia="Times New Roman"/>
          <w:lang w:val="en-GB"/>
        </w:rPr>
      </w:pPr>
      <w:r>
        <w:rPr>
          <w:rFonts w:eastAsia="Times New Roman"/>
          <w:b/>
          <w:bCs/>
          <w:lang w:val="en-GB"/>
        </w:rPr>
        <w:t>Why 2:</w:t>
      </w:r>
      <w:r>
        <w:rPr>
          <w:rFonts w:eastAsia="Times New Roman"/>
          <w:lang w:val="en-GB"/>
        </w:rPr>
        <w:t xml:space="preserve"> Why was escalation ineffective? </w:t>
      </w:r>
    </w:p>
    <w:p w14:paraId="054F81BD" w14:textId="77777777" w:rsidR="000B3133" w:rsidRDefault="00334212">
      <w:pPr>
        <w:spacing w:line="360" w:lineRule="auto"/>
        <w:jc w:val="both"/>
        <w:rPr>
          <w:rFonts w:eastAsia="Times New Roman"/>
          <w:lang w:val="en-GB"/>
        </w:rPr>
      </w:pPr>
      <w:r>
        <w:rPr>
          <w:rFonts w:eastAsia="Times New Roman"/>
          <w:lang w:val="en-GB"/>
        </w:rPr>
        <w:t xml:space="preserve">Senior clinicians have raised concerns about the pattern of deaths and collapses, yet organisational responses did not prevent further incidents. A review assessed four unexplained infant collapses, three of which resulted in deaths, with Letby on duty at each event (BBC, 2022). </w:t>
      </w:r>
    </w:p>
    <w:p w14:paraId="5630F425" w14:textId="77777777" w:rsidR="000B3133" w:rsidRDefault="00334212">
      <w:pPr>
        <w:spacing w:line="360" w:lineRule="auto"/>
        <w:jc w:val="both"/>
        <w:rPr>
          <w:rFonts w:eastAsia="Times New Roman"/>
          <w:lang w:val="en-GB"/>
        </w:rPr>
      </w:pPr>
      <w:r>
        <w:rPr>
          <w:rFonts w:eastAsia="Times New Roman"/>
          <w:b/>
          <w:bCs/>
          <w:lang w:val="en-GB"/>
        </w:rPr>
        <w:t>Why 3:</w:t>
      </w:r>
      <w:r>
        <w:rPr>
          <w:rFonts w:eastAsia="Times New Roman"/>
          <w:lang w:val="en-GB"/>
        </w:rPr>
        <w:t xml:space="preserve"> Why were emerging patterns not acted upon? </w:t>
      </w:r>
    </w:p>
    <w:p w14:paraId="2F130A08" w14:textId="77777777" w:rsidR="000B3133" w:rsidRDefault="00334212">
      <w:pPr>
        <w:spacing w:line="360" w:lineRule="auto"/>
        <w:jc w:val="both"/>
        <w:rPr>
          <w:rFonts w:eastAsia="Times New Roman"/>
          <w:lang w:val="en-GB"/>
        </w:rPr>
      </w:pPr>
      <w:r>
        <w:rPr>
          <w:rFonts w:eastAsia="Times New Roman"/>
          <w:lang w:val="en-GB"/>
        </w:rPr>
        <w:t xml:space="preserve">The hospital did not inform the CQC about the spike in baby deaths during its February 2016 inspection, representing a significant weakness in external regulatory communication (Lawrence and Conn, 2024). </w:t>
      </w:r>
    </w:p>
    <w:p w14:paraId="08749F8A" w14:textId="77777777" w:rsidR="000B3133" w:rsidRDefault="00334212">
      <w:pPr>
        <w:spacing w:line="360" w:lineRule="auto"/>
        <w:jc w:val="both"/>
        <w:rPr>
          <w:rFonts w:eastAsia="Times New Roman"/>
          <w:lang w:val="en-GB"/>
        </w:rPr>
      </w:pPr>
      <w:r>
        <w:rPr>
          <w:rFonts w:eastAsia="Times New Roman"/>
          <w:b/>
          <w:bCs/>
          <w:lang w:val="en-GB"/>
        </w:rPr>
        <w:t>Why 4:</w:t>
      </w:r>
      <w:r>
        <w:rPr>
          <w:rFonts w:eastAsia="Times New Roman"/>
          <w:lang w:val="en-GB"/>
        </w:rPr>
        <w:t xml:space="preserve"> Why did governance mechanisms fail to generate timely learning? </w:t>
      </w:r>
    </w:p>
    <w:p w14:paraId="7D19214F" w14:textId="77777777" w:rsidR="000B3133" w:rsidRDefault="00334212">
      <w:pPr>
        <w:spacing w:line="360" w:lineRule="auto"/>
        <w:jc w:val="both"/>
        <w:rPr>
          <w:rFonts w:eastAsia="Times New Roman"/>
          <w:lang w:val="en-GB"/>
        </w:rPr>
      </w:pPr>
      <w:r>
        <w:rPr>
          <w:rFonts w:eastAsia="Times New Roman"/>
          <w:lang w:val="en-GB"/>
        </w:rPr>
        <w:t xml:space="preserve">The neonatal service was reported to have experienced chronic understaffing, inadequate expertise and poor morale, while concerns about leadership and management responses have become central to subsequent scrutiny (Lawrence and Conn, 2024). </w:t>
      </w:r>
    </w:p>
    <w:p w14:paraId="481FCC09" w14:textId="77777777" w:rsidR="000B3133" w:rsidRDefault="00334212">
      <w:pPr>
        <w:spacing w:line="360" w:lineRule="auto"/>
        <w:jc w:val="both"/>
        <w:rPr>
          <w:rFonts w:eastAsia="Times New Roman"/>
          <w:lang w:val="en-GB"/>
        </w:rPr>
      </w:pPr>
      <w:r>
        <w:rPr>
          <w:rFonts w:eastAsia="Times New Roman"/>
          <w:b/>
          <w:bCs/>
          <w:lang w:val="en-GB"/>
        </w:rPr>
        <w:t>Why 5:</w:t>
      </w:r>
      <w:r>
        <w:rPr>
          <w:rFonts w:eastAsia="Times New Roman"/>
          <w:lang w:val="en-GB"/>
        </w:rPr>
        <w:t xml:space="preserve"> Why did these weaknesses persist? </w:t>
      </w:r>
    </w:p>
    <w:p w14:paraId="06E34453" w14:textId="77777777" w:rsidR="000B3133" w:rsidRDefault="00334212">
      <w:pPr>
        <w:spacing w:line="360" w:lineRule="auto"/>
        <w:jc w:val="both"/>
        <w:rPr>
          <w:rFonts w:eastAsia="Times New Roman"/>
          <w:lang w:val="en-GB"/>
        </w:rPr>
      </w:pPr>
      <w:r>
        <w:rPr>
          <w:rFonts w:eastAsia="Times New Roman"/>
          <w:lang w:val="en-GB"/>
        </w:rPr>
        <w:t xml:space="preserve">The subsequent Thirlwall Inquiry was particularly developed for assessing whether earlier suspicions should have been raised, whether concerns were appropriately responded to and whether the Trust's culture, management and governance structures contributed to failures in protecting the babies or not (Clover, 2025). </w:t>
      </w:r>
    </w:p>
    <w:p w14:paraId="57C0C977" w14:textId="77777777" w:rsidR="000B3133" w:rsidRDefault="00334212">
      <w:pPr>
        <w:spacing w:line="360" w:lineRule="auto"/>
        <w:jc w:val="both"/>
        <w:rPr>
          <w:rFonts w:eastAsia="Times New Roman"/>
          <w:lang w:val="en-GB"/>
        </w:rPr>
      </w:pPr>
      <w:r>
        <w:rPr>
          <w:rFonts w:eastAsia="Times New Roman"/>
          <w:lang w:val="en-GB"/>
        </w:rPr>
        <w:t xml:space="preserve">Therefore, this model supports the systematic interpretation which has been developed through the Fishbone analysis instead of attributing the quality failure solely to the individual practice. </w:t>
      </w:r>
    </w:p>
    <w:p w14:paraId="19FDC59B" w14:textId="77777777" w:rsidR="000B3133" w:rsidRDefault="00334212">
      <w:pPr>
        <w:pStyle w:val="Heading2"/>
        <w:rPr>
          <w:lang w:val="en-GB"/>
        </w:rPr>
      </w:pPr>
      <w:bookmarkStart w:id="9" w:name="_Toc237377811"/>
      <w:r>
        <w:rPr>
          <w:lang w:val="en-GB"/>
        </w:rPr>
        <w:lastRenderedPageBreak/>
        <w:t>Donabedian Model: Structure-Process-Outcome Analysis</w:t>
      </w:r>
      <w:bookmarkEnd w:id="9"/>
      <w:r>
        <w:rPr>
          <w:lang w:val="en-GB"/>
        </w:rPr>
        <w:t xml:space="preserve"> </w:t>
      </w:r>
    </w:p>
    <w:p w14:paraId="379289F3" w14:textId="77777777" w:rsidR="000B3133" w:rsidRDefault="00334212">
      <w:pPr>
        <w:spacing w:line="360" w:lineRule="auto"/>
        <w:jc w:val="center"/>
        <w:rPr>
          <w:rFonts w:eastAsia="Times New Roman"/>
          <w:lang w:val="en-GB"/>
        </w:rPr>
      </w:pPr>
      <w:r>
        <w:rPr>
          <w:rFonts w:eastAsia="Times New Roman"/>
          <w:noProof/>
          <w:lang w:val="en-GB"/>
        </w:rPr>
        <w:drawing>
          <wp:inline distT="0" distB="0" distL="0" distR="0" wp14:anchorId="0A2897FB" wp14:editId="525B3865">
            <wp:extent cx="3395556" cy="3128963"/>
            <wp:effectExtent l="25400" t="25400" r="25400" b="25400"/>
            <wp:docPr id="1029"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8" cstate="print"/>
                    <a:srcRect/>
                    <a:stretch/>
                  </pic:blipFill>
                  <pic:spPr>
                    <a:xfrm>
                      <a:off x="0" y="0"/>
                      <a:ext cx="3395556" cy="3128963"/>
                    </a:xfrm>
                    <a:prstGeom prst="rect">
                      <a:avLst/>
                    </a:prstGeom>
                    <a:ln w="25400" cap="flat" cmpd="sng">
                      <a:solidFill>
                        <a:srgbClr val="000000"/>
                      </a:solidFill>
                      <a:prstDash val="solid"/>
                      <a:round/>
                      <a:headEnd type="none" w="med" len="med"/>
                      <a:tailEnd type="none" w="med" len="med"/>
                    </a:ln>
                  </pic:spPr>
                </pic:pic>
              </a:graphicData>
            </a:graphic>
          </wp:inline>
        </w:drawing>
      </w:r>
    </w:p>
    <w:p w14:paraId="0BC3036D" w14:textId="77777777" w:rsidR="000B3133" w:rsidRDefault="00334212">
      <w:pPr>
        <w:spacing w:line="360" w:lineRule="auto"/>
        <w:jc w:val="center"/>
        <w:rPr>
          <w:rFonts w:eastAsia="Times New Roman"/>
          <w:b/>
          <w:bCs/>
          <w:lang w:val="en-GB"/>
        </w:rPr>
      </w:pPr>
      <w:r>
        <w:rPr>
          <w:rFonts w:eastAsia="Times New Roman"/>
          <w:b/>
          <w:bCs/>
          <w:lang w:val="en-GB"/>
        </w:rPr>
        <w:t>Figure 3: Donabedian Model</w:t>
      </w:r>
    </w:p>
    <w:p w14:paraId="53671F66" w14:textId="77777777" w:rsidR="000B3133" w:rsidRDefault="00334212">
      <w:pPr>
        <w:spacing w:line="360" w:lineRule="auto"/>
        <w:jc w:val="center"/>
        <w:rPr>
          <w:rFonts w:eastAsia="Times New Roman"/>
          <w:lang w:val="en-GB"/>
        </w:rPr>
      </w:pPr>
      <w:r>
        <w:rPr>
          <w:rFonts w:eastAsia="Times New Roman"/>
          <w:lang w:val="en-GB"/>
        </w:rPr>
        <w:t>(Source: Yang et al., 2025)</w:t>
      </w:r>
    </w:p>
    <w:p w14:paraId="362C6BBD" w14:textId="77777777" w:rsidR="000B3133" w:rsidRDefault="00334212">
      <w:pPr>
        <w:spacing w:line="360" w:lineRule="auto"/>
        <w:jc w:val="both"/>
        <w:rPr>
          <w:rFonts w:eastAsia="Times New Roman"/>
          <w:lang w:val="en-GB"/>
        </w:rPr>
      </w:pPr>
      <w:r>
        <w:rPr>
          <w:rFonts w:eastAsia="Times New Roman"/>
          <w:lang w:val="en-GB"/>
        </w:rPr>
        <w:t>At the Countess of Chester Hospital, weaknesses in clinical governance, leadership, staffing and mechanisms for escalating safety concerns have created structural vulnerabilities within the neonatal service (Lawrence and Conn, 2024). Within Donabedian's framework, these weaknesses represent structural deficiencies, as organisational resources, governance arrangements and accountability mechanisms influence the conditions in which care is provided (Donabedian, 1988).</w:t>
      </w:r>
    </w:p>
    <w:p w14:paraId="612E09C6" w14:textId="77777777" w:rsidR="000B3133" w:rsidRDefault="00334212">
      <w:pPr>
        <w:spacing w:line="360" w:lineRule="auto"/>
        <w:jc w:val="both"/>
        <w:rPr>
          <w:rFonts w:eastAsia="Times New Roman"/>
          <w:lang w:val="en-GB"/>
        </w:rPr>
      </w:pPr>
      <w:r>
        <w:rPr>
          <w:rFonts w:eastAsia="Times New Roman"/>
          <w:lang w:val="en-GB"/>
        </w:rPr>
        <w:t xml:space="preserve">1As an example, NHS England's Learning from Deaths programme requires the Trust to record the total deaths, deaths reviewed and the percentage reviewed, along with the findings which have been discussed at board level. This was introduced after a CQC review found that some providers were not giving priority to learning from deaths, resulting in missed opportunities for quality improvement (NHS England, 2024). </w:t>
      </w:r>
    </w:p>
    <w:p w14:paraId="3E39E226" w14:textId="77777777" w:rsidR="000B3133" w:rsidRDefault="00334212">
      <w:pPr>
        <w:spacing w:line="360" w:lineRule="auto"/>
        <w:jc w:val="both"/>
        <w:rPr>
          <w:rFonts w:eastAsia="Times New Roman"/>
          <w:lang w:val="en-GB"/>
        </w:rPr>
      </w:pPr>
      <w:r>
        <w:rPr>
          <w:rFonts w:eastAsia="Times New Roman"/>
          <w:lang w:val="en-GB"/>
        </w:rPr>
        <w:t>The case has resulted in the deaths of seven babies and endeavoured manslaughters of six others, followed by significant organisational scrutiny and consequences for public confidence (Lawrence and Conn, 2024). These outcomes validate how weaknesses in administrative arrangements and safety developments can have unadorned consequences for facility quality.</w:t>
      </w:r>
    </w:p>
    <w:p w14:paraId="4DA590E3" w14:textId="77777777" w:rsidR="000B3133" w:rsidRDefault="00334212">
      <w:pPr>
        <w:spacing w:line="360" w:lineRule="auto"/>
        <w:jc w:val="both"/>
        <w:rPr>
          <w:rFonts w:eastAsia="Times New Roman"/>
          <w:lang w:val="en-GB"/>
        </w:rPr>
      </w:pPr>
      <w:r>
        <w:rPr>
          <w:rFonts w:eastAsia="Times New Roman"/>
          <w:lang w:val="en-GB"/>
        </w:rPr>
        <w:t xml:space="preserve">However, the model can appear comparatively linear, whereas the Trust failures have involved interacting leadership, announcement, cultural and interactive factors instead of independent </w:t>
      </w:r>
      <w:r>
        <w:rPr>
          <w:rFonts w:eastAsia="Times New Roman"/>
          <w:lang w:val="en-GB"/>
        </w:rPr>
        <w:lastRenderedPageBreak/>
        <w:t xml:space="preserve">phases (Lawrence and Conn, 2024). Therefore, it can be stated that this model provides a useful quality-assessment structure between the identified root causes. </w:t>
      </w:r>
    </w:p>
    <w:p w14:paraId="63B4406F" w14:textId="77777777" w:rsidR="000B3133" w:rsidRDefault="00334212">
      <w:pPr>
        <w:pStyle w:val="Heading2"/>
        <w:rPr>
          <w:lang w:val="en-GB"/>
        </w:rPr>
      </w:pPr>
      <w:bookmarkStart w:id="10" w:name="_Toc237377812"/>
      <w:r>
        <w:rPr>
          <w:lang w:val="en-GB"/>
        </w:rPr>
        <w:t>SWOT Analysis: Organisational Capacity for Improvement</w:t>
      </w:r>
      <w:bookmarkEnd w:id="10"/>
      <w:r>
        <w:rPr>
          <w:lang w:val="en-GB"/>
        </w:rPr>
        <w:t xml:space="preserve"> </w:t>
      </w:r>
    </w:p>
    <w:p w14:paraId="1518D8B7" w14:textId="77777777" w:rsidR="000B3133" w:rsidRDefault="00334212">
      <w:pPr>
        <w:spacing w:line="360" w:lineRule="auto"/>
        <w:jc w:val="both"/>
        <w:rPr>
          <w:rFonts w:eastAsia="Times New Roman"/>
          <w:b/>
          <w:bCs/>
          <w:lang w:val="en-GB"/>
        </w:rPr>
      </w:pPr>
      <w:r>
        <w:rPr>
          <w:rFonts w:eastAsia="Times New Roman"/>
          <w:b/>
          <w:bCs/>
          <w:lang w:val="en-GB"/>
        </w:rPr>
        <w:t>Strengths</w:t>
      </w:r>
    </w:p>
    <w:p w14:paraId="753E97A7" w14:textId="77777777" w:rsidR="000B3133" w:rsidRDefault="00334212">
      <w:pPr>
        <w:spacing w:line="360" w:lineRule="auto"/>
        <w:jc w:val="both"/>
        <w:rPr>
          <w:rFonts w:eastAsia="Times New Roman"/>
          <w:lang w:val="en-GB"/>
        </w:rPr>
      </w:pPr>
      <w:r>
        <w:rPr>
          <w:rFonts w:eastAsia="Times New Roman"/>
          <w:lang w:val="en-GB"/>
        </w:rPr>
        <w:t>The Trust had access to developed NHS governance structures, professional expertise and senior clinicians capable of recognising safety concerns (Lawrence and Conn, 2024). In this context, the subsequent Thirlwall Inquiry has particularly assessed existing governance, escalation and professional-regulation arrangements, which indicates that these structures provide a foundation for organisational learning (The Thirlwall Inquiry, 2025). Thus, existing governance and professional expertise should be redirected towards stronger escalation, accountability and safety oversight.</w:t>
      </w:r>
    </w:p>
    <w:p w14:paraId="7D4CE431" w14:textId="77777777" w:rsidR="000B3133" w:rsidRDefault="00334212">
      <w:pPr>
        <w:spacing w:line="360" w:lineRule="auto"/>
        <w:jc w:val="both"/>
        <w:rPr>
          <w:rFonts w:eastAsia="Times New Roman"/>
          <w:b/>
          <w:bCs/>
          <w:lang w:val="en-GB"/>
        </w:rPr>
      </w:pPr>
      <w:r>
        <w:rPr>
          <w:rFonts w:eastAsia="Times New Roman"/>
          <w:b/>
          <w:bCs/>
          <w:lang w:val="en-GB"/>
        </w:rPr>
        <w:t>Weaknesses</w:t>
      </w:r>
    </w:p>
    <w:p w14:paraId="09DB15D4" w14:textId="77777777" w:rsidR="000B3133" w:rsidRDefault="00334212">
      <w:pPr>
        <w:spacing w:line="360" w:lineRule="auto"/>
        <w:jc w:val="both"/>
        <w:rPr>
          <w:rFonts w:eastAsia="Times New Roman"/>
          <w:lang w:val="en-GB"/>
        </w:rPr>
      </w:pPr>
      <w:r>
        <w:rPr>
          <w:rFonts w:eastAsia="Times New Roman"/>
          <w:lang w:val="en-GB"/>
        </w:rPr>
        <w:t xml:space="preserve">The most significant weaknesses were delayed managerial responses, ineffective escalation, inadequate incident reporting and weaknesses in organisational culture (Mistri, Badge and Shahu, 2023). Concerns raised by clinicians did not result in sufficiently rapid investigation or effective organisational action (Lawrence and Conn, 2024). Reports show workforce capacity has also represented a wider neonatal-system-concern due to 15% of neonatal nursing-staffing gaps and 10% reported medical-staffing gaps, indicating a requirement for addressing escalation, reporting, staffing oversight and leadership responsiveness (GIRFT, 2025). </w:t>
      </w:r>
    </w:p>
    <w:p w14:paraId="34E11A64" w14:textId="77777777" w:rsidR="000B3133" w:rsidRDefault="00334212">
      <w:pPr>
        <w:spacing w:line="360" w:lineRule="auto"/>
        <w:jc w:val="both"/>
        <w:rPr>
          <w:rFonts w:eastAsia="Times New Roman"/>
          <w:b/>
          <w:bCs/>
          <w:lang w:val="en-GB"/>
        </w:rPr>
      </w:pPr>
      <w:r>
        <w:rPr>
          <w:rFonts w:eastAsia="Times New Roman"/>
          <w:b/>
          <w:bCs/>
          <w:lang w:val="en-GB"/>
        </w:rPr>
        <w:t>Opportunities</w:t>
      </w:r>
    </w:p>
    <w:p w14:paraId="3ABE46E5" w14:textId="77777777" w:rsidR="000B3133" w:rsidRDefault="00334212">
      <w:pPr>
        <w:spacing w:line="360" w:lineRule="auto"/>
        <w:jc w:val="both"/>
        <w:rPr>
          <w:rFonts w:eastAsia="Times New Roman"/>
          <w:lang w:val="en-GB"/>
        </w:rPr>
      </w:pPr>
      <w:r>
        <w:rPr>
          <w:rFonts w:eastAsia="Times New Roman"/>
          <w:lang w:val="en-GB"/>
        </w:rPr>
        <w:t>The case provides opportunities to strengthen clinical governance, multidisciplinary escalation, incident-learning mechanisms and staff confidence in raising concerns. Developing an open safety culture could improve communication between frontline professionals and managers (Vikan et al., 2023). By addressing these opportunities, Trust can translate the lessons into mandatory escalation pathways, structured incident reviews and measurable governance indicators.</w:t>
      </w:r>
    </w:p>
    <w:p w14:paraId="30B28D7E" w14:textId="77777777" w:rsidR="000B3133" w:rsidRDefault="00334212">
      <w:pPr>
        <w:spacing w:line="360" w:lineRule="auto"/>
        <w:jc w:val="both"/>
        <w:rPr>
          <w:rFonts w:eastAsia="Times New Roman"/>
          <w:b/>
          <w:bCs/>
          <w:lang w:val="en-GB"/>
        </w:rPr>
      </w:pPr>
      <w:r>
        <w:rPr>
          <w:rFonts w:eastAsia="Times New Roman"/>
          <w:b/>
          <w:bCs/>
          <w:lang w:val="en-GB"/>
        </w:rPr>
        <w:t>Threats</w:t>
      </w:r>
    </w:p>
    <w:p w14:paraId="4CEAED7E" w14:textId="77777777" w:rsidR="000B3133" w:rsidRDefault="00334212">
      <w:pPr>
        <w:spacing w:line="360" w:lineRule="auto"/>
        <w:jc w:val="both"/>
        <w:rPr>
          <w:rFonts w:eastAsia="Times New Roman"/>
          <w:lang w:val="en-GB"/>
        </w:rPr>
      </w:pPr>
      <w:r>
        <w:rPr>
          <w:rFonts w:eastAsia="Times New Roman"/>
          <w:lang w:val="en-GB"/>
        </w:rPr>
        <w:t xml:space="preserve">Workforce pressures, resistance to organisational change, reputational damage and reduced public confidence could undermine sustainable improvement. National staffing data has demonstrated that workforce gaps have remained a measurable neonatal-service challenge (Kalyan et al., 2025). Thus, the Trust should combine workforce monitoring with leadership accountability and continuous quality measurement for mitigating these threats. </w:t>
      </w:r>
    </w:p>
    <w:p w14:paraId="6BA5E8FE" w14:textId="77777777" w:rsidR="000B3133" w:rsidRDefault="00334212">
      <w:pPr>
        <w:spacing w:line="360" w:lineRule="auto"/>
        <w:jc w:val="both"/>
        <w:rPr>
          <w:rFonts w:eastAsia="Times New Roman"/>
          <w:lang w:val="en-GB"/>
        </w:rPr>
      </w:pPr>
      <w:r>
        <w:rPr>
          <w:rFonts w:eastAsia="Times New Roman"/>
          <w:lang w:val="en-GB"/>
        </w:rPr>
        <w:lastRenderedPageBreak/>
        <w:t xml:space="preserve">Overall, the SWOT transitions the diagnosis into four improvement priorities: governance and escalation, incident learning, workforce capacity and safety culture, which directly inform the subsequent PDSA-based recommendations. </w:t>
      </w:r>
    </w:p>
    <w:p w14:paraId="56E83988" w14:textId="77777777" w:rsidR="000B3133" w:rsidRDefault="00334212">
      <w:pPr>
        <w:pStyle w:val="Heading2"/>
        <w:rPr>
          <w:lang w:val="en-GB"/>
        </w:rPr>
      </w:pPr>
      <w:bookmarkStart w:id="11" w:name="_Toc237377813"/>
      <w:r>
        <w:rPr>
          <w:lang w:val="en-GB"/>
        </w:rPr>
        <w:t>Critical Synthesis of the Findings</w:t>
      </w:r>
      <w:bookmarkEnd w:id="11"/>
      <w:r>
        <w:rPr>
          <w:lang w:val="en-GB"/>
        </w:rPr>
        <w:t xml:space="preserve"> </w:t>
      </w:r>
    </w:p>
    <w:p w14:paraId="25F3E78E" w14:textId="77777777" w:rsidR="000B3133" w:rsidRDefault="00334212">
      <w:pPr>
        <w:spacing w:line="360" w:lineRule="auto"/>
        <w:jc w:val="both"/>
        <w:rPr>
          <w:rFonts w:eastAsia="Times New Roman"/>
          <w:b/>
          <w:bCs/>
          <w:lang w:val="en-GB"/>
        </w:rPr>
      </w:pPr>
      <w:r>
        <w:rPr>
          <w:rFonts w:eastAsia="Times New Roman"/>
          <w:lang w:val="en-GB"/>
        </w:rPr>
        <w:t xml:space="preserve">The analysis has established that the quality failure at the Trust was multifactorial, with leadership, governance, communication, incident journalism and organisational culture interrelating to weaken the patient-safety safeguards. Additionally, anxieties regarding neonatal deaths and failures were not interpreted into sufficiently timely organisational action, demonstrating weaknesses in escalation and governance (Lawrence and Conn, 2024). Moreover, the Fishbone analysis has effectively identified these interconnected root causes, while the Donabedian Model has demonstrated how weaknesses within the organisational structure and care procedures were interlinked with severe adverse outcomes (Donabedian, 1988). Besides that, the SWOT analysis has further indicated that current NHS governance arrangements and specialised expertise provide opportunities for improvement (Lawrence and Conn, 2024). Therefore, a systems-oriented improvement approach should order stronger governance, actual escalation, vigorous incident education and an open security culture for providing the foundation for the evidence-based endorsements and PDSA application policy. </w:t>
      </w:r>
    </w:p>
    <w:p w14:paraId="19070190" w14:textId="77777777" w:rsidR="000B3133" w:rsidRDefault="00334212">
      <w:pPr>
        <w:pStyle w:val="Heading1"/>
        <w:rPr>
          <w:lang w:val="en-GB"/>
        </w:rPr>
      </w:pPr>
      <w:bookmarkStart w:id="12" w:name="_Toc237377814"/>
      <w:r>
        <w:rPr>
          <w:lang w:val="en-GB"/>
        </w:rPr>
        <w:t>Recommendations</w:t>
      </w:r>
      <w:bookmarkEnd w:id="12"/>
      <w:r>
        <w:rPr>
          <w:lang w:val="en-GB"/>
        </w:rPr>
        <w:t xml:space="preserve"> </w:t>
      </w:r>
    </w:p>
    <w:p w14:paraId="3CD3B606" w14:textId="77777777" w:rsidR="000B3133" w:rsidRDefault="00334212">
      <w:pPr>
        <w:pStyle w:val="Heading2"/>
        <w:rPr>
          <w:lang w:val="en-GB"/>
        </w:rPr>
      </w:pPr>
      <w:bookmarkStart w:id="13" w:name="_Toc237377815"/>
      <w:r>
        <w:rPr>
          <w:lang w:val="en-GB"/>
        </w:rPr>
        <w:t>Strengthening Clinical Governance and Escalation</w:t>
      </w:r>
      <w:bookmarkEnd w:id="13"/>
    </w:p>
    <w:p w14:paraId="20FACD50" w14:textId="77777777" w:rsidR="000B3133" w:rsidRDefault="00334212">
      <w:pPr>
        <w:spacing w:line="360" w:lineRule="auto"/>
        <w:jc w:val="both"/>
        <w:rPr>
          <w:rFonts w:eastAsia="Times New Roman"/>
          <w:lang w:val="en-GB"/>
        </w:rPr>
      </w:pPr>
      <w:r>
        <w:rPr>
          <w:rFonts w:eastAsia="Times New Roman"/>
          <w:lang w:val="en-GB"/>
        </w:rPr>
        <w:t>The Trust should develop a mandatory neonatal safety-escalation pathway which requires concerns about the unexpected deaths, collapses or repeated clinical deterioration to be reviewed by a multidisciplinary governance panel within a defined timeframe (Nuffield Trust, 2024). This will directly address the delayed managerial responses and governance weaknesses which were recognised in the case study (Lawrence and Conn, 2024). Additionally, senior clinicians should also have an independent escalation route to the Medical Director or Chief Nurse when the concerns remain unresolved. Moreover, a documented escalation register should record the concern, responsible manager, action taken and closure date. This would strengthen accountability and reduce the risk of safety information ultimately becoming organisationally inactive (Antonopoulou et al., 2024).</w:t>
      </w:r>
    </w:p>
    <w:p w14:paraId="50A33454" w14:textId="77777777" w:rsidR="000B3133" w:rsidRDefault="00334212">
      <w:pPr>
        <w:spacing w:line="360" w:lineRule="auto"/>
        <w:jc w:val="both"/>
        <w:rPr>
          <w:rFonts w:eastAsia="Times New Roman"/>
          <w:lang w:val="en-GB"/>
        </w:rPr>
      </w:pPr>
      <w:r>
        <w:rPr>
          <w:rFonts w:eastAsia="Times New Roman"/>
          <w:lang w:val="en-GB"/>
        </w:rPr>
        <w:lastRenderedPageBreak/>
        <w:t xml:space="preserve">However, implementation of this strategy may face barriers, including managerial resistance, increased administrative workload, unclear responsibility for reviewing concerns and possible duplication of existing governance procedures (Farahani, 2024). These risks can be mitigated by defining clear escalation criteria, assessing named accountability, integrating the register into existing governance systems and providing staff training (Franz et al., 2026). Therefore, the pathway should be designed as a proportionate accountability mechanism instead of an additional administrative burden, ensuring that concerns are converted into documented action. </w:t>
      </w:r>
    </w:p>
    <w:p w14:paraId="201B522F" w14:textId="77777777" w:rsidR="000B3133" w:rsidRDefault="00334212">
      <w:pPr>
        <w:pStyle w:val="Heading2"/>
        <w:rPr>
          <w:lang w:val="en-GB"/>
        </w:rPr>
      </w:pPr>
      <w:bookmarkStart w:id="14" w:name="_Toc237377816"/>
      <w:r>
        <w:rPr>
          <w:lang w:val="en-GB"/>
        </w:rPr>
        <w:t>Developing an Open Reporting and Safety Culture</w:t>
      </w:r>
      <w:bookmarkEnd w:id="14"/>
    </w:p>
    <w:p w14:paraId="532C9C7B" w14:textId="77777777" w:rsidR="000B3133" w:rsidRDefault="00334212">
      <w:pPr>
        <w:spacing w:line="360" w:lineRule="auto"/>
        <w:jc w:val="both"/>
        <w:rPr>
          <w:rFonts w:eastAsia="Times New Roman"/>
          <w:lang w:val="en-GB"/>
        </w:rPr>
      </w:pPr>
      <w:r>
        <w:rPr>
          <w:rFonts w:eastAsia="Times New Roman"/>
          <w:lang w:val="en-GB"/>
        </w:rPr>
        <w:t xml:space="preserve">In the context of reducing the risk of safety information becoming organisationally inactive, the trust must strengthen incident reporting, the Freedom to Speak Up, and psychological safety, so that the corporation's staff can raise concerns without any fear of professional or managerial consequences (Hughes, 2019). This recommendation significantly responds directly to the communication and defensive-culture weaknesses recognised through the Fishbone analysis. Additionally, the anonymous reporting options, regular multidisciplinary safety meetings and feedback to staff on actions taken should be introduced. In this context, reports have indicated that safety cultures significantly support engagement of the staff and safer organisational practices (Oweidat et al., 2023). </w:t>
      </w:r>
    </w:p>
    <w:p w14:paraId="717BF87E" w14:textId="77777777" w:rsidR="000B3133" w:rsidRDefault="00334212">
      <w:pPr>
        <w:spacing w:line="360" w:lineRule="auto"/>
        <w:jc w:val="both"/>
        <w:rPr>
          <w:rFonts w:eastAsia="Times New Roman"/>
          <w:lang w:val="en-GB"/>
        </w:rPr>
      </w:pPr>
      <w:r>
        <w:rPr>
          <w:rFonts w:eastAsia="Times New Roman"/>
          <w:lang w:val="en-GB"/>
        </w:rPr>
        <w:t>Although implementation may encounter barriers, including fear of retaliation, low trust in management, reporting fatigue and scepticism if previous concerns have not resulted in visible action. Simply increasing reporting volumes can create a misleading impression of improvement (Davis et al., 2025). However, mitigation can involve confidential reporting routes, leadership training, regular feedback on actions taken and monitoring of both reporting and resolution rates (Kumah, 2025).</w:t>
      </w:r>
    </w:p>
    <w:p w14:paraId="3BF8E37F" w14:textId="77777777" w:rsidR="000B3133" w:rsidRDefault="00334212">
      <w:pPr>
        <w:spacing w:line="360" w:lineRule="auto"/>
        <w:jc w:val="both"/>
        <w:rPr>
          <w:rFonts w:eastAsia="Times New Roman"/>
          <w:lang w:val="en-GB"/>
        </w:rPr>
      </w:pPr>
      <w:r>
        <w:rPr>
          <w:rFonts w:eastAsia="Times New Roman"/>
          <w:lang w:val="en-GB"/>
        </w:rPr>
        <w:t xml:space="preserve">Thus, it can be stated that successful improvement requires a balance between stronger accountability and a supportive safety culture. Escalation systems will be ineffective if staff do not trust them, while an open reporting culture will have limited value unless leadership consistently converts concerns into measurable corrective action. </w:t>
      </w:r>
    </w:p>
    <w:p w14:paraId="563C645D" w14:textId="77777777" w:rsidR="000B3133" w:rsidRDefault="00334212">
      <w:pPr>
        <w:pStyle w:val="Heading2"/>
        <w:rPr>
          <w:lang w:val="en-GB"/>
        </w:rPr>
      </w:pPr>
      <w:bookmarkStart w:id="15" w:name="_Toc237377817"/>
      <w:r>
        <w:rPr>
          <w:lang w:val="en-GB"/>
        </w:rPr>
        <w:lastRenderedPageBreak/>
        <w:t>PDSA Implementation</w:t>
      </w:r>
      <w:bookmarkEnd w:id="15"/>
    </w:p>
    <w:p w14:paraId="65E32CD5" w14:textId="77777777" w:rsidR="000B3133" w:rsidRDefault="00334212">
      <w:pPr>
        <w:spacing w:line="360" w:lineRule="auto"/>
        <w:jc w:val="center"/>
        <w:rPr>
          <w:rFonts w:eastAsia="Times New Roman"/>
          <w:lang w:val="en-GB"/>
        </w:rPr>
      </w:pPr>
      <w:r>
        <w:rPr>
          <w:rFonts w:eastAsia="Times New Roman"/>
          <w:noProof/>
          <w:lang w:val="en-GB"/>
        </w:rPr>
        <w:drawing>
          <wp:inline distT="0" distB="0" distL="0" distR="0" wp14:anchorId="108F6E16" wp14:editId="697EEAFA">
            <wp:extent cx="3734591" cy="2407034"/>
            <wp:effectExtent l="25400" t="25400" r="25400" b="25400"/>
            <wp:docPr id="1030"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9" cstate="print"/>
                    <a:srcRect/>
                    <a:stretch/>
                  </pic:blipFill>
                  <pic:spPr>
                    <a:xfrm>
                      <a:off x="0" y="0"/>
                      <a:ext cx="3734591" cy="2407034"/>
                    </a:xfrm>
                    <a:prstGeom prst="rect">
                      <a:avLst/>
                    </a:prstGeom>
                    <a:ln w="25400" cap="flat" cmpd="sng">
                      <a:solidFill>
                        <a:srgbClr val="000000"/>
                      </a:solidFill>
                      <a:prstDash val="solid"/>
                      <a:round/>
                      <a:headEnd type="none" w="med" len="med"/>
                      <a:tailEnd type="none" w="med" len="med"/>
                    </a:ln>
                  </pic:spPr>
                </pic:pic>
              </a:graphicData>
            </a:graphic>
          </wp:inline>
        </w:drawing>
      </w:r>
    </w:p>
    <w:p w14:paraId="573BDA8B" w14:textId="77777777" w:rsidR="000B3133" w:rsidRDefault="00334212">
      <w:pPr>
        <w:spacing w:line="360" w:lineRule="auto"/>
        <w:jc w:val="center"/>
        <w:rPr>
          <w:rFonts w:eastAsia="Times New Roman"/>
          <w:b/>
          <w:bCs/>
          <w:lang w:val="en-GB"/>
        </w:rPr>
      </w:pPr>
      <w:r>
        <w:rPr>
          <w:rFonts w:eastAsia="Times New Roman"/>
          <w:b/>
          <w:bCs/>
          <w:lang w:val="en-GB"/>
        </w:rPr>
        <w:t>Figure 4: PDSA Cycle</w:t>
      </w:r>
    </w:p>
    <w:p w14:paraId="2E3BE74E" w14:textId="77777777" w:rsidR="000B3133" w:rsidRDefault="00334212">
      <w:pPr>
        <w:spacing w:line="360" w:lineRule="auto"/>
        <w:jc w:val="center"/>
        <w:rPr>
          <w:rFonts w:eastAsia="Times New Roman"/>
          <w:lang w:val="en-GB"/>
        </w:rPr>
      </w:pPr>
      <w:r>
        <w:rPr>
          <w:rFonts w:eastAsia="Times New Roman"/>
          <w:lang w:val="en-GB"/>
        </w:rPr>
        <w:t>(Source: Brown et al., 2018)</w:t>
      </w:r>
    </w:p>
    <w:p w14:paraId="4B2568E3" w14:textId="77777777" w:rsidR="000B3133" w:rsidRDefault="00334212">
      <w:pPr>
        <w:spacing w:line="360" w:lineRule="auto"/>
        <w:jc w:val="both"/>
        <w:rPr>
          <w:rFonts w:eastAsia="Times New Roman"/>
          <w:lang w:val="en-GB"/>
        </w:rPr>
      </w:pPr>
      <w:r>
        <w:rPr>
          <w:rFonts w:eastAsia="Times New Roman"/>
          <w:lang w:val="en-GB"/>
        </w:rPr>
        <w:t xml:space="preserve">A Plan-Do-Study-Act (PDSA) cycle must be implemented by the Trust for initially piloting the revised escalation and reporting pathway within the neonatal service. During the plan stage, the Trust should develop baseline measures, including the time taken to escalate concerns, proportion of incidents reviewed within the required time frame and staff confidence in reporting the concerns (Jerjes et al., 2026). Additionally, in the Do stage, the revised pathway should be introduced by the Trust for a defined pilot period with staff training. Also, during the Study stage, the governance leaders should compare baseline and post-intervention measures and review qualitative staff feedback (Ginsburg et al., 2025). Later, during the Act stage, successful elements should be standardised, while ineffective procedures should be modified and retested. In this context, PDCA cycles would support incremental learning instead of imposing an untested system across the organisation (Brown et al., 2018). Hence, it can be stated that this cycle is appropriate as the organisation can test the intervention on a limited scale before wider implementation.  </w:t>
      </w:r>
    </w:p>
    <w:p w14:paraId="7535A63A" w14:textId="77777777" w:rsidR="000B3133" w:rsidRDefault="00334212">
      <w:pPr>
        <w:pStyle w:val="Heading2"/>
        <w:rPr>
          <w:lang w:val="en-GB"/>
        </w:rPr>
      </w:pPr>
      <w:bookmarkStart w:id="16" w:name="_Toc237377818"/>
      <w:r>
        <w:rPr>
          <w:lang w:val="en-GB"/>
        </w:rPr>
        <w:t>Lean Approach to Reducing Process Delays</w:t>
      </w:r>
      <w:bookmarkEnd w:id="16"/>
    </w:p>
    <w:p w14:paraId="2636F024" w14:textId="77777777" w:rsidR="000B3133" w:rsidRDefault="00334212">
      <w:pPr>
        <w:spacing w:line="360" w:lineRule="auto"/>
        <w:jc w:val="both"/>
        <w:rPr>
          <w:rFonts w:eastAsia="Times New Roman"/>
          <w:lang w:val="en-GB"/>
        </w:rPr>
      </w:pPr>
      <w:r>
        <w:rPr>
          <w:rFonts w:eastAsia="Times New Roman"/>
          <w:lang w:val="en-GB"/>
        </w:rPr>
        <w:t xml:space="preserve">Lean principles should be utilised for assessing the patient-safety reporting and escalation pathway for unnecessary delays, duplication and hand-off failures. In this context, a procedure map should recognise each stage from initial clinical concern for governance review and action closure. Additionally, unnecessary approval stages should be removed, while clear responsibility should be assigned at each stage (Mahmoud et al., 2021). This will directly address the case's </w:t>
      </w:r>
      <w:r>
        <w:rPr>
          <w:rFonts w:eastAsia="Times New Roman"/>
          <w:lang w:val="en-GB"/>
        </w:rPr>
        <w:lastRenderedPageBreak/>
        <w:t xml:space="preserve">delayed response to the clinical concerns (Lawrence and Conn, 2024). Therefore, it can be interpreted that, in the context of Countess of Chester Hospital, the Lean approach should be applied selectively for improving the flow of safety information instead of being treated as a mechanism for reducing staffing or resources. </w:t>
      </w:r>
    </w:p>
    <w:p w14:paraId="24A74C4D" w14:textId="77777777" w:rsidR="000B3133" w:rsidRDefault="00334212">
      <w:pPr>
        <w:pStyle w:val="Heading2"/>
        <w:rPr>
          <w:lang w:val="en-GB"/>
        </w:rPr>
      </w:pPr>
      <w:bookmarkStart w:id="17" w:name="_Toc237377819"/>
      <w:r>
        <w:rPr>
          <w:lang w:val="en-GB"/>
        </w:rPr>
        <w:t>Six Sigma for Incident-Reporting Reliability</w:t>
      </w:r>
      <w:bookmarkEnd w:id="17"/>
    </w:p>
    <w:p w14:paraId="4126FACB" w14:textId="77777777" w:rsidR="000B3133" w:rsidRDefault="00334212">
      <w:pPr>
        <w:spacing w:line="360" w:lineRule="auto"/>
        <w:jc w:val="both"/>
        <w:rPr>
          <w:rFonts w:eastAsia="Times New Roman"/>
          <w:lang w:val="en-GB"/>
        </w:rPr>
      </w:pPr>
      <w:r>
        <w:rPr>
          <w:rFonts w:eastAsia="Times New Roman"/>
          <w:lang w:val="en-GB"/>
        </w:rPr>
        <w:t xml:space="preserve">A Six Sigma DMAIC approach, which involves Define, Measure, Analyse, Improve and Control, could complement the implementation of the PDSA cycle within the Trust by reducing variation in investigation of the incident. The Trust should define the reporting problem, measure investigation completion times and overdue cases, analyse recurring causes of delay, implement standardised investigation procedures and develop control measures through monthly governance dashboards to fix the reporting delays in medical procedures (Mangus et al., 2024). This would create measurable accountability for management of the incidents and allow persistent deviations to be recognised early. Thus, it can be stated that this approach would complement Fishbone Analysis by moving from recognising causes to monitoring whether the causes are being systematically reduced. </w:t>
      </w:r>
    </w:p>
    <w:p w14:paraId="0F7008E7" w14:textId="77777777" w:rsidR="000B3133" w:rsidRDefault="00334212">
      <w:pPr>
        <w:pStyle w:val="Heading2"/>
        <w:rPr>
          <w:lang w:val="en-GB"/>
        </w:rPr>
      </w:pPr>
      <w:bookmarkStart w:id="18" w:name="_Toc237377820"/>
      <w:r>
        <w:rPr>
          <w:lang w:val="en-GB"/>
        </w:rPr>
        <w:t>Monitoring and Sustaining Improvement</w:t>
      </w:r>
      <w:bookmarkEnd w:id="18"/>
    </w:p>
    <w:p w14:paraId="58124083" w14:textId="77777777" w:rsidR="000B3133" w:rsidRDefault="00334212">
      <w:pPr>
        <w:spacing w:line="360" w:lineRule="auto"/>
        <w:jc w:val="both"/>
        <w:rPr>
          <w:rFonts w:eastAsia="Times New Roman"/>
          <w:lang w:val="en-GB"/>
        </w:rPr>
      </w:pPr>
      <w:r>
        <w:rPr>
          <w:rFonts w:eastAsia="Times New Roman"/>
          <w:lang w:val="en-GB"/>
        </w:rPr>
        <w:t xml:space="preserve">In the context of Countess of Chester Hospital, sustainability should be examined by utilising indicators, such as 100% documentation of escalated neonatal safety concerns, timely completion of incident investigations, staff confidence and closure of corrective actions. For this, results should be reviewed monthly by the clinical governance committee and reported to senior leadership. Along with that, staff and family feedback should inform subsequent improvement cycles (Malveira et al., 2026). These indicators should convert recommendations into measurable quality outcomes instead of one-off organisational actions. Therefore, the approaches will address the structural, procedural, and organisational weaknesses, which have been recognised through the Donabedian, Fishbone and SWOT analyses and provide a measurable pathway towards sustained patient-safety improvement. </w:t>
      </w:r>
    </w:p>
    <w:tbl>
      <w:tblPr>
        <w:tblW w:w="9360" w:type="dxa"/>
        <w:tblCellMar>
          <w:top w:w="15" w:type="dxa"/>
          <w:left w:w="15" w:type="dxa"/>
          <w:bottom w:w="15" w:type="dxa"/>
          <w:right w:w="15" w:type="dxa"/>
        </w:tblCellMar>
        <w:tblLook w:val="04A0" w:firstRow="1" w:lastRow="0" w:firstColumn="1" w:lastColumn="0" w:noHBand="0" w:noVBand="1"/>
      </w:tblPr>
      <w:tblGrid>
        <w:gridCol w:w="2726"/>
        <w:gridCol w:w="2347"/>
        <w:gridCol w:w="1288"/>
        <w:gridCol w:w="2999"/>
      </w:tblGrid>
      <w:tr w:rsidR="000B3133" w14:paraId="4DFA179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1BD14" w14:textId="77777777" w:rsidR="000B3133" w:rsidRDefault="00334212">
            <w:pPr>
              <w:pStyle w:val="Heading1"/>
              <w:jc w:val="center"/>
              <w:rPr>
                <w:rFonts w:eastAsia="Times New Roman"/>
              </w:rPr>
            </w:pPr>
            <w:bookmarkStart w:id="19" w:name="_Toc237377821"/>
            <w:r>
              <w:rPr>
                <w:rFonts w:eastAsia="Times New Roman"/>
                <w:bCs/>
              </w:rPr>
              <w:lastRenderedPageBreak/>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F79CA" w14:textId="77777777" w:rsidR="000B3133" w:rsidRDefault="00334212">
            <w:pPr>
              <w:pStyle w:val="Heading1"/>
              <w:jc w:val="center"/>
              <w:rPr>
                <w:rFonts w:eastAsia="Times New Roman"/>
              </w:rPr>
            </w:pPr>
            <w:r>
              <w:rPr>
                <w:rFonts w:eastAsia="Times New Roman"/>
                <w:bCs/>
              </w:rPr>
              <w:t>Responsible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005D7" w14:textId="77777777" w:rsidR="000B3133" w:rsidRDefault="00334212">
            <w:pPr>
              <w:pStyle w:val="Heading1"/>
              <w:jc w:val="center"/>
              <w:rPr>
                <w:rFonts w:eastAsia="Times New Roman"/>
              </w:rPr>
            </w:pPr>
            <w:r>
              <w:rPr>
                <w:rFonts w:eastAsia="Times New Roman"/>
                <w:bCs/>
              </w:rPr>
              <w:t>Timescale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1CB936" w14:textId="77777777" w:rsidR="000B3133" w:rsidRDefault="00334212">
            <w:pPr>
              <w:pStyle w:val="Heading1"/>
              <w:jc w:val="center"/>
              <w:rPr>
                <w:rFonts w:eastAsia="Times New Roman"/>
              </w:rPr>
            </w:pPr>
            <w:r>
              <w:rPr>
                <w:rFonts w:eastAsia="Times New Roman"/>
                <w:bCs/>
              </w:rPr>
              <w:t>KPI</w:t>
            </w:r>
          </w:p>
        </w:tc>
      </w:tr>
      <w:tr w:rsidR="000B3133" w14:paraId="1BA37BA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6901C9" w14:textId="77777777" w:rsidR="000B3133" w:rsidRDefault="00334212">
            <w:pPr>
              <w:pStyle w:val="Heading1"/>
              <w:spacing w:line="240" w:lineRule="auto"/>
              <w:jc w:val="center"/>
              <w:rPr>
                <w:rFonts w:eastAsia="Times New Roman"/>
              </w:rPr>
            </w:pPr>
            <w:r>
              <w:rPr>
                <w:rFonts w:eastAsia="Times New Roman"/>
                <w:bCs/>
              </w:rPr>
              <w:t>Introduce escalation protocol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63962" w14:textId="77777777" w:rsidR="000B3133" w:rsidRDefault="00334212">
            <w:pPr>
              <w:pStyle w:val="Heading1"/>
              <w:spacing w:line="240" w:lineRule="auto"/>
              <w:jc w:val="center"/>
              <w:rPr>
                <w:rFonts w:eastAsia="Times New Roman"/>
                <w:b w:val="0"/>
                <w:bCs/>
              </w:rPr>
            </w:pPr>
            <w:r>
              <w:rPr>
                <w:rFonts w:eastAsia="Times New Roman"/>
                <w:b w:val="0"/>
                <w:bCs/>
              </w:rPr>
              <w:t>Clinical Governance Lead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45BBC" w14:textId="77777777" w:rsidR="000B3133" w:rsidRDefault="00334212">
            <w:pPr>
              <w:pStyle w:val="Heading1"/>
              <w:spacing w:line="240" w:lineRule="auto"/>
              <w:jc w:val="center"/>
              <w:rPr>
                <w:rFonts w:eastAsia="Times New Roman"/>
                <w:b w:val="0"/>
                <w:bCs/>
              </w:rPr>
            </w:pPr>
            <w:r>
              <w:rPr>
                <w:rFonts w:eastAsia="Times New Roman"/>
                <w:b w:val="0"/>
                <w:bCs/>
              </w:rPr>
              <w:t>0-3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0344E" w14:textId="77777777" w:rsidR="000B3133" w:rsidRDefault="00334212">
            <w:pPr>
              <w:pStyle w:val="Heading1"/>
              <w:spacing w:line="240" w:lineRule="auto"/>
              <w:jc w:val="center"/>
              <w:rPr>
                <w:rFonts w:eastAsia="Times New Roman"/>
                <w:b w:val="0"/>
                <w:bCs/>
              </w:rPr>
            </w:pPr>
            <w:r>
              <w:rPr>
                <w:rFonts w:eastAsia="Times New Roman"/>
                <w:b w:val="0"/>
                <w:bCs/>
              </w:rPr>
              <w:t>20% concerns escalated within target</w:t>
            </w:r>
          </w:p>
        </w:tc>
      </w:tr>
      <w:tr w:rsidR="000B3133" w14:paraId="300F0BD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BEEBD" w14:textId="77777777" w:rsidR="000B3133" w:rsidRDefault="00334212">
            <w:pPr>
              <w:pStyle w:val="Heading1"/>
              <w:spacing w:line="240" w:lineRule="auto"/>
              <w:jc w:val="center"/>
              <w:rPr>
                <w:rFonts w:eastAsia="Times New Roman"/>
              </w:rPr>
            </w:pPr>
            <w:r>
              <w:rPr>
                <w:rFonts w:eastAsia="Times New Roman"/>
                <w:bCs/>
              </w:rPr>
              <w:t>Strengthen incident reporting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2BB86" w14:textId="77777777" w:rsidR="000B3133" w:rsidRDefault="00334212">
            <w:pPr>
              <w:pStyle w:val="Heading1"/>
              <w:spacing w:line="240" w:lineRule="auto"/>
              <w:jc w:val="center"/>
              <w:rPr>
                <w:rFonts w:eastAsia="Times New Roman"/>
                <w:b w:val="0"/>
                <w:bCs/>
              </w:rPr>
            </w:pPr>
            <w:r>
              <w:rPr>
                <w:rFonts w:eastAsia="Times New Roman"/>
                <w:b w:val="0"/>
                <w:bCs/>
              </w:rPr>
              <w:t>Patient Safety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30EEFA" w14:textId="77777777" w:rsidR="000B3133" w:rsidRDefault="00334212">
            <w:pPr>
              <w:pStyle w:val="Heading1"/>
              <w:spacing w:line="240" w:lineRule="auto"/>
              <w:jc w:val="center"/>
              <w:rPr>
                <w:rFonts w:eastAsia="Times New Roman"/>
                <w:b w:val="0"/>
                <w:bCs/>
              </w:rPr>
            </w:pPr>
            <w:r>
              <w:rPr>
                <w:rFonts w:eastAsia="Times New Roman"/>
                <w:b w:val="0"/>
                <w:bCs/>
              </w:rPr>
              <w:t>0-3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CCADB" w14:textId="77777777" w:rsidR="000B3133" w:rsidRDefault="00334212">
            <w:pPr>
              <w:pStyle w:val="Heading1"/>
              <w:spacing w:line="240" w:lineRule="auto"/>
              <w:jc w:val="center"/>
              <w:rPr>
                <w:rFonts w:eastAsia="Times New Roman"/>
                <w:b w:val="0"/>
                <w:bCs/>
              </w:rPr>
            </w:pPr>
            <w:r>
              <w:rPr>
                <w:rFonts w:eastAsia="Times New Roman"/>
                <w:b w:val="0"/>
                <w:bCs/>
              </w:rPr>
              <w:t>Reporting and response rates</w:t>
            </w:r>
          </w:p>
        </w:tc>
      </w:tr>
      <w:tr w:rsidR="000B3133" w14:paraId="7A12C76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57671" w14:textId="77777777" w:rsidR="000B3133" w:rsidRDefault="00334212">
            <w:pPr>
              <w:pStyle w:val="Heading1"/>
              <w:spacing w:line="240" w:lineRule="auto"/>
              <w:jc w:val="center"/>
              <w:rPr>
                <w:rFonts w:eastAsia="Times New Roman"/>
              </w:rPr>
            </w:pPr>
            <w:r>
              <w:rPr>
                <w:rFonts w:eastAsia="Times New Roman"/>
                <w:bCs/>
              </w:rPr>
              <w:t>Conduct safety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DB042" w14:textId="77777777" w:rsidR="000B3133" w:rsidRDefault="00334212">
            <w:pPr>
              <w:pStyle w:val="Heading1"/>
              <w:spacing w:line="240" w:lineRule="auto"/>
              <w:jc w:val="center"/>
              <w:rPr>
                <w:rFonts w:eastAsia="Times New Roman"/>
                <w:b w:val="0"/>
                <w:bCs/>
              </w:rPr>
            </w:pPr>
            <w:r>
              <w:rPr>
                <w:rFonts w:eastAsia="Times New Roman"/>
                <w:b w:val="0"/>
                <w:bCs/>
              </w:rPr>
              <w:t>Education/GR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BF9A56" w14:textId="77777777" w:rsidR="000B3133" w:rsidRDefault="00334212">
            <w:pPr>
              <w:pStyle w:val="Heading1"/>
              <w:spacing w:line="240" w:lineRule="auto"/>
              <w:jc w:val="center"/>
              <w:rPr>
                <w:rFonts w:eastAsia="Times New Roman"/>
                <w:b w:val="0"/>
                <w:bCs/>
              </w:rPr>
            </w:pPr>
            <w:r>
              <w:rPr>
                <w:rFonts w:eastAsia="Times New Roman"/>
                <w:b w:val="0"/>
                <w:bCs/>
              </w:rPr>
              <w:t>3-6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09E39" w14:textId="77777777" w:rsidR="000B3133" w:rsidRDefault="00334212">
            <w:pPr>
              <w:pStyle w:val="Heading1"/>
              <w:spacing w:line="240" w:lineRule="auto"/>
              <w:jc w:val="center"/>
              <w:rPr>
                <w:rFonts w:eastAsia="Times New Roman"/>
                <w:b w:val="0"/>
                <w:bCs/>
              </w:rPr>
            </w:pPr>
            <w:r>
              <w:rPr>
                <w:rFonts w:eastAsia="Times New Roman"/>
                <w:b w:val="0"/>
                <w:bCs/>
              </w:rPr>
              <w:t>Training completion</w:t>
            </w:r>
          </w:p>
        </w:tc>
      </w:tr>
      <w:tr w:rsidR="000B3133" w14:paraId="03E14E8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873F7" w14:textId="77777777" w:rsidR="000B3133" w:rsidRDefault="00334212">
            <w:pPr>
              <w:pStyle w:val="Heading1"/>
              <w:spacing w:line="240" w:lineRule="auto"/>
              <w:jc w:val="center"/>
              <w:rPr>
                <w:rFonts w:eastAsia="Times New Roman"/>
              </w:rPr>
            </w:pPr>
            <w:r>
              <w:rPr>
                <w:rFonts w:eastAsia="Times New Roman"/>
                <w:bCs/>
              </w:rPr>
              <w:t>Hold safety reviews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59163" w14:textId="77777777" w:rsidR="000B3133" w:rsidRDefault="00334212">
            <w:pPr>
              <w:pStyle w:val="Heading1"/>
              <w:spacing w:line="240" w:lineRule="auto"/>
              <w:jc w:val="center"/>
              <w:rPr>
                <w:rFonts w:eastAsia="Times New Roman"/>
                <w:b w:val="0"/>
                <w:bCs/>
              </w:rPr>
            </w:pPr>
            <w:r>
              <w:rPr>
                <w:rFonts w:eastAsia="Times New Roman"/>
                <w:b w:val="0"/>
                <w:bCs/>
              </w:rPr>
              <w:t>Clinical Leadership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767D1" w14:textId="77777777" w:rsidR="000B3133" w:rsidRDefault="00334212">
            <w:pPr>
              <w:pStyle w:val="Heading1"/>
              <w:spacing w:line="240" w:lineRule="auto"/>
              <w:jc w:val="center"/>
              <w:rPr>
                <w:rFonts w:eastAsia="Times New Roman"/>
                <w:b w:val="0"/>
                <w:bCs/>
              </w:rPr>
            </w:pPr>
            <w:r>
              <w:rPr>
                <w:rFonts w:eastAsia="Times New Roman"/>
                <w:b w:val="0"/>
                <w:bCs/>
              </w:rPr>
              <w:t>Monthly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6A97E" w14:textId="77777777" w:rsidR="000B3133" w:rsidRDefault="00334212">
            <w:pPr>
              <w:pStyle w:val="Heading1"/>
              <w:spacing w:line="240" w:lineRule="auto"/>
              <w:jc w:val="center"/>
              <w:rPr>
                <w:rFonts w:eastAsia="Times New Roman"/>
                <w:b w:val="0"/>
                <w:bCs/>
              </w:rPr>
            </w:pPr>
            <w:r>
              <w:rPr>
                <w:rFonts w:eastAsia="Times New Roman"/>
                <w:b w:val="0"/>
                <w:bCs/>
              </w:rPr>
              <w:t>Number of actions closed</w:t>
            </w:r>
          </w:p>
        </w:tc>
      </w:tr>
      <w:tr w:rsidR="000B3133" w14:paraId="09DB7BE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F096D" w14:textId="77777777" w:rsidR="000B3133" w:rsidRDefault="00334212">
            <w:pPr>
              <w:pStyle w:val="Heading1"/>
              <w:spacing w:line="240" w:lineRule="auto"/>
              <w:jc w:val="center"/>
              <w:rPr>
                <w:rFonts w:eastAsia="Times New Roman"/>
              </w:rPr>
            </w:pPr>
            <w:r>
              <w:rPr>
                <w:rFonts w:eastAsia="Times New Roman"/>
                <w:bCs/>
              </w:rPr>
              <w:t>Monitor staffing levels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9A020" w14:textId="77777777" w:rsidR="000B3133" w:rsidRDefault="00334212">
            <w:pPr>
              <w:pStyle w:val="Heading1"/>
              <w:spacing w:line="240" w:lineRule="auto"/>
              <w:jc w:val="center"/>
              <w:rPr>
                <w:rFonts w:eastAsia="Times New Roman"/>
                <w:b w:val="0"/>
                <w:bCs/>
              </w:rPr>
            </w:pPr>
            <w:r>
              <w:rPr>
                <w:rFonts w:eastAsia="Times New Roman"/>
                <w:b w:val="0"/>
                <w:bCs/>
              </w:rPr>
              <w:t>Service/HR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30931C" w14:textId="77777777" w:rsidR="000B3133" w:rsidRDefault="00334212">
            <w:pPr>
              <w:pStyle w:val="Heading1"/>
              <w:spacing w:line="240" w:lineRule="auto"/>
              <w:jc w:val="center"/>
              <w:rPr>
                <w:rFonts w:eastAsia="Times New Roman"/>
                <w:b w:val="0"/>
                <w:bCs/>
              </w:rPr>
            </w:pPr>
            <w:r>
              <w:rPr>
                <w:rFonts w:eastAsia="Times New Roman"/>
                <w:b w:val="0"/>
                <w:bCs/>
              </w:rPr>
              <w:t>0-6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88ECF" w14:textId="77777777" w:rsidR="000B3133" w:rsidRDefault="00334212">
            <w:pPr>
              <w:pStyle w:val="Heading1"/>
              <w:spacing w:line="240" w:lineRule="auto"/>
              <w:jc w:val="center"/>
              <w:rPr>
                <w:rFonts w:eastAsia="Times New Roman"/>
                <w:b w:val="0"/>
                <w:bCs/>
              </w:rPr>
            </w:pPr>
            <w:r>
              <w:rPr>
                <w:rFonts w:eastAsia="Times New Roman"/>
                <w:b w:val="0"/>
                <w:bCs/>
              </w:rPr>
              <w:t>% shifts meeting staffing standard</w:t>
            </w:r>
          </w:p>
        </w:tc>
      </w:tr>
      <w:tr w:rsidR="000B3133" w14:paraId="4306B2A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E4668" w14:textId="77777777" w:rsidR="000B3133" w:rsidRDefault="00334212">
            <w:pPr>
              <w:pStyle w:val="Heading1"/>
              <w:spacing w:line="240" w:lineRule="auto"/>
              <w:jc w:val="center"/>
              <w:rPr>
                <w:rFonts w:eastAsia="Times New Roman"/>
              </w:rPr>
            </w:pPr>
            <w:r>
              <w:rPr>
                <w:rFonts w:eastAsia="Times New Roman"/>
                <w:bCs/>
              </w:rPr>
              <w:t>Conduct safety-culture surveys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4FE1AB" w14:textId="77777777" w:rsidR="000B3133" w:rsidRDefault="00334212">
            <w:pPr>
              <w:pStyle w:val="Heading1"/>
              <w:spacing w:line="240" w:lineRule="auto"/>
              <w:jc w:val="center"/>
              <w:rPr>
                <w:rFonts w:eastAsia="Times New Roman"/>
                <w:b w:val="0"/>
                <w:bCs/>
              </w:rPr>
            </w:pPr>
            <w:r>
              <w:rPr>
                <w:rFonts w:eastAsia="Times New Roman"/>
                <w:b w:val="0"/>
                <w:bCs/>
              </w:rPr>
              <w:t>Governance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912774" w14:textId="77777777" w:rsidR="000B3133" w:rsidRDefault="00334212">
            <w:pPr>
              <w:pStyle w:val="Heading1"/>
              <w:spacing w:line="240" w:lineRule="auto"/>
              <w:jc w:val="center"/>
              <w:rPr>
                <w:rFonts w:eastAsia="Times New Roman"/>
                <w:b w:val="0"/>
                <w:bCs/>
              </w:rPr>
            </w:pPr>
            <w:r>
              <w:rPr>
                <w:rFonts w:eastAsia="Times New Roman"/>
                <w:b w:val="0"/>
                <w:bCs/>
              </w:rPr>
              <w:t>6-monthly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347CF" w14:textId="77777777" w:rsidR="000B3133" w:rsidRDefault="00334212">
            <w:pPr>
              <w:pStyle w:val="Heading1"/>
              <w:spacing w:line="240" w:lineRule="auto"/>
              <w:jc w:val="center"/>
              <w:rPr>
                <w:rFonts w:eastAsia="Times New Roman"/>
                <w:b w:val="0"/>
                <w:bCs/>
              </w:rPr>
            </w:pPr>
            <w:r>
              <w:rPr>
                <w:rFonts w:eastAsia="Times New Roman"/>
                <w:b w:val="0"/>
                <w:bCs/>
              </w:rPr>
              <w:t>Safety-culture score</w:t>
            </w:r>
          </w:p>
        </w:tc>
      </w:tr>
      <w:tr w:rsidR="000B3133" w14:paraId="5BF428E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0A494" w14:textId="77777777" w:rsidR="000B3133" w:rsidRDefault="00334212">
            <w:pPr>
              <w:pStyle w:val="Heading1"/>
              <w:spacing w:line="240" w:lineRule="auto"/>
              <w:jc w:val="center"/>
              <w:rPr>
                <w:rFonts w:eastAsia="Times New Roman"/>
              </w:rPr>
            </w:pPr>
            <w:r>
              <w:rPr>
                <w:rFonts w:eastAsia="Times New Roman"/>
                <w:bCs/>
              </w:rPr>
              <w:t>Conduct PDSA reviews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B6C1E4" w14:textId="77777777" w:rsidR="000B3133" w:rsidRDefault="00334212">
            <w:pPr>
              <w:pStyle w:val="Heading1"/>
              <w:spacing w:line="240" w:lineRule="auto"/>
              <w:jc w:val="center"/>
              <w:rPr>
                <w:rFonts w:eastAsia="Times New Roman"/>
                <w:b w:val="0"/>
                <w:bCs/>
              </w:rPr>
            </w:pPr>
            <w:r>
              <w:rPr>
                <w:rFonts w:eastAsia="Times New Roman"/>
                <w:b w:val="0"/>
                <w:bCs/>
              </w:rPr>
              <w:t>Qualify Improvement Lead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39390B" w14:textId="77777777" w:rsidR="000B3133" w:rsidRDefault="00334212">
            <w:pPr>
              <w:pStyle w:val="Heading1"/>
              <w:spacing w:line="240" w:lineRule="auto"/>
              <w:jc w:val="center"/>
              <w:rPr>
                <w:rFonts w:eastAsia="Times New Roman"/>
                <w:b w:val="0"/>
                <w:bCs/>
              </w:rPr>
            </w:pPr>
            <w:r>
              <w:rPr>
                <w:rFonts w:eastAsia="Times New Roman"/>
                <w:b w:val="0"/>
                <w:bCs/>
              </w:rPr>
              <w:t>Quarterly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4E4685" w14:textId="77777777" w:rsidR="000B3133" w:rsidRDefault="00334212">
            <w:pPr>
              <w:pStyle w:val="Heading1"/>
              <w:spacing w:line="240" w:lineRule="auto"/>
              <w:jc w:val="center"/>
              <w:rPr>
                <w:rFonts w:eastAsia="Times New Roman"/>
                <w:b w:val="0"/>
                <w:bCs/>
              </w:rPr>
            </w:pPr>
            <w:r>
              <w:rPr>
                <w:rFonts w:eastAsia="Times New Roman"/>
                <w:b w:val="0"/>
                <w:bCs/>
              </w:rPr>
              <w:t>Improvement against KPIs</w:t>
            </w:r>
          </w:p>
        </w:tc>
      </w:tr>
    </w:tbl>
    <w:p w14:paraId="40D1A518" w14:textId="77777777" w:rsidR="000B3133" w:rsidRDefault="00334212">
      <w:pPr>
        <w:pStyle w:val="Heading1"/>
        <w:rPr>
          <w:lang w:val="en-GB"/>
        </w:rPr>
      </w:pPr>
      <w:r>
        <w:rPr>
          <w:lang w:val="en-GB"/>
        </w:rPr>
        <w:t>Conclusion</w:t>
      </w:r>
      <w:bookmarkEnd w:id="19"/>
      <w:r>
        <w:rPr>
          <w:lang w:val="en-GB"/>
        </w:rPr>
        <w:t xml:space="preserve"> </w:t>
      </w:r>
    </w:p>
    <w:p w14:paraId="45B763A2" w14:textId="77777777" w:rsidR="000B3133" w:rsidRDefault="00334212">
      <w:pPr>
        <w:spacing w:line="360" w:lineRule="auto"/>
        <w:jc w:val="both"/>
        <w:rPr>
          <w:rFonts w:eastAsia="Times New Roman"/>
          <w:lang w:val="en-GB"/>
        </w:rPr>
      </w:pPr>
      <w:r>
        <w:rPr>
          <w:rFonts w:eastAsia="Times New Roman"/>
          <w:lang w:val="en-GB"/>
        </w:rPr>
        <w:t xml:space="preserve">From the above discussion, it can be concluded that the Lucy Letby case has demonstrated a systematic quality and patient-safety failure at the Countess of Chester Hospital instead of a problem attributable exclusively to individual professional conduct. Additionally, concerns regarding the unusual neonatal deaths and collapses were not converted into sufficiently timely organisational action. Weaknesses in clinical governance, leadership, communication, incident reporting and organisational culture have effectively enabled vulnerabilities within the safety </w:t>
      </w:r>
      <w:r>
        <w:rPr>
          <w:rFonts w:eastAsia="Times New Roman"/>
          <w:lang w:val="en-GB"/>
        </w:rPr>
        <w:lastRenderedPageBreak/>
        <w:t xml:space="preserve">system to persist. Moreover, the Fishbone Analysis has recognised interconnected root causes across leadership and governance, communication and escalation, incident reporting, staffing and organisational culture. The Donabedian Model has significantly demonstrated how weaknesses in organisational structures and care procedures were linked with serious adverse outcomes. </w:t>
      </w:r>
    </w:p>
    <w:p w14:paraId="2776167E" w14:textId="77777777" w:rsidR="000B3133" w:rsidRDefault="00334212">
      <w:pPr>
        <w:spacing w:line="360" w:lineRule="auto"/>
        <w:jc w:val="both"/>
        <w:rPr>
          <w:rFonts w:eastAsia="Times New Roman"/>
          <w:lang w:val="en-GB"/>
        </w:rPr>
      </w:pPr>
      <w:r>
        <w:rPr>
          <w:rFonts w:eastAsia="Times New Roman"/>
          <w:lang w:val="en-GB"/>
        </w:rPr>
        <w:t xml:space="preserve">Besides that, the SWOT analysis has further developed that existing governance arrangements and professional expertise have provided opportunities for improvement, while the recommendations have given priority to stronger clinical governance, effective escalation, open incident reporting, psychological safety, multidisciplinary oversight and measurable accountability. In this context, the PDSA approach has provided a mechanism for testing and refining interventions, while the Lean approach will be able to reduce unnecessary delays and Six Sigma can strengthen the reliability of incident-reporting procedures. In combination, these approaches provide a practical framework to address the recognised quality weaknesses within the Trust. </w:t>
      </w:r>
    </w:p>
    <w:p w14:paraId="7849B50A" w14:textId="77777777" w:rsidR="000B3133" w:rsidRDefault="00334212">
      <w:pPr>
        <w:spacing w:line="360" w:lineRule="auto"/>
        <w:jc w:val="both"/>
        <w:rPr>
          <w:rFonts w:eastAsia="Times New Roman"/>
          <w:lang w:val="en-GB"/>
        </w:rPr>
      </w:pPr>
      <w:r>
        <w:rPr>
          <w:rFonts w:eastAsia="Times New Roman"/>
          <w:lang w:val="en-GB"/>
        </w:rPr>
        <w:t xml:space="preserve">Overall, it can be interpreted that sustainable improvement requires more than introducing additional policies or procedures. The corporation must establish a safety system which will be capable of recognising concerns, escalating risks, investigating incidents, learning from failures and demonstrating that corrective actions have been implemented. Addressing these interconnected organisational factors is necessary for strengthening patient safety and reducing the possibility of comparable failures. </w:t>
      </w:r>
    </w:p>
    <w:p w14:paraId="3EB33599" w14:textId="77777777" w:rsidR="000B3133" w:rsidRDefault="00334212">
      <w:pPr>
        <w:spacing w:line="360" w:lineRule="auto"/>
        <w:jc w:val="both"/>
        <w:rPr>
          <w:rFonts w:eastAsia="Times New Roman"/>
          <w:b/>
          <w:bCs/>
          <w:lang w:val="en-GB"/>
        </w:rPr>
      </w:pPr>
      <w:r>
        <w:rPr>
          <w:lang w:val="en-GB"/>
        </w:rPr>
        <w:br w:type="page"/>
      </w:r>
    </w:p>
    <w:p w14:paraId="7C1BF6E2" w14:textId="77777777" w:rsidR="000B3133" w:rsidRDefault="00334212">
      <w:pPr>
        <w:pStyle w:val="Heading1"/>
        <w:rPr>
          <w:lang w:val="en-GB"/>
        </w:rPr>
      </w:pPr>
      <w:bookmarkStart w:id="20" w:name="_Toc237377822"/>
      <w:r>
        <w:rPr>
          <w:lang w:val="en-GB"/>
        </w:rPr>
        <w:lastRenderedPageBreak/>
        <w:t>References</w:t>
      </w:r>
      <w:bookmarkEnd w:id="20"/>
      <w:r>
        <w:rPr>
          <w:lang w:val="en-GB"/>
        </w:rPr>
        <w:t xml:space="preserve"> </w:t>
      </w:r>
    </w:p>
    <w:p w14:paraId="57DB472B" w14:textId="77777777" w:rsidR="000B3133" w:rsidRDefault="00334212">
      <w:pPr>
        <w:spacing w:line="360" w:lineRule="auto"/>
        <w:jc w:val="both"/>
        <w:rPr>
          <w:rFonts w:eastAsia="Times New Roman"/>
          <w:lang w:val="en-GB"/>
        </w:rPr>
      </w:pPr>
      <w:r>
        <w:rPr>
          <w:rFonts w:eastAsia="Times New Roman"/>
          <w:lang w:val="en-GB"/>
        </w:rPr>
        <w:t xml:space="preserve">Antonopoulou, V., Meyer, C., Chadwick, P., Gibson, B., Sniehotta, F. F., Vlaev, I., ... and Chater, A. M. (2024). Understanding healthcare professionals’ responses to patient complaints in secondary and tertiary care in the UK: A systematic review and behavioural analysis using the Theoretical Domains Framework. </w:t>
      </w:r>
      <w:r>
        <w:rPr>
          <w:rFonts w:eastAsia="Times New Roman"/>
          <w:i/>
          <w:iCs/>
          <w:lang w:val="en-GB"/>
        </w:rPr>
        <w:t>Health research policy and systems</w:t>
      </w:r>
      <w:r>
        <w:rPr>
          <w:rFonts w:eastAsia="Times New Roman"/>
          <w:lang w:val="en-GB"/>
        </w:rPr>
        <w:t xml:space="preserve">, 22(1), 137. Available at: </w:t>
      </w:r>
      <w:hyperlink r:id="rId10" w:history="1">
        <w:r>
          <w:rPr>
            <w:rFonts w:eastAsia="Times New Roman"/>
            <w:color w:val="1155CC"/>
            <w:u w:val="single"/>
            <w:lang w:val="en-GB"/>
          </w:rPr>
          <w:t>https://link.springer.com/content/pdf/10.1186/s12961-024-01209-4.pdf</w:t>
        </w:r>
      </w:hyperlink>
      <w:r>
        <w:rPr>
          <w:rFonts w:eastAsia="Times New Roman"/>
          <w:lang w:val="en-GB"/>
        </w:rPr>
        <w:t xml:space="preserve"> (Accessed: 5 August 2026).</w:t>
      </w:r>
    </w:p>
    <w:p w14:paraId="12461B42" w14:textId="77777777" w:rsidR="000B3133" w:rsidRDefault="00334212">
      <w:pPr>
        <w:spacing w:line="360" w:lineRule="auto"/>
        <w:jc w:val="both"/>
        <w:rPr>
          <w:lang w:val="en-GB"/>
        </w:rPr>
      </w:pPr>
      <w:r>
        <w:rPr>
          <w:lang w:val="en-GB"/>
        </w:rPr>
        <w:t xml:space="preserve">BBC, (2022). Nurse Lucy Letby poisoned babies with insulin, trial told. Available at: </w:t>
      </w:r>
      <w:hyperlink r:id="rId11" w:history="1">
        <w:r>
          <w:rPr>
            <w:rStyle w:val="Hyperlink"/>
            <w:lang w:val="en-GB"/>
          </w:rPr>
          <w:t>https://www.bbc.com/news/uk-england-merseyside-63201201</w:t>
        </w:r>
      </w:hyperlink>
      <w:r>
        <w:rPr>
          <w:lang w:val="en-GB"/>
        </w:rPr>
        <w:t xml:space="preserve">  (Accessed: 5 August 2026).</w:t>
      </w:r>
    </w:p>
    <w:p w14:paraId="26907644" w14:textId="77777777" w:rsidR="000B3133" w:rsidRDefault="00334212">
      <w:pPr>
        <w:spacing w:line="360" w:lineRule="auto"/>
        <w:jc w:val="both"/>
        <w:rPr>
          <w:rFonts w:eastAsia="Times New Roman"/>
          <w:lang w:val="en-GB"/>
        </w:rPr>
      </w:pPr>
      <w:r>
        <w:rPr>
          <w:rFonts w:eastAsia="Times New Roman"/>
          <w:lang w:val="en-GB"/>
        </w:rPr>
        <w:t xml:space="preserve">Brown, D., Fosnight, S., Whitford, M. and Figueroa, F. O. (2018). </w:t>
      </w:r>
      <w:r>
        <w:rPr>
          <w:rFonts w:eastAsia="Times New Roman"/>
          <w:i/>
          <w:iCs/>
          <w:lang w:val="en-GB"/>
        </w:rPr>
        <w:t xml:space="preserve">PDSA model. PDSA, plan-do-study-act. </w:t>
      </w:r>
      <w:r>
        <w:rPr>
          <w:rFonts w:eastAsia="Times New Roman"/>
          <w:lang w:val="en-GB"/>
        </w:rPr>
        <w:t xml:space="preserve">ResearchGate. Available at: </w:t>
      </w:r>
      <w:hyperlink r:id="rId12" w:history="1">
        <w:r>
          <w:rPr>
            <w:rFonts w:eastAsia="Times New Roman"/>
            <w:color w:val="1155CC"/>
            <w:u w:val="single"/>
            <w:lang w:val="en-GB"/>
          </w:rPr>
          <w:t>https://www.researchgate.net/figure/PDSA-model-PDSA-plan-do-study-act_fig2_328867430</w:t>
        </w:r>
      </w:hyperlink>
      <w:r>
        <w:rPr>
          <w:rFonts w:eastAsia="Times New Roman"/>
          <w:lang w:val="en-GB"/>
        </w:rPr>
        <w:t xml:space="preserve"> (Accessed: 5 August 2026).</w:t>
      </w:r>
    </w:p>
    <w:p w14:paraId="0F15C687" w14:textId="77777777" w:rsidR="000B3133" w:rsidRDefault="00334212">
      <w:pPr>
        <w:spacing w:line="360" w:lineRule="auto"/>
        <w:jc w:val="both"/>
        <w:rPr>
          <w:lang w:val="en-GB"/>
        </w:rPr>
      </w:pPr>
      <w:r>
        <w:rPr>
          <w:lang w:val="en-GB"/>
        </w:rPr>
        <w:t xml:space="preserve">Clover, B. (2025). Thirlwall: Guilty or not there was 'total failure of safeguarding' at Letby trust. HSJ. Available at: </w:t>
      </w:r>
      <w:hyperlink r:id="rId13" w:history="1">
        <w:r>
          <w:rPr>
            <w:rStyle w:val="Hyperlink"/>
            <w:lang w:val="en-GB"/>
          </w:rPr>
          <w:t>https://www.hsj.co.uk/thirlwall-guilty-or-not-there-was-total-failure-of-safeguarding-at-letby-trust/7038898.article</w:t>
        </w:r>
      </w:hyperlink>
      <w:r>
        <w:rPr>
          <w:lang w:val="en-GB"/>
        </w:rPr>
        <w:t xml:space="preserve">  (Accessed: 5 August 2026).</w:t>
      </w:r>
    </w:p>
    <w:p w14:paraId="516DE8E2" w14:textId="77777777" w:rsidR="000B3133" w:rsidRDefault="00334212">
      <w:pPr>
        <w:spacing w:line="360" w:lineRule="auto"/>
        <w:jc w:val="both"/>
        <w:rPr>
          <w:lang w:val="en-GB"/>
        </w:rPr>
      </w:pPr>
      <w:r>
        <w:rPr>
          <w:lang w:val="en-GB"/>
        </w:rPr>
        <w:t xml:space="preserve">Davis, T. R., Straatmann, K., Snyder, N., Shiner, D., Evans, A., Caruso, C., and Alton, M. (2025). Promoting a culture of patient safety: Using the principles of just culture to improve transparency and risk reporting in the hospital setting. Patient Safety, 7(2). Available at: </w:t>
      </w:r>
      <w:hyperlink r:id="rId14" w:history="1">
        <w:r>
          <w:rPr>
            <w:rStyle w:val="Hyperlink"/>
            <w:lang w:val="en-GB"/>
          </w:rPr>
          <w:t>https://patientsafetyj.com/article/137737.pdf</w:t>
        </w:r>
      </w:hyperlink>
      <w:r>
        <w:rPr>
          <w:lang w:val="en-GB"/>
        </w:rPr>
        <w:t xml:space="preserve">  (Accessed: 5 August 2026).</w:t>
      </w:r>
    </w:p>
    <w:p w14:paraId="008BF6A7" w14:textId="77777777" w:rsidR="000B3133" w:rsidRDefault="00334212">
      <w:pPr>
        <w:spacing w:line="360" w:lineRule="auto"/>
        <w:jc w:val="both"/>
        <w:rPr>
          <w:rFonts w:eastAsia="Times New Roman"/>
          <w:lang w:val="en-GB"/>
        </w:rPr>
      </w:pPr>
      <w:r>
        <w:rPr>
          <w:rFonts w:eastAsia="Times New Roman"/>
          <w:lang w:val="en-GB"/>
        </w:rPr>
        <w:t xml:space="preserve">Donabedian, A. (1988) 'The quality of care: How can it be assessed?', JAMA, 260(12), pp. 1743–1748. Available at: </w:t>
      </w:r>
      <w:hyperlink r:id="rId15" w:history="1">
        <w:r>
          <w:rPr>
            <w:rFonts w:eastAsia="Times New Roman"/>
            <w:color w:val="1155CC"/>
            <w:u w:val="single"/>
            <w:lang w:val="en-GB"/>
          </w:rPr>
          <w:t>https://jamanetwork.com/journals/jama/article-abstract/374139</w:t>
        </w:r>
      </w:hyperlink>
      <w:r>
        <w:rPr>
          <w:rFonts w:eastAsia="Times New Roman"/>
          <w:lang w:val="en-GB"/>
        </w:rPr>
        <w:t xml:space="preserve"> (Accessed: 5 August 2026).</w:t>
      </w:r>
    </w:p>
    <w:p w14:paraId="14822243" w14:textId="77777777" w:rsidR="000B3133" w:rsidRDefault="00334212">
      <w:pPr>
        <w:spacing w:line="360" w:lineRule="auto"/>
        <w:jc w:val="both"/>
        <w:rPr>
          <w:lang w:val="en-GB"/>
        </w:rPr>
      </w:pPr>
      <w:r>
        <w:rPr>
          <w:lang w:val="en-GB"/>
        </w:rPr>
        <w:t xml:space="preserve">Farahani, F. M. (2024). Challenges and barriers to implementing collaborative governance for linking education and industry. Management Strategies and Engineering Sciences, 6(3), 164-173. Available at: </w:t>
      </w:r>
      <w:hyperlink r:id="rId16" w:history="1">
        <w:r>
          <w:rPr>
            <w:rStyle w:val="Hyperlink"/>
            <w:lang w:val="en-GB"/>
          </w:rPr>
          <w:t>https://msesj.com/index.php/mses/article/download/108/90</w:t>
        </w:r>
      </w:hyperlink>
      <w:r>
        <w:rPr>
          <w:lang w:val="en-GB"/>
        </w:rPr>
        <w:t xml:space="preserve">  (Accessed: 5 August 2026).</w:t>
      </w:r>
    </w:p>
    <w:p w14:paraId="5F6923A7" w14:textId="77777777" w:rsidR="000B3133" w:rsidRDefault="00334212">
      <w:pPr>
        <w:spacing w:line="360" w:lineRule="auto"/>
        <w:jc w:val="both"/>
        <w:rPr>
          <w:lang w:val="en-GB"/>
        </w:rPr>
      </w:pPr>
      <w:r>
        <w:rPr>
          <w:lang w:val="en-GB"/>
        </w:rPr>
        <w:t xml:space="preserve">Franz, S., Colavito, M., Beeton, T., and Aldworth, T. (2026). Governance of wildland fire decision support tools: Lessons learned from the Risk Management Assistance dashboard. Trees, Forests and People, 101374. Available at: </w:t>
      </w:r>
      <w:hyperlink r:id="rId17" w:history="1">
        <w:r>
          <w:rPr>
            <w:rStyle w:val="Hyperlink"/>
            <w:lang w:val="en-GB"/>
          </w:rPr>
          <w:t>https://www.sciencedirect.com/science/article/pii/S266671932600227X</w:t>
        </w:r>
      </w:hyperlink>
      <w:r>
        <w:rPr>
          <w:lang w:val="en-GB"/>
        </w:rPr>
        <w:t xml:space="preserve">  (Accessed: 5 August 2026).</w:t>
      </w:r>
    </w:p>
    <w:p w14:paraId="5F89B5AA" w14:textId="77777777" w:rsidR="000B3133" w:rsidRDefault="00334212">
      <w:pPr>
        <w:spacing w:line="360" w:lineRule="auto"/>
        <w:jc w:val="both"/>
        <w:rPr>
          <w:rFonts w:eastAsia="Times New Roman"/>
          <w:lang w:val="en-GB"/>
        </w:rPr>
      </w:pPr>
      <w:r>
        <w:rPr>
          <w:rFonts w:eastAsia="Times New Roman"/>
          <w:lang w:val="en-GB"/>
        </w:rPr>
        <w:t xml:space="preserve">Ginsburg, L., Easterbrook, A., Geerts, A., Berta, W., van Dreumel, L., Estabrooks, C. A., ... and Wagg, A. (2025). ‘We listened and supported and depended on each other’: a qualitative study of </w:t>
      </w:r>
      <w:r>
        <w:rPr>
          <w:rFonts w:eastAsia="Times New Roman"/>
          <w:lang w:val="en-GB"/>
        </w:rPr>
        <w:lastRenderedPageBreak/>
        <w:t xml:space="preserve">how leadership influences implementation of QI interventions. </w:t>
      </w:r>
      <w:r>
        <w:rPr>
          <w:rFonts w:eastAsia="Times New Roman"/>
          <w:i/>
          <w:iCs/>
          <w:lang w:val="en-GB"/>
        </w:rPr>
        <w:t>BMJ Quality &amp; Safety,</w:t>
      </w:r>
      <w:r>
        <w:rPr>
          <w:rFonts w:eastAsia="Times New Roman"/>
          <w:lang w:val="en-GB"/>
        </w:rPr>
        <w:t xml:space="preserve"> 34(3), 146-156. Available at:  </w:t>
      </w:r>
      <w:hyperlink r:id="rId18" w:history="1">
        <w:r>
          <w:rPr>
            <w:rFonts w:eastAsia="Times New Roman"/>
            <w:color w:val="1155CC"/>
            <w:u w:val="single"/>
            <w:lang w:val="en-GB"/>
          </w:rPr>
          <w:t>https://qualitysafety.bmj.com/content/qhc/34/3/146.full.pdf</w:t>
        </w:r>
      </w:hyperlink>
      <w:r>
        <w:rPr>
          <w:rFonts w:eastAsia="Times New Roman"/>
          <w:lang w:val="en-GB"/>
        </w:rPr>
        <w:t xml:space="preserve"> (Accessed: 5 August 2026).</w:t>
      </w:r>
    </w:p>
    <w:p w14:paraId="410B23CF" w14:textId="77777777" w:rsidR="000B3133" w:rsidRDefault="00334212">
      <w:pPr>
        <w:spacing w:line="360" w:lineRule="auto"/>
        <w:jc w:val="both"/>
        <w:rPr>
          <w:lang w:val="en-GB"/>
        </w:rPr>
      </w:pPr>
      <w:r>
        <w:rPr>
          <w:lang w:val="en-GB"/>
        </w:rPr>
        <w:t xml:space="preserve">GIRFT, (2025). Neonatology - Workforce. Available at: </w:t>
      </w:r>
      <w:hyperlink r:id="rId19" w:history="1">
        <w:r>
          <w:rPr>
            <w:rStyle w:val="Hyperlink"/>
            <w:lang w:val="en-GB"/>
          </w:rPr>
          <w:t>https://gettingitrightfirsttime.co.uk/wp-content/uploads/2025/01/Neonatology-workforce-report-09-12f-FINAL.pdf</w:t>
        </w:r>
      </w:hyperlink>
      <w:r>
        <w:rPr>
          <w:lang w:val="en-GB"/>
        </w:rPr>
        <w:t xml:space="preserve">  (Accessed: 5 August 2026).</w:t>
      </w:r>
    </w:p>
    <w:p w14:paraId="63698900" w14:textId="77777777" w:rsidR="000B3133" w:rsidRDefault="00334212">
      <w:pPr>
        <w:spacing w:line="360" w:lineRule="auto"/>
        <w:jc w:val="both"/>
        <w:rPr>
          <w:rFonts w:eastAsia="Times New Roman"/>
          <w:lang w:val="en-GB"/>
        </w:rPr>
      </w:pPr>
      <w:r>
        <w:rPr>
          <w:rFonts w:eastAsia="Times New Roman"/>
          <w:lang w:val="en-GB"/>
        </w:rPr>
        <w:t>Hughes, H. (2019).</w:t>
      </w:r>
      <w:r>
        <w:rPr>
          <w:rFonts w:eastAsia="Times New Roman"/>
          <w:i/>
          <w:iCs/>
          <w:lang w:val="en-GB"/>
        </w:rPr>
        <w:t xml:space="preserve"> Freedom to speak up – the role of freedom to speak up guardians and the National Guardian’s Office in England</w:t>
      </w:r>
      <w:r>
        <w:rPr>
          <w:rFonts w:eastAsia="Times New Roman"/>
          <w:lang w:val="en-GB"/>
        </w:rPr>
        <w:t xml:space="preserve">. NIH. Available at: </w:t>
      </w:r>
      <w:hyperlink r:id="rId20" w:history="1">
        <w:r>
          <w:rPr>
            <w:rFonts w:eastAsia="Times New Roman"/>
            <w:color w:val="1155CC"/>
            <w:u w:val="single"/>
            <w:lang w:val="en-GB"/>
          </w:rPr>
          <w:t>https://pmc.ncbi.nlm.nih.gov/articles/PMC6798024/</w:t>
        </w:r>
      </w:hyperlink>
      <w:r>
        <w:rPr>
          <w:rFonts w:eastAsia="Times New Roman"/>
          <w:lang w:val="en-GB"/>
        </w:rPr>
        <w:t xml:space="preserve"> (Accessed: 5 August 2026).</w:t>
      </w:r>
    </w:p>
    <w:p w14:paraId="62B9A5CE" w14:textId="77777777" w:rsidR="000B3133" w:rsidRDefault="00334212">
      <w:pPr>
        <w:spacing w:line="360" w:lineRule="auto"/>
        <w:jc w:val="both"/>
        <w:rPr>
          <w:rFonts w:eastAsia="Times New Roman"/>
          <w:lang w:val="en-GB"/>
        </w:rPr>
      </w:pPr>
      <w:r>
        <w:rPr>
          <w:lang w:val="en-GB"/>
        </w:rPr>
        <w:t xml:space="preserve">Humphries, J. (2025). Letby unit baby death rise 'not extreme' - inquiry. BBC. Available at: </w:t>
      </w:r>
      <w:hyperlink r:id="rId21" w:history="1">
        <w:r>
          <w:rPr>
            <w:rStyle w:val="Hyperlink"/>
            <w:lang w:val="en-GB"/>
          </w:rPr>
          <w:t>https://www.bbc.com/news/articles/cpdxn4x5477o</w:t>
        </w:r>
      </w:hyperlink>
      <w:r>
        <w:rPr>
          <w:lang w:val="en-GB"/>
        </w:rPr>
        <w:t xml:space="preserve">  (Accessed: 5 August 2026).</w:t>
      </w:r>
    </w:p>
    <w:p w14:paraId="071AC3C1" w14:textId="77777777" w:rsidR="000B3133" w:rsidRDefault="00334212">
      <w:pPr>
        <w:spacing w:line="360" w:lineRule="auto"/>
        <w:jc w:val="both"/>
        <w:rPr>
          <w:rFonts w:eastAsia="Times New Roman"/>
          <w:lang w:val="en-GB"/>
        </w:rPr>
      </w:pPr>
      <w:r>
        <w:rPr>
          <w:rFonts w:eastAsia="Times New Roman"/>
          <w:lang w:val="en-GB"/>
        </w:rPr>
        <w:t xml:space="preserve">Jerjes, W., Chan, S. C. C., Klingbajl, M., and Majeed, A. (2026). The hidden impact of workforce instability on patient trust. </w:t>
      </w:r>
      <w:r>
        <w:rPr>
          <w:rFonts w:eastAsia="Times New Roman"/>
          <w:i/>
          <w:iCs/>
          <w:lang w:val="en-GB"/>
        </w:rPr>
        <w:t xml:space="preserve">Frontiers in Health Services, </w:t>
      </w:r>
      <w:r>
        <w:rPr>
          <w:rFonts w:eastAsia="Times New Roman"/>
          <w:lang w:val="en-GB"/>
        </w:rPr>
        <w:t xml:space="preserve">6, 1751923. Available at:  </w:t>
      </w:r>
      <w:hyperlink r:id="rId22" w:history="1">
        <w:r>
          <w:rPr>
            <w:rFonts w:eastAsia="Times New Roman"/>
            <w:color w:val="1155CC"/>
            <w:u w:val="single"/>
            <w:lang w:val="en-GB"/>
          </w:rPr>
          <w:t>https://www.frontiersin.org/journals/health-services/articles/10.3389/frhs.2026.1751923/pdf</w:t>
        </w:r>
      </w:hyperlink>
      <w:r>
        <w:rPr>
          <w:rFonts w:eastAsia="Times New Roman"/>
          <w:lang w:val="en-GB"/>
        </w:rPr>
        <w:t xml:space="preserve"> (Accessed: 5 August 2026).</w:t>
      </w:r>
    </w:p>
    <w:p w14:paraId="28D47684" w14:textId="77777777" w:rsidR="000B3133" w:rsidRDefault="00334212">
      <w:pPr>
        <w:spacing w:line="360" w:lineRule="auto"/>
        <w:jc w:val="both"/>
        <w:rPr>
          <w:lang w:val="en-GB"/>
        </w:rPr>
      </w:pPr>
      <w:r>
        <w:rPr>
          <w:lang w:val="en-GB"/>
        </w:rPr>
        <w:t xml:space="preserve">Kalyan, G., Joshi, P., Murry, L. L., Campbell-Yeo, M., and Tiwari, S. K. (2025). Transforming neonatal nursing in India: Challenges, opportunities, and the way forward. The Lancet Regional Health-Southeast Asia, 32. Available at: </w:t>
      </w:r>
      <w:hyperlink r:id="rId23" w:history="1">
        <w:r>
          <w:rPr>
            <w:rStyle w:val="Hyperlink"/>
            <w:lang w:val="en-GB"/>
          </w:rPr>
          <w:t>https://www.thelancet.com/journals/lansea/article/PIIS2772-3682(24)00172-0/fulltext?es_id=5a19c2e9ae</w:t>
        </w:r>
      </w:hyperlink>
      <w:r>
        <w:rPr>
          <w:lang w:val="en-GB"/>
        </w:rPr>
        <w:t xml:space="preserve">  (Accessed: 5 August 2026).</w:t>
      </w:r>
    </w:p>
    <w:p w14:paraId="79D370A7" w14:textId="77777777" w:rsidR="000B3133" w:rsidRDefault="00334212">
      <w:pPr>
        <w:spacing w:line="360" w:lineRule="auto"/>
        <w:jc w:val="both"/>
        <w:rPr>
          <w:lang w:val="en-GB"/>
        </w:rPr>
      </w:pPr>
      <w:r>
        <w:rPr>
          <w:lang w:val="en-GB"/>
        </w:rPr>
        <w:t xml:space="preserve">Kumah, A. (2025). Adverse event reporting and patient safety: the role of a just culture. Frontiers in Health Services, 5, 1581516. Available at: </w:t>
      </w:r>
      <w:hyperlink r:id="rId24" w:history="1">
        <w:r>
          <w:rPr>
            <w:rStyle w:val="Hyperlink"/>
            <w:lang w:val="en-GB"/>
          </w:rPr>
          <w:t>https://www.frontiersin.org/journals/health-services/articles/10.3389/frhs.2025.1581516/pdf</w:t>
        </w:r>
      </w:hyperlink>
      <w:r>
        <w:rPr>
          <w:lang w:val="en-GB"/>
        </w:rPr>
        <w:t xml:space="preserve">  (Accessed: 5 August 2026).</w:t>
      </w:r>
    </w:p>
    <w:p w14:paraId="3F95BA8B" w14:textId="77777777" w:rsidR="000B3133" w:rsidRDefault="00334212">
      <w:pPr>
        <w:spacing w:line="360" w:lineRule="auto"/>
        <w:jc w:val="both"/>
        <w:rPr>
          <w:rFonts w:eastAsia="Times New Roman"/>
          <w:lang w:val="en-GB"/>
        </w:rPr>
      </w:pPr>
      <w:r>
        <w:rPr>
          <w:rFonts w:eastAsia="Times New Roman"/>
          <w:lang w:val="en-GB"/>
        </w:rPr>
        <w:t xml:space="preserve">Lawrence, F. and Conn, D (2024) A superbug, doctor shortages and a neonatal unit out of its depth: Failures at Lucy Letby hospital revealed. The Guardian. Available at: </w:t>
      </w:r>
      <w:hyperlink r:id="rId25" w:history="1">
        <w:r>
          <w:rPr>
            <w:rFonts w:eastAsia="Times New Roman"/>
            <w:color w:val="1155CC"/>
            <w:u w:val="single"/>
            <w:lang w:val="en-GB"/>
          </w:rPr>
          <w:t>https://www.theguardian.com/uk-news/article/2024/sep/08/a-superbug-doctor-shortages-and-a-neonatal-unit-out-of-its-depth-failures-at-lucy-letby-hospital-revealed</w:t>
        </w:r>
      </w:hyperlink>
      <w:r>
        <w:rPr>
          <w:rFonts w:eastAsia="Times New Roman"/>
          <w:lang w:val="en-GB"/>
        </w:rPr>
        <w:t xml:space="preserve">  (Accessed: 5 August 2026).</w:t>
      </w:r>
    </w:p>
    <w:p w14:paraId="6E223458" w14:textId="77777777" w:rsidR="000B3133" w:rsidRDefault="00334212">
      <w:pPr>
        <w:spacing w:line="360" w:lineRule="auto"/>
        <w:jc w:val="both"/>
        <w:rPr>
          <w:rFonts w:eastAsia="Times New Roman"/>
          <w:lang w:val="en-GB"/>
        </w:rPr>
      </w:pPr>
      <w:r>
        <w:rPr>
          <w:rFonts w:eastAsia="Times New Roman"/>
          <w:lang w:val="en-GB"/>
        </w:rPr>
        <w:t xml:space="preserve">Lee, S.E., Dahinten, V.S. and Lee, J.H. (2023) 'Testing the association between the enabling and enacting factors of patient safety culture and patient safety: Structural equation modelling', </w:t>
      </w:r>
      <w:r>
        <w:rPr>
          <w:rFonts w:eastAsia="Times New Roman"/>
          <w:i/>
          <w:iCs/>
          <w:lang w:val="en-GB"/>
        </w:rPr>
        <w:t>BMC Nursing,</w:t>
      </w:r>
      <w:r>
        <w:rPr>
          <w:rFonts w:eastAsia="Times New Roman"/>
          <w:lang w:val="en-GB"/>
        </w:rPr>
        <w:t xml:space="preserve"> 22(1), p. 32. Available at: </w:t>
      </w:r>
      <w:hyperlink r:id="rId26" w:history="1">
        <w:r>
          <w:rPr>
            <w:rFonts w:eastAsia="Times New Roman"/>
            <w:color w:val="1155CC"/>
            <w:u w:val="single"/>
            <w:lang w:val="en-GB"/>
          </w:rPr>
          <w:t>https://link.springer.com/content/pdf/10.1186/s12912-023-01196-x.pdf</w:t>
        </w:r>
      </w:hyperlink>
      <w:r>
        <w:rPr>
          <w:rFonts w:eastAsia="Times New Roman"/>
          <w:lang w:val="en-GB"/>
        </w:rPr>
        <w:t xml:space="preserve"> (Accessed: 5 August 2026).</w:t>
      </w:r>
    </w:p>
    <w:p w14:paraId="313F099B" w14:textId="77777777" w:rsidR="000B3133" w:rsidRDefault="00334212">
      <w:pPr>
        <w:spacing w:line="360" w:lineRule="auto"/>
        <w:jc w:val="both"/>
        <w:rPr>
          <w:lang w:val="en-GB"/>
        </w:rPr>
      </w:pPr>
      <w:r>
        <w:rPr>
          <w:lang w:val="en-GB"/>
        </w:rPr>
        <w:t xml:space="preserve">Levitt, B. (2026). The True Story Behind The Investigation of Lucy Letby. Time. Available at: </w:t>
      </w:r>
      <w:hyperlink r:id="rId27" w:history="1">
        <w:r>
          <w:rPr>
            <w:rStyle w:val="Hyperlink"/>
            <w:lang w:val="en-GB"/>
          </w:rPr>
          <w:t>https://time.com/7363946/lucy-letby-netflix-documentary/</w:t>
        </w:r>
      </w:hyperlink>
      <w:r>
        <w:rPr>
          <w:lang w:val="en-GB"/>
        </w:rPr>
        <w:t xml:space="preserve">  (Accessed: 5 August 2026).</w:t>
      </w:r>
    </w:p>
    <w:p w14:paraId="5A60600A" w14:textId="77777777" w:rsidR="000B3133" w:rsidRDefault="00334212">
      <w:pPr>
        <w:spacing w:line="360" w:lineRule="auto"/>
        <w:jc w:val="both"/>
        <w:rPr>
          <w:rFonts w:eastAsia="Times New Roman"/>
          <w:lang w:val="en-GB"/>
        </w:rPr>
      </w:pPr>
      <w:r>
        <w:rPr>
          <w:rFonts w:eastAsia="Times New Roman"/>
          <w:lang w:val="en-GB"/>
        </w:rPr>
        <w:lastRenderedPageBreak/>
        <w:t xml:space="preserve">Mahmoud, Z., Angelé-Halgand, N., Churruca, K., Ellis, L. A., and Braithwaite, J. (2021). The impact of lean management on frontline healthcare professionals: a scoping review of the literature. </w:t>
      </w:r>
      <w:r>
        <w:rPr>
          <w:rFonts w:eastAsia="Times New Roman"/>
          <w:i/>
          <w:iCs/>
          <w:lang w:val="en-GB"/>
        </w:rPr>
        <w:t>BMC Health Services Research</w:t>
      </w:r>
      <w:r>
        <w:rPr>
          <w:rFonts w:eastAsia="Times New Roman"/>
          <w:lang w:val="en-GB"/>
        </w:rPr>
        <w:t xml:space="preserve">, 21(1), 383. Available at: </w:t>
      </w:r>
      <w:hyperlink r:id="rId28" w:history="1">
        <w:r>
          <w:rPr>
            <w:rFonts w:eastAsia="Times New Roman"/>
            <w:color w:val="1155CC"/>
            <w:u w:val="single"/>
            <w:lang w:val="en-GB"/>
          </w:rPr>
          <w:t>https://link.springer.com/content/pdf/10.1186/s12913-021-06344-0.pdf</w:t>
        </w:r>
      </w:hyperlink>
      <w:r>
        <w:rPr>
          <w:rFonts w:eastAsia="Times New Roman"/>
          <w:lang w:val="en-GB"/>
        </w:rPr>
        <w:t xml:space="preserve"> (Accessed: 5 August 2026).</w:t>
      </w:r>
    </w:p>
    <w:p w14:paraId="3E514C94" w14:textId="77777777" w:rsidR="000B3133" w:rsidRDefault="00334212">
      <w:pPr>
        <w:spacing w:line="360" w:lineRule="auto"/>
        <w:jc w:val="both"/>
        <w:rPr>
          <w:rFonts w:eastAsia="Times New Roman"/>
          <w:lang w:val="en-GB"/>
        </w:rPr>
      </w:pPr>
      <w:r>
        <w:rPr>
          <w:rFonts w:eastAsia="Times New Roman"/>
          <w:lang w:val="en-GB"/>
        </w:rPr>
        <w:t xml:space="preserve">Malveira, A., Dias, A., Goes, M., and Oliveira, S. (2026). Quality and safety indicators in neonatal care: an integrative review of their evolution. </w:t>
      </w:r>
      <w:r>
        <w:rPr>
          <w:rFonts w:eastAsia="Times New Roman"/>
          <w:i/>
          <w:iCs/>
          <w:lang w:val="en-GB"/>
        </w:rPr>
        <w:t>Portuguese Journal of Public Health</w:t>
      </w:r>
      <w:r>
        <w:rPr>
          <w:rFonts w:eastAsia="Times New Roman"/>
          <w:lang w:val="en-GB"/>
        </w:rPr>
        <w:t xml:space="preserve">, 44(1), 66-84. Available at: </w:t>
      </w:r>
      <w:hyperlink r:id="rId29" w:history="1">
        <w:r>
          <w:rPr>
            <w:rFonts w:eastAsia="Times New Roman"/>
            <w:color w:val="1155CC"/>
            <w:u w:val="single"/>
            <w:lang w:val="en-GB"/>
          </w:rPr>
          <w:t>https://karger.com/pjp/article-pdf/doi/10.1159/000550584/4496049/000550584.pdf</w:t>
        </w:r>
      </w:hyperlink>
      <w:r>
        <w:rPr>
          <w:rFonts w:eastAsia="Times New Roman"/>
          <w:lang w:val="en-GB"/>
        </w:rPr>
        <w:t xml:space="preserve"> (Accessed: 5 August 2026). </w:t>
      </w:r>
    </w:p>
    <w:p w14:paraId="4FF3A7A6" w14:textId="77777777" w:rsidR="000B3133" w:rsidRDefault="00334212">
      <w:pPr>
        <w:spacing w:line="360" w:lineRule="auto"/>
        <w:jc w:val="both"/>
        <w:rPr>
          <w:rFonts w:eastAsia="Times New Roman"/>
          <w:lang w:val="en-GB"/>
        </w:rPr>
      </w:pPr>
      <w:r>
        <w:rPr>
          <w:rFonts w:eastAsia="Times New Roman"/>
          <w:lang w:val="en-GB"/>
        </w:rPr>
        <w:t xml:space="preserve">Mangus, C. W., James, T. G., Parker, S. J., Duffy, E., Chandanabhumma, P. P., Cassady, C. M., ... and Mahajan, P. (2024). Frontline providers’ and patients’ perspectives on improving diagnostic safety in the emergency department: a qualitative study. </w:t>
      </w:r>
      <w:r>
        <w:rPr>
          <w:rFonts w:eastAsia="Times New Roman"/>
          <w:i/>
          <w:iCs/>
          <w:lang w:val="en-GB"/>
        </w:rPr>
        <w:t>The Joint Commission Journal on Quality and Patient Safety</w:t>
      </w:r>
      <w:r>
        <w:rPr>
          <w:rFonts w:eastAsia="Times New Roman"/>
          <w:lang w:val="en-GB"/>
        </w:rPr>
        <w:t xml:space="preserve">, 50(7), 480-491. Available at: </w:t>
      </w:r>
      <w:hyperlink r:id="rId30" w:history="1">
        <w:r>
          <w:rPr>
            <w:rFonts w:eastAsia="Times New Roman"/>
            <w:color w:val="1155CC"/>
            <w:u w:val="single"/>
            <w:lang w:val="en-GB"/>
          </w:rPr>
          <w:t>https://pmc.ncbi.nlm.nih.gov/articles/PMC11473193/</w:t>
        </w:r>
      </w:hyperlink>
      <w:r>
        <w:rPr>
          <w:rFonts w:eastAsia="Times New Roman"/>
          <w:lang w:val="en-GB"/>
        </w:rPr>
        <w:t xml:space="preserve"> (Accessed: 5 August 2026).</w:t>
      </w:r>
    </w:p>
    <w:p w14:paraId="51737BFF" w14:textId="77777777" w:rsidR="000B3133" w:rsidRDefault="00334212">
      <w:pPr>
        <w:spacing w:line="360" w:lineRule="auto"/>
        <w:jc w:val="both"/>
        <w:rPr>
          <w:rFonts w:eastAsia="Times New Roman"/>
          <w:lang w:val="en-GB"/>
        </w:rPr>
      </w:pPr>
      <w:r>
        <w:rPr>
          <w:rFonts w:eastAsia="Times New Roman"/>
          <w:lang w:val="en-GB"/>
        </w:rPr>
        <w:t xml:space="preserve">Mistri, I.U., Badge, A. and Shahu, S. (2023) 'Enhancing patient safety culture in hospitals', Cureus, 15(12), p. e51159. Available at: </w:t>
      </w:r>
      <w:hyperlink r:id="rId31" w:history="1">
        <w:r>
          <w:rPr>
            <w:rFonts w:eastAsia="Times New Roman"/>
            <w:color w:val="1155CC"/>
            <w:u w:val="single"/>
            <w:lang w:val="en-GB"/>
          </w:rPr>
          <w:t>https://www.cureus.com/articles/199967-enhancing-patientsafety-culture-in-hospitals.pdf</w:t>
        </w:r>
      </w:hyperlink>
      <w:r>
        <w:rPr>
          <w:rFonts w:eastAsia="Times New Roman"/>
          <w:lang w:val="en-GB"/>
        </w:rPr>
        <w:t xml:space="preserve"> (Accessed: 5 August 2026).</w:t>
      </w:r>
    </w:p>
    <w:p w14:paraId="5668C6AB" w14:textId="77777777" w:rsidR="000B3133" w:rsidRDefault="00334212">
      <w:pPr>
        <w:spacing w:line="360" w:lineRule="auto"/>
        <w:jc w:val="both"/>
        <w:rPr>
          <w:lang w:val="en-GB"/>
        </w:rPr>
      </w:pPr>
      <w:r>
        <w:rPr>
          <w:lang w:val="en-GB"/>
        </w:rPr>
        <w:t xml:space="preserve">NHS England, (2024). Learning from deaths in the NHS. Available at: </w:t>
      </w:r>
      <w:hyperlink r:id="rId32" w:history="1">
        <w:r>
          <w:rPr>
            <w:rStyle w:val="Hyperlink"/>
            <w:lang w:val="en-GB"/>
          </w:rPr>
          <w:t>https://www.england.nhs.uk/patient-safety/patient-safety-insight/learning-from-deaths-in-the-nhs/</w:t>
        </w:r>
      </w:hyperlink>
      <w:r>
        <w:rPr>
          <w:lang w:val="en-GB"/>
        </w:rPr>
        <w:t xml:space="preserve">  (Accessed: 5 August 2026).</w:t>
      </w:r>
    </w:p>
    <w:p w14:paraId="0C9A7095" w14:textId="77777777" w:rsidR="000B3133" w:rsidRDefault="00334212">
      <w:pPr>
        <w:spacing w:line="360" w:lineRule="auto"/>
        <w:jc w:val="both"/>
        <w:rPr>
          <w:rFonts w:eastAsia="Times New Roman"/>
          <w:lang w:val="en-GB"/>
        </w:rPr>
      </w:pPr>
      <w:r>
        <w:rPr>
          <w:rFonts w:eastAsia="Times New Roman"/>
          <w:lang w:val="en-GB"/>
        </w:rPr>
        <w:t xml:space="preserve">Nuffieldtrust, (2024). </w:t>
      </w:r>
      <w:r>
        <w:rPr>
          <w:rFonts w:eastAsia="Times New Roman"/>
          <w:i/>
          <w:iCs/>
          <w:lang w:val="en-GB"/>
        </w:rPr>
        <w:t>Report for the Thirlwall Inquiry</w:t>
      </w:r>
      <w:r>
        <w:rPr>
          <w:rFonts w:eastAsia="Times New Roman"/>
          <w:lang w:val="en-GB"/>
        </w:rPr>
        <w:t xml:space="preserve">. Available at: </w:t>
      </w:r>
      <w:hyperlink r:id="rId33" w:history="1">
        <w:r>
          <w:rPr>
            <w:rFonts w:eastAsia="Times New Roman"/>
            <w:color w:val="1155CC"/>
            <w:u w:val="single"/>
            <w:lang w:val="en-GB"/>
          </w:rPr>
          <w:t>https://www.nuffieldtrust.org.uk/sites/default/files/2025-03/Nuffield%20Trust%20report%20for%20the%20Thirlwall%20Inquiry_FINAL%20report_0.pdf</w:t>
        </w:r>
      </w:hyperlink>
      <w:r>
        <w:rPr>
          <w:rFonts w:eastAsia="Times New Roman"/>
          <w:lang w:val="en-GB"/>
        </w:rPr>
        <w:t xml:space="preserve"> (Accessed: 5 August 2026).</w:t>
      </w:r>
    </w:p>
    <w:p w14:paraId="1BDDAB2B" w14:textId="77777777" w:rsidR="000B3133" w:rsidRDefault="00334212">
      <w:pPr>
        <w:spacing w:line="360" w:lineRule="auto"/>
        <w:jc w:val="both"/>
        <w:rPr>
          <w:rFonts w:eastAsia="Times New Roman"/>
          <w:lang w:val="en-GB"/>
        </w:rPr>
      </w:pPr>
      <w:r>
        <w:rPr>
          <w:lang w:val="en-GB"/>
        </w:rPr>
        <w:t xml:space="preserve">O'Donoghue, D., Moritz, J., Hirst, L. and Rachael, L. (2023). Nurse Lucy Letby guilty of murdering seven babies on neonatal unit. BBC. Available at: </w:t>
      </w:r>
      <w:hyperlink r:id="rId34" w:history="1">
        <w:r>
          <w:rPr>
            <w:rStyle w:val="Hyperlink"/>
            <w:lang w:val="en-GB"/>
          </w:rPr>
          <w:t>https://www.bbc.com/news/uk-england-merseyside-65960514</w:t>
        </w:r>
      </w:hyperlink>
      <w:r>
        <w:rPr>
          <w:lang w:val="en-GB"/>
        </w:rPr>
        <w:t xml:space="preserve">  (Accessed: 5 August 2026).</w:t>
      </w:r>
    </w:p>
    <w:p w14:paraId="21FC5C73" w14:textId="77777777" w:rsidR="000B3133" w:rsidRDefault="00334212">
      <w:pPr>
        <w:spacing w:line="360" w:lineRule="auto"/>
        <w:jc w:val="both"/>
        <w:rPr>
          <w:rFonts w:eastAsia="Times New Roman"/>
          <w:lang w:val="en-GB"/>
        </w:rPr>
      </w:pPr>
      <w:r>
        <w:rPr>
          <w:rFonts w:eastAsia="Times New Roman"/>
          <w:lang w:val="en-GB"/>
        </w:rPr>
        <w:t>Oweidat, I., Al-Mugheed, K., Alsenany, S. A., Abdelaliem, S. M. F., and Alzoubi, M. M. (2023). Awareness of reporting practices and barriers to incident reporting among nurses.</w:t>
      </w:r>
      <w:r>
        <w:rPr>
          <w:rFonts w:eastAsia="Times New Roman"/>
          <w:i/>
          <w:iCs/>
          <w:lang w:val="en-GB"/>
        </w:rPr>
        <w:t xml:space="preserve"> BMC nursing</w:t>
      </w:r>
      <w:r>
        <w:rPr>
          <w:rFonts w:eastAsia="Times New Roman"/>
          <w:lang w:val="en-GB"/>
        </w:rPr>
        <w:t xml:space="preserve">, 22(1), 231. Available at: </w:t>
      </w:r>
      <w:hyperlink r:id="rId35" w:history="1">
        <w:r>
          <w:rPr>
            <w:rFonts w:eastAsia="Times New Roman"/>
            <w:color w:val="1155CC"/>
            <w:u w:val="single"/>
            <w:lang w:val="en-GB"/>
          </w:rPr>
          <w:t>https://link.springer.com/content/pdf/10.1186/s12912-023-01376-9.pdf</w:t>
        </w:r>
      </w:hyperlink>
      <w:r>
        <w:rPr>
          <w:rFonts w:eastAsia="Times New Roman"/>
          <w:lang w:val="en-GB"/>
        </w:rPr>
        <w:t xml:space="preserve"> (Accessed: 5 August 2026).</w:t>
      </w:r>
    </w:p>
    <w:p w14:paraId="69737AB9" w14:textId="77777777" w:rsidR="000B3133" w:rsidRDefault="00334212">
      <w:pPr>
        <w:spacing w:line="360" w:lineRule="auto"/>
        <w:jc w:val="both"/>
        <w:rPr>
          <w:rFonts w:eastAsia="Times New Roman"/>
          <w:lang w:val="en-GB"/>
        </w:rPr>
      </w:pPr>
      <w:r>
        <w:rPr>
          <w:rFonts w:eastAsia="Times New Roman"/>
          <w:lang w:val="en-GB"/>
        </w:rPr>
        <w:t xml:space="preserve">The King’s Fund, (2024) </w:t>
      </w:r>
      <w:r>
        <w:rPr>
          <w:rFonts w:eastAsia="Times New Roman"/>
          <w:i/>
          <w:iCs/>
          <w:lang w:val="en-GB"/>
        </w:rPr>
        <w:t xml:space="preserve">Staff Shortages. </w:t>
      </w:r>
      <w:r>
        <w:rPr>
          <w:rFonts w:eastAsia="Times New Roman"/>
          <w:lang w:val="en-GB"/>
        </w:rPr>
        <w:t xml:space="preserve">Available at: </w:t>
      </w:r>
      <w:hyperlink r:id="rId36" w:history="1">
        <w:r>
          <w:rPr>
            <w:rFonts w:eastAsia="Times New Roman"/>
            <w:color w:val="1155CC"/>
            <w:u w:val="single"/>
            <w:lang w:val="en-GB"/>
          </w:rPr>
          <w:t>https://www.kingsfund.org.uk/insight-and-analysis/data-and-charts/staff-shortages</w:t>
        </w:r>
      </w:hyperlink>
      <w:r>
        <w:rPr>
          <w:rFonts w:eastAsia="Times New Roman"/>
          <w:lang w:val="en-GB"/>
        </w:rPr>
        <w:t xml:space="preserve">  (Accessed: 5 August 2026).</w:t>
      </w:r>
    </w:p>
    <w:p w14:paraId="0E37E7F9" w14:textId="77777777" w:rsidR="000B3133" w:rsidRDefault="00334212">
      <w:pPr>
        <w:spacing w:line="360" w:lineRule="auto"/>
        <w:jc w:val="both"/>
        <w:rPr>
          <w:lang w:val="en-GB"/>
        </w:rPr>
      </w:pPr>
      <w:r>
        <w:rPr>
          <w:lang w:val="en-GB"/>
        </w:rPr>
        <w:lastRenderedPageBreak/>
        <w:t>The Thirlwall Inquiry, (2025). Thirlwall-Inquiry-17-March-2025.pdf. Available at: https://thirlwall.public-inquiry.uk/wp-content/uploads/2025/03/Thirlwall-Inquiry-17-March-2025.pdf  (Accessed: 5 August 2026).</w:t>
      </w:r>
    </w:p>
    <w:p w14:paraId="11CAE9FE" w14:textId="77777777" w:rsidR="000B3133" w:rsidRDefault="00334212">
      <w:pPr>
        <w:spacing w:line="360" w:lineRule="auto"/>
        <w:jc w:val="both"/>
        <w:rPr>
          <w:rFonts w:eastAsia="Times New Roman"/>
          <w:lang w:val="en-GB"/>
        </w:rPr>
      </w:pPr>
      <w:r>
        <w:rPr>
          <w:rFonts w:eastAsia="Times New Roman"/>
          <w:lang w:val="en-GB"/>
        </w:rPr>
        <w:t xml:space="preserve">Vikan, M., Haugen, A.S., Bjørnnes, A.K., Valeberg, B.T., Deilkås, E.C.T. and Danielsen, S.O. (2023) 'The association between patient safety culture and adverse events: A scoping review', </w:t>
      </w:r>
      <w:r>
        <w:rPr>
          <w:rFonts w:eastAsia="Times New Roman"/>
          <w:i/>
          <w:iCs/>
          <w:lang w:val="en-GB"/>
        </w:rPr>
        <w:t>BMC Health Services Research,</w:t>
      </w:r>
      <w:r>
        <w:rPr>
          <w:rFonts w:eastAsia="Times New Roman"/>
          <w:lang w:val="en-GB"/>
        </w:rPr>
        <w:t xml:space="preserve"> 23(1), p. 300. Available at: </w:t>
      </w:r>
      <w:hyperlink r:id="rId37" w:history="1">
        <w:r>
          <w:rPr>
            <w:rFonts w:eastAsia="Times New Roman"/>
            <w:color w:val="1155CC"/>
            <w:u w:val="single"/>
            <w:lang w:val="en-GB"/>
          </w:rPr>
          <w:t>https://link.springer.com/content/pdf/10.1186/s12913-023-09332-8.pdf</w:t>
        </w:r>
      </w:hyperlink>
      <w:r>
        <w:rPr>
          <w:rFonts w:eastAsia="Times New Roman"/>
          <w:lang w:val="en-GB"/>
        </w:rPr>
        <w:t xml:space="preserve"> (Accessed: 5 August 2026).</w:t>
      </w:r>
    </w:p>
    <w:p w14:paraId="307F6108" w14:textId="77777777" w:rsidR="000B3133" w:rsidRDefault="00334212">
      <w:pPr>
        <w:spacing w:line="360" w:lineRule="auto"/>
        <w:jc w:val="both"/>
        <w:rPr>
          <w:rFonts w:eastAsia="Times New Roman"/>
          <w:lang w:val="en-GB"/>
        </w:rPr>
      </w:pPr>
      <w:r>
        <w:rPr>
          <w:rFonts w:eastAsia="Times New Roman"/>
          <w:lang w:val="en-GB"/>
        </w:rPr>
        <w:t>Yang, J., Liu, F., Yang, C., Wei, J., Ma, Y., Xu, L., ... and Wang, J. (2025). Application of Donabedian three</w:t>
      </w:r>
      <w:r>
        <w:rPr>
          <w:rFonts w:ascii="Cambria Math" w:eastAsia="Times New Roman" w:hAnsi="Cambria Math" w:cs="Cambria Math"/>
          <w:lang w:val="en-GB"/>
        </w:rPr>
        <w:t>‐</w:t>
      </w:r>
      <w:r>
        <w:rPr>
          <w:rFonts w:eastAsia="Times New Roman"/>
          <w:lang w:val="en-GB"/>
        </w:rPr>
        <w:t xml:space="preserve">dimensional model in outpatient care quality: A scoping review. </w:t>
      </w:r>
      <w:r>
        <w:rPr>
          <w:rFonts w:eastAsia="Times New Roman"/>
          <w:i/>
          <w:iCs/>
          <w:lang w:val="en-GB"/>
        </w:rPr>
        <w:t>Journal of nursing management,</w:t>
      </w:r>
      <w:r>
        <w:rPr>
          <w:rFonts w:eastAsia="Times New Roman"/>
          <w:lang w:val="en-GB"/>
        </w:rPr>
        <w:t xml:space="preserve"> 2025(1), 6893336. Available at: </w:t>
      </w:r>
      <w:hyperlink r:id="rId38" w:history="1">
        <w:r>
          <w:rPr>
            <w:rFonts w:eastAsia="Times New Roman"/>
            <w:color w:val="1155CC"/>
            <w:u w:val="single"/>
            <w:lang w:val="en-GB"/>
          </w:rPr>
          <w:t>https://onlinelibrary.wiley.com/doi/pdf/10.1155/jonm/6893336</w:t>
        </w:r>
      </w:hyperlink>
      <w:r>
        <w:rPr>
          <w:rFonts w:eastAsia="Times New Roman"/>
          <w:lang w:val="en-GB"/>
        </w:rPr>
        <w:t xml:space="preserve"> (Accessed: 5 August 2026).</w:t>
      </w:r>
    </w:p>
    <w:p w14:paraId="21BA4CBF" w14:textId="77777777" w:rsidR="000B3133" w:rsidRDefault="000B3133">
      <w:pPr>
        <w:spacing w:line="360" w:lineRule="auto"/>
        <w:jc w:val="both"/>
        <w:rPr>
          <w:rFonts w:eastAsia="Times New Roman"/>
          <w:lang w:val="en-GB"/>
        </w:rPr>
      </w:pPr>
    </w:p>
    <w:p w14:paraId="031EF0E4" w14:textId="77777777" w:rsidR="000B3133" w:rsidRDefault="000B3133">
      <w:pPr>
        <w:spacing w:line="360" w:lineRule="auto"/>
        <w:jc w:val="both"/>
        <w:rPr>
          <w:rFonts w:eastAsia="Times New Roman"/>
          <w:lang w:val="en-GB"/>
        </w:rPr>
      </w:pPr>
    </w:p>
    <w:p w14:paraId="550C0277" w14:textId="77777777" w:rsidR="000B3133" w:rsidRDefault="000B3133">
      <w:pPr>
        <w:spacing w:line="360" w:lineRule="auto"/>
        <w:jc w:val="both"/>
        <w:rPr>
          <w:rFonts w:eastAsia="Times New Roman"/>
          <w:lang w:val="en-GB"/>
        </w:rPr>
      </w:pPr>
    </w:p>
    <w:p w14:paraId="48C76C72" w14:textId="77777777" w:rsidR="000B3133" w:rsidRDefault="000B3133">
      <w:pPr>
        <w:spacing w:line="360" w:lineRule="auto"/>
        <w:jc w:val="both"/>
        <w:rPr>
          <w:rFonts w:eastAsia="Times New Roman"/>
          <w:lang w:val="en-GB"/>
        </w:rPr>
      </w:pPr>
    </w:p>
    <w:p w14:paraId="25981A65" w14:textId="77777777" w:rsidR="000B3133" w:rsidRDefault="000B3133">
      <w:pPr>
        <w:spacing w:line="360" w:lineRule="auto"/>
        <w:jc w:val="both"/>
        <w:rPr>
          <w:rFonts w:eastAsia="Times New Roman"/>
          <w:lang w:val="en-GB"/>
        </w:rPr>
      </w:pPr>
    </w:p>
    <w:p w14:paraId="57396B62" w14:textId="77777777" w:rsidR="000B3133" w:rsidRDefault="000B3133">
      <w:pPr>
        <w:spacing w:line="360" w:lineRule="auto"/>
        <w:jc w:val="both"/>
        <w:rPr>
          <w:rFonts w:eastAsia="Times New Roman"/>
          <w:lang w:val="en-GB"/>
        </w:rPr>
      </w:pPr>
    </w:p>
    <w:p w14:paraId="50D96E82" w14:textId="77777777" w:rsidR="000B3133" w:rsidRDefault="000B3133">
      <w:pPr>
        <w:spacing w:line="360" w:lineRule="auto"/>
        <w:jc w:val="both"/>
        <w:rPr>
          <w:rFonts w:eastAsia="Times New Roman"/>
          <w:lang w:val="en-GB"/>
        </w:rPr>
      </w:pPr>
    </w:p>
    <w:p w14:paraId="40715E3F" w14:textId="77777777" w:rsidR="000B3133" w:rsidRDefault="000B3133">
      <w:pPr>
        <w:spacing w:line="360" w:lineRule="auto"/>
        <w:jc w:val="both"/>
        <w:rPr>
          <w:rFonts w:eastAsia="Times New Roman"/>
          <w:lang w:val="en-GB"/>
        </w:rPr>
      </w:pPr>
    </w:p>
    <w:p w14:paraId="58397BBD" w14:textId="77777777" w:rsidR="000B3133" w:rsidRDefault="000B3133">
      <w:pPr>
        <w:spacing w:line="360" w:lineRule="auto"/>
        <w:jc w:val="both"/>
        <w:rPr>
          <w:rFonts w:eastAsia="Times New Roman"/>
          <w:lang w:val="en-GB"/>
        </w:rPr>
      </w:pPr>
    </w:p>
    <w:p w14:paraId="304CEE3C" w14:textId="77777777" w:rsidR="000B3133" w:rsidRDefault="000B3133">
      <w:pPr>
        <w:spacing w:line="360" w:lineRule="auto"/>
        <w:jc w:val="both"/>
        <w:rPr>
          <w:rFonts w:eastAsia="Times New Roman"/>
          <w:lang w:val="en-GB"/>
        </w:rPr>
      </w:pPr>
    </w:p>
    <w:sectPr w:rsidR="000B313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AC30CB9-9B7E-4173-9D13-BC839038BAB1}"/>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2" w:fontKey="{00A1CFB8-7FE5-4EF2-AD83-08348375A036}"/>
  </w:font>
  <w:font w:name="Cambria">
    <w:altName w:val="Cambria"/>
    <w:panose1 w:val="02040503050406030204"/>
    <w:charset w:val="00"/>
    <w:family w:val="roman"/>
    <w:pitch w:val="variable"/>
    <w:sig w:usb0="E00006FF" w:usb1="420024FF" w:usb2="02000000" w:usb3="00000000" w:csb0="0000019F" w:csb1="00000000"/>
    <w:embedRegular r:id="rId3" w:fontKey="{A3D280B3-3A8A-4DCF-9953-C61611561428}"/>
  </w:font>
  <w:font w:name="Shruti">
    <w:panose1 w:val="020B0502040204020203"/>
    <w:charset w:val="00"/>
    <w:family w:val="swiss"/>
    <w:pitch w:val="variable"/>
    <w:sig w:usb0="00040003" w:usb1="00000000" w:usb2="00000000" w:usb3="00000000" w:csb0="00000001" w:csb1="00000000"/>
    <w:embedRegular r:id="rId4" w:fontKey="{631658F8-881F-476B-9C8B-FA8CDB4D1F7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133"/>
    <w:rsid w:val="000B3133"/>
    <w:rsid w:val="00280694"/>
    <w:rsid w:val="00334212"/>
    <w:rsid w:val="0077720C"/>
    <w:rsid w:val="00DF3279"/>
    <w:rsid w:val="00E61941"/>
    <w:rsid w:val="00F95BC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83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480" w:lineRule="auto"/>
      <w:jc w:val="both"/>
      <w:outlineLvl w:val="0"/>
    </w:pPr>
    <w:rPr>
      <w:b/>
      <w:szCs w:val="40"/>
    </w:rPr>
  </w:style>
  <w:style w:type="paragraph" w:styleId="Heading2">
    <w:name w:val="heading 2"/>
    <w:basedOn w:val="Normal"/>
    <w:next w:val="Normal"/>
    <w:uiPriority w:val="9"/>
    <w:unhideWhenUsed/>
    <w:qFormat/>
    <w:pPr>
      <w:keepNext/>
      <w:keepLines/>
      <w:spacing w:before="360" w:after="120" w:line="480" w:lineRule="auto"/>
      <w:jc w:val="both"/>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rPr>
      <w:sz w:val="16"/>
      <w:szCs w:val="16"/>
    </w:rPr>
  </w:style>
  <w:style w:type="character" w:styleId="Hyperlink">
    <w:name w:val="Hyperlink"/>
    <w:basedOn w:val="DefaultParagraphFont"/>
    <w:uiPriority w:val="99"/>
    <w:rPr>
      <w:color w:val="0000FF"/>
      <w:u w:val="single"/>
    </w:rPr>
  </w:style>
  <w:style w:type="character" w:customStyle="1" w:styleId="UnresolvedMention1">
    <w:name w:val="Unresolved Mention1"/>
    <w:basedOn w:val="DefaultParagraphFont"/>
    <w:uiPriority w:val="99"/>
    <w:rPr>
      <w:color w:val="605E5C"/>
      <w:shd w:val="clear" w:color="auto" w:fill="E1DFDD"/>
    </w:rPr>
  </w:style>
  <w:style w:type="paragraph" w:styleId="TOCHeading">
    <w:name w:val="TOC Heading"/>
    <w:basedOn w:val="Heading1"/>
    <w:next w:val="Normal"/>
    <w:uiPriority w:val="39"/>
    <w:qFormat/>
    <w:pPr>
      <w:spacing w:before="240" w:after="0" w:line="259" w:lineRule="auto"/>
      <w:jc w:val="left"/>
      <w:outlineLvl w:val="9"/>
    </w:pPr>
    <w:rPr>
      <w:rFonts w:ascii="Calibri" w:eastAsia="SimSun" w:hAnsi="Calibri" w:cs="SimSun"/>
      <w:b w:val="0"/>
      <w:color w:val="365F91"/>
      <w:sz w:val="32"/>
      <w:szCs w:val="32"/>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sj.co.uk/thirlwall-guilty-or-not-there-was-total-failure-of-safeguarding-at-letby-trust/7038898.article" TargetMode="External"/><Relationship Id="rId18" Type="http://schemas.openxmlformats.org/officeDocument/2006/relationships/hyperlink" Target="https://qualitysafety.bmj.com/content/qhc/34/3/146.full.pdf" TargetMode="External"/><Relationship Id="rId26" Type="http://schemas.openxmlformats.org/officeDocument/2006/relationships/hyperlink" Target="https://link.springer.com/content/pdf/10.1186/s12912-023-01196-x.pdf" TargetMode="External"/><Relationship Id="rId39" Type="http://schemas.openxmlformats.org/officeDocument/2006/relationships/fontTable" Target="fontTable.xml"/><Relationship Id="rId21" Type="http://schemas.openxmlformats.org/officeDocument/2006/relationships/hyperlink" Target="https://www.bbc.com/news/articles/cpdxn4x5477o" TargetMode="External"/><Relationship Id="rId34" Type="http://schemas.openxmlformats.org/officeDocument/2006/relationships/hyperlink" Target="https://www.bbc.com/news/uk-england-merseyside-65960514" TargetMode="External"/><Relationship Id="rId7" Type="http://schemas.openxmlformats.org/officeDocument/2006/relationships/image" Target="media/image3.png"/><Relationship Id="rId12" Type="http://schemas.openxmlformats.org/officeDocument/2006/relationships/hyperlink" Target="https://www.researchgate.net/figure/PDSA-model-PDSA-plan-do-study-act_fig2_328867430" TargetMode="External"/><Relationship Id="rId17" Type="http://schemas.openxmlformats.org/officeDocument/2006/relationships/hyperlink" Target="https://www.sciencedirect.com/science/article/pii/S266671932600227X" TargetMode="External"/><Relationship Id="rId25" Type="http://schemas.openxmlformats.org/officeDocument/2006/relationships/hyperlink" Target="https://www.theguardian.com/uk-news/article/2024/sep/08/a-superbug-doctor-shortages-and-a-neonatal-unit-out-of-its-depth-failures-at-lucy-letby-hospital-revealed" TargetMode="External"/><Relationship Id="rId33" Type="http://schemas.openxmlformats.org/officeDocument/2006/relationships/hyperlink" Target="https://www.nuffieldtrust.org.uk/sites/default/files/2025-03/Nuffield%20Trust%20report%20for%20the%20Thirlwall%20Inquiry_FINAL%20report_0.pdf" TargetMode="External"/><Relationship Id="rId38" Type="http://schemas.openxmlformats.org/officeDocument/2006/relationships/hyperlink" Target="https://onlinelibrary.wiley.com/doi/pdf/10.1155/jonm/6893336" TargetMode="External"/><Relationship Id="rId2" Type="http://schemas.openxmlformats.org/officeDocument/2006/relationships/styles" Target="styles.xml"/><Relationship Id="rId16" Type="http://schemas.openxmlformats.org/officeDocument/2006/relationships/hyperlink" Target="https://msesj.com/index.php/mses/article/download/108/90" TargetMode="External"/><Relationship Id="rId20" Type="http://schemas.openxmlformats.org/officeDocument/2006/relationships/hyperlink" Target="https://pmc.ncbi.nlm.nih.gov/articles/PMC6798024/" TargetMode="External"/><Relationship Id="rId29" Type="http://schemas.openxmlformats.org/officeDocument/2006/relationships/hyperlink" Target="https://karger.com/pjp/article-pdf/doi/10.1159/000550584/4496049/000550584.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bc.com/news/uk-england-merseyside-63201201" TargetMode="External"/><Relationship Id="rId24" Type="http://schemas.openxmlformats.org/officeDocument/2006/relationships/hyperlink" Target="https://www.frontiersin.org/journals/health-services/articles/10.3389/frhs.2025.1581516/pdf" TargetMode="External"/><Relationship Id="rId32" Type="http://schemas.openxmlformats.org/officeDocument/2006/relationships/hyperlink" Target="https://www.england.nhs.uk/patient-safety/patient-safety-insight/learning-from-deaths-in-the-nhs/" TargetMode="External"/><Relationship Id="rId37" Type="http://schemas.openxmlformats.org/officeDocument/2006/relationships/hyperlink" Target="https://link.springer.com/content/pdf/10.1186/s12913-023-09332-8.pdf"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jamanetwork.com/journals/jama/article-abstract/374139" TargetMode="External"/><Relationship Id="rId23" Type="http://schemas.openxmlformats.org/officeDocument/2006/relationships/hyperlink" Target="https://www.thelancet.com/journals/lansea/article/PIIS2772-3682(24)00172-0/fulltext?es_id=5a19c2e9ae" TargetMode="External"/><Relationship Id="rId28" Type="http://schemas.openxmlformats.org/officeDocument/2006/relationships/hyperlink" Target="https://link.springer.com/content/pdf/10.1186/s12913-021-06344-0.pdf" TargetMode="External"/><Relationship Id="rId36" Type="http://schemas.openxmlformats.org/officeDocument/2006/relationships/hyperlink" Target="https://www.kingsfund.org.uk/insight-and-analysis/data-and-charts/staff-shortages" TargetMode="External"/><Relationship Id="rId10" Type="http://schemas.openxmlformats.org/officeDocument/2006/relationships/hyperlink" Target="https://link.springer.com/content/pdf/10.1186/s12961-024-01209-4.pdf" TargetMode="External"/><Relationship Id="rId19" Type="http://schemas.openxmlformats.org/officeDocument/2006/relationships/hyperlink" Target="https://gettingitrightfirsttime.co.uk/wp-content/uploads/2025/01/Neonatology-workforce-report-09-12f-FINAL.pdf" TargetMode="External"/><Relationship Id="rId31" Type="http://schemas.openxmlformats.org/officeDocument/2006/relationships/hyperlink" Target="https://www.cureus.com/articles/199967-enhancing-patientsafety-culture-in-hospitals.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patientsafetyj.com/article/137737.pdf" TargetMode="External"/><Relationship Id="rId22" Type="http://schemas.openxmlformats.org/officeDocument/2006/relationships/hyperlink" Target="https://www.frontiersin.org/journals/health-services/articles/10.3389/frhs.2026.1751923/pdf" TargetMode="External"/><Relationship Id="rId27" Type="http://schemas.openxmlformats.org/officeDocument/2006/relationships/hyperlink" Target="https://time.com/7363946/lucy-letby-netflix-documentary/" TargetMode="External"/><Relationship Id="rId30" Type="http://schemas.openxmlformats.org/officeDocument/2006/relationships/hyperlink" Target="https://pmc.ncbi.nlm.nih.gov/articles/PMC11473193/" TargetMode="External"/><Relationship Id="rId35" Type="http://schemas.openxmlformats.org/officeDocument/2006/relationships/hyperlink" Target="https://link.springer.com/content/pdf/10.1186/s12912-023-01376-9.pdf" TargetMode="External"/><Relationship Id="rId8" Type="http://schemas.openxmlformats.org/officeDocument/2006/relationships/image" Target="media/image4.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AF180-85EA-4045-855F-86EDBEE1E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5745</Words>
  <Characters>32751</Characters>
  <Application>Microsoft Office Word</Application>
  <DocSecurity>0</DocSecurity>
  <Lines>272</Lines>
  <Paragraphs>76</Paragraphs>
  <ScaleCrop>false</ScaleCrop>
  <LinksUpToDate>false</LinksUpToDate>
  <CharactersWithSpaces>38420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2026-08-14T08:40:00Z</dcterms:created>
  <dcterms:modified xsi:type="dcterms:W3CDTF">2026-08-14T08:45:00Z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2137a4297b8944baa0fc8073f80deec8_23</vt:lpwstr>
  </property>
</Properties>
</file>