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90B66" w14:textId="346CB621" w:rsidR="00954DB6" w:rsidRPr="009646AD" w:rsidRDefault="009646AD" w:rsidP="009646AD">
      <w:pPr>
        <w:spacing w:before="240" w:line="360" w:lineRule="auto"/>
        <w:jc w:val="both"/>
        <w:rPr>
          <w:rFonts w:ascii="Calibri" w:hAnsi="Calibri" w:cs="Calibri"/>
        </w:rPr>
      </w:pPr>
      <w:r w:rsidRPr="009646AD">
        <w:rPr>
          <w:rFonts w:ascii="Calibri" w:hAnsi="Calibri" w:cs="Calibri"/>
        </w:rPr>
        <w:drawing>
          <wp:inline distT="0" distB="0" distL="0" distR="0" wp14:anchorId="4993D51C" wp14:editId="48DE39D7">
            <wp:extent cx="1625600" cy="596900"/>
            <wp:effectExtent l="0" t="0" r="0" b="0"/>
            <wp:docPr id="128338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81750" name=""/>
                    <pic:cNvPicPr/>
                  </pic:nvPicPr>
                  <pic:blipFill>
                    <a:blip r:embed="rId7" cstate="email">
                      <a:extLst>
                        <a:ext uri="{28A0092B-C50C-407E-A947-70E740481C1C}">
                          <a14:useLocalDpi xmlns:a14="http://schemas.microsoft.com/office/drawing/2010/main"/>
                        </a:ext>
                      </a:extLst>
                    </a:blip>
                    <a:stretch>
                      <a:fillRect/>
                    </a:stretch>
                  </pic:blipFill>
                  <pic:spPr>
                    <a:xfrm>
                      <a:off x="0" y="0"/>
                      <a:ext cx="1625600" cy="596900"/>
                    </a:xfrm>
                    <a:prstGeom prst="rect">
                      <a:avLst/>
                    </a:prstGeom>
                  </pic:spPr>
                </pic:pic>
              </a:graphicData>
            </a:graphic>
          </wp:inline>
        </w:drawing>
      </w:r>
    </w:p>
    <w:p w14:paraId="0F02A16D" w14:textId="77777777" w:rsidR="009646AD" w:rsidRPr="009646AD" w:rsidRDefault="009646AD" w:rsidP="009646AD">
      <w:pPr>
        <w:pStyle w:val="p1"/>
        <w:spacing w:before="240" w:line="360" w:lineRule="auto"/>
        <w:jc w:val="both"/>
        <w:rPr>
          <w:rFonts w:ascii="Calibri" w:hAnsi="Calibri" w:cs="Calibri"/>
          <w:b/>
          <w:bCs/>
          <w:sz w:val="24"/>
          <w:szCs w:val="24"/>
        </w:rPr>
      </w:pPr>
    </w:p>
    <w:p w14:paraId="1E4F4806" w14:textId="77777777" w:rsidR="009646AD" w:rsidRPr="009646AD" w:rsidRDefault="009646AD" w:rsidP="009646AD">
      <w:pPr>
        <w:pStyle w:val="p1"/>
        <w:spacing w:before="240" w:line="360" w:lineRule="auto"/>
        <w:jc w:val="both"/>
        <w:rPr>
          <w:rFonts w:ascii="Calibri" w:hAnsi="Calibri" w:cs="Calibri"/>
          <w:b/>
          <w:bCs/>
          <w:sz w:val="24"/>
          <w:szCs w:val="24"/>
        </w:rPr>
      </w:pPr>
    </w:p>
    <w:p w14:paraId="0192CBEE" w14:textId="77777777" w:rsidR="009646AD" w:rsidRPr="009646AD" w:rsidRDefault="009646AD" w:rsidP="009646AD">
      <w:pPr>
        <w:pStyle w:val="p1"/>
        <w:spacing w:before="240" w:line="360" w:lineRule="auto"/>
        <w:jc w:val="both"/>
        <w:rPr>
          <w:rFonts w:ascii="Calibri" w:hAnsi="Calibri" w:cs="Calibri"/>
          <w:b/>
          <w:bCs/>
          <w:sz w:val="24"/>
          <w:szCs w:val="24"/>
        </w:rPr>
      </w:pPr>
    </w:p>
    <w:p w14:paraId="3A047C9F" w14:textId="77777777" w:rsidR="009646AD" w:rsidRPr="009646AD" w:rsidRDefault="009646AD" w:rsidP="009646AD">
      <w:pPr>
        <w:pStyle w:val="p1"/>
        <w:spacing w:before="240" w:line="360" w:lineRule="auto"/>
        <w:jc w:val="both"/>
        <w:rPr>
          <w:rFonts w:ascii="Calibri" w:hAnsi="Calibri" w:cs="Calibri"/>
          <w:b/>
          <w:bCs/>
          <w:sz w:val="24"/>
          <w:szCs w:val="24"/>
        </w:rPr>
      </w:pPr>
    </w:p>
    <w:p w14:paraId="48AF2C35" w14:textId="77777777" w:rsidR="009646AD" w:rsidRPr="009646AD" w:rsidRDefault="009646AD" w:rsidP="009646AD">
      <w:pPr>
        <w:pStyle w:val="p1"/>
        <w:spacing w:before="240" w:line="360" w:lineRule="auto"/>
        <w:jc w:val="both"/>
        <w:rPr>
          <w:rFonts w:ascii="Calibri" w:hAnsi="Calibri" w:cs="Calibri"/>
          <w:b/>
          <w:bCs/>
          <w:sz w:val="24"/>
          <w:szCs w:val="24"/>
        </w:rPr>
      </w:pPr>
    </w:p>
    <w:p w14:paraId="3E759008" w14:textId="2A81D600" w:rsidR="009646AD" w:rsidRPr="009646AD" w:rsidRDefault="0099308A" w:rsidP="0099308A">
      <w:pPr>
        <w:pStyle w:val="p1"/>
        <w:spacing w:before="240" w:line="360" w:lineRule="auto"/>
        <w:jc w:val="center"/>
        <w:rPr>
          <w:rFonts w:ascii="Calibri" w:hAnsi="Calibri" w:cs="Calibri"/>
          <w:b/>
          <w:bCs/>
          <w:sz w:val="24"/>
          <w:szCs w:val="24"/>
        </w:rPr>
      </w:pPr>
      <w:r w:rsidRPr="0099308A">
        <w:rPr>
          <w:rFonts w:ascii="Calibri" w:hAnsi="Calibri" w:cs="Calibri"/>
          <w:b/>
          <w:bCs/>
          <w:sz w:val="24"/>
          <w:szCs w:val="24"/>
        </w:rPr>
        <w:drawing>
          <wp:inline distT="0" distB="0" distL="0" distR="0" wp14:anchorId="51FB7AD7" wp14:editId="31349253">
            <wp:extent cx="5731510" cy="2525395"/>
            <wp:effectExtent l="0" t="0" r="0" b="1905"/>
            <wp:docPr id="12910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305"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31510" cy="2525395"/>
                    </a:xfrm>
                    <a:prstGeom prst="rect">
                      <a:avLst/>
                    </a:prstGeom>
                  </pic:spPr>
                </pic:pic>
              </a:graphicData>
            </a:graphic>
          </wp:inline>
        </w:drawing>
      </w:r>
    </w:p>
    <w:p w14:paraId="4B566C4D" w14:textId="77777777" w:rsidR="009646AD" w:rsidRPr="009646AD" w:rsidRDefault="009646AD" w:rsidP="009646AD">
      <w:pPr>
        <w:pStyle w:val="p1"/>
        <w:spacing w:before="240" w:line="360" w:lineRule="auto"/>
        <w:jc w:val="both"/>
        <w:rPr>
          <w:rFonts w:ascii="Calibri" w:hAnsi="Calibri" w:cs="Calibri"/>
          <w:b/>
          <w:bCs/>
          <w:sz w:val="24"/>
          <w:szCs w:val="24"/>
        </w:rPr>
      </w:pPr>
    </w:p>
    <w:p w14:paraId="1C140BEF" w14:textId="77777777" w:rsidR="009646AD" w:rsidRPr="009646AD" w:rsidRDefault="009646AD" w:rsidP="009646AD">
      <w:pPr>
        <w:pStyle w:val="p1"/>
        <w:spacing w:before="240" w:line="360" w:lineRule="auto"/>
        <w:jc w:val="both"/>
        <w:rPr>
          <w:rFonts w:ascii="Calibri" w:hAnsi="Calibri" w:cs="Calibri"/>
          <w:b/>
          <w:bCs/>
          <w:sz w:val="24"/>
          <w:szCs w:val="24"/>
        </w:rPr>
      </w:pPr>
    </w:p>
    <w:p w14:paraId="3CE10A7F" w14:textId="77777777" w:rsidR="009646AD" w:rsidRPr="009646AD" w:rsidRDefault="009646AD" w:rsidP="009646AD">
      <w:pPr>
        <w:pStyle w:val="p1"/>
        <w:spacing w:before="240" w:line="360" w:lineRule="auto"/>
        <w:jc w:val="both"/>
        <w:rPr>
          <w:rFonts w:ascii="Calibri" w:hAnsi="Calibri" w:cs="Calibri"/>
          <w:b/>
          <w:bCs/>
          <w:sz w:val="24"/>
          <w:szCs w:val="24"/>
        </w:rPr>
      </w:pPr>
    </w:p>
    <w:p w14:paraId="1984B0E2" w14:textId="77777777" w:rsidR="009646AD" w:rsidRPr="009646AD" w:rsidRDefault="009646AD" w:rsidP="009646AD">
      <w:pPr>
        <w:pStyle w:val="p1"/>
        <w:spacing w:before="240" w:line="360" w:lineRule="auto"/>
        <w:jc w:val="both"/>
        <w:rPr>
          <w:rFonts w:ascii="Calibri" w:hAnsi="Calibri" w:cs="Calibri"/>
          <w:b/>
          <w:bCs/>
          <w:sz w:val="24"/>
          <w:szCs w:val="24"/>
        </w:rPr>
      </w:pPr>
    </w:p>
    <w:p w14:paraId="32D48666" w14:textId="77777777" w:rsidR="009646AD" w:rsidRPr="009646AD" w:rsidRDefault="009646AD" w:rsidP="009646AD">
      <w:pPr>
        <w:pStyle w:val="p1"/>
        <w:spacing w:before="240" w:line="360" w:lineRule="auto"/>
        <w:jc w:val="both"/>
        <w:rPr>
          <w:rFonts w:ascii="Calibri" w:hAnsi="Calibri" w:cs="Calibri"/>
          <w:b/>
          <w:bCs/>
          <w:sz w:val="24"/>
          <w:szCs w:val="24"/>
        </w:rPr>
      </w:pPr>
    </w:p>
    <w:p w14:paraId="7CC39033" w14:textId="77777777" w:rsidR="009646AD" w:rsidRPr="009646AD" w:rsidRDefault="009646AD" w:rsidP="009646AD">
      <w:pPr>
        <w:pStyle w:val="p1"/>
        <w:spacing w:before="240" w:line="360" w:lineRule="auto"/>
        <w:jc w:val="both"/>
        <w:rPr>
          <w:rFonts w:ascii="Calibri" w:hAnsi="Calibri" w:cs="Calibri"/>
          <w:b/>
          <w:bCs/>
          <w:sz w:val="24"/>
          <w:szCs w:val="24"/>
        </w:rPr>
      </w:pPr>
    </w:p>
    <w:p w14:paraId="167AF254" w14:textId="05AF3D83" w:rsidR="009646AD" w:rsidRPr="009646AD" w:rsidRDefault="009646AD" w:rsidP="009646AD">
      <w:pPr>
        <w:spacing w:before="240" w:line="360" w:lineRule="auto"/>
        <w:jc w:val="both"/>
        <w:rPr>
          <w:rFonts w:ascii="Calibri" w:hAnsi="Calibri" w:cs="Calibri"/>
          <w:b/>
          <w:bCs/>
          <w:i/>
          <w:iCs/>
        </w:rPr>
      </w:pPr>
      <w:r w:rsidRPr="009646AD">
        <w:rPr>
          <w:rFonts w:ascii="Calibri" w:hAnsi="Calibri" w:cs="Calibri"/>
          <w:b/>
          <w:bCs/>
          <w:i/>
          <w:iCs/>
        </w:rPr>
        <w:br w:type="page"/>
      </w:r>
    </w:p>
    <w:sdt>
      <w:sdtPr>
        <w:rPr>
          <w:rFonts w:ascii="Calibri" w:hAnsi="Calibri" w:cs="Calibri"/>
          <w:sz w:val="24"/>
          <w:szCs w:val="24"/>
        </w:rPr>
        <w:id w:val="303814904"/>
        <w:docPartObj>
          <w:docPartGallery w:val="Table of Contents"/>
          <w:docPartUnique/>
        </w:docPartObj>
      </w:sdtPr>
      <w:sdtEndPr>
        <w:rPr>
          <w:rFonts w:eastAsiaTheme="minorHAnsi"/>
          <w:noProof/>
          <w:color w:val="auto"/>
          <w:kern w:val="2"/>
          <w:lang w:val="en-GB"/>
          <w14:ligatures w14:val="standardContextual"/>
        </w:rPr>
      </w:sdtEndPr>
      <w:sdtContent>
        <w:p w14:paraId="7C82633A" w14:textId="33545C47" w:rsidR="009646AD" w:rsidRDefault="009646AD" w:rsidP="009646AD">
          <w:pPr>
            <w:pStyle w:val="TOCHeading"/>
            <w:spacing w:before="240" w:line="360" w:lineRule="auto"/>
            <w:jc w:val="both"/>
          </w:pPr>
          <w:r w:rsidRPr="009646AD">
            <w:rPr>
              <w:rFonts w:ascii="Calibri" w:hAnsi="Calibri" w:cs="Calibri"/>
              <w:sz w:val="24"/>
              <w:szCs w:val="24"/>
            </w:rPr>
            <w:drawing>
              <wp:inline distT="0" distB="0" distL="0" distR="0" wp14:anchorId="4664D686" wp14:editId="5FF0BAA1">
                <wp:extent cx="5731510" cy="2877185"/>
                <wp:effectExtent l="0" t="0" r="0" b="5715"/>
                <wp:docPr id="2010150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50049"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2877185"/>
                        </a:xfrm>
                        <a:prstGeom prst="rect">
                          <a:avLst/>
                        </a:prstGeom>
                      </pic:spPr>
                    </pic:pic>
                  </a:graphicData>
                </a:graphic>
              </wp:inline>
            </w:drawing>
          </w:r>
        </w:p>
        <w:p w14:paraId="3125B2EA" w14:textId="6B063F41" w:rsidR="009646AD" w:rsidRPr="009646AD" w:rsidRDefault="009646AD" w:rsidP="009646AD">
          <w:pPr>
            <w:spacing w:before="240" w:line="360" w:lineRule="auto"/>
            <w:jc w:val="both"/>
            <w:rPr>
              <w:rFonts w:ascii="Calibri" w:hAnsi="Calibri" w:cs="Calibri"/>
            </w:rPr>
          </w:pPr>
        </w:p>
      </w:sdtContent>
    </w:sdt>
    <w:p w14:paraId="2ED77886" w14:textId="0A819E5F" w:rsidR="009646AD" w:rsidRPr="009646AD" w:rsidRDefault="009646AD" w:rsidP="009646AD">
      <w:pPr>
        <w:spacing w:before="240" w:line="360" w:lineRule="auto"/>
        <w:jc w:val="both"/>
        <w:rPr>
          <w:rFonts w:ascii="Calibri" w:hAnsi="Calibri" w:cs="Calibri"/>
        </w:rPr>
      </w:pPr>
      <w:r w:rsidRPr="009646AD">
        <w:rPr>
          <w:rFonts w:ascii="Calibri" w:hAnsi="Calibri" w:cs="Calibri"/>
        </w:rPr>
        <w:br w:type="page"/>
      </w:r>
    </w:p>
    <w:p w14:paraId="1CC15C98" w14:textId="77777777" w:rsidR="009646AD" w:rsidRPr="0099308A" w:rsidRDefault="009646AD" w:rsidP="009646AD">
      <w:pPr>
        <w:pStyle w:val="Heading1"/>
        <w:spacing w:before="240" w:line="360" w:lineRule="auto"/>
        <w:jc w:val="both"/>
        <w:rPr>
          <w:rFonts w:ascii="Calibri" w:hAnsi="Calibri" w:cs="Calibri"/>
          <w:b/>
          <w:bCs/>
          <w:sz w:val="32"/>
          <w:szCs w:val="32"/>
          <w:lang w:val="en-PK"/>
        </w:rPr>
      </w:pPr>
      <w:bookmarkStart w:id="0" w:name="_Toc227340534"/>
      <w:r w:rsidRPr="0099308A">
        <w:rPr>
          <w:rFonts w:ascii="Calibri" w:hAnsi="Calibri" w:cs="Calibri"/>
          <w:b/>
          <w:bCs/>
          <w:sz w:val="32"/>
          <w:szCs w:val="32"/>
          <w:lang w:val="en-PK"/>
        </w:rPr>
        <w:lastRenderedPageBreak/>
        <w:t>Executive Summary</w:t>
      </w:r>
      <w:bookmarkEnd w:id="0"/>
    </w:p>
    <w:p w14:paraId="63196734"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worldwide automotive market is in the process of a dramatic change that is propelled by the electrification, digitalization, sustainability demands, and the changing consumer experience. Lotus Cars UK, which has traditionally been a niche manufacturer of British sports cars, is now re-branding to become a luxury brand of electric vehicles (EV) on a global scale. It is a report where the strategic analysis of Lotus is taken into consideration in terms of both its external environment and internal environment, its current performance, as well as its strategic direction in the long run.</w:t>
      </w:r>
    </w:p>
    <w:p w14:paraId="53AD79F7" w14:textId="0250E24A" w:rsidR="0099308A" w:rsidRPr="009646AD" w:rsidRDefault="0099308A" w:rsidP="009646AD">
      <w:pPr>
        <w:spacing w:before="240" w:line="360" w:lineRule="auto"/>
        <w:jc w:val="both"/>
        <w:rPr>
          <w:rFonts w:ascii="Calibri" w:hAnsi="Calibri" w:cs="Calibri"/>
          <w:lang w:val="en-PK"/>
        </w:rPr>
      </w:pPr>
      <w:r>
        <w:fldChar w:fldCharType="begin"/>
      </w:r>
      <w:r>
        <w:instrText xml:space="preserve"> INCLUDEPICTURE "https://images.openai.com/static-rsc-4/UqXFATza1d7iOMmohkUPgoEEHrcopx6bDSm1Fjfqr2aNFxPdAjnEn8eykZpNQQvK8KuOJltrHaLVEbmMW3tRyI6KCIubewO8XirfZV2WeWSp1Kyzq3K11-ClURyu3Z4YXulV3dQ5Myz68nTayQ0k0BY5LbzM8M1ZKzVz865g8Vo?purpose=inline" \* MERGEFORMATINET </w:instrText>
      </w:r>
      <w:r>
        <w:fldChar w:fldCharType="separate"/>
      </w:r>
      <w:r>
        <w:rPr>
          <w:noProof/>
        </w:rPr>
        <w:drawing>
          <wp:inline distT="0" distB="0" distL="0" distR="0" wp14:anchorId="2DA708B9" wp14:editId="2CA563C1">
            <wp:extent cx="5731510" cy="3794760"/>
            <wp:effectExtent l="0" t="0" r="0" b="2540"/>
            <wp:docPr id="55882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5731510" cy="3794760"/>
                    </a:xfrm>
                    <a:prstGeom prst="rect">
                      <a:avLst/>
                    </a:prstGeom>
                    <a:noFill/>
                    <a:ln>
                      <a:noFill/>
                    </a:ln>
                  </pic:spPr>
                </pic:pic>
              </a:graphicData>
            </a:graphic>
          </wp:inline>
        </w:drawing>
      </w:r>
      <w:r>
        <w:fldChar w:fldCharType="end"/>
      </w:r>
    </w:p>
    <w:p w14:paraId="6099241C"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discussion shows that Lotus enjoys good brand equity, engineering prowess and financial support by Geely that helps it to expand internationally. Nevertheless, the company is not deprived of such problems as the shrinking of revenues, decreased vehicle sales, and the growing competition with the well-established EV manufacturers. The need to adapt strategically is further enhanced by external forces such as regulatory pressures and technological innovations.</w:t>
      </w:r>
    </w:p>
    <w:p w14:paraId="6E0B276D"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lastRenderedPageBreak/>
        <w:t>The report elaborates and analyses three strategic alternatives: full expansion of electrification, diversification into hybrids and globalisation of manufacturing. Upon critical analysis, the hybrid diversification strategy and the selective localisation are suggested to be the most appropriate option. The approach will allow Lotus to navigate between innovative initiatives and risk mitigation, meet the needs of a wide range of consumers, and improve its efficiency.</w:t>
      </w:r>
    </w:p>
    <w:p w14:paraId="09AAD97C" w14:textId="59545CAC"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report finds that with such a strategy and investing in research and development, strategic alliances, and repositioning, the Lotus can be able to consolidate its competitive stance and realize sustainable growth in a fast changing automotive market.</w:t>
      </w:r>
    </w:p>
    <w:p w14:paraId="7A66179A" w14:textId="77777777" w:rsidR="009646AD" w:rsidRPr="0099308A" w:rsidRDefault="009646AD" w:rsidP="009646AD">
      <w:pPr>
        <w:pStyle w:val="Heading1"/>
        <w:spacing w:before="240" w:line="360" w:lineRule="auto"/>
        <w:jc w:val="both"/>
        <w:rPr>
          <w:rFonts w:ascii="Calibri" w:hAnsi="Calibri" w:cs="Calibri"/>
          <w:b/>
          <w:bCs/>
          <w:sz w:val="32"/>
          <w:szCs w:val="32"/>
          <w:lang w:val="en-PK"/>
        </w:rPr>
      </w:pPr>
      <w:bookmarkStart w:id="1" w:name="_Toc227340535"/>
      <w:r w:rsidRPr="0099308A">
        <w:rPr>
          <w:rFonts w:ascii="Calibri" w:hAnsi="Calibri" w:cs="Calibri"/>
          <w:b/>
          <w:bCs/>
          <w:sz w:val="32"/>
          <w:szCs w:val="32"/>
          <w:lang w:val="en-PK"/>
        </w:rPr>
        <w:t>1. Introduction</w:t>
      </w:r>
      <w:bookmarkEnd w:id="1"/>
    </w:p>
    <w:p w14:paraId="39A45992"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Strategic management is a process that entails the systematic analysis of both the internal and external environment of an organisation, the development of strategies, as well as implementation of decisions that help organisations to realise long-term goals. Strategic management is critical in dynamic industries like the automotive manufacturing industry in adjusting to the technology discontinuity, regulatory forces and fluctuating consumer behaviour. It helps companies discover opportunities, address risks, and sustain a competitive edge in more intricate markets (Johnson et al., 2023).</w:t>
      </w:r>
    </w:p>
    <w:p w14:paraId="2323077F" w14:textId="53D7FFE8" w:rsidR="0099308A" w:rsidRPr="009646AD" w:rsidRDefault="0099308A" w:rsidP="009646AD">
      <w:pPr>
        <w:spacing w:before="240" w:line="360" w:lineRule="auto"/>
        <w:jc w:val="both"/>
        <w:rPr>
          <w:rFonts w:ascii="Calibri" w:hAnsi="Calibri" w:cs="Calibri"/>
          <w:lang w:val="en-PK"/>
        </w:rPr>
      </w:pPr>
      <w:r>
        <w:lastRenderedPageBreak/>
        <w:fldChar w:fldCharType="begin"/>
      </w:r>
      <w:r>
        <w:instrText xml:space="preserve"> INCLUDEPICTURE "https://images.openai.com/static-rsc-4/UrNiFQ1BEB4WL1JbJZgKjrNd56ZhlcZ7Ll8yCBq3t5PKNbryd8jddJ1ArgnF9I0UEwX-Ig7LkmeAzhP4ta4DTGMo0GjG1HAECC3VhCaRbKm6eaxi5fS7S4U7qgBmYrMmRNwyxF3JzADV2xtUuwqzvg_lnHe7JVOy_Y75Kme9cfNxGIEEHRukaNze6IiCYoJH?purpose=inline" \* MERGEFORMATINET </w:instrText>
      </w:r>
      <w:r>
        <w:fldChar w:fldCharType="separate"/>
      </w:r>
      <w:r>
        <w:rPr>
          <w:noProof/>
        </w:rPr>
        <w:drawing>
          <wp:inline distT="0" distB="0" distL="0" distR="0" wp14:anchorId="2136D763" wp14:editId="517C67C2">
            <wp:extent cx="5731510" cy="3819525"/>
            <wp:effectExtent l="0" t="0" r="0" b="3175"/>
            <wp:docPr id="748173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710CFBCB"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significance of strategic management is especially pronounced in the auto industry, where the issues of electrification, digital transformation, and sustainability are redefining conventional business models. Innovations, operational effectiveness, and customer-centric strategies have become a must to organisations in order to stay competitive. Resource allocation, organisational alignment and performance improvement are also supported by strategic planning.</w:t>
      </w:r>
    </w:p>
    <w:p w14:paraId="09F746D7" w14:textId="2A5BB238" w:rsidR="009646AD" w:rsidRPr="0099308A" w:rsidRDefault="009646AD" w:rsidP="009646AD">
      <w:pPr>
        <w:spacing w:before="240" w:line="360" w:lineRule="auto"/>
        <w:jc w:val="both"/>
        <w:rPr>
          <w:rFonts w:ascii="Calibri" w:hAnsi="Calibri" w:cs="Calibri"/>
          <w:b/>
          <w:bCs/>
          <w:sz w:val="32"/>
          <w:szCs w:val="32"/>
          <w:lang w:val="en-PK"/>
        </w:rPr>
      </w:pPr>
      <w:r w:rsidRPr="009646AD">
        <w:rPr>
          <w:rFonts w:ascii="Calibri" w:hAnsi="Calibri" w:cs="Calibri"/>
          <w:lang w:val="en-PK"/>
        </w:rPr>
        <w:t>This report is based on the need to come up with a strategy formulation plan of Lotus Cars UK. The report analyses the strategic position of the company by examining its external and internal environment, its current performance, and provides strategic options. The report is divided into a number of sections, the company overview, the strategic intent, the performance evaluation, the environmental analysis, the strategy formulation, and the conclusion with recommendations.</w:t>
      </w:r>
    </w:p>
    <w:p w14:paraId="6E655CA7" w14:textId="77777777" w:rsidR="009646AD" w:rsidRPr="0099308A" w:rsidRDefault="009646AD" w:rsidP="009646AD">
      <w:pPr>
        <w:pStyle w:val="Heading1"/>
        <w:spacing w:before="240" w:line="360" w:lineRule="auto"/>
        <w:jc w:val="both"/>
        <w:rPr>
          <w:rFonts w:ascii="Calibri" w:hAnsi="Calibri" w:cs="Calibri"/>
          <w:b/>
          <w:bCs/>
          <w:sz w:val="32"/>
          <w:szCs w:val="32"/>
          <w:lang w:val="en-PK"/>
        </w:rPr>
      </w:pPr>
      <w:bookmarkStart w:id="2" w:name="_Toc227340536"/>
      <w:r w:rsidRPr="0099308A">
        <w:rPr>
          <w:rFonts w:ascii="Calibri" w:hAnsi="Calibri" w:cs="Calibri"/>
          <w:b/>
          <w:bCs/>
          <w:sz w:val="32"/>
          <w:szCs w:val="32"/>
          <w:lang w:val="en-PK"/>
        </w:rPr>
        <w:t>2. Overview / Background of Lotus Cars UK.</w:t>
      </w:r>
      <w:bookmarkEnd w:id="2"/>
    </w:p>
    <w:p w14:paraId="41A05580"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Lotus cars is a British automaker company that was established in 1952 and its headquarters are in Hethel, Norfolk. Historically, the company has been specialising in lightweight, high-</w:t>
      </w:r>
      <w:r w:rsidRPr="009646AD">
        <w:rPr>
          <w:rFonts w:ascii="Calibri" w:hAnsi="Calibri" w:cs="Calibri"/>
          <w:lang w:val="en-PK"/>
        </w:rPr>
        <w:lastRenderedPageBreak/>
        <w:t>performance sports cars, with the company worldwide known on its engineering excellence and motorsport heritage. Over the past few years, Lotus has experienced a strategic shift towards repositioning as a luxury car brand with an electric global brand (Lotus Cars, 2025).</w:t>
      </w:r>
    </w:p>
    <w:p w14:paraId="1B865E99" w14:textId="236C7B44" w:rsidR="0099308A" w:rsidRPr="009646AD" w:rsidRDefault="0099308A" w:rsidP="009646AD">
      <w:pPr>
        <w:spacing w:before="240" w:line="360" w:lineRule="auto"/>
        <w:jc w:val="both"/>
        <w:rPr>
          <w:rFonts w:ascii="Calibri" w:hAnsi="Calibri" w:cs="Calibri"/>
          <w:lang w:val="en-PK"/>
        </w:rPr>
      </w:pPr>
      <w:r>
        <w:fldChar w:fldCharType="begin"/>
      </w:r>
      <w:r>
        <w:instrText xml:space="preserve"> INCLUDEPICTURE "https://images.openai.com/static-rsc-4/v2GCngyiGMzjLXN8ZdJVV7aOPUv6jNi_08iBDA_lzn2zacUWKEsnHQS2JEgairD6vaTJe6XMeOyvXqzyLYvJLyLG7GKkxTnzjt3Br46rHNiqszXA7J7qhgOZYYAmdDELaXUiOSPPuW5bUpF13coo57C3B5StGvA_LX-OU5K73sA?purpose=inline" \* MERGEFORMATINET </w:instrText>
      </w:r>
      <w:r>
        <w:fldChar w:fldCharType="separate"/>
      </w:r>
      <w:r>
        <w:rPr>
          <w:noProof/>
        </w:rPr>
        <w:drawing>
          <wp:inline distT="0" distB="0" distL="0" distR="0" wp14:anchorId="73255341" wp14:editId="18DF819F">
            <wp:extent cx="5731510" cy="3814445"/>
            <wp:effectExtent l="0" t="0" r="0" b="0"/>
            <wp:docPr id="940599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731510" cy="3814445"/>
                    </a:xfrm>
                    <a:prstGeom prst="rect">
                      <a:avLst/>
                    </a:prstGeom>
                    <a:noFill/>
                    <a:ln>
                      <a:noFill/>
                    </a:ln>
                  </pic:spPr>
                </pic:pic>
              </a:graphicData>
            </a:graphic>
          </wp:inline>
        </w:drawing>
      </w:r>
      <w:r>
        <w:fldChar w:fldCharType="end"/>
      </w:r>
    </w:p>
    <w:p w14:paraId="3EFCD974"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company is owned by Geely Holding Group which is a Chinese multinational automotive conglomerate. This form of ownership has helped Lotus to tap into huge financial resources, superior technologies, and the international market opportunities. Consequently, the firm has diversified its products by launching electric SUVs and luxury EVs like the Eletre and Emeya (Reuters, 2025).</w:t>
      </w:r>
    </w:p>
    <w:p w14:paraId="052F1BB3"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Lotus has a presence in various foreign markets such as Europe, China and North America. It has changed its target market to a wider luxury clientele with a high-performance electric car demand instead of niche sports car enthusiasts. This change is in line with the global trends in terms of electrification and sustainability and the growing demand of high-end EVs.</w:t>
      </w:r>
    </w:p>
    <w:p w14:paraId="52EC5750" w14:textId="619332BC" w:rsidR="009646AD" w:rsidRPr="0099308A" w:rsidRDefault="009646AD" w:rsidP="009646AD">
      <w:pPr>
        <w:spacing w:before="240" w:line="360" w:lineRule="auto"/>
        <w:jc w:val="both"/>
        <w:rPr>
          <w:rFonts w:ascii="Calibri" w:hAnsi="Calibri" w:cs="Calibri"/>
          <w:b/>
          <w:bCs/>
          <w:sz w:val="32"/>
          <w:szCs w:val="32"/>
          <w:lang w:val="en-PK"/>
        </w:rPr>
      </w:pPr>
      <w:r w:rsidRPr="009646AD">
        <w:rPr>
          <w:rFonts w:ascii="Calibri" w:hAnsi="Calibri" w:cs="Calibri"/>
          <w:lang w:val="en-PK"/>
        </w:rPr>
        <w:t>Although it is strategically developing, Lotus is faced with the challenges of scaling production, brand identity, and competition with the established automotive manufacturers. All these necessitate the existence of a strong strategic framework to inform its future growth.</w:t>
      </w:r>
    </w:p>
    <w:p w14:paraId="041B5EAE" w14:textId="3A59C199" w:rsidR="0099308A" w:rsidRPr="009646AD" w:rsidRDefault="0099308A" w:rsidP="009646AD">
      <w:pPr>
        <w:spacing w:before="240" w:line="360" w:lineRule="auto"/>
        <w:jc w:val="both"/>
        <w:rPr>
          <w:rFonts w:ascii="Calibri" w:hAnsi="Calibri" w:cs="Calibri"/>
          <w:lang w:val="en-PK"/>
        </w:rPr>
      </w:pPr>
      <w:r>
        <w:lastRenderedPageBreak/>
        <w:fldChar w:fldCharType="begin"/>
      </w:r>
      <w:r>
        <w:instrText xml:space="preserve"> INCLUDEPICTURE "https://images.openai.com/static-rsc-4/6EAY4kVd6A0WVE5i4s4C7e09cno8Kwkrk_KBbe6aaxpfHrhBKCSZdcixGAO3-o5FhZACzDRKKXJJl7fyxcxTlDJaILzYJLIKCrLLIRpKTxlAxhGXJ9f1ErDRY0KYJ3Av5mnI8qYzDv6mcAHle3a-9JGsd8W3lNgKRIm-Vm9QBCM?purpose=inline" \* MERGEFORMATINET </w:instrText>
      </w:r>
      <w:r>
        <w:fldChar w:fldCharType="separate"/>
      </w:r>
      <w:r>
        <w:rPr>
          <w:noProof/>
        </w:rPr>
        <w:drawing>
          <wp:inline distT="0" distB="0" distL="0" distR="0" wp14:anchorId="4FEA8562" wp14:editId="6DD7628D">
            <wp:extent cx="5731510" cy="4295775"/>
            <wp:effectExtent l="0" t="0" r="0" b="0"/>
            <wp:docPr id="19963625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5731510" cy="4295775"/>
                    </a:xfrm>
                    <a:prstGeom prst="rect">
                      <a:avLst/>
                    </a:prstGeom>
                    <a:noFill/>
                    <a:ln>
                      <a:noFill/>
                    </a:ln>
                  </pic:spPr>
                </pic:pic>
              </a:graphicData>
            </a:graphic>
          </wp:inline>
        </w:drawing>
      </w:r>
      <w:r>
        <w:fldChar w:fldCharType="end"/>
      </w:r>
    </w:p>
    <w:p w14:paraId="4FDE757F" w14:textId="77777777" w:rsidR="009646AD" w:rsidRPr="0099308A" w:rsidRDefault="009646AD" w:rsidP="009646AD">
      <w:pPr>
        <w:pStyle w:val="Heading1"/>
        <w:spacing w:before="240" w:line="360" w:lineRule="auto"/>
        <w:jc w:val="both"/>
        <w:rPr>
          <w:rFonts w:ascii="Calibri" w:hAnsi="Calibri" w:cs="Calibri"/>
          <w:b/>
          <w:bCs/>
          <w:sz w:val="32"/>
          <w:szCs w:val="32"/>
          <w:lang w:val="en-PK"/>
        </w:rPr>
      </w:pPr>
      <w:bookmarkStart w:id="3" w:name="_Toc227340537"/>
      <w:r w:rsidRPr="0099308A">
        <w:rPr>
          <w:rFonts w:ascii="Calibri" w:hAnsi="Calibri" w:cs="Calibri"/>
          <w:b/>
          <w:bCs/>
          <w:sz w:val="32"/>
          <w:szCs w:val="32"/>
          <w:lang w:val="en-PK"/>
        </w:rPr>
        <w:t>3. Strategic Intent</w:t>
      </w:r>
      <w:bookmarkEnd w:id="3"/>
    </w:p>
    <w:p w14:paraId="244E7662"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strategic intent of Lotus is an expression of its aspiration to become an electric mobility global leader in luxury. The vision of the company is to develop high performance and innovative vehicles that are sustainable and highly technological. Its mission is to provide the best customer experience by using engineering excellence, digital innovation, and environmental responsibility.</w:t>
      </w:r>
    </w:p>
    <w:p w14:paraId="712060FE"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strategic goals of the company involve its expansion in electric vehicles, growth in global market share, enhancement of its financial performance, and brand positioning within the luxury segment. Lotus is also striving to incorporate the latest technologies like artificial intelligence, connectivity, and automated driving features into its cars (McKinsey, 2023).</w:t>
      </w:r>
    </w:p>
    <w:p w14:paraId="0235F6D9"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The other important goal is to have operational efficiency and cost optimisation by improving the supply chain and enabling production scalability. Sustainability is the other area that Lotus </w:t>
      </w:r>
      <w:r w:rsidRPr="009646AD">
        <w:rPr>
          <w:rFonts w:ascii="Calibri" w:hAnsi="Calibri" w:cs="Calibri"/>
          <w:lang w:val="en-PK"/>
        </w:rPr>
        <w:lastRenderedPageBreak/>
        <w:t>is targeting, such as cutting carbon emissions and engaging in manufacturing processes that are friendly to the environment.</w:t>
      </w:r>
    </w:p>
    <w:p w14:paraId="56E15455" w14:textId="1E1358CD" w:rsidR="0099308A" w:rsidRPr="009646AD" w:rsidRDefault="0099308A" w:rsidP="009646AD">
      <w:pPr>
        <w:spacing w:before="240" w:line="360" w:lineRule="auto"/>
        <w:jc w:val="both"/>
        <w:rPr>
          <w:rFonts w:ascii="Calibri" w:hAnsi="Calibri" w:cs="Calibri"/>
          <w:lang w:val="en-PK"/>
        </w:rPr>
      </w:pPr>
      <w:r>
        <w:fldChar w:fldCharType="begin"/>
      </w:r>
      <w:r>
        <w:instrText xml:space="preserve"> INCLUDEPICTURE "https://images.openai.com/static-rsc-4/9dREdl7P9QjuB1MJPEGFxA2k3aC3iSD0pCTU5yxjRNPGv5DpQs2qEi1bWxC8mxA-RQg5TWMFMZJ6YXMVY61IlMknbhTSoQRwsiRrbvjYXe2slbK54_E5gI8YFNpgL4XsyCS6X8SrEkn-OLGgARUo3GonH1-Pe3QohQtQp49caql2ZLsD-_zasq8-TsgMaopa?purpose=inline" \* MERGEFORMATINET </w:instrText>
      </w:r>
      <w:r>
        <w:fldChar w:fldCharType="separate"/>
      </w:r>
      <w:r>
        <w:rPr>
          <w:noProof/>
        </w:rPr>
        <w:drawing>
          <wp:inline distT="0" distB="0" distL="0" distR="0" wp14:anchorId="0B02E5E4" wp14:editId="2DE72E14">
            <wp:extent cx="5731510" cy="4296410"/>
            <wp:effectExtent l="0" t="0" r="0" b="0"/>
            <wp:docPr id="12997431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5731510" cy="4296410"/>
                    </a:xfrm>
                    <a:prstGeom prst="rect">
                      <a:avLst/>
                    </a:prstGeom>
                    <a:noFill/>
                    <a:ln>
                      <a:noFill/>
                    </a:ln>
                  </pic:spPr>
                </pic:pic>
              </a:graphicData>
            </a:graphic>
          </wp:inline>
        </w:drawing>
      </w:r>
      <w:r>
        <w:fldChar w:fldCharType="end"/>
      </w:r>
    </w:p>
    <w:p w14:paraId="6B4B9EFF"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These strategic objectives are in line with the industry trends and regulatory demands. But to attain them, proper strategy execution, resource utilization and constant innovation are needed.</w:t>
      </w:r>
    </w:p>
    <w:p w14:paraId="71762174" w14:textId="77777777" w:rsidR="009646AD" w:rsidRPr="0099308A" w:rsidRDefault="009646AD" w:rsidP="009646AD">
      <w:pPr>
        <w:pStyle w:val="Heading1"/>
        <w:spacing w:before="240" w:line="360" w:lineRule="auto"/>
        <w:jc w:val="both"/>
        <w:rPr>
          <w:rFonts w:ascii="Calibri" w:hAnsi="Calibri" w:cs="Calibri"/>
          <w:b/>
          <w:bCs/>
          <w:sz w:val="32"/>
          <w:szCs w:val="32"/>
          <w:lang w:val="en-PK"/>
        </w:rPr>
      </w:pPr>
      <w:bookmarkStart w:id="4" w:name="_Toc227340538"/>
      <w:r w:rsidRPr="0099308A">
        <w:rPr>
          <w:rFonts w:ascii="Calibri" w:hAnsi="Calibri" w:cs="Calibri"/>
          <w:b/>
          <w:bCs/>
          <w:sz w:val="32"/>
          <w:szCs w:val="32"/>
          <w:lang w:val="en-PK"/>
        </w:rPr>
        <w:t>4. Current Performance</w:t>
      </w:r>
      <w:bookmarkEnd w:id="4"/>
    </w:p>
    <w:p w14:paraId="1535D318" w14:textId="4172F036"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performance of Lotus at present reflects the transformation that it is undergoing and the difficulties that are involved. On a financial front, the company has been facing a drop in revenues, with the total revenues of the company being estimated at about 519 million in 2025. This downturn signifies the challenges in ensuring the steady sales when switching to electric cars (GlobeNewswire, 2026).</w:t>
      </w:r>
    </w:p>
    <w:p w14:paraId="7D4E216A" w14:textId="3A84904B" w:rsidR="0099308A" w:rsidRPr="009646AD" w:rsidRDefault="0099308A" w:rsidP="009646AD">
      <w:pPr>
        <w:spacing w:before="240" w:line="360" w:lineRule="auto"/>
        <w:jc w:val="both"/>
        <w:rPr>
          <w:rFonts w:ascii="Calibri" w:hAnsi="Calibri" w:cs="Calibri"/>
          <w:lang w:val="en-PK"/>
        </w:rPr>
      </w:pPr>
      <w:r>
        <w:lastRenderedPageBreak/>
        <w:fldChar w:fldCharType="begin"/>
      </w:r>
      <w:r>
        <w:instrText xml:space="preserve"> INCLUDEPICTURE "https://images.openai.com/static-rsc-4/TjGsAEmCRcLh2cco9_1zaFq0lcXqkbUj9AEhmG0wchRdJotvHG35NJogHVrdWTTN5xkRwb6IafKg5lRm_1J3bWQGsyXNc8BDCcgBvRzE4FoUeLfIfrGSmtdnmK6sOGq4-Wde1WdPIXN8FSASues-sKTKZKDkbKHT3y6dlmGeyvA?purpose=inline" \* MERGEFORMATINET </w:instrText>
      </w:r>
      <w:r>
        <w:fldChar w:fldCharType="separate"/>
      </w:r>
      <w:r>
        <w:rPr>
          <w:noProof/>
        </w:rPr>
        <w:drawing>
          <wp:inline distT="0" distB="0" distL="0" distR="0" wp14:anchorId="0769546A" wp14:editId="727C842A">
            <wp:extent cx="5731510" cy="3222625"/>
            <wp:effectExtent l="0" t="0" r="0" b="3175"/>
            <wp:docPr id="7414150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5731510" cy="3222625"/>
                    </a:xfrm>
                    <a:prstGeom prst="rect">
                      <a:avLst/>
                    </a:prstGeom>
                    <a:noFill/>
                    <a:ln>
                      <a:noFill/>
                    </a:ln>
                  </pic:spPr>
                </pic:pic>
              </a:graphicData>
            </a:graphic>
          </wp:inline>
        </w:drawing>
      </w:r>
      <w:r>
        <w:fldChar w:fldCharType="end"/>
      </w:r>
    </w:p>
    <w:p w14:paraId="4CEFF78A"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vehicle deliveries have also been reduced considerably, as they were about 11,984 units in 2024, and 6,520 units in 2025. This decrease points out to market demand challenges, supply chain issues, and production capacity (Reuters, 2025). Nonetheless, the firm has been doing well in its gross margin, which rose to approximately 9, signaling improved pricing policies and efficiency.</w:t>
      </w:r>
    </w:p>
    <w:p w14:paraId="2CF84F56"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Lotus has also engaged in restructuring efforts such as downsizing, and cost reduction efforts to enhance the financial performance. Although these measures have minimised operating losses, it is also a sign of instability in the organisation and more refinement of strategies is to be done.</w:t>
      </w:r>
    </w:p>
    <w:p w14:paraId="565C3756" w14:textId="5D3DC182"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On the bright side, the company has managed to introduce new electric models and increase its international presence. These innovations reveal its dedication to innovation and market growth. Nevertheless, the general performance indicates that Lotus continues to be in its transitional stage and it needs to have a more strategic approach to attain long-term sustainability.</w:t>
      </w:r>
    </w:p>
    <w:p w14:paraId="2AC3C3EC" w14:textId="3B6AA544" w:rsidR="009646AD" w:rsidRPr="0099308A" w:rsidRDefault="009646AD" w:rsidP="009646AD">
      <w:pPr>
        <w:pStyle w:val="Heading1"/>
        <w:spacing w:before="240" w:line="360" w:lineRule="auto"/>
        <w:jc w:val="both"/>
        <w:rPr>
          <w:rFonts w:ascii="Calibri" w:hAnsi="Calibri" w:cs="Calibri"/>
          <w:b/>
          <w:bCs/>
          <w:sz w:val="32"/>
          <w:szCs w:val="32"/>
          <w:lang w:val="en-PK"/>
        </w:rPr>
      </w:pPr>
      <w:bookmarkStart w:id="5" w:name="_Toc227340539"/>
      <w:r w:rsidRPr="0099308A">
        <w:rPr>
          <w:rFonts w:ascii="Calibri" w:hAnsi="Calibri" w:cs="Calibri"/>
          <w:b/>
          <w:bCs/>
          <w:sz w:val="32"/>
          <w:szCs w:val="32"/>
          <w:lang w:val="en-PK"/>
        </w:rPr>
        <w:t>5. Strategy Analysis</w:t>
      </w:r>
      <w:bookmarkEnd w:id="5"/>
      <w:r w:rsidRPr="0099308A">
        <w:rPr>
          <w:rFonts w:ascii="Calibri" w:hAnsi="Calibri" w:cs="Calibri"/>
          <w:b/>
          <w:bCs/>
          <w:sz w:val="32"/>
          <w:szCs w:val="32"/>
          <w:lang w:val="en-PK"/>
        </w:rPr>
        <w:t xml:space="preserve"> </w:t>
      </w:r>
    </w:p>
    <w:p w14:paraId="333FFADE" w14:textId="77777777" w:rsidR="009646AD" w:rsidRPr="009646AD" w:rsidRDefault="009646AD" w:rsidP="009646AD">
      <w:pPr>
        <w:spacing w:before="240" w:line="360" w:lineRule="auto"/>
        <w:jc w:val="both"/>
        <w:rPr>
          <w:rFonts w:ascii="Calibri" w:hAnsi="Calibri" w:cs="Calibri"/>
          <w:b/>
          <w:bCs/>
          <w:lang w:val="en-PK"/>
        </w:rPr>
      </w:pPr>
      <w:r w:rsidRPr="009646AD">
        <w:rPr>
          <w:rFonts w:ascii="Calibri" w:hAnsi="Calibri" w:cs="Calibri"/>
          <w:b/>
          <w:bCs/>
          <w:lang w:val="en-PK"/>
        </w:rPr>
        <w:t>5.1 External Environmental Analysis (PESTEL)</w:t>
      </w:r>
    </w:p>
    <w:p w14:paraId="3887F116"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lastRenderedPageBreak/>
        <w:t>Strategic decisions of Lotus are greatly affected by the external environment. Politically, the policies of government in support of electric vehicles and carbon neutrality open growth opportunities. Nevertheless, international trade and tariffs, especially between key markets, are a problem to international operations (The Guardian, 2025).</w:t>
      </w:r>
    </w:p>
    <w:p w14:paraId="45EA70D0" w14:textId="66553109" w:rsidR="0099308A" w:rsidRPr="009646AD" w:rsidRDefault="0099308A" w:rsidP="009646AD">
      <w:pPr>
        <w:spacing w:before="240" w:line="360" w:lineRule="auto"/>
        <w:jc w:val="both"/>
        <w:rPr>
          <w:rFonts w:ascii="Calibri" w:hAnsi="Calibri" w:cs="Calibri"/>
          <w:lang w:val="en-PK"/>
        </w:rPr>
      </w:pPr>
      <w:r>
        <w:fldChar w:fldCharType="begin"/>
      </w:r>
      <w:r>
        <w:instrText xml:space="preserve"> INCLUDEPICTURE "https://images.openai.com/static-rsc-4/ypLLlWI4Hpte34OsIGeUv5DQimjEFYxbM7sdSMi_GzoxCb9NIi61Sdkl7fid6WQLadPCM83Hvp-A262ny8ybHmSQFV1rMbAg-UXZKuU8tnRsTyQNzE9woRUw4mvOufQvH4SNP9TQDHL91eRehSI8Y-Hkez9TuayitMD47YFkJXg?purpose=inline" \* MERGEFORMATINET </w:instrText>
      </w:r>
      <w:r>
        <w:fldChar w:fldCharType="separate"/>
      </w:r>
      <w:r>
        <w:rPr>
          <w:noProof/>
        </w:rPr>
        <w:drawing>
          <wp:inline distT="0" distB="0" distL="0" distR="0" wp14:anchorId="6D006877" wp14:editId="7B6BD2A2">
            <wp:extent cx="5731510" cy="3221355"/>
            <wp:effectExtent l="0" t="0" r="0" b="4445"/>
            <wp:docPr id="3054892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5731510" cy="3221355"/>
                    </a:xfrm>
                    <a:prstGeom prst="rect">
                      <a:avLst/>
                    </a:prstGeom>
                    <a:noFill/>
                    <a:ln>
                      <a:noFill/>
                    </a:ln>
                  </pic:spPr>
                </pic:pic>
              </a:graphicData>
            </a:graphic>
          </wp:inline>
        </w:drawing>
      </w:r>
      <w:r>
        <w:fldChar w:fldCharType="end"/>
      </w:r>
    </w:p>
    <w:p w14:paraId="5238BC0C"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In the economic front, inflation and economic uncertainties impact consumer buying power, especially in the luxury cars industry. The factors have the potential to decrease demand and heighten price sensitivity. The socially friendly and technologically advanced vehicles are gaining popularity, and this tendency will help Lotus turn towards electrification.</w:t>
      </w:r>
    </w:p>
    <w:p w14:paraId="6592F724"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automotive industry is being transformed by technological innovations, such as artificial intelligence, connectivity, and battery innovation. Research and development is very expensive and the companies need to invest in the areas of research and development in order to compete. On the environmental front, stringent emissions laws and environmental sustainability issues demand manufacturers to employ environmentally friendly technologies. Operation In legal terms, safety and environmental regulations add complexity and cost to operations.</w:t>
      </w:r>
    </w:p>
    <w:p w14:paraId="38C6A97B" w14:textId="2A8821B2" w:rsidR="009646AD" w:rsidRPr="009646AD" w:rsidRDefault="009646AD" w:rsidP="009646AD">
      <w:pPr>
        <w:spacing w:before="240" w:line="360" w:lineRule="auto"/>
        <w:jc w:val="both"/>
        <w:rPr>
          <w:rFonts w:ascii="Calibri" w:hAnsi="Calibri" w:cs="Calibri"/>
          <w:b/>
          <w:bCs/>
          <w:lang w:val="en-PK"/>
        </w:rPr>
      </w:pPr>
      <w:r w:rsidRPr="009646AD">
        <w:rPr>
          <w:rFonts w:ascii="Calibri" w:hAnsi="Calibri" w:cs="Calibri"/>
          <w:b/>
          <w:bCs/>
          <w:lang w:val="en-PK"/>
        </w:rPr>
        <w:t xml:space="preserve">5.2 Internal Environmental Analysis </w:t>
      </w:r>
      <w:r w:rsidRPr="009646AD">
        <w:rPr>
          <w:rFonts w:ascii="Calibri" w:hAnsi="Calibri" w:cs="Calibri"/>
          <w:b/>
          <w:bCs/>
          <w:lang w:val="en-PK"/>
        </w:rPr>
        <w:t>(SWOT)</w:t>
      </w:r>
    </w:p>
    <w:p w14:paraId="3438AAB4" w14:textId="060995DB"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lastRenderedPageBreak/>
        <w:t>The advantages of Lotus are that it had a good brand background, engineering and financial backing by Geely. These aspects increase its capacity to be innovative and globalize. The company also belongs to a differentiation with their high-performance vehicles.</w:t>
      </w:r>
    </w:p>
    <w:p w14:paraId="7CF97BFA"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weaknesses however include the fact that the revenues are decreasing, production capacity is very low and the reliance on external markets is high. The conversion to electric vehicles has added to the expenditure and the complexity of operations.</w:t>
      </w:r>
    </w:p>
    <w:p w14:paraId="0C4AE21F" w14:textId="0CEBBF88" w:rsidR="009646AD" w:rsidRPr="0099308A" w:rsidRDefault="009646AD" w:rsidP="009646AD">
      <w:pPr>
        <w:spacing w:before="240" w:line="360" w:lineRule="auto"/>
        <w:jc w:val="both"/>
        <w:rPr>
          <w:rFonts w:ascii="Calibri" w:hAnsi="Calibri" w:cs="Calibri"/>
          <w:b/>
          <w:bCs/>
          <w:sz w:val="32"/>
          <w:szCs w:val="32"/>
          <w:lang w:val="en-PK"/>
        </w:rPr>
      </w:pPr>
      <w:r w:rsidRPr="009646AD">
        <w:rPr>
          <w:rFonts w:ascii="Calibri" w:hAnsi="Calibri" w:cs="Calibri"/>
          <w:lang w:val="en-PK"/>
        </w:rPr>
        <w:t>Lotus has opportunities such as the increasing popularity of luxury EVs, the expansion into new markets, and collaboration with technology firms. Strong competition with such brands as Tesla, Porsche, and BMW, disruption in the supply chain, and economic uncertainty are threats.</w:t>
      </w:r>
    </w:p>
    <w:p w14:paraId="5BC736B5" w14:textId="65112CD9" w:rsidR="0099308A" w:rsidRPr="009646AD" w:rsidRDefault="0099308A" w:rsidP="009646AD">
      <w:pPr>
        <w:spacing w:before="240" w:line="360" w:lineRule="auto"/>
        <w:jc w:val="both"/>
        <w:rPr>
          <w:rFonts w:ascii="Calibri" w:hAnsi="Calibri" w:cs="Calibri"/>
          <w:lang w:val="en-PK"/>
        </w:rPr>
      </w:pPr>
      <w:r>
        <w:lastRenderedPageBreak/>
        <w:fldChar w:fldCharType="begin"/>
      </w:r>
      <w:r>
        <w:instrText xml:space="preserve"> INCLUDEPICTURE "https://images.openai.com/static-rsc-4/rGeu6bA4yQx-r_l9DG9GzUd_nIV2ovXFt030jSuqqsfwF47z35k5TThYMV-zCxSEQuJT9Wzd1UZZ7tdwm69FlN0to1iKH8s4VeFgjPXIvIfiQUc40XrE-FR03m6v_jsl7skXi3l7vOYedg19RvweuPLZeW1kSLlOb9LbAS32koI?purpose=inline" \* MERGEFORMATINET </w:instrText>
      </w:r>
      <w:r>
        <w:fldChar w:fldCharType="separate"/>
      </w:r>
      <w:r>
        <w:rPr>
          <w:noProof/>
        </w:rPr>
        <w:drawing>
          <wp:inline distT="0" distB="0" distL="0" distR="0" wp14:anchorId="31C37131" wp14:editId="5FA5EC6C">
            <wp:extent cx="5731510" cy="6486525"/>
            <wp:effectExtent l="0" t="0" r="0" b="3175"/>
            <wp:docPr id="15884776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5731510" cy="6486525"/>
                    </a:xfrm>
                    <a:prstGeom prst="rect">
                      <a:avLst/>
                    </a:prstGeom>
                    <a:noFill/>
                    <a:ln>
                      <a:noFill/>
                    </a:ln>
                  </pic:spPr>
                </pic:pic>
              </a:graphicData>
            </a:graphic>
          </wp:inline>
        </w:drawing>
      </w:r>
      <w:r>
        <w:fldChar w:fldCharType="end"/>
      </w:r>
    </w:p>
    <w:p w14:paraId="2FD1894B" w14:textId="4B1F72F0" w:rsidR="009646AD" w:rsidRPr="0099308A" w:rsidRDefault="009646AD" w:rsidP="009646AD">
      <w:pPr>
        <w:pStyle w:val="Heading1"/>
        <w:spacing w:before="240" w:line="360" w:lineRule="auto"/>
        <w:jc w:val="both"/>
        <w:rPr>
          <w:rFonts w:ascii="Calibri" w:hAnsi="Calibri" w:cs="Calibri"/>
          <w:b/>
          <w:bCs/>
          <w:sz w:val="32"/>
          <w:szCs w:val="32"/>
          <w:lang w:val="en-PK"/>
        </w:rPr>
      </w:pPr>
      <w:bookmarkStart w:id="6" w:name="_Toc227340540"/>
      <w:r w:rsidRPr="0099308A">
        <w:rPr>
          <w:rFonts w:ascii="Calibri" w:hAnsi="Calibri" w:cs="Calibri"/>
          <w:b/>
          <w:bCs/>
          <w:sz w:val="32"/>
          <w:szCs w:val="32"/>
          <w:lang w:val="en-PK"/>
        </w:rPr>
        <w:t>6. Strategy Formulation</w:t>
      </w:r>
      <w:bookmarkEnd w:id="6"/>
      <w:r w:rsidRPr="0099308A">
        <w:rPr>
          <w:rFonts w:ascii="Calibri" w:hAnsi="Calibri" w:cs="Calibri"/>
          <w:b/>
          <w:bCs/>
          <w:sz w:val="32"/>
          <w:szCs w:val="32"/>
          <w:lang w:val="en-PK"/>
        </w:rPr>
        <w:t xml:space="preserve"> </w:t>
      </w:r>
    </w:p>
    <w:p w14:paraId="148CC768"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creation of the efficient strategy of Lotus presupposes identification and analysis of various strategic alternatives depending on the internal possibilities of the company and the external environment.</w:t>
      </w:r>
    </w:p>
    <w:p w14:paraId="77CAAD5B"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The initial strategic alternative is complete expansion to electricity. This plan entails fast tracking the advancement and manufacturing of electric cars, making Lotus one of the top </w:t>
      </w:r>
      <w:r w:rsidRPr="009646AD">
        <w:rPr>
          <w:rFonts w:ascii="Calibri" w:hAnsi="Calibri" w:cs="Calibri"/>
          <w:lang w:val="en-PK"/>
        </w:rPr>
        <w:lastRenderedPageBreak/>
        <w:t>brands of EVs. The major benefit of this practice is that it is in line with the global sustainability trends and regulations. It further strengthens the branding of the company in the luxury EV market. Nonetheless, this approach will demand the massive investment in research and development, infrastructure, and supply chain competencies. Moreover, being dependent on one piece of technology is more risky in case of uncertainties at the market or technological front.</w:t>
      </w:r>
    </w:p>
    <w:p w14:paraId="35696E53" w14:textId="77777777" w:rsidR="009646AD" w:rsidRDefault="009646AD" w:rsidP="009646AD">
      <w:pPr>
        <w:spacing w:before="240" w:line="360" w:lineRule="auto"/>
        <w:jc w:val="both"/>
        <w:rPr>
          <w:rFonts w:ascii="Calibri" w:hAnsi="Calibri" w:cs="Calibri"/>
          <w:lang w:val="en-PK"/>
        </w:rPr>
      </w:pPr>
      <w:r w:rsidRPr="009646AD">
        <w:rPr>
          <w:rFonts w:ascii="Calibri" w:hAnsi="Calibri" w:cs="Calibri"/>
          <w:lang w:val="en-PK"/>
        </w:rPr>
        <w:t>Hybrid diversification is the second strategic option. This strategy is aimed at creating electric and hybrid cars to attract more consumers. Hybrid vehicles are an intermediate measure that will help customers who are not ready to go fully electric vehicles. The strategy will minimize the risk since it will diversify the product line and enable Lotus to serve various segments of the market. Nonetheless, it can fuse the identity of the company as a 100 percent electric company and make its operations more complex.</w:t>
      </w:r>
    </w:p>
    <w:p w14:paraId="170B166E" w14:textId="197C7B75" w:rsidR="0099308A" w:rsidRPr="009646AD" w:rsidRDefault="0099308A" w:rsidP="009646AD">
      <w:pPr>
        <w:spacing w:before="240" w:line="360" w:lineRule="auto"/>
        <w:jc w:val="both"/>
        <w:rPr>
          <w:rFonts w:ascii="Calibri" w:hAnsi="Calibri" w:cs="Calibri"/>
          <w:lang w:val="en-PK"/>
        </w:rPr>
      </w:pPr>
      <w:r>
        <w:fldChar w:fldCharType="begin"/>
      </w:r>
      <w:r>
        <w:instrText xml:space="preserve"> INCLUDEPICTURE "https://images.openai.com/static-rsc-4/wD5FTUnlePmQAhzgxiCRHnDoACxhAoSJ6LAI-WWKOV4BTMD7T4mAIFjLO0BnRn0OJQz9dcN9KKggWTmgPN8Mh_-5eQEuPaF787UeOxehNigH0Kpgimt2VLJ3oYend-jTdzx6WM6Bm1F9wJmf-XYNDw6OR7njlYwlGK-97LOpTnA?purpose=inline" \* MERGEFORMATINET </w:instrText>
      </w:r>
      <w:r>
        <w:fldChar w:fldCharType="separate"/>
      </w:r>
      <w:r>
        <w:rPr>
          <w:noProof/>
        </w:rPr>
        <w:drawing>
          <wp:inline distT="0" distB="0" distL="0" distR="0" wp14:anchorId="30BF1032" wp14:editId="45015851">
            <wp:extent cx="5731510" cy="2890520"/>
            <wp:effectExtent l="0" t="0" r="0" b="5080"/>
            <wp:docPr id="5321323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5731510" cy="2890520"/>
                    </a:xfrm>
                    <a:prstGeom prst="rect">
                      <a:avLst/>
                    </a:prstGeom>
                    <a:noFill/>
                    <a:ln>
                      <a:noFill/>
                    </a:ln>
                  </pic:spPr>
                </pic:pic>
              </a:graphicData>
            </a:graphic>
          </wp:inline>
        </w:drawing>
      </w:r>
      <w:r>
        <w:fldChar w:fldCharType="end"/>
      </w:r>
    </w:p>
    <w:p w14:paraId="28BA4025"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Global manufacturing localisation is the third strategic alternative. This approach will entail opening production plants in major markets like United States and China to minimize tariffs, enhance efficiency of the supply chain, and market responsiveness. Localisation is able to save a lot of money and enhance competitiveness. It, however, involves a lot of capital investment and can cause operational difficulties concerning coordination and quality control.</w:t>
      </w:r>
    </w:p>
    <w:p w14:paraId="0C3B84B1"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These options have been considered, and the best approach to adopt in Lotus case is a hybrid diversification and selective localisation approach. Such a combined approach allows the </w:t>
      </w:r>
      <w:r w:rsidRPr="009646AD">
        <w:rPr>
          <w:rFonts w:ascii="Calibri" w:hAnsi="Calibri" w:cs="Calibri"/>
          <w:lang w:val="en-PK"/>
        </w:rPr>
        <w:lastRenderedPageBreak/>
        <w:t>company to innovate and manage risks at the same time and adjust to different market circumstances. Providing electric vehicles and hybrids, Lotus will be able to meet different preferences of consumers and become more popular. Simultaneously, localisation creates less reliance on the global supply chains and protects against the geopolitical risks.</w:t>
      </w:r>
    </w:p>
    <w:p w14:paraId="50C18BF7" w14:textId="5D3B1309"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industry trends support this strategy, as it implies that hybrid vehicles will remain an important part of the shift to complete electrification (Deloitte, 2024). Furthermore, localisation aligns with the need for supply chain resilience and cost optimisation.</w:t>
      </w:r>
    </w:p>
    <w:p w14:paraId="2C236DCE" w14:textId="49E7F1F3" w:rsidR="009646AD" w:rsidRPr="0099308A" w:rsidRDefault="009646AD" w:rsidP="009646AD">
      <w:pPr>
        <w:pStyle w:val="Heading1"/>
        <w:spacing w:before="240" w:line="360" w:lineRule="auto"/>
        <w:jc w:val="both"/>
        <w:rPr>
          <w:rFonts w:ascii="Calibri" w:hAnsi="Calibri" w:cs="Calibri"/>
          <w:b/>
          <w:bCs/>
          <w:sz w:val="32"/>
          <w:szCs w:val="32"/>
          <w:lang w:val="en-PK"/>
        </w:rPr>
      </w:pPr>
      <w:bookmarkStart w:id="7" w:name="_Toc227340541"/>
      <w:r w:rsidRPr="0099308A">
        <w:rPr>
          <w:rFonts w:ascii="Calibri" w:hAnsi="Calibri" w:cs="Calibri"/>
          <w:b/>
          <w:bCs/>
          <w:sz w:val="32"/>
          <w:szCs w:val="32"/>
          <w:lang w:val="en-PK"/>
        </w:rPr>
        <w:t>7. Conclusion and Recommendations</w:t>
      </w:r>
      <w:bookmarkEnd w:id="7"/>
      <w:r w:rsidRPr="0099308A">
        <w:rPr>
          <w:rFonts w:ascii="Calibri" w:hAnsi="Calibri" w:cs="Calibri"/>
          <w:b/>
          <w:bCs/>
          <w:sz w:val="32"/>
          <w:szCs w:val="32"/>
          <w:lang w:val="en-PK"/>
        </w:rPr>
        <w:t xml:space="preserve"> </w:t>
      </w:r>
    </w:p>
    <w:p w14:paraId="663840F7"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To sum up, Lotus Cars UK is experiencing an extensive change as it is turning into a luxury global sports car brand producing electric vehicles, rather than being a niche sports car manufacturer. As the analysis has shown, the company has considerable brand heritage, engineering, and financial resources, but experiences severe problems concerning the decreasing revenues, decreased car deliveries, and growing competition.</w:t>
      </w:r>
    </w:p>
    <w:p w14:paraId="1721285D"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external environment is synonymous with technological improvements, regulatory influences, and evolving consumer preferences, all which demand strategic adjustment. Weaknesses that Lotus has to overcome internally include operational efficiency and scalability of production.</w:t>
      </w:r>
    </w:p>
    <w:p w14:paraId="6E162916"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The suggested hybrid diversification and selective localisation approach offers a middle ground in the attainment of sustainable growth. The approach will help Lotus to reach a larger market, minimize risks, and increase the efficiency of operations.</w:t>
      </w:r>
    </w:p>
    <w:p w14:paraId="63331EC3"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Several recommendations are suggested in order to establish this strategy. To begin with, Lotus ought to invest more in research and development to improve the electric and hybrid technologies. Second, the company ought to enhance strategic alliances with technology companies to speed up innovation. Third, Lotus ought to concentrate on brand repositioning in order to highlight on sustainability and luxury. Lastly, the company ought to streamline its supply chain and production to enhance efficiency and profitability.</w:t>
      </w:r>
    </w:p>
    <w:p w14:paraId="7FFC3157" w14:textId="5798EA61" w:rsidR="009646AD" w:rsidRPr="0099308A" w:rsidRDefault="009646AD" w:rsidP="0099308A">
      <w:pPr>
        <w:spacing w:before="240" w:line="360" w:lineRule="auto"/>
        <w:jc w:val="both"/>
        <w:rPr>
          <w:rFonts w:ascii="Calibri" w:hAnsi="Calibri" w:cs="Calibri"/>
          <w:lang w:val="en-PK"/>
        </w:rPr>
      </w:pPr>
      <w:r w:rsidRPr="009646AD">
        <w:rPr>
          <w:rFonts w:ascii="Calibri" w:hAnsi="Calibri" w:cs="Calibri"/>
          <w:lang w:val="en-PK"/>
        </w:rPr>
        <w:lastRenderedPageBreak/>
        <w:t>Following these recommendations, Lotus will be in a position to be competitive and experience long-term success in the dynamic automotive industry.</w:t>
      </w:r>
      <w:r w:rsidRPr="009646AD">
        <w:rPr>
          <w:rFonts w:ascii="Calibri" w:hAnsi="Calibri" w:cs="Calibri"/>
          <w:b/>
          <w:bCs/>
          <w:lang w:val="en-PK"/>
        </w:rPr>
        <w:br w:type="page"/>
      </w:r>
    </w:p>
    <w:p w14:paraId="7049BEC9" w14:textId="3464EE0B" w:rsidR="009646AD" w:rsidRPr="0099308A" w:rsidRDefault="009646AD" w:rsidP="009646AD">
      <w:pPr>
        <w:pStyle w:val="Heading1"/>
        <w:spacing w:before="240" w:line="360" w:lineRule="auto"/>
        <w:jc w:val="both"/>
        <w:rPr>
          <w:rFonts w:ascii="Calibri" w:hAnsi="Calibri" w:cs="Calibri"/>
          <w:b/>
          <w:bCs/>
          <w:sz w:val="32"/>
          <w:szCs w:val="32"/>
          <w:lang w:val="en-PK"/>
        </w:rPr>
      </w:pPr>
      <w:bookmarkStart w:id="8" w:name="_Toc227340542"/>
      <w:r w:rsidRPr="0099308A">
        <w:rPr>
          <w:rFonts w:ascii="Calibri" w:hAnsi="Calibri" w:cs="Calibri"/>
          <w:b/>
          <w:bCs/>
          <w:sz w:val="32"/>
          <w:szCs w:val="32"/>
          <w:lang w:val="en-PK"/>
        </w:rPr>
        <w:lastRenderedPageBreak/>
        <w:t>Reference</w:t>
      </w:r>
      <w:r w:rsidRPr="0099308A">
        <w:rPr>
          <w:rFonts w:ascii="Calibri" w:hAnsi="Calibri" w:cs="Calibri"/>
          <w:b/>
          <w:bCs/>
          <w:sz w:val="32"/>
          <w:szCs w:val="32"/>
          <w:lang w:val="en-PK"/>
        </w:rPr>
        <w:t xml:space="preserve"> List</w:t>
      </w:r>
      <w:bookmarkEnd w:id="8"/>
    </w:p>
    <w:p w14:paraId="58608AE5"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Deloitte (2024) </w:t>
      </w:r>
      <w:r w:rsidRPr="009646AD">
        <w:rPr>
          <w:rFonts w:ascii="Calibri" w:hAnsi="Calibri" w:cs="Calibri"/>
          <w:i/>
          <w:iCs/>
          <w:lang w:val="en-PK"/>
        </w:rPr>
        <w:t>Global Automotive Consumer Study 2024: Electric Vehicles and Market Trends</w:t>
      </w:r>
      <w:r w:rsidRPr="009646AD">
        <w:rPr>
          <w:rFonts w:ascii="Calibri" w:hAnsi="Calibri" w:cs="Calibri"/>
          <w:lang w:val="en-PK"/>
        </w:rPr>
        <w:t>. London: Deloitte Insights.</w:t>
      </w:r>
    </w:p>
    <w:p w14:paraId="0ABD4C23"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GlobeNewswire (2026) </w:t>
      </w:r>
      <w:r w:rsidRPr="009646AD">
        <w:rPr>
          <w:rFonts w:ascii="Calibri" w:hAnsi="Calibri" w:cs="Calibri"/>
          <w:i/>
          <w:iCs/>
          <w:lang w:val="en-PK"/>
        </w:rPr>
        <w:t>Lotus Technology Reports Unaudited Fourth Quarter and Full Year 2025 Financial Results</w:t>
      </w:r>
      <w:r w:rsidRPr="009646AD">
        <w:rPr>
          <w:rFonts w:ascii="Calibri" w:hAnsi="Calibri" w:cs="Calibri"/>
          <w:lang w:val="en-PK"/>
        </w:rPr>
        <w:t>. New York: GlobeNewswire Inc.</w:t>
      </w:r>
    </w:p>
    <w:p w14:paraId="1B1E7F22"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Johnson, G., Scholes, K. and Whittington, R. (2023) </w:t>
      </w:r>
      <w:r w:rsidRPr="009646AD">
        <w:rPr>
          <w:rFonts w:ascii="Calibri" w:hAnsi="Calibri" w:cs="Calibri"/>
          <w:i/>
          <w:iCs/>
          <w:lang w:val="en-PK"/>
        </w:rPr>
        <w:t>Exploring Strategy: Text and Cases</w:t>
      </w:r>
      <w:r w:rsidRPr="009646AD">
        <w:rPr>
          <w:rFonts w:ascii="Calibri" w:hAnsi="Calibri" w:cs="Calibri"/>
          <w:lang w:val="en-PK"/>
        </w:rPr>
        <w:t>. 13th edn. Harlow: Pearson Education.</w:t>
      </w:r>
    </w:p>
    <w:p w14:paraId="7BFFF977"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Lotus Cars (2025) </w:t>
      </w:r>
      <w:r w:rsidRPr="009646AD">
        <w:rPr>
          <w:rFonts w:ascii="Calibri" w:hAnsi="Calibri" w:cs="Calibri"/>
          <w:i/>
          <w:iCs/>
          <w:lang w:val="en-PK"/>
        </w:rPr>
        <w:t>Annual Report and Financial Statements 2025</w:t>
      </w:r>
      <w:r w:rsidRPr="009646AD">
        <w:rPr>
          <w:rFonts w:ascii="Calibri" w:hAnsi="Calibri" w:cs="Calibri"/>
          <w:lang w:val="en-PK"/>
        </w:rPr>
        <w:t>. Hethel: Lotus Cars Limited.</w:t>
      </w:r>
    </w:p>
    <w:p w14:paraId="26123A53"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McKinsey &amp; Company (2023) </w:t>
      </w:r>
      <w:r w:rsidRPr="009646AD">
        <w:rPr>
          <w:rFonts w:ascii="Calibri" w:hAnsi="Calibri" w:cs="Calibri"/>
          <w:i/>
          <w:iCs/>
          <w:lang w:val="en-PK"/>
        </w:rPr>
        <w:t>Mobility Consumer Pulse Survey: Automotive Disruption and EV Adoption Trends</w:t>
      </w:r>
      <w:r w:rsidRPr="009646AD">
        <w:rPr>
          <w:rFonts w:ascii="Calibri" w:hAnsi="Calibri" w:cs="Calibri"/>
          <w:lang w:val="en-PK"/>
        </w:rPr>
        <w:t>. London: McKinsey &amp; Company.</w:t>
      </w:r>
    </w:p>
    <w:p w14:paraId="245451CE"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Reuters (2025) </w:t>
      </w:r>
      <w:r w:rsidRPr="009646AD">
        <w:rPr>
          <w:rFonts w:ascii="Calibri" w:hAnsi="Calibri" w:cs="Calibri"/>
          <w:i/>
          <w:iCs/>
          <w:lang w:val="en-PK"/>
        </w:rPr>
        <w:t>Lotus expands EV strategy amid global market challenges</w:t>
      </w:r>
      <w:r w:rsidRPr="009646AD">
        <w:rPr>
          <w:rFonts w:ascii="Calibri" w:hAnsi="Calibri" w:cs="Calibri"/>
          <w:lang w:val="en-PK"/>
        </w:rPr>
        <w:t>. London: Reuters News Agency.</w:t>
      </w:r>
    </w:p>
    <w:p w14:paraId="51D30288" w14:textId="77777777" w:rsidR="009646AD" w:rsidRPr="009646AD" w:rsidRDefault="009646AD" w:rsidP="009646AD">
      <w:pPr>
        <w:spacing w:before="240" w:line="360" w:lineRule="auto"/>
        <w:jc w:val="both"/>
        <w:rPr>
          <w:rFonts w:ascii="Calibri" w:hAnsi="Calibri" w:cs="Calibri"/>
          <w:lang w:val="en-PK"/>
        </w:rPr>
      </w:pPr>
      <w:r w:rsidRPr="009646AD">
        <w:rPr>
          <w:rFonts w:ascii="Calibri" w:hAnsi="Calibri" w:cs="Calibri"/>
          <w:lang w:val="en-PK"/>
        </w:rPr>
        <w:t xml:space="preserve">The Guardian (2025) </w:t>
      </w:r>
      <w:r w:rsidRPr="009646AD">
        <w:rPr>
          <w:rFonts w:ascii="Calibri" w:hAnsi="Calibri" w:cs="Calibri"/>
          <w:i/>
          <w:iCs/>
          <w:lang w:val="en-PK"/>
        </w:rPr>
        <w:t>UK automotive industry faces tariffs and EV transition pressures</w:t>
      </w:r>
      <w:r w:rsidRPr="009646AD">
        <w:rPr>
          <w:rFonts w:ascii="Calibri" w:hAnsi="Calibri" w:cs="Calibri"/>
          <w:lang w:val="en-PK"/>
        </w:rPr>
        <w:t>. London: Guardian Media Group.</w:t>
      </w:r>
    </w:p>
    <w:p w14:paraId="29A565E0" w14:textId="77777777" w:rsidR="009646AD" w:rsidRPr="009646AD" w:rsidRDefault="009646AD" w:rsidP="009646AD">
      <w:pPr>
        <w:spacing w:before="240" w:line="360" w:lineRule="auto"/>
        <w:jc w:val="both"/>
        <w:rPr>
          <w:rFonts w:ascii="Calibri" w:hAnsi="Calibri" w:cs="Calibri"/>
        </w:rPr>
      </w:pPr>
    </w:p>
    <w:sectPr w:rsidR="009646AD" w:rsidRPr="009646AD">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A9A9D" w14:textId="77777777" w:rsidR="00051E08" w:rsidRDefault="00051E08" w:rsidP="0099308A">
      <w:pPr>
        <w:spacing w:after="0" w:line="240" w:lineRule="auto"/>
      </w:pPr>
      <w:r>
        <w:separator/>
      </w:r>
    </w:p>
  </w:endnote>
  <w:endnote w:type="continuationSeparator" w:id="0">
    <w:p w14:paraId="241146F8" w14:textId="77777777" w:rsidR="00051E08" w:rsidRDefault="00051E08" w:rsidP="0099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3462573"/>
      <w:docPartObj>
        <w:docPartGallery w:val="Page Numbers (Bottom of Page)"/>
        <w:docPartUnique/>
      </w:docPartObj>
    </w:sdtPr>
    <w:sdtContent>
      <w:p w14:paraId="0BB5694E" w14:textId="0680BE54" w:rsidR="0099308A" w:rsidRDefault="0099308A" w:rsidP="00D7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D12CED" w14:textId="77777777" w:rsidR="0099308A" w:rsidRDefault="0099308A" w:rsidP="009930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505048"/>
      <w:docPartObj>
        <w:docPartGallery w:val="Page Numbers (Bottom of Page)"/>
        <w:docPartUnique/>
      </w:docPartObj>
    </w:sdtPr>
    <w:sdtContent>
      <w:p w14:paraId="68ECC697" w14:textId="0369E9DE" w:rsidR="0099308A" w:rsidRDefault="0099308A" w:rsidP="00D7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3D25A9B8" w14:textId="77777777" w:rsidR="0099308A" w:rsidRDefault="0099308A" w:rsidP="009930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D1294" w14:textId="77777777" w:rsidR="00051E08" w:rsidRDefault="00051E08" w:rsidP="0099308A">
      <w:pPr>
        <w:spacing w:after="0" w:line="240" w:lineRule="auto"/>
      </w:pPr>
      <w:r>
        <w:separator/>
      </w:r>
    </w:p>
  </w:footnote>
  <w:footnote w:type="continuationSeparator" w:id="0">
    <w:p w14:paraId="74D659A0" w14:textId="77777777" w:rsidR="00051E08" w:rsidRDefault="00051E08" w:rsidP="009930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AD"/>
    <w:rsid w:val="00051E08"/>
    <w:rsid w:val="005275FA"/>
    <w:rsid w:val="00617436"/>
    <w:rsid w:val="007D39C6"/>
    <w:rsid w:val="00821618"/>
    <w:rsid w:val="00941C09"/>
    <w:rsid w:val="009532EC"/>
    <w:rsid w:val="00954DB6"/>
    <w:rsid w:val="009646AD"/>
    <w:rsid w:val="0099308A"/>
    <w:rsid w:val="00AF16BA"/>
    <w:rsid w:val="00E35EE5"/>
    <w:rsid w:val="00E45EE1"/>
    <w:rsid w:val="00FC52CC"/>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66D8E"/>
  <w15:chartTrackingRefBased/>
  <w15:docId w15:val="{89439EBD-C3F8-F44E-9248-9D6F45FA1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646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6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6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6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6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A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646A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646A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646A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646A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646A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646A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646A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646A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64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6A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64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6A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646AD"/>
    <w:pPr>
      <w:spacing w:before="160"/>
      <w:jc w:val="center"/>
    </w:pPr>
    <w:rPr>
      <w:i/>
      <w:iCs/>
      <w:color w:val="404040" w:themeColor="text1" w:themeTint="BF"/>
    </w:rPr>
  </w:style>
  <w:style w:type="character" w:customStyle="1" w:styleId="QuoteChar">
    <w:name w:val="Quote Char"/>
    <w:basedOn w:val="DefaultParagraphFont"/>
    <w:link w:val="Quote"/>
    <w:uiPriority w:val="29"/>
    <w:rsid w:val="009646AD"/>
    <w:rPr>
      <w:i/>
      <w:iCs/>
      <w:color w:val="404040" w:themeColor="text1" w:themeTint="BF"/>
      <w:lang w:val="en-GB"/>
    </w:rPr>
  </w:style>
  <w:style w:type="paragraph" w:styleId="ListParagraph">
    <w:name w:val="List Paragraph"/>
    <w:basedOn w:val="Normal"/>
    <w:uiPriority w:val="34"/>
    <w:qFormat/>
    <w:rsid w:val="009646AD"/>
    <w:pPr>
      <w:ind w:left="720"/>
      <w:contextualSpacing/>
    </w:pPr>
  </w:style>
  <w:style w:type="character" w:styleId="IntenseEmphasis">
    <w:name w:val="Intense Emphasis"/>
    <w:basedOn w:val="DefaultParagraphFont"/>
    <w:uiPriority w:val="21"/>
    <w:qFormat/>
    <w:rsid w:val="009646AD"/>
    <w:rPr>
      <w:i/>
      <w:iCs/>
      <w:color w:val="0F4761" w:themeColor="accent1" w:themeShade="BF"/>
    </w:rPr>
  </w:style>
  <w:style w:type="paragraph" w:styleId="IntenseQuote">
    <w:name w:val="Intense Quote"/>
    <w:basedOn w:val="Normal"/>
    <w:next w:val="Normal"/>
    <w:link w:val="IntenseQuoteChar"/>
    <w:uiPriority w:val="30"/>
    <w:qFormat/>
    <w:rsid w:val="009646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6AD"/>
    <w:rPr>
      <w:i/>
      <w:iCs/>
      <w:color w:val="0F4761" w:themeColor="accent1" w:themeShade="BF"/>
      <w:lang w:val="en-GB"/>
    </w:rPr>
  </w:style>
  <w:style w:type="character" w:styleId="IntenseReference">
    <w:name w:val="Intense Reference"/>
    <w:basedOn w:val="DefaultParagraphFont"/>
    <w:uiPriority w:val="32"/>
    <w:qFormat/>
    <w:rsid w:val="009646AD"/>
    <w:rPr>
      <w:b/>
      <w:bCs/>
      <w:smallCaps/>
      <w:color w:val="0F4761" w:themeColor="accent1" w:themeShade="BF"/>
      <w:spacing w:val="5"/>
    </w:rPr>
  </w:style>
  <w:style w:type="paragraph" w:customStyle="1" w:styleId="p1">
    <w:name w:val="p1"/>
    <w:basedOn w:val="Normal"/>
    <w:rsid w:val="009646AD"/>
    <w:pPr>
      <w:spacing w:after="0" w:line="240" w:lineRule="auto"/>
    </w:pPr>
    <w:rPr>
      <w:rFonts w:ascii="Arial" w:eastAsia="Times New Roman" w:hAnsi="Arial" w:cs="Arial"/>
      <w:color w:val="000000"/>
      <w:kern w:val="0"/>
      <w:sz w:val="17"/>
      <w:szCs w:val="17"/>
      <w:lang w:val="en-PK" w:eastAsia="en-GB"/>
      <w14:ligatures w14:val="none"/>
    </w:rPr>
  </w:style>
  <w:style w:type="paragraph" w:styleId="TOCHeading">
    <w:name w:val="TOC Heading"/>
    <w:basedOn w:val="Heading1"/>
    <w:next w:val="Normal"/>
    <w:uiPriority w:val="39"/>
    <w:unhideWhenUsed/>
    <w:qFormat/>
    <w:rsid w:val="009646A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646AD"/>
    <w:pPr>
      <w:spacing w:before="120" w:after="0"/>
    </w:pPr>
    <w:rPr>
      <w:rFonts w:cs="Times New Roman"/>
      <w:b/>
      <w:bCs/>
      <w:i/>
      <w:iCs/>
      <w:szCs w:val="28"/>
    </w:rPr>
  </w:style>
  <w:style w:type="paragraph" w:styleId="TOC2">
    <w:name w:val="toc 2"/>
    <w:basedOn w:val="Normal"/>
    <w:next w:val="Normal"/>
    <w:autoRedefine/>
    <w:uiPriority w:val="39"/>
    <w:semiHidden/>
    <w:unhideWhenUsed/>
    <w:rsid w:val="009646AD"/>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9646AD"/>
    <w:pPr>
      <w:spacing w:after="0"/>
      <w:ind w:left="480"/>
    </w:pPr>
    <w:rPr>
      <w:rFonts w:cs="Times New Roman"/>
      <w:sz w:val="20"/>
    </w:rPr>
  </w:style>
  <w:style w:type="paragraph" w:styleId="TOC4">
    <w:name w:val="toc 4"/>
    <w:basedOn w:val="Normal"/>
    <w:next w:val="Normal"/>
    <w:autoRedefine/>
    <w:uiPriority w:val="39"/>
    <w:semiHidden/>
    <w:unhideWhenUsed/>
    <w:rsid w:val="009646AD"/>
    <w:pPr>
      <w:spacing w:after="0"/>
      <w:ind w:left="720"/>
    </w:pPr>
    <w:rPr>
      <w:rFonts w:cs="Times New Roman"/>
      <w:sz w:val="20"/>
    </w:rPr>
  </w:style>
  <w:style w:type="paragraph" w:styleId="TOC5">
    <w:name w:val="toc 5"/>
    <w:basedOn w:val="Normal"/>
    <w:next w:val="Normal"/>
    <w:autoRedefine/>
    <w:uiPriority w:val="39"/>
    <w:semiHidden/>
    <w:unhideWhenUsed/>
    <w:rsid w:val="009646AD"/>
    <w:pPr>
      <w:spacing w:after="0"/>
      <w:ind w:left="960"/>
    </w:pPr>
    <w:rPr>
      <w:rFonts w:cs="Times New Roman"/>
      <w:sz w:val="20"/>
    </w:rPr>
  </w:style>
  <w:style w:type="paragraph" w:styleId="TOC6">
    <w:name w:val="toc 6"/>
    <w:basedOn w:val="Normal"/>
    <w:next w:val="Normal"/>
    <w:autoRedefine/>
    <w:uiPriority w:val="39"/>
    <w:semiHidden/>
    <w:unhideWhenUsed/>
    <w:rsid w:val="009646AD"/>
    <w:pPr>
      <w:spacing w:after="0"/>
      <w:ind w:left="1200"/>
    </w:pPr>
    <w:rPr>
      <w:rFonts w:cs="Times New Roman"/>
      <w:sz w:val="20"/>
    </w:rPr>
  </w:style>
  <w:style w:type="paragraph" w:styleId="TOC7">
    <w:name w:val="toc 7"/>
    <w:basedOn w:val="Normal"/>
    <w:next w:val="Normal"/>
    <w:autoRedefine/>
    <w:uiPriority w:val="39"/>
    <w:semiHidden/>
    <w:unhideWhenUsed/>
    <w:rsid w:val="009646AD"/>
    <w:pPr>
      <w:spacing w:after="0"/>
      <w:ind w:left="1440"/>
    </w:pPr>
    <w:rPr>
      <w:rFonts w:cs="Times New Roman"/>
      <w:sz w:val="20"/>
    </w:rPr>
  </w:style>
  <w:style w:type="paragraph" w:styleId="TOC8">
    <w:name w:val="toc 8"/>
    <w:basedOn w:val="Normal"/>
    <w:next w:val="Normal"/>
    <w:autoRedefine/>
    <w:uiPriority w:val="39"/>
    <w:semiHidden/>
    <w:unhideWhenUsed/>
    <w:rsid w:val="009646AD"/>
    <w:pPr>
      <w:spacing w:after="0"/>
      <w:ind w:left="1680"/>
    </w:pPr>
    <w:rPr>
      <w:rFonts w:cs="Times New Roman"/>
      <w:sz w:val="20"/>
    </w:rPr>
  </w:style>
  <w:style w:type="paragraph" w:styleId="TOC9">
    <w:name w:val="toc 9"/>
    <w:basedOn w:val="Normal"/>
    <w:next w:val="Normal"/>
    <w:autoRedefine/>
    <w:uiPriority w:val="39"/>
    <w:semiHidden/>
    <w:unhideWhenUsed/>
    <w:rsid w:val="009646AD"/>
    <w:pPr>
      <w:spacing w:after="0"/>
      <w:ind w:left="1920"/>
    </w:pPr>
    <w:rPr>
      <w:rFonts w:cs="Times New Roman"/>
      <w:sz w:val="20"/>
    </w:rPr>
  </w:style>
  <w:style w:type="character" w:styleId="Hyperlink">
    <w:name w:val="Hyperlink"/>
    <w:basedOn w:val="DefaultParagraphFont"/>
    <w:uiPriority w:val="99"/>
    <w:unhideWhenUsed/>
    <w:rsid w:val="009646AD"/>
    <w:rPr>
      <w:color w:val="467886" w:themeColor="hyperlink"/>
      <w:u w:val="single"/>
    </w:rPr>
  </w:style>
  <w:style w:type="paragraph" w:styleId="Footer">
    <w:name w:val="footer"/>
    <w:basedOn w:val="Normal"/>
    <w:link w:val="FooterChar"/>
    <w:uiPriority w:val="99"/>
    <w:unhideWhenUsed/>
    <w:rsid w:val="00993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08A"/>
    <w:rPr>
      <w:lang w:val="en-GB"/>
    </w:rPr>
  </w:style>
  <w:style w:type="character" w:styleId="PageNumber">
    <w:name w:val="page number"/>
    <w:basedOn w:val="DefaultParagraphFont"/>
    <w:uiPriority w:val="99"/>
    <w:semiHidden/>
    <w:unhideWhenUsed/>
    <w:rsid w:val="00993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8F25D-64CA-D34E-A9BE-C6F128F5D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2606</Words>
  <Characters>14859</Characters>
  <Application>Microsoft Office Word</Application>
  <DocSecurity>0</DocSecurity>
  <Lines>123</Lines>
  <Paragraphs>34</Paragraphs>
  <ScaleCrop>false</ScaleCrop>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 User</dc:creator>
  <cp:keywords/>
  <dc:description/>
  <cp:lastModifiedBy>Top User</cp:lastModifiedBy>
  <cp:revision>4</cp:revision>
  <dcterms:created xsi:type="dcterms:W3CDTF">2026-04-17T12:39:00Z</dcterms:created>
  <dcterms:modified xsi:type="dcterms:W3CDTF">2026-04-17T12:52:00Z</dcterms:modified>
</cp:coreProperties>
</file>