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tbl>
      <w:tblPr>
        <w:tblW w:w="13955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dd4e9"/>
        <w:tblLayout w:type="fixed"/>
      </w:tblPr>
      <w:tblGrid>
        <w:gridCol w:w="2845"/>
        <w:gridCol w:w="2547"/>
        <w:gridCol w:w="8563"/>
      </w:tblGrid>
      <w:tr>
        <w:tblPrEx>
          <w:shd w:val="clear" w:color="auto" w:fill="cdd4e9"/>
        </w:tblPrEx>
        <w:trPr>
          <w:trHeight w:val="263" w:hRule="atLeast"/>
        </w:trPr>
        <w:tc>
          <w:tcPr>
            <w:tcW w:type="dxa" w:w="13955"/>
            <w:gridSpan w:val="3"/>
            <w:tcBorders>
              <w:top w:val="single" w:color="000000" w:sz="4" w:space="0" w:shadow="0" w:frame="0"/>
              <w:left w:val="nil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Heading 3"/>
              <w:jc w:val="both"/>
            </w:pPr>
            <w:r>
              <w:rPr>
                <w:rFonts w:ascii="Arial" w:hAnsi="Arial"/>
                <w:b w:val="0"/>
                <w:bCs w:val="0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Module: </w:t>
            </w:r>
            <w:r>
              <w:rPr>
                <w:rFonts w:ascii="Arial" w:hAnsi="Arial"/>
                <w:b w:val="0"/>
                <w:bCs w:val="0"/>
                <w:sz w:val="22"/>
                <w:szCs w:val="22"/>
                <w:shd w:val="nil" w:color="auto" w:fill="auto"/>
                <w:rtl w:val="0"/>
                <w:lang w:val="en-US"/>
              </w:rPr>
              <w:t>Specialist Employment Law</w:t>
            </w:r>
          </w:p>
        </w:tc>
      </w:tr>
      <w:tr>
        <w:tblPrEx>
          <w:shd w:val="clear" w:color="auto" w:fill="cdd4e9"/>
        </w:tblPrEx>
        <w:trPr>
          <w:trHeight w:val="263" w:hRule="atLeast"/>
        </w:trPr>
        <w:tc>
          <w:tcPr>
            <w:tcW w:type="dxa" w:w="13955"/>
            <w:gridSpan w:val="3"/>
            <w:tcBorders>
              <w:top w:val="single" w:color="000000" w:sz="4" w:space="0" w:shadow="0" w:frame="0"/>
              <w:left w:val="nil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Heading 3"/>
              <w:jc w:val="both"/>
            </w:pPr>
            <w:r>
              <w:rPr>
                <w:rFonts w:ascii="Arial" w:hAnsi="Arial"/>
                <w:b w:val="0"/>
                <w:bCs w:val="0"/>
                <w:sz w:val="22"/>
                <w:szCs w:val="22"/>
                <w:shd w:val="nil" w:color="auto" w:fill="auto"/>
                <w:rtl w:val="0"/>
                <w:lang w:val="en-US"/>
              </w:rPr>
              <w:t>Assignment due date:</w:t>
            </w:r>
            <w:r>
              <w:rPr>
                <w:rFonts w:ascii="Arial" w:hAnsi="Arial"/>
                <w:b w:val="0"/>
                <w:bCs w:val="0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17th March 2025</w:t>
            </w:r>
          </w:p>
        </w:tc>
      </w:tr>
      <w:tr>
        <w:tblPrEx>
          <w:shd w:val="clear" w:color="auto" w:fill="cdd4e9"/>
        </w:tblPrEx>
        <w:trPr>
          <w:trHeight w:val="263" w:hRule="atLeast"/>
        </w:trPr>
        <w:tc>
          <w:tcPr>
            <w:tcW w:type="dxa" w:w="13955"/>
            <w:gridSpan w:val="3"/>
            <w:tcBorders>
              <w:top w:val="single" w:color="000000" w:sz="4" w:space="0" w:shadow="0" w:frame="0"/>
              <w:left w:val="nil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Heading 3"/>
              <w:jc w:val="both"/>
            </w:pPr>
            <w:r>
              <w:rPr>
                <w:rFonts w:ascii="Arial" w:hAnsi="Arial"/>
                <w:b w:val="0"/>
                <w:bCs w:val="0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Lecturer: Rebecca Francis-Davies </w:t>
            </w:r>
            <w:r>
              <w:rPr>
                <w:rStyle w:val="Hyperlink.0"/>
                <w:rFonts w:ascii="Arial" w:cs="Arial" w:hAnsi="Arial" w:eastAsia="Arial"/>
                <w:b w:val="0"/>
                <w:bCs w:val="0"/>
                <w:outline w:val="0"/>
                <w:color w:val="0000ff"/>
                <w:sz w:val="22"/>
                <w:szCs w:val="22"/>
                <w:u w:val="single" w:color="0000ff"/>
                <w:shd w:val="nil" w:color="auto" w:fill="auto"/>
                <w:lang w:val="en-US"/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Hyperlink.0"/>
                <w:rFonts w:ascii="Arial" w:cs="Arial" w:hAnsi="Arial" w:eastAsia="Arial"/>
                <w:b w:val="0"/>
                <w:bCs w:val="0"/>
                <w:outline w:val="0"/>
                <w:color w:val="0000ff"/>
                <w:sz w:val="22"/>
                <w:szCs w:val="22"/>
                <w:u w:val="single" w:color="0000ff"/>
                <w:shd w:val="nil" w:color="auto" w:fill="auto"/>
                <w:lang w:val="en-US"/>
                <w14:textFill>
                  <w14:solidFill>
                    <w14:srgbClr w14:val="0000FF"/>
                  </w14:solidFill>
                </w14:textFill>
              </w:rPr>
              <w:instrText xml:space="preserve"> HYPERLINK "mailto:r.francis-davies@uwtsd.ac.uk"</w:instrText>
            </w:r>
            <w:r>
              <w:rPr>
                <w:rStyle w:val="Hyperlink.0"/>
                <w:rFonts w:ascii="Arial" w:cs="Arial" w:hAnsi="Arial" w:eastAsia="Arial"/>
                <w:b w:val="0"/>
                <w:bCs w:val="0"/>
                <w:outline w:val="0"/>
                <w:color w:val="0000ff"/>
                <w:sz w:val="22"/>
                <w:szCs w:val="22"/>
                <w:u w:val="single" w:color="0000ff"/>
                <w:shd w:val="nil" w:color="auto" w:fill="auto"/>
                <w:lang w:val="en-US"/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Hyperlink.0"/>
                <w:rFonts w:ascii="Arial" w:hAnsi="Arial"/>
                <w:b w:val="0"/>
                <w:bCs w:val="0"/>
                <w:outline w:val="0"/>
                <w:color w:val="0000ff"/>
                <w:sz w:val="22"/>
                <w:szCs w:val="22"/>
                <w:u w:val="single" w:color="0000ff"/>
                <w:shd w:val="nil" w:color="auto" w:fill="auto"/>
                <w:rtl w:val="0"/>
                <w:lang w:val="en-US"/>
                <w14:textFill>
                  <w14:solidFill>
                    <w14:srgbClr w14:val="0000FF"/>
                  </w14:solidFill>
                </w14:textFill>
              </w:rPr>
              <w:t>r.francis-davies@uwtsd.ac.uk</w:t>
            </w:r>
            <w:r>
              <w:rPr/>
              <w:fldChar w:fldCharType="end" w:fldLock="0"/>
            </w:r>
          </w:p>
        </w:tc>
      </w:tr>
      <w:tr>
        <w:tblPrEx>
          <w:shd w:val="clear" w:color="auto" w:fill="cdd4e9"/>
        </w:tblPrEx>
        <w:trPr>
          <w:trHeight w:val="169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both"/>
            </w:pPr>
            <w:r>
              <w:rPr>
                <w:rStyle w:val="None"/>
                <w:rFonts w:ascii="Trebuchet MS" w:hAnsi="Trebuchet MS"/>
                <w:b w:val="1"/>
                <w:bCs w:val="1"/>
                <w:sz w:val="22"/>
                <w:szCs w:val="22"/>
                <w:rtl w:val="0"/>
                <w:lang w:val="en-US"/>
              </w:rPr>
              <w:t>Question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both"/>
            </w:pPr>
            <w:r>
              <w:rPr>
                <w:rStyle w:val="None"/>
                <w:rFonts w:ascii="Trebuchet MS" w:hAnsi="Trebuchet MS"/>
                <w:b w:val="1"/>
                <w:bCs w:val="1"/>
                <w:sz w:val="22"/>
                <w:szCs w:val="22"/>
                <w:rtl w:val="0"/>
                <w:lang w:val="en-US"/>
              </w:rPr>
              <w:t>Assessment criteria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both"/>
              <w:rPr>
                <w:rFonts w:ascii="Trebuchet MS" w:cs="Trebuchet MS" w:hAnsi="Trebuchet MS" w:eastAsia="Trebuchet MS"/>
                <w:b w:val="1"/>
                <w:bCs w:val="1"/>
                <w:sz w:val="22"/>
                <w:szCs w:val="22"/>
              </w:rPr>
            </w:pPr>
            <w:r>
              <w:rPr>
                <w:rStyle w:val="None"/>
                <w:rFonts w:ascii="Trebuchet MS" w:hAnsi="Trebuchet MS"/>
                <w:b w:val="1"/>
                <w:bCs w:val="1"/>
                <w:sz w:val="22"/>
                <w:szCs w:val="22"/>
                <w:rtl w:val="0"/>
                <w:lang w:val="en-US"/>
              </w:rPr>
              <w:t xml:space="preserve">GUIDED LEARNING - </w:t>
            </w:r>
          </w:p>
          <w:p>
            <w:pPr>
              <w:pStyle w:val="Body A"/>
              <w:bidi w:val="0"/>
              <w:ind w:left="0" w:right="0" w:firstLine="0"/>
              <w:jc w:val="both"/>
              <w:rPr>
                <w:rFonts w:ascii="Trebuchet MS" w:cs="Trebuchet MS" w:hAnsi="Trebuchet MS" w:eastAsia="Trebuchet MS"/>
                <w:b w:val="1"/>
                <w:bCs w:val="1"/>
                <w:sz w:val="22"/>
                <w:szCs w:val="22"/>
                <w:rtl w:val="0"/>
              </w:rPr>
            </w:pPr>
            <w:r>
              <w:rPr>
                <w:rStyle w:val="None"/>
                <w:rFonts w:ascii="Trebuchet MS" w:hAnsi="Trebuchet MS"/>
                <w:b w:val="1"/>
                <w:bCs w:val="1"/>
                <w:sz w:val="22"/>
                <w:szCs w:val="22"/>
                <w:rtl w:val="0"/>
                <w:lang w:val="en-US"/>
              </w:rPr>
              <w:t xml:space="preserve">HOME/WORK CENTRED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Style w:val="None"/>
                <w:rFonts w:ascii="Trebuchet MS" w:cs="Trebuchet MS" w:hAnsi="Trebuchet MS" w:eastAsia="Trebuchet MS"/>
                <w:b w:val="1"/>
                <w:bCs w:val="1"/>
                <w:sz w:val="22"/>
                <w:szCs w:val="22"/>
                <w:rtl w:val="0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Trebuchet MS" w:cs="Trebuchet MS" w:hAnsi="Trebuchet MS" w:eastAsia="Trebuchet MS"/>
                <w:b w:val="1"/>
                <w:bCs w:val="1"/>
                <w:sz w:val="22"/>
                <w:szCs w:val="22"/>
                <w:rtl w:val="0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b w:val="1"/>
                <w:bCs w:val="1"/>
                <w:i w:val="1"/>
                <w:iCs w:val="1"/>
                <w:outline w:val="0"/>
                <w:color w:val="ff0000"/>
                <w:sz w:val="22"/>
                <w:szCs w:val="22"/>
                <w:u w:color="ff0000"/>
                <w:rtl w:val="0"/>
                <w:lang w:val="en-US"/>
                <w14:textFill>
                  <w14:solidFill>
                    <w14:srgbClr w14:val="FF0000"/>
                  </w14:solidFill>
                </w14:textFill>
              </w:rPr>
              <w:t xml:space="preserve">NB: You will also need to undertake your own self-directed learning in order to build on your knowledge and complete your assessments. Some recommended reading is also listed below. </w:t>
            </w:r>
          </w:p>
        </w:tc>
      </w:tr>
      <w:tr>
        <w:tblPrEx>
          <w:shd w:val="clear" w:color="auto" w:fill="cdd4e9"/>
        </w:tblPrEx>
        <w:trPr>
          <w:trHeight w:val="289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1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365b9c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365B9D"/>
                  </w14:solidFill>
                </w14:textFill>
              </w:rPr>
              <w:t>Evaluate the aims and objectives of employment regulation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Style w:val="None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None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chapter 1 of Daniels, </w:t>
            </w:r>
            <w:r>
              <w:rPr>
                <w:rStyle w:val="None"/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Style w:val="None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Style w:val="None"/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Style w:val="None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Kogan Page 6th edition.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Style w:val="None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Style w:val="None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Style w:val="None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Chapter 60 </w:t>
            </w:r>
            <w:r>
              <w:rPr>
                <w:rStyle w:val="None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Armstrong</w:t>
            </w:r>
            <w:r>
              <w:rPr>
                <w:rStyle w:val="None"/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’</w:t>
            </w:r>
            <w:r>
              <w:rPr>
                <w:rStyle w:val="None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s Book of HRM Practice Armstrong and Taylor 16th ed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Style w:val="None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Style w:val="None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Style w:val="None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Hyperlink.1"/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begin" w:fldLock="0"/>
            </w:r>
            <w:r>
              <w:rPr>
                <w:rStyle w:val="Hyperlink.1"/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instrText xml:space="preserve"> HYPERLINK "https://www.cipd.org/uk/views-and-insights/cipd-viewpoint/employment-status-rights/"</w:instrText>
            </w:r>
            <w:r>
              <w:rPr>
                <w:rStyle w:val="Hyperlink.1"/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separate" w:fldLock="0"/>
            </w:r>
            <w:r>
              <w:rPr>
                <w:rStyle w:val="Hyperlink.1"/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CIPD viewpoint</w:t>
            </w:r>
            <w:r>
              <w:rPr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Hyperlink.1"/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begin" w:fldLock="0"/>
            </w:r>
            <w:r>
              <w:rPr>
                <w:rStyle w:val="Hyperlink.1"/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instrText xml:space="preserve"> HYPERLINK "https://www.peoplemanagement.co.uk/article/1901051/employment-law-expect-2025"</w:instrText>
            </w:r>
            <w:r>
              <w:rPr>
                <w:rStyle w:val="Hyperlink.1"/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separate" w:fldLock="0"/>
            </w:r>
            <w:r>
              <w:rPr>
                <w:rStyle w:val="Hyperlink.1"/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People Management article 2025</w:t>
            </w:r>
            <w:r>
              <w:rPr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When answering this question, ensure that you include </w:t>
            </w:r>
            <w:r>
              <w:rPr>
                <w:rStyle w:val="None"/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evaluation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of the aims and objectives of employment legislation. </w:t>
            </w:r>
          </w:p>
        </w:tc>
      </w:tr>
      <w:tr>
        <w:tblPrEx>
          <w:shd w:val="clear" w:color="auto" w:fill="cdd4e9"/>
        </w:tblPrEx>
        <w:trPr>
          <w:trHeight w:val="2883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2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>Examine the role played by the tribunal and courts system in enforcing employment law.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Read this question carefully: it is split into three parts which will all need to be answered.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What do we mean by good law?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Are they still binding on the UK Courts&gt;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Provide an example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"https://www.cipd.org/uk/knowledge/employment-law/uk-employment-law-eu/"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 xml:space="preserve">CIPD 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Read: </w:t>
            </w:r>
            <w:r>
              <w:rPr>
                <w:rStyle w:val="None"/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chapter 1 of Daniels, </w:t>
            </w:r>
            <w:r>
              <w:rPr>
                <w:rStyle w:val="None"/>
                <w:rFonts w:ascii="Arial" w:cs="Arial Unicode MS" w:hAnsi="Arial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“</w:t>
            </w:r>
            <w:r>
              <w:rPr>
                <w:rStyle w:val="None"/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Introduction to Employment Law</w:t>
            </w:r>
            <w:r>
              <w:rPr>
                <w:rStyle w:val="None"/>
                <w:rFonts w:ascii="Arial" w:cs="Arial Unicode MS" w:hAnsi="Arial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” </w:t>
            </w:r>
            <w:r>
              <w:rPr>
                <w:rStyle w:val="None"/>
                <w:rFonts w:ascii="Arial" w:cs="Arial Unicode MS" w:hAnsi="Arial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 xml:space="preserve">Kogan Page 6th edition. </w:t>
            </w:r>
          </w:p>
        </w:tc>
      </w:tr>
      <w:tr>
        <w:tblPrEx>
          <w:shd w:val="clear" w:color="auto" w:fill="cdd4e9"/>
        </w:tblPrEx>
        <w:trPr>
          <w:trHeight w:val="241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3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>Explain the main principles of discrimination law in recruitment, selection and employment.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In this answer, you will need to provide </w:t>
            </w:r>
            <w:r>
              <w:rPr>
                <w:rStyle w:val="None"/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specific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examples to illustrate your answer.  You will need to consider occupational requirements in your discussion of the main principles of discrimination law in recruitment and selection.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chapter 6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Kogan Page 6th edition.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"https://www.equalityhumanrights.com/equality/equality-act-2010/codes-practice/employment-code-practice-0"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EHRC Guidance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"https://www.cipd.org/uk/knowledge/employment-law/recruitment/"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CIPD Guidance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</w:tc>
      </w:tr>
      <w:tr>
        <w:tblPrEx>
          <w:shd w:val="clear" w:color="auto" w:fill="cdd4e9"/>
        </w:tblPrEx>
        <w:trPr>
          <w:trHeight w:val="265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4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>Discuss the legal requirements of equal pay.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You must discuss the legal requirements of equal pay, specifically referring to the detail in email 4.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chapter 6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Kogan Page 6th edition. (Sub-section on equal pay and equal pay audits)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"https://www.cipd.org/uk/knowledge/employment-law/equal-pay/"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CIPD guidance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"https://www.acas.org.uk/equal-pay/equal-pay-law#:~:text=This"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ACAS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History: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"https://www.tuc.org.uk/workplace-guidance/case-studies/how-fords-striking-women-drove-equal-pay-act"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History of equal pay and the famous Dagenham Ford workers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</w:tc>
      </w:tr>
      <w:tr>
        <w:tblPrEx>
          <w:shd w:val="clear" w:color="auto" w:fill="cdd4e9"/>
        </w:tblPrEx>
        <w:trPr>
          <w:trHeight w:val="241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5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 xml:space="preserve">Discuss the legal implications of varying contracts.  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chapter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8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1"/>
                <w:lang w:val="ar-SA" w:bidi="ar-SA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Kogan Page 6th edition.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nl-NL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chapter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4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1"/>
                <w:lang w:val="ar-SA" w:bidi="ar-SA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Kogan Page 6th edition.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(Sub-section 4.3: varying a contract of employment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"https://www.cipd.org/uk/knowledge/factsheets/dismissal-factsheet/#constructive-dismissal"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CIPD guidance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"https://www.peoplemanagement.co.uk/article/1743377/constructive-dismissal-guide"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People Management article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r>
          </w:p>
        </w:tc>
      </w:tr>
      <w:tr>
        <w:tblPrEx>
          <w:shd w:val="clear" w:color="auto" w:fill="cdd4e9"/>
        </w:tblPrEx>
        <w:trPr>
          <w:trHeight w:val="289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6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>Explain the legal requirements relating to redundancy.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nl-NL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chapter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9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1"/>
                <w:lang w:val="ar-SA" w:bidi="ar-SA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Kogan Page 6th edition.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(Sub-section 9.4 Redundancy)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"https://www.cipd.org/uk/knowledge/employment-law/redundancy/"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CIPD guide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Note the specific detail mentioned in the question: you will need to address this in your answer.  This relates to mention of the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poorest performers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and the number of posts to be made redundant. 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It is </w:t>
            </w:r>
            <w:r>
              <w:rPr>
                <w:rStyle w:val="None"/>
                <w:rFonts w:ascii="Trebuchet MS" w:cs="Arial Unicode MS" w:hAnsi="Trebuchet MS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very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likely that the NHS Trust recognises trade unions, so consider this in your answer.</w:t>
            </w:r>
            <w:r>
              <w:rPr>
                <w:rStyle w:val="None"/>
                <w:rFonts w:ascii="Trebuchet MS" w:cs="Trebuchet MS" w:hAnsi="Trebuchet MS" w:eastAsia="Trebuchet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r>
          </w:p>
        </w:tc>
      </w:tr>
      <w:tr>
        <w:tblPrEx>
          <w:shd w:val="clear" w:color="auto" w:fill="cdd4e9"/>
        </w:tblPrEx>
        <w:trPr>
          <w:trHeight w:val="145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7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>Explain the legal requirements relating to transfers of undertakings.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nl-NL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chapter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9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1"/>
                <w:lang w:val="ar-SA" w:bidi="ar-SA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Kogan Page 6th edition.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(Sub-section 9.5: Transfer of Undertakings)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"https://www.cipd.org/uk/knowledge/guides/tupe-guide/"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CIPD: A Guide for People Professionals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(TUPE)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r>
          </w:p>
        </w:tc>
      </w:tr>
      <w:tr>
        <w:tblPrEx>
          <w:shd w:val="clear" w:color="auto" w:fill="cdd4e9"/>
        </w:tblPrEx>
        <w:trPr>
          <w:trHeight w:val="1105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8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 xml:space="preserve">Explain the major statutory rights in leave and working time. 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"https://www.acas.org.uk/irregular-hours-and-part-year-workers/calculating-holiday-pay"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ACAS guide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"https://www.acas.org.uk/irregular-hours-and-part-year-workers/rolled-up-holiday-pay"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Rolled up holiday pay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</w:tc>
      </w:tr>
      <w:tr>
        <w:tblPrEx>
          <w:shd w:val="clear" w:color="auto" w:fill="cdd4e9"/>
        </w:tblPrEx>
        <w:trPr>
          <w:trHeight w:val="1690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9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 xml:space="preserve">Explain the main principles of maternity, paternity and adoption rights in the context of employment rights. 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nl-NL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chapter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5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1"/>
                <w:lang w:val="ar-SA" w:bidi="ar-SA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Kogan Page 6th edition.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(Sub-section 5.5 maternity provisions and 5.8 shared parental leave)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"https://maternityaction.org.uk/"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Read: Maternity Action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"https://www.cipd.org/uk/knowledge/factsheets/maternity-paternity-rights-factsheet/"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CIPD factsheet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r>
          </w:p>
        </w:tc>
      </w:tr>
      <w:tr>
        <w:tblPrEx>
          <w:shd w:val="clear" w:color="auto" w:fill="cdd4e9"/>
        </w:tblPrEx>
        <w:trPr>
          <w:trHeight w:val="1105" w:hRule="atLeast"/>
        </w:trPr>
        <w:tc>
          <w:tcPr>
            <w:tcW w:type="dxa" w:w="28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Fonts w:ascii="Arial" w:cs="Arial Unicode MS" w:hAnsi="Arial" w:eastAsia="Arial Unicode MS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00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00"/>
                  </w14:solidFill>
                </w14:textFill>
              </w:rPr>
              <w:t>Email 10</w:t>
            </w:r>
          </w:p>
        </w:tc>
        <w:tc>
          <w:tcPr>
            <w:tcW w:type="dxa" w:w="254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  <w:spacing w:before="0" w:after="160" w:line="264" w:lineRule="auto"/>
              <w:ind w:left="0" w:right="0" w:firstLine="0"/>
              <w:jc w:val="left"/>
              <w:rPr>
                <w:rtl w:val="0"/>
              </w:rPr>
            </w:pPr>
            <w:r>
              <w:rPr>
                <w:rStyle w:val="None"/>
                <w:rFonts w:ascii="Trebuchet MS" w:hAnsi="Trebuchet MS"/>
                <w:outline w:val="0"/>
                <w:color w:val="004147"/>
                <w:sz w:val="22"/>
                <w:szCs w:val="22"/>
                <w:u w:color="004147"/>
                <w:shd w:val="nil" w:color="auto" w:fill="auto"/>
                <w:rtl w:val="0"/>
                <w:lang w:val="en-US"/>
                <w14:textFill>
                  <w14:solidFill>
                    <w14:srgbClr w14:val="004147"/>
                  </w14:solidFill>
                </w14:textFill>
              </w:rPr>
              <w:t xml:space="preserve">Explain employment rights relating to flexible working. </w:t>
            </w:r>
          </w:p>
        </w:tc>
        <w:tc>
          <w:tcPr>
            <w:tcW w:type="dxa" w:w="856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fdfd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Read: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nl-NL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chapter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4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of Daniels, 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1"/>
                <w:lang w:val="ar-SA" w:bidi="ar-SA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“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Introduction to Employment Law</w:t>
            </w:r>
            <w:r>
              <w:rPr>
                <w:rFonts w:ascii="Trebuchet MS" w:cs="Arial Unicode MS" w:hAnsi="Trebuchet MS" w:eastAsia="Arial Unicode MS" w:hint="default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” 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>Kogan Page 6th edition.</w:t>
            </w:r>
            <w:r>
              <w:rPr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t xml:space="preserve"> (Sub-section 4.2 flexible working)</w:t>
            </w: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:rtl w:val="0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</w:pPr>
          </w:p>
          <w:p>
            <w:pPr>
              <w:keepNext w:val="0"/>
              <w:keepLines w:val="0"/>
              <w:pageBreakBefore w:val="0"/>
              <w:widowControl w:val="1"/>
              <w:shd w:val="clear" w:color="auto" w:fill="auto"/>
              <w:suppressAutoHyphens w:val="0"/>
              <w:bidi w:val="0"/>
              <w:spacing w:before="0" w:after="0" w:line="240" w:lineRule="auto"/>
              <w:ind w:left="0" w:right="0" w:firstLine="0"/>
              <w:jc w:val="both"/>
              <w:outlineLvl w:val="9"/>
              <w:rPr>
                <w:rtl w:val="0"/>
              </w:rPr>
            </w:pP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begin" w:fldLock="0"/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instrText xml:space="preserve"> HYPERLINK "https://www.cipd.org/uk/knowledge/factsheets/flexible-working-factsheet/"</w:instrText>
            </w:r>
            <w:r>
              <w:rPr>
                <w:rStyle w:val="Link"/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fldChar w:fldCharType="separate" w:fldLock="0"/>
            </w:r>
            <w:r>
              <w:rPr>
                <w:rStyle w:val="Link"/>
                <w:rFonts w:ascii="Trebuchet MS" w:cs="Arial Unicode MS" w:hAnsi="Trebuchet MS" w:eastAsia="Arial Unicode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0000ff"/>
                <w:spacing w:val="0"/>
                <w:kern w:val="0"/>
                <w:position w:val="0"/>
                <w:sz w:val="22"/>
                <w:szCs w:val="22"/>
                <w:u w:val="single" w:color="0000ff"/>
                <w:shd w:val="nil" w:color="auto" w:fill="auto"/>
                <w:vertAlign w:val="baseline"/>
                <w:rtl w:val="0"/>
                <w:lang w:val="en-US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0000FF"/>
                  </w14:solidFill>
                </w14:textFill>
              </w:rPr>
              <w:t>CIPD Factsheet</w:t>
            </w:r>
            <w:r>
              <w:rPr>
                <w:rFonts w:ascii="Trebuchet MS" w:cs="Trebuchet MS" w:hAnsi="Trebuchet MS" w:eastAsia="Trebuchet M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outline w:val="0"/>
                <w:color w:val="487caa"/>
                <w:spacing w:val="0"/>
                <w:kern w:val="0"/>
                <w:position w:val="0"/>
                <w:sz w:val="22"/>
                <w:szCs w:val="22"/>
                <w:u w:val="none" w:color="000000"/>
                <w:shd w:val="nil" w:color="auto" w:fill="auto"/>
                <w:vertAlign w:val="baseline"/>
                <w14:textOutline w14:w="12700" w14:cap="flat">
                  <w14:noFill/>
                  <w14:miter w14:lim="400000"/>
                </w14:textOutline>
                <w14:textFill>
                  <w14:solidFill>
                    <w14:srgbClr w14:val="497CAA"/>
                  </w14:solidFill>
                </w14:textFill>
              </w:rPr>
              <w:fldChar w:fldCharType="end" w:fldLock="0"/>
            </w:r>
          </w:p>
        </w:tc>
      </w:tr>
    </w:tbl>
    <w:p>
      <w:pPr>
        <w:pStyle w:val="Body"/>
        <w:widowControl w:val="0"/>
        <w:ind w:left="216" w:hanging="216"/>
      </w:pPr>
    </w:p>
    <w:p>
      <w:pPr>
        <w:pStyle w:val="Body A"/>
        <w:rPr>
          <w:rStyle w:val="None"/>
          <w:rFonts w:ascii="Arial" w:cs="Arial" w:hAnsi="Arial" w:eastAsia="Arial"/>
          <w:b w:val="1"/>
          <w:bCs w:val="1"/>
          <w:sz w:val="22"/>
          <w:szCs w:val="22"/>
        </w:rPr>
      </w:pPr>
    </w:p>
    <w:p>
      <w:pPr>
        <w:pStyle w:val="Heading 2"/>
        <w:shd w:val="clear" w:color="auto" w:fill="ffffff"/>
        <w:spacing w:after="150" w:line="336" w:lineRule="atLeast"/>
        <w:rPr>
          <w:rStyle w:val="None"/>
          <w:rFonts w:ascii="Trebuchet MS" w:cs="Trebuchet MS" w:hAnsi="Trebuchet MS" w:eastAsia="Trebuchet MS"/>
          <w:b w:val="1"/>
          <w:bCs w:val="1"/>
          <w:outline w:val="0"/>
          <w:color w:val="000000"/>
          <w:sz w:val="22"/>
          <w:szCs w:val="22"/>
          <w:u w:color="000000"/>
          <w14:textFill>
            <w14:solidFill>
              <w14:srgbClr w14:val="000000"/>
            </w14:solidFill>
          </w14:textFill>
        </w:rPr>
      </w:pPr>
      <w:r>
        <w:rPr>
          <w:rStyle w:val="None"/>
          <w:rFonts w:ascii="Trebuchet MS" w:hAnsi="Trebuchet MS"/>
          <w:b w:val="1"/>
          <w:bCs w:val="1"/>
          <w:outline w:val="0"/>
          <w:color w:val="000000"/>
          <w:sz w:val="22"/>
          <w:szCs w:val="22"/>
          <w:u w:color="000000"/>
          <w:rtl w:val="0"/>
          <w:lang w:val="en-US"/>
          <w14:textFill>
            <w14:solidFill>
              <w14:srgbClr w14:val="000000"/>
            </w14:solidFill>
          </w14:textFill>
        </w:rPr>
        <w:t>Mandatory reading (Textbooks)</w:t>
      </w:r>
    </w:p>
    <w:p>
      <w:pPr>
        <w:pStyle w:val="Heading 2"/>
        <w:shd w:val="clear" w:color="auto" w:fill="ffffff"/>
        <w:spacing w:after="150" w:line="336" w:lineRule="atLeast"/>
        <w:rPr>
          <w:rStyle w:val="None"/>
          <w:rFonts w:ascii="Trebuchet MS" w:cs="Trebuchet MS" w:hAnsi="Trebuchet MS" w:eastAsia="Trebuchet MS"/>
          <w:outline w:val="0"/>
          <w:color w:val="000000"/>
          <w:sz w:val="22"/>
          <w:szCs w:val="22"/>
          <w:u w:color="000000"/>
          <w14:textFill>
            <w14:solidFill>
              <w14:srgbClr w14:val="000000"/>
            </w14:solidFill>
          </w14:textFill>
        </w:rPr>
      </w:pPr>
      <w:r>
        <w:rPr>
          <w:rStyle w:val="None"/>
          <w:rFonts w:ascii="Trebuchet MS" w:hAnsi="Trebuchet MS"/>
          <w:outline w:val="0"/>
          <w:color w:val="000000"/>
          <w:sz w:val="22"/>
          <w:szCs w:val="22"/>
          <w:u w:color="000000"/>
          <w:rtl w:val="0"/>
          <w:lang w:val="en-US"/>
          <w14:textFill>
            <w14:solidFill>
              <w14:srgbClr w14:val="000000"/>
            </w14:solidFill>
          </w14:textFill>
        </w:rPr>
        <w:t>Daniels, K. (2022)</w:t>
      </w:r>
      <w:r>
        <w:rPr>
          <w:rStyle w:val="None"/>
          <w:rFonts w:ascii="Trebuchet MS" w:hAnsi="Trebuchet MS"/>
          <w:outline w:val="0"/>
          <w:color w:val="000000"/>
          <w:u w:color="000000"/>
          <w:rtl w:val="0"/>
          <w:lang w:val="en-US"/>
          <w14:textFill>
            <w14:solidFill>
              <w14:srgbClr w14:val="000000"/>
            </w14:solidFill>
          </w14:textFill>
        </w:rPr>
        <w:t xml:space="preserve"> </w:t>
      </w:r>
      <w:r>
        <w:rPr>
          <w:rStyle w:val="None"/>
          <w:rFonts w:ascii="Trebuchet MS" w:hAnsi="Trebuchet MS"/>
          <w:i w:val="1"/>
          <w:iCs w:val="1"/>
          <w:outline w:val="0"/>
          <w:color w:val="000000"/>
          <w:sz w:val="22"/>
          <w:szCs w:val="22"/>
          <w:u w:color="000000"/>
          <w:rtl w:val="0"/>
          <w:lang w:val="en-US"/>
          <w14:textFill>
            <w14:solidFill>
              <w14:srgbClr w14:val="000000"/>
            </w14:solidFill>
          </w14:textFill>
        </w:rPr>
        <w:t>Introduction to Employment Law. Fundamentals for HR and Business Students</w:t>
      </w:r>
      <w:r>
        <w:rPr>
          <w:rStyle w:val="None"/>
          <w:rFonts w:ascii="Trebuchet MS" w:hAnsi="Trebuchet MS"/>
          <w:outline w:val="0"/>
          <w:color w:val="333333"/>
          <w:u w:color="333333"/>
          <w:rtl w:val="0"/>
          <w:lang w:val="en-US"/>
          <w14:textFill>
            <w14:solidFill>
              <w14:srgbClr w14:val="333333"/>
            </w14:solidFill>
          </w14:textFill>
        </w:rPr>
        <w:t xml:space="preserve"> </w:t>
      </w:r>
      <w:r>
        <w:rPr>
          <w:rStyle w:val="None"/>
          <w:rFonts w:ascii="Trebuchet MS" w:hAnsi="Trebuchet MS"/>
          <w:outline w:val="0"/>
          <w:color w:val="000000"/>
          <w:sz w:val="22"/>
          <w:szCs w:val="22"/>
          <w:u w:color="000000"/>
          <w:rtl w:val="0"/>
          <w:lang w:val="it-IT"/>
          <w14:textFill>
            <w14:solidFill>
              <w14:srgbClr w14:val="000000"/>
            </w14:solidFill>
          </w14:textFill>
        </w:rPr>
        <w:t xml:space="preserve">(6 ed.). London: CIPD </w:t>
      </w:r>
      <w:r>
        <w:rPr>
          <w:rStyle w:val="None"/>
          <w:rFonts w:ascii="Trebuchet MS" w:hAnsi="Trebuchet MS" w:hint="default"/>
          <w:outline w:val="0"/>
          <w:color w:val="000000"/>
          <w:sz w:val="22"/>
          <w:szCs w:val="22"/>
          <w:u w:color="000000"/>
          <w:rtl w:val="0"/>
          <w:lang w:val="en-US"/>
          <w14:textFill>
            <w14:solidFill>
              <w14:srgbClr w14:val="000000"/>
            </w14:solidFill>
          </w14:textFill>
        </w:rPr>
        <w:t xml:space="preserve">– </w:t>
      </w:r>
      <w:r>
        <w:rPr>
          <w:rStyle w:val="None"/>
          <w:rFonts w:ascii="Trebuchet MS" w:hAnsi="Trebuchet MS"/>
          <w:outline w:val="0"/>
          <w:color w:val="000000"/>
          <w:sz w:val="22"/>
          <w:szCs w:val="22"/>
          <w:u w:color="000000"/>
          <w:rtl w:val="0"/>
          <w:lang w:val="en-US"/>
          <w14:textFill>
            <w14:solidFill>
              <w14:srgbClr w14:val="000000"/>
            </w14:solidFill>
          </w14:textFill>
        </w:rPr>
        <w:t>Specifically chapters 8 and 10</w:t>
      </w:r>
    </w:p>
    <w:p>
      <w:pPr>
        <w:pStyle w:val="Body B"/>
        <w:rPr>
          <w:rFonts w:ascii="Trebuchet MS" w:cs="Trebuchet MS" w:hAnsi="Trebuchet MS" w:eastAsia="Trebuchet MS"/>
        </w:rPr>
      </w:pP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>Armstrong</w:t>
      </w:r>
      <w:r>
        <w:rPr>
          <w:rStyle w:val="None"/>
          <w:rFonts w:ascii="Trebuchet MS" w:hAnsi="Trebuchet MS" w:hint="default"/>
          <w:sz w:val="22"/>
          <w:szCs w:val="22"/>
          <w:rtl w:val="0"/>
          <w:lang w:val="en-US"/>
        </w:rPr>
        <w:t>’</w:t>
      </w: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>s Book of HRM Practice Armstrong and Taylor 16th ed</w:t>
      </w:r>
    </w:p>
    <w:p>
      <w:pPr>
        <w:pStyle w:val="Body A"/>
        <w:rPr>
          <w:rStyle w:val="None"/>
          <w:rFonts w:ascii="Trebuchet MS" w:cs="Trebuchet MS" w:hAnsi="Trebuchet MS" w:eastAsia="Trebuchet MS"/>
          <w:outline w:val="0"/>
          <w:color w:val="0000ff"/>
          <w:sz w:val="22"/>
          <w:szCs w:val="22"/>
          <w:u w:val="single" w:color="0000ff"/>
          <w14:textFill>
            <w14:solidFill>
              <w14:srgbClr w14:val="0000FF"/>
            </w14:solidFill>
          </w14:textFill>
        </w:rPr>
      </w:pPr>
    </w:p>
    <w:p>
      <w:pPr>
        <w:pStyle w:val="Body A"/>
        <w:rPr>
          <w:rFonts w:ascii="Trebuchet MS" w:cs="Trebuchet MS" w:hAnsi="Trebuchet MS" w:eastAsia="Trebuchet MS"/>
          <w:sz w:val="22"/>
          <w:szCs w:val="22"/>
        </w:rPr>
      </w:pPr>
    </w:p>
    <w:p>
      <w:pPr>
        <w:pStyle w:val="Body A"/>
        <w:rPr>
          <w:rStyle w:val="None"/>
          <w:rFonts w:ascii="Trebuchet MS" w:cs="Trebuchet MS" w:hAnsi="Trebuchet MS" w:eastAsia="Trebuchet MS"/>
          <w:b w:val="1"/>
          <w:bCs w:val="1"/>
          <w:sz w:val="22"/>
          <w:szCs w:val="22"/>
        </w:rPr>
      </w:pPr>
      <w:r>
        <w:rPr>
          <w:rStyle w:val="None"/>
          <w:rFonts w:ascii="Trebuchet MS" w:hAnsi="Trebuchet MS"/>
          <w:b w:val="1"/>
          <w:bCs w:val="1"/>
          <w:sz w:val="22"/>
          <w:szCs w:val="22"/>
          <w:rtl w:val="0"/>
          <w:lang w:val="en-US"/>
        </w:rPr>
        <w:t>Other Sources of Information for Self-directed Learning:</w:t>
      </w:r>
    </w:p>
    <w:p>
      <w:pPr>
        <w:pStyle w:val="Body A"/>
        <w:rPr>
          <w:rFonts w:ascii="Trebuchet MS" w:cs="Trebuchet MS" w:hAnsi="Trebuchet MS" w:eastAsia="Trebuchet MS"/>
          <w:sz w:val="22"/>
          <w:szCs w:val="22"/>
        </w:rPr>
      </w:pPr>
    </w:p>
    <w:p>
      <w:pPr>
        <w:pStyle w:val="Body A"/>
        <w:spacing w:line="480" w:lineRule="auto"/>
        <w:rPr>
          <w:rStyle w:val="None"/>
          <w:rFonts w:ascii="Trebuchet MS" w:cs="Trebuchet MS" w:hAnsi="Trebuchet MS" w:eastAsia="Trebuchet MS"/>
          <w:sz w:val="22"/>
          <w:szCs w:val="22"/>
        </w:rPr>
      </w:pPr>
      <w:r>
        <w:rPr>
          <w:rStyle w:val="Hyperlink.2"/>
          <w:rFonts w:ascii="Trebuchet MS" w:cs="Trebuchet MS" w:hAnsi="Trebuchet MS" w:eastAsia="Trebuchet MS"/>
        </w:rPr>
        <w:fldChar w:fldCharType="begin" w:fldLock="0"/>
      </w:r>
      <w:r>
        <w:rPr>
          <w:rStyle w:val="Hyperlink.2"/>
          <w:rFonts w:ascii="Trebuchet MS" w:cs="Trebuchet MS" w:hAnsi="Trebuchet MS" w:eastAsia="Trebuchet MS"/>
        </w:rPr>
        <w:instrText xml:space="preserve"> HYPERLINK "http://www.cipd.co.uk"</w:instrText>
      </w:r>
      <w:r>
        <w:rPr>
          <w:rStyle w:val="Hyperlink.2"/>
          <w:rFonts w:ascii="Trebuchet MS" w:cs="Trebuchet MS" w:hAnsi="Trebuchet MS" w:eastAsia="Trebuchet MS"/>
        </w:rPr>
        <w:fldChar w:fldCharType="separate" w:fldLock="0"/>
      </w:r>
      <w:r>
        <w:rPr>
          <w:rStyle w:val="Hyperlink.2"/>
          <w:rFonts w:ascii="Trebuchet MS" w:hAnsi="Trebuchet MS"/>
          <w:rtl w:val="0"/>
          <w:lang w:val="en-US"/>
        </w:rPr>
        <w:t>www.cipd.co.uk</w:t>
      </w:r>
      <w:r>
        <w:rPr>
          <w:rFonts w:ascii="Trebuchet MS" w:cs="Trebuchet MS" w:hAnsi="Trebuchet MS" w:eastAsia="Trebuchet MS"/>
        </w:rPr>
        <w:fldChar w:fldCharType="end" w:fldLock="0"/>
      </w:r>
      <w:r>
        <w:rPr>
          <w:rStyle w:val="None"/>
          <w:rFonts w:ascii="Trebuchet MS" w:hAnsi="Trebuchet MS" w:hint="default"/>
          <w:sz w:val="22"/>
          <w:szCs w:val="22"/>
          <w:rtl w:val="0"/>
          <w:lang w:val="en-US"/>
        </w:rPr>
        <w:t xml:space="preserve"> – </w:t>
      </w: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>factsheets, q&amp;a</w:t>
      </w:r>
      <w:r>
        <w:rPr>
          <w:rStyle w:val="None"/>
          <w:rFonts w:ascii="Trebuchet MS" w:hAnsi="Trebuchet MS" w:hint="default"/>
          <w:sz w:val="22"/>
          <w:szCs w:val="22"/>
          <w:rtl w:val="0"/>
          <w:lang w:val="en-US"/>
        </w:rPr>
        <w:t>’</w:t>
      </w: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 xml:space="preserve">s, case law and podcasts </w:t>
      </w:r>
      <w:r>
        <w:rPr>
          <w:rStyle w:val="Hyperlink.2"/>
          <w:rFonts w:ascii="Trebuchet MS" w:cs="Trebuchet MS" w:hAnsi="Trebuchet MS" w:eastAsia="Trebuchet MS"/>
        </w:rPr>
        <w:fldChar w:fldCharType="begin" w:fldLock="0"/>
      </w:r>
      <w:r>
        <w:rPr>
          <w:rStyle w:val="Hyperlink.2"/>
          <w:rFonts w:ascii="Trebuchet MS" w:cs="Trebuchet MS" w:hAnsi="Trebuchet MS" w:eastAsia="Trebuchet MS"/>
        </w:rPr>
        <w:instrText xml:space="preserve"> HYPERLINK "https://www.cipd.co.uk/knowledge/fundamentals/emp-law"</w:instrText>
      </w:r>
      <w:r>
        <w:rPr>
          <w:rStyle w:val="Hyperlink.2"/>
          <w:rFonts w:ascii="Trebuchet MS" w:cs="Trebuchet MS" w:hAnsi="Trebuchet MS" w:eastAsia="Trebuchet MS"/>
        </w:rPr>
        <w:fldChar w:fldCharType="separate" w:fldLock="0"/>
      </w:r>
      <w:r>
        <w:rPr>
          <w:rStyle w:val="Hyperlink.2"/>
          <w:rFonts w:ascii="Trebuchet MS" w:hAnsi="Trebuchet MS"/>
          <w:rtl w:val="0"/>
          <w:lang w:val="en-US"/>
        </w:rPr>
        <w:t>https://www.cipd.co.uk/knowledge/fundamentals/emp-law</w:t>
      </w:r>
      <w:r>
        <w:rPr>
          <w:rFonts w:ascii="Trebuchet MS" w:cs="Trebuchet MS" w:hAnsi="Trebuchet MS" w:eastAsia="Trebuchet MS"/>
        </w:rPr>
        <w:fldChar w:fldCharType="end" w:fldLock="0"/>
      </w: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 xml:space="preserve"> </w:t>
      </w:r>
    </w:p>
    <w:p>
      <w:pPr>
        <w:pStyle w:val="Body A"/>
        <w:spacing w:line="480" w:lineRule="auto"/>
        <w:rPr>
          <w:rStyle w:val="None"/>
          <w:rFonts w:ascii="Trebuchet MS" w:cs="Trebuchet MS" w:hAnsi="Trebuchet MS" w:eastAsia="Trebuchet MS"/>
          <w:sz w:val="22"/>
          <w:szCs w:val="22"/>
        </w:rPr>
      </w:pP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 xml:space="preserve">People Management. Available at: </w:t>
      </w:r>
      <w:r>
        <w:rPr>
          <w:rStyle w:val="Hyperlink.2"/>
          <w:rFonts w:ascii="Trebuchet MS" w:cs="Trebuchet MS" w:hAnsi="Trebuchet MS" w:eastAsia="Trebuchet MS"/>
        </w:rPr>
        <w:fldChar w:fldCharType="begin" w:fldLock="0"/>
      </w:r>
      <w:r>
        <w:rPr>
          <w:rStyle w:val="Hyperlink.2"/>
          <w:rFonts w:ascii="Trebuchet MS" w:cs="Trebuchet MS" w:hAnsi="Trebuchet MS" w:eastAsia="Trebuchet MS"/>
        </w:rPr>
        <w:instrText xml:space="preserve"> HYPERLINK "https://www.peoplemanagement.co.uk/"</w:instrText>
      </w:r>
      <w:r>
        <w:rPr>
          <w:rStyle w:val="Hyperlink.2"/>
          <w:rFonts w:ascii="Trebuchet MS" w:cs="Trebuchet MS" w:hAnsi="Trebuchet MS" w:eastAsia="Trebuchet MS"/>
        </w:rPr>
        <w:fldChar w:fldCharType="separate" w:fldLock="0"/>
      </w:r>
      <w:r>
        <w:rPr>
          <w:rStyle w:val="Hyperlink.2"/>
          <w:rFonts w:ascii="Trebuchet MS" w:hAnsi="Trebuchet MS"/>
          <w:rtl w:val="0"/>
          <w:lang w:val="en-US"/>
        </w:rPr>
        <w:t>People Management homepage</w:t>
      </w:r>
      <w:r>
        <w:rPr>
          <w:rFonts w:ascii="Trebuchet MS" w:cs="Trebuchet MS" w:hAnsi="Trebuchet MS" w:eastAsia="Trebuchet MS"/>
        </w:rPr>
        <w:fldChar w:fldCharType="end" w:fldLock="0"/>
      </w:r>
    </w:p>
    <w:p>
      <w:pPr>
        <w:pStyle w:val="Body A"/>
        <w:spacing w:line="480" w:lineRule="auto"/>
        <w:rPr>
          <w:rStyle w:val="None"/>
          <w:rFonts w:ascii="Trebuchet MS" w:cs="Trebuchet MS" w:hAnsi="Trebuchet MS" w:eastAsia="Trebuchet MS"/>
          <w:sz w:val="22"/>
          <w:szCs w:val="22"/>
        </w:rPr>
      </w:pP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 xml:space="preserve">Personnel Today. Available at: </w:t>
      </w:r>
      <w:r>
        <w:rPr>
          <w:rStyle w:val="Hyperlink.2"/>
          <w:rFonts w:ascii="Trebuchet MS" w:cs="Trebuchet MS" w:hAnsi="Trebuchet MS" w:eastAsia="Trebuchet MS"/>
        </w:rPr>
        <w:fldChar w:fldCharType="begin" w:fldLock="0"/>
      </w:r>
      <w:r>
        <w:rPr>
          <w:rStyle w:val="Hyperlink.2"/>
          <w:rFonts w:ascii="Trebuchet MS" w:cs="Trebuchet MS" w:hAnsi="Trebuchet MS" w:eastAsia="Trebuchet MS"/>
        </w:rPr>
        <w:instrText xml:space="preserve"> HYPERLINK "http://www.personneltoday.com/"</w:instrText>
      </w:r>
      <w:r>
        <w:rPr>
          <w:rStyle w:val="Hyperlink.2"/>
          <w:rFonts w:ascii="Trebuchet MS" w:cs="Trebuchet MS" w:hAnsi="Trebuchet MS" w:eastAsia="Trebuchet MS"/>
        </w:rPr>
        <w:fldChar w:fldCharType="separate" w:fldLock="0"/>
      </w:r>
      <w:r>
        <w:rPr>
          <w:rStyle w:val="Hyperlink.2"/>
          <w:rFonts w:ascii="Trebuchet MS" w:hAnsi="Trebuchet MS"/>
          <w:rtl w:val="0"/>
          <w:lang w:val="en-US"/>
        </w:rPr>
        <w:t>http://www.personneltoday.com/</w:t>
      </w:r>
      <w:r>
        <w:rPr>
          <w:rFonts w:ascii="Trebuchet MS" w:cs="Trebuchet MS" w:hAnsi="Trebuchet MS" w:eastAsia="Trebuchet MS"/>
        </w:rPr>
        <w:fldChar w:fldCharType="end" w:fldLock="0"/>
      </w: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 xml:space="preserve"> and HR Magazine. Available at </w:t>
      </w:r>
      <w:r>
        <w:rPr>
          <w:rStyle w:val="Hyperlink.2"/>
          <w:rFonts w:ascii="Trebuchet MS" w:cs="Trebuchet MS" w:hAnsi="Trebuchet MS" w:eastAsia="Trebuchet MS"/>
        </w:rPr>
        <w:fldChar w:fldCharType="begin" w:fldLock="0"/>
      </w:r>
      <w:r>
        <w:rPr>
          <w:rStyle w:val="Hyperlink.2"/>
          <w:rFonts w:ascii="Trebuchet MS" w:cs="Trebuchet MS" w:hAnsi="Trebuchet MS" w:eastAsia="Trebuchet MS"/>
        </w:rPr>
        <w:instrText xml:space="preserve"> HYPERLINK "http://www.hrmagazine.co.uk"</w:instrText>
      </w:r>
      <w:r>
        <w:rPr>
          <w:rStyle w:val="Hyperlink.2"/>
          <w:rFonts w:ascii="Trebuchet MS" w:cs="Trebuchet MS" w:hAnsi="Trebuchet MS" w:eastAsia="Trebuchet MS"/>
        </w:rPr>
        <w:fldChar w:fldCharType="separate" w:fldLock="0"/>
      </w:r>
      <w:r>
        <w:rPr>
          <w:rStyle w:val="Hyperlink.2"/>
          <w:rFonts w:ascii="Trebuchet MS" w:hAnsi="Trebuchet MS"/>
          <w:rtl w:val="0"/>
          <w:lang w:val="en-US"/>
        </w:rPr>
        <w:t>http://www.hrmagazine.co.uk</w:t>
      </w:r>
      <w:r>
        <w:rPr>
          <w:rFonts w:ascii="Trebuchet MS" w:cs="Trebuchet MS" w:hAnsi="Trebuchet MS" w:eastAsia="Trebuchet MS"/>
        </w:rPr>
        <w:fldChar w:fldCharType="end" w:fldLock="0"/>
      </w:r>
    </w:p>
    <w:p>
      <w:pPr>
        <w:pStyle w:val="Body A"/>
        <w:spacing w:line="480" w:lineRule="auto"/>
        <w:rPr>
          <w:rStyle w:val="None"/>
          <w:rFonts w:ascii="Trebuchet MS" w:cs="Trebuchet MS" w:hAnsi="Trebuchet MS" w:eastAsia="Trebuchet MS"/>
          <w:sz w:val="22"/>
          <w:szCs w:val="22"/>
        </w:rPr>
      </w:pPr>
      <w:r>
        <w:rPr>
          <w:rStyle w:val="None"/>
          <w:rFonts w:ascii="Trebuchet MS" w:hAnsi="Trebuchet MS"/>
          <w:sz w:val="22"/>
          <w:szCs w:val="22"/>
          <w:rtl w:val="0"/>
          <w:lang w:val="en-US"/>
        </w:rPr>
        <w:t xml:space="preserve">UWTSD Library and Learning Resources. Available at: </w:t>
      </w:r>
      <w:r>
        <w:rPr>
          <w:rStyle w:val="Hyperlink.2"/>
          <w:rFonts w:ascii="Trebuchet MS" w:cs="Trebuchet MS" w:hAnsi="Trebuchet MS" w:eastAsia="Trebuchet MS"/>
        </w:rPr>
        <w:fldChar w:fldCharType="begin" w:fldLock="0"/>
      </w:r>
      <w:r>
        <w:rPr>
          <w:rStyle w:val="Hyperlink.2"/>
          <w:rFonts w:ascii="Trebuchet MS" w:cs="Trebuchet MS" w:hAnsi="Trebuchet MS" w:eastAsia="Trebuchet MS"/>
        </w:rPr>
        <w:instrText xml:space="preserve"> HYPERLINK "http://www.uwtsd.ac.uk/library/"</w:instrText>
      </w:r>
      <w:r>
        <w:rPr>
          <w:rStyle w:val="Hyperlink.2"/>
          <w:rFonts w:ascii="Trebuchet MS" w:cs="Trebuchet MS" w:hAnsi="Trebuchet MS" w:eastAsia="Trebuchet MS"/>
        </w:rPr>
        <w:fldChar w:fldCharType="separate" w:fldLock="0"/>
      </w:r>
      <w:r>
        <w:rPr>
          <w:rStyle w:val="Hyperlink.2"/>
          <w:rFonts w:ascii="Trebuchet MS" w:hAnsi="Trebuchet MS"/>
          <w:rtl w:val="0"/>
          <w:lang w:val="en-US"/>
        </w:rPr>
        <w:t>http://www.uwtsd.ac.uk/library/</w:t>
      </w:r>
      <w:r>
        <w:rPr>
          <w:rFonts w:ascii="Trebuchet MS" w:cs="Trebuchet MS" w:hAnsi="Trebuchet MS" w:eastAsia="Trebuchet MS"/>
        </w:rPr>
        <w:fldChar w:fldCharType="end" w:fldLock="0"/>
      </w:r>
    </w:p>
    <w:p>
      <w:pPr>
        <w:pStyle w:val="Body A"/>
        <w:spacing w:line="480" w:lineRule="auto"/>
        <w:rPr>
          <w:rStyle w:val="None"/>
          <w:rFonts w:ascii="Arial" w:cs="Arial" w:hAnsi="Arial" w:eastAsia="Arial"/>
          <w:sz w:val="22"/>
          <w:szCs w:val="22"/>
        </w:rPr>
      </w:pPr>
    </w:p>
    <w:p>
      <w:pPr>
        <w:pStyle w:val="Body A"/>
        <w:spacing w:line="480" w:lineRule="auto"/>
      </w:pPr>
      <w:r>
        <w:rPr>
          <w:rStyle w:val="None"/>
          <w:rFonts w:ascii="Arial" w:hAnsi="Arial"/>
          <w:sz w:val="22"/>
          <w:szCs w:val="22"/>
          <w:rtl w:val="0"/>
          <w:lang w:val="en-US"/>
        </w:rPr>
        <w:t xml:space="preserve"> </w:t>
      </w:r>
    </w:p>
    <w:sectPr>
      <w:headerReference w:type="default" r:id="rId4"/>
      <w:footerReference w:type="default" r:id="rId5"/>
      <w:pgSz w:w="16840" w:h="11900" w:orient="landscape"/>
      <w:pgMar w:top="1919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Trebuchet MS">
    <w:charset w:val="00"/>
    <w:family w:val="roman"/>
    <w:pitch w:val="default"/>
  </w:font>
  <w:font w:name="Calibri Light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"/>
      <w:jc w:val="center"/>
    </w:pPr>
    <w:r>
      <w:rPr>
        <w:rFonts w:ascii="Arial" w:hAnsi="Arial"/>
        <w:sz w:val="32"/>
        <w:szCs w:val="32"/>
        <w:rtl w:val="0"/>
        <w:lang w:val="en-US"/>
      </w:rPr>
      <w:t xml:space="preserve"> CIPD Associate Diploma in People Management: Learning Plan</w:t>
    </w:r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">
    <w:name w:val="header"/>
    <w:next w:val="header"/>
    <w:pPr>
      <w:keepNext w:val="0"/>
      <w:keepLines w:val="0"/>
      <w:pageBreakBefore w:val="0"/>
      <w:widowControl w:val="1"/>
      <w:shd w:val="clear" w:color="auto" w:fill="auto"/>
      <w:tabs>
        <w:tab w:val="center" w:pos="4513"/>
        <w:tab w:val="right" w:pos="902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Times New Roman" w:hAnsi="Times New Roman" w:eastAsia="Times New Roman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 3">
    <w:name w:val="Heading 3"/>
    <w:next w:val="Body A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1"/>
    </w:pPr>
    <w:rPr>
      <w:rFonts w:ascii="Times New Roman" w:cs="Arial Unicode MS" w:hAnsi="Times New Roman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character" w:styleId="None">
    <w:name w:val="None"/>
  </w:style>
  <w:style w:type="character" w:styleId="Hyperlink.0">
    <w:name w:val="Hyperlink.0"/>
    <w:basedOn w:val="None"/>
    <w:next w:val="Hyperlink.0"/>
    <w:rPr>
      <w:rFonts w:ascii="Arial" w:cs="Arial" w:hAnsi="Arial" w:eastAsia="Arial"/>
      <w:outline w:val="0"/>
      <w:color w:val="0000ff"/>
      <w:sz w:val="22"/>
      <w:szCs w:val="22"/>
      <w:u w:val="single" w:color="0000ff"/>
      <w:shd w:val="nil" w:color="auto" w:fill="auto"/>
      <w:lang w:val="en-US"/>
      <w14:textFill>
        <w14:solidFill>
          <w14:srgbClr w14:val="0000FF"/>
        </w14:solidFill>
      </w14:textFill>
    </w:rPr>
  </w:style>
  <w:style w:type="character" w:styleId="Link">
    <w:name w:val="Link"/>
    <w:rPr>
      <w:outline w:val="0"/>
      <w:color w:val="0000ff"/>
      <w:u w:val="single" w:color="0000ff"/>
      <w14:textFill>
        <w14:solidFill>
          <w14:srgbClr w14:val="0000FF"/>
        </w14:solidFill>
      </w14:textFill>
    </w:rPr>
  </w:style>
  <w:style w:type="character" w:styleId="Hyperlink.1">
    <w:name w:val="Hyperlink.1"/>
    <w:basedOn w:val="Link"/>
    <w:next w:val="Hyperlink.1"/>
    <w:rPr>
      <w:outline w:val="0"/>
      <w:color w:val="487caa"/>
      <w14:textFill>
        <w14:solidFill>
          <w14:srgbClr w14:val="497CAA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 2">
    <w:name w:val="Heading 2"/>
    <w:next w:val="Body A"/>
    <w:pPr>
      <w:keepNext w:val="1"/>
      <w:keepLines w:val="1"/>
      <w:pageBreakBefore w:val="0"/>
      <w:widowControl w:val="1"/>
      <w:shd w:val="clear" w:color="auto" w:fill="auto"/>
      <w:suppressAutoHyphens w:val="0"/>
      <w:bidi w:val="0"/>
      <w:spacing w:before="40" w:after="0" w:line="240" w:lineRule="auto"/>
      <w:ind w:left="0" w:right="0" w:firstLine="0"/>
      <w:jc w:val="left"/>
      <w:outlineLvl w:val="0"/>
    </w:pPr>
    <w:rPr>
      <w:rFonts w:ascii="Calibri Light" w:cs="Arial Unicode MS" w:hAnsi="Calibri Light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2f5496"/>
      <w:spacing w:val="0"/>
      <w:kern w:val="0"/>
      <w:position w:val="0"/>
      <w:sz w:val="26"/>
      <w:szCs w:val="26"/>
      <w:u w:val="none" w:color="2f5496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2F5496"/>
        </w14:solidFill>
      </w14:textFill>
    </w:rPr>
  </w:style>
  <w:style w:type="paragraph" w:styleId="Body B">
    <w:name w:val="Body B"/>
    <w:next w:val="Body B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character" w:styleId="Hyperlink.2">
    <w:name w:val="Hyperlink.2"/>
    <w:basedOn w:val="None"/>
    <w:next w:val="Hyperlink.2"/>
    <w:rPr>
      <w:outline w:val="0"/>
      <w:color w:val="0000ff"/>
      <w:sz w:val="22"/>
      <w:szCs w:val="22"/>
      <w:u w:val="single" w:color="0000ff"/>
      <w14:textFill>
        <w14:solidFill>
          <w14:srgbClr w14:val="0000FF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