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color w:val="4472C4" w:themeColor="accent1"/>
          <w:sz w:val="24"/>
          <w:szCs w:val="24"/>
          <w:lang w:val="en-GB"/>
        </w:rPr>
        <w:id w:val="430475708"/>
        <w:docPartObj>
          <w:docPartGallery w:val="Cover Pages"/>
          <w:docPartUnique/>
        </w:docPartObj>
      </w:sdtPr>
      <w:sdtEndPr>
        <w:rPr>
          <w:color w:val="auto"/>
          <w:kern w:val="2"/>
          <w:lang w:eastAsia="zh-CN"/>
          <w14:ligatures w14:val="standardContextual"/>
        </w:rPr>
      </w:sdtEndPr>
      <w:sdtContent>
        <w:p w14:paraId="15A6A0F9" w14:textId="57A5C06F" w:rsidR="00F14F16" w:rsidRPr="009B09CB" w:rsidRDefault="00F14F16">
          <w:pPr>
            <w:pStyle w:val="NoSpacing"/>
            <w:spacing w:before="1540" w:after="240"/>
            <w:jc w:val="center"/>
            <w:rPr>
              <w:rFonts w:cstheme="minorHAnsi"/>
              <w:color w:val="4472C4" w:themeColor="accent1"/>
              <w:sz w:val="24"/>
              <w:szCs w:val="24"/>
              <w:lang w:val="en-GB"/>
            </w:rPr>
          </w:pPr>
          <w:r w:rsidRPr="009B09CB">
            <w:rPr>
              <w:rFonts w:cstheme="minorHAnsi"/>
              <w:color w:val="4472C4" w:themeColor="accent1"/>
              <w:sz w:val="24"/>
              <w:szCs w:val="24"/>
              <w:lang w:val="en-GB"/>
            </w:rPr>
            <w:drawing>
              <wp:inline distT="0" distB="0" distL="0" distR="0" wp14:anchorId="6F945BF7" wp14:editId="2999139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4472C4" w:themeColor="accent1"/>
              <w:sz w:val="44"/>
              <w:szCs w:val="44"/>
              <w:lang w:val="en-GB"/>
            </w:rPr>
            <w:alias w:val="Title"/>
            <w:tag w:val=""/>
            <w:id w:val="1735040861"/>
            <w:placeholder>
              <w:docPart w:val="58D08B43B195471FAD3BD845CAC7DAC4"/>
            </w:placeholder>
            <w:dataBinding w:prefixMappings="xmlns:ns0='http://purl.org/dc/elements/1.1/' xmlns:ns1='http://schemas.openxmlformats.org/package/2006/metadata/core-properties' " w:xpath="/ns1:coreProperties[1]/ns0:title[1]" w:storeItemID="{6C3C8BC8-F283-45AE-878A-BAB7291924A1}"/>
            <w:text/>
          </w:sdtPr>
          <w:sdtContent>
            <w:p w14:paraId="347A317F" w14:textId="4A47BE7B" w:rsidR="00F14F16" w:rsidRPr="009B09CB" w:rsidRDefault="00F14F16">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44"/>
                  <w:szCs w:val="44"/>
                  <w:lang w:val="en-GB"/>
                </w:rPr>
              </w:pPr>
              <w:r w:rsidRPr="009B09CB">
                <w:rPr>
                  <w:rFonts w:eastAsiaTheme="majorEastAsia" w:cstheme="minorHAnsi"/>
                  <w:caps/>
                  <w:color w:val="4472C4" w:themeColor="accent1"/>
                  <w:sz w:val="44"/>
                  <w:szCs w:val="44"/>
                  <w:lang w:val="en-GB"/>
                </w:rPr>
                <w:t>learning Support Report</w:t>
              </w:r>
            </w:p>
          </w:sdtContent>
        </w:sdt>
        <w:sdt>
          <w:sdtPr>
            <w:rPr>
              <w:rFonts w:cstheme="minorHAnsi"/>
              <w:color w:val="4472C4" w:themeColor="accent1"/>
              <w:sz w:val="24"/>
              <w:szCs w:val="24"/>
              <w:lang w:val="en-GB"/>
            </w:rPr>
            <w:alias w:val="Subtitle"/>
            <w:tag w:val=""/>
            <w:id w:val="328029620"/>
            <w:placeholder>
              <w:docPart w:val="65270055EC904F26B1B7854BDAC14D0F"/>
            </w:placeholder>
            <w:dataBinding w:prefixMappings="xmlns:ns0='http://purl.org/dc/elements/1.1/' xmlns:ns1='http://schemas.openxmlformats.org/package/2006/metadata/core-properties' " w:xpath="/ns1:coreProperties[1]/ns0:subject[1]" w:storeItemID="{6C3C8BC8-F283-45AE-878A-BAB7291924A1}"/>
            <w:text/>
          </w:sdtPr>
          <w:sdtContent>
            <w:p w14:paraId="4EC9A216" w14:textId="007C6EF4" w:rsidR="00F14F16" w:rsidRPr="009B09CB" w:rsidRDefault="00F14F16">
              <w:pPr>
                <w:pStyle w:val="NoSpacing"/>
                <w:jc w:val="center"/>
                <w:rPr>
                  <w:rFonts w:cstheme="minorHAnsi"/>
                  <w:color w:val="4472C4" w:themeColor="accent1"/>
                  <w:sz w:val="24"/>
                  <w:szCs w:val="24"/>
                  <w:lang w:val="en-GB"/>
                </w:rPr>
              </w:pPr>
              <w:r w:rsidRPr="009B09CB">
                <w:rPr>
                  <w:rFonts w:cstheme="minorHAnsi"/>
                  <w:color w:val="4472C4" w:themeColor="accent1"/>
                  <w:sz w:val="24"/>
                  <w:szCs w:val="24"/>
                  <w:lang w:val="en-GB"/>
                </w:rPr>
                <w:t>Daniel Payne - 1803525</w:t>
              </w:r>
            </w:p>
          </w:sdtContent>
        </w:sdt>
        <w:p w14:paraId="285C14BD" w14:textId="77777777" w:rsidR="00F14F16" w:rsidRPr="009B09CB" w:rsidRDefault="00F14F16">
          <w:pPr>
            <w:pStyle w:val="NoSpacing"/>
            <w:spacing w:before="480"/>
            <w:jc w:val="center"/>
            <w:rPr>
              <w:rFonts w:cstheme="minorHAnsi"/>
              <w:color w:val="4472C4" w:themeColor="accent1"/>
              <w:sz w:val="24"/>
              <w:szCs w:val="24"/>
              <w:lang w:val="en-GB"/>
            </w:rPr>
          </w:pPr>
          <w:r w:rsidRPr="009B09CB">
            <w:rPr>
              <w:rFonts w:cstheme="minorHAnsi"/>
              <w:color w:val="4472C4" w:themeColor="accent1"/>
              <w:sz w:val="24"/>
              <w:szCs w:val="24"/>
              <w:lang w:val="en-GB"/>
            </w:rPr>
            <mc:AlternateContent>
              <mc:Choice Requires="wps">
                <w:drawing>
                  <wp:anchor distT="0" distB="0" distL="114300" distR="114300" simplePos="0" relativeHeight="251658240" behindDoc="0" locked="0" layoutInCell="1" allowOverlap="1" wp14:anchorId="70920B54" wp14:editId="2DC996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3-21T00:00:00Z">
                                    <w:dateFormat w:val="MMMM d, yyyy"/>
                                    <w:lid w:val="en-US"/>
                                    <w:storeMappedDataAs w:val="dateTime"/>
                                    <w:calendar w:val="gregorian"/>
                                  </w:date>
                                </w:sdtPr>
                                <w:sdtContent>
                                  <w:p w14:paraId="5C51F33E" w14:textId="412F68B9" w:rsidR="00F14F16" w:rsidRPr="005A1287" w:rsidRDefault="00F14F16">
                                    <w:pPr>
                                      <w:pStyle w:val="NoSpacing"/>
                                      <w:spacing w:after="40"/>
                                      <w:jc w:val="center"/>
                                      <w:rPr>
                                        <w:caps/>
                                        <w:color w:val="4472C4" w:themeColor="accent1"/>
                                        <w:sz w:val="28"/>
                                        <w:szCs w:val="28"/>
                                        <w:lang w:val="en-GB"/>
                                      </w:rPr>
                                    </w:pPr>
                                    <w:r w:rsidRPr="005A1287">
                                      <w:rPr>
                                        <w:caps/>
                                        <w:color w:val="4472C4" w:themeColor="accent1"/>
                                        <w:sz w:val="28"/>
                                        <w:szCs w:val="28"/>
                                        <w:lang w:val="en-GB"/>
                                      </w:rPr>
                                      <w:t>March 21, 2024</w:t>
                                    </w:r>
                                  </w:p>
                                </w:sdtContent>
                              </w:sdt>
                              <w:p w14:paraId="4EED8A9B" w14:textId="257CACE0" w:rsidR="00F14F16" w:rsidRPr="005A1287" w:rsidRDefault="00F14F16">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4875CC">
                                      <w:rPr>
                                        <w:caps/>
                                        <w:color w:val="4472C4" w:themeColor="accent1"/>
                                        <w:lang w:val="en-GB"/>
                                      </w:rPr>
                                      <w:t>University</w:t>
                                    </w:r>
                                    <w:r w:rsidRPr="005A1287">
                                      <w:rPr>
                                        <w:caps/>
                                        <w:color w:val="4472C4" w:themeColor="accent1"/>
                                        <w:lang w:val="en-GB"/>
                                      </w:rPr>
                                      <w:t xml:space="preserve"> of Wales Trinity Saint David</w:t>
                                    </w:r>
                                  </w:sdtContent>
                                </w:sdt>
                              </w:p>
                              <w:p w14:paraId="09EB4A88" w14:textId="46B834D9" w:rsidR="00F14F16" w:rsidRPr="005A1287" w:rsidRDefault="00F14F16">
                                <w:pPr>
                                  <w:pStyle w:val="NoSpacing"/>
                                  <w:jc w:val="center"/>
                                  <w:rPr>
                                    <w:color w:val="4472C4" w:themeColor="accent1"/>
                                    <w:lang w:val="en-GB"/>
                                  </w:rPr>
                                </w:pPr>
                                <w:sdt>
                                  <w:sdtPr>
                                    <w:rPr>
                                      <w:color w:val="4472C4"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A1287">
                                      <w:rPr>
                                        <w:color w:val="4472C4"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920B5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3-21T00:00:00Z">
                              <w:dateFormat w:val="MMMM d, yyyy"/>
                              <w:lid w:val="en-US"/>
                              <w:storeMappedDataAs w:val="dateTime"/>
                              <w:calendar w:val="gregorian"/>
                            </w:date>
                          </w:sdtPr>
                          <w:sdtContent>
                            <w:p w14:paraId="5C51F33E" w14:textId="412F68B9" w:rsidR="00F14F16" w:rsidRPr="005A1287" w:rsidRDefault="00F14F16">
                              <w:pPr>
                                <w:pStyle w:val="NoSpacing"/>
                                <w:spacing w:after="40"/>
                                <w:jc w:val="center"/>
                                <w:rPr>
                                  <w:caps/>
                                  <w:color w:val="4472C4" w:themeColor="accent1"/>
                                  <w:sz w:val="28"/>
                                  <w:szCs w:val="28"/>
                                  <w:lang w:val="en-GB"/>
                                </w:rPr>
                              </w:pPr>
                              <w:r w:rsidRPr="005A1287">
                                <w:rPr>
                                  <w:caps/>
                                  <w:color w:val="4472C4" w:themeColor="accent1"/>
                                  <w:sz w:val="28"/>
                                  <w:szCs w:val="28"/>
                                  <w:lang w:val="en-GB"/>
                                </w:rPr>
                                <w:t>March 21, 2024</w:t>
                              </w:r>
                            </w:p>
                          </w:sdtContent>
                        </w:sdt>
                        <w:p w14:paraId="4EED8A9B" w14:textId="257CACE0" w:rsidR="00F14F16" w:rsidRPr="005A1287" w:rsidRDefault="00F14F16">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4875CC">
                                <w:rPr>
                                  <w:caps/>
                                  <w:color w:val="4472C4" w:themeColor="accent1"/>
                                  <w:lang w:val="en-GB"/>
                                </w:rPr>
                                <w:t>University</w:t>
                              </w:r>
                              <w:r w:rsidRPr="005A1287">
                                <w:rPr>
                                  <w:caps/>
                                  <w:color w:val="4472C4" w:themeColor="accent1"/>
                                  <w:lang w:val="en-GB"/>
                                </w:rPr>
                                <w:t xml:space="preserve"> of Wales Trinity Saint David</w:t>
                              </w:r>
                            </w:sdtContent>
                          </w:sdt>
                        </w:p>
                        <w:p w14:paraId="09EB4A88" w14:textId="46B834D9" w:rsidR="00F14F16" w:rsidRPr="005A1287" w:rsidRDefault="00F14F16">
                          <w:pPr>
                            <w:pStyle w:val="NoSpacing"/>
                            <w:jc w:val="center"/>
                            <w:rPr>
                              <w:color w:val="4472C4" w:themeColor="accent1"/>
                              <w:lang w:val="en-GB"/>
                            </w:rPr>
                          </w:pPr>
                          <w:sdt>
                            <w:sdtPr>
                              <w:rPr>
                                <w:color w:val="4472C4"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A1287">
                                <w:rPr>
                                  <w:color w:val="4472C4" w:themeColor="accent1"/>
                                  <w:lang w:val="en-GB"/>
                                </w:rPr>
                                <w:t xml:space="preserve">     </w:t>
                              </w:r>
                            </w:sdtContent>
                          </w:sdt>
                        </w:p>
                      </w:txbxContent>
                    </v:textbox>
                    <w10:wrap anchorx="margin" anchory="page"/>
                  </v:shape>
                </w:pict>
              </mc:Fallback>
            </mc:AlternateContent>
          </w:r>
          <w:r w:rsidRPr="009B09CB">
            <w:rPr>
              <w:rFonts w:cstheme="minorHAnsi"/>
              <w:color w:val="4472C4" w:themeColor="accent1"/>
              <w:sz w:val="24"/>
              <w:szCs w:val="24"/>
              <w:lang w:val="en-GB"/>
            </w:rPr>
            <w:drawing>
              <wp:inline distT="0" distB="0" distL="0" distR="0" wp14:anchorId="29A1243F" wp14:editId="25F83EE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3312D7" w14:textId="30CE5DFC" w:rsidR="00F14F16" w:rsidRPr="009B09CB" w:rsidRDefault="00F14F16">
          <w:pPr>
            <w:rPr>
              <w:rFonts w:cstheme="minorHAnsi"/>
              <w:sz w:val="24"/>
              <w:szCs w:val="24"/>
            </w:rPr>
          </w:pPr>
          <w:r w:rsidRPr="009B09CB">
            <w:rPr>
              <w:rFonts w:cstheme="minorHAnsi"/>
              <w:sz w:val="24"/>
              <w:szCs w:val="24"/>
            </w:rPr>
            <w:br w:type="page"/>
          </w:r>
        </w:p>
      </w:sdtContent>
    </w:sdt>
    <w:p w14:paraId="7E762DAD" w14:textId="48623502" w:rsidR="00AF7760" w:rsidRPr="009B09CB" w:rsidRDefault="00F14F16" w:rsidP="009B09CB">
      <w:pPr>
        <w:spacing w:line="360" w:lineRule="auto"/>
        <w:jc w:val="both"/>
        <w:rPr>
          <w:rFonts w:cstheme="minorHAnsi"/>
          <w:b/>
          <w:bCs/>
          <w:sz w:val="24"/>
          <w:szCs w:val="24"/>
          <w:u w:val="single"/>
        </w:rPr>
      </w:pPr>
      <w:r w:rsidRPr="009B09CB">
        <w:rPr>
          <w:rFonts w:cstheme="minorHAnsi"/>
          <w:b/>
          <w:bCs/>
          <w:sz w:val="24"/>
          <w:szCs w:val="24"/>
          <w:u w:val="single"/>
        </w:rPr>
        <w:lastRenderedPageBreak/>
        <w:t>Part 1</w:t>
      </w:r>
      <w:r w:rsidR="00353DA1" w:rsidRPr="009B09CB">
        <w:rPr>
          <w:rFonts w:cstheme="minorHAnsi"/>
          <w:b/>
          <w:bCs/>
          <w:sz w:val="24"/>
          <w:szCs w:val="24"/>
          <w:u w:val="single"/>
        </w:rPr>
        <w:t xml:space="preserve"> – Literature review</w:t>
      </w:r>
    </w:p>
    <w:p w14:paraId="7C79466F" w14:textId="77777777" w:rsidR="00F14F16" w:rsidRPr="009B09CB" w:rsidRDefault="00F14F16" w:rsidP="009B09CB">
      <w:pPr>
        <w:spacing w:line="360" w:lineRule="auto"/>
        <w:jc w:val="both"/>
        <w:rPr>
          <w:rFonts w:cstheme="minorHAnsi"/>
          <w:sz w:val="24"/>
          <w:szCs w:val="24"/>
        </w:rPr>
      </w:pPr>
    </w:p>
    <w:p w14:paraId="6DC09402" w14:textId="4AD805A4" w:rsidR="00AF7760" w:rsidRPr="009B09CB" w:rsidRDefault="00AF7760" w:rsidP="009B09CB">
      <w:pPr>
        <w:spacing w:line="360" w:lineRule="auto"/>
        <w:jc w:val="both"/>
        <w:rPr>
          <w:rFonts w:cstheme="minorHAnsi"/>
          <w:sz w:val="24"/>
          <w:szCs w:val="24"/>
        </w:rPr>
      </w:pPr>
      <w:r w:rsidRPr="009B09CB">
        <w:rPr>
          <w:rFonts w:cstheme="minorHAnsi"/>
          <w:sz w:val="24"/>
          <w:szCs w:val="24"/>
        </w:rPr>
        <w:t xml:space="preserve">Understanding the regulatory and legal requirements in accommodating additional needs and demonstrating inclusivity within the post-compulsory classroom is a profound exercise in applying educational theory to practice. It transcends the basic adherence to policies, delving deep into the pedagogical and philosophical underpinnings of inclusivity. The </w:t>
      </w:r>
      <w:r w:rsidR="004875CC" w:rsidRPr="009B09CB">
        <w:rPr>
          <w:rFonts w:cstheme="minorHAnsi"/>
          <w:sz w:val="24"/>
          <w:szCs w:val="24"/>
        </w:rPr>
        <w:t>University</w:t>
      </w:r>
      <w:r w:rsidRPr="009B09CB">
        <w:rPr>
          <w:rFonts w:cstheme="minorHAnsi"/>
          <w:sz w:val="24"/>
          <w:szCs w:val="24"/>
        </w:rPr>
        <w:t xml:space="preserve"> of Wales Trinity Saint David (UWTSD), alongside broader UK and international frameworks, exemplifies this deep integration of inclusivity within educational strategies, embodying a holistic approach to learning that is informed by a diverse array of theoretical perspectives.</w:t>
      </w:r>
    </w:p>
    <w:p w14:paraId="0FFB08D7" w14:textId="7F44AB25" w:rsidR="00AF7760" w:rsidRPr="009B09CB" w:rsidRDefault="00AF7760" w:rsidP="009B09CB">
      <w:pPr>
        <w:spacing w:line="360" w:lineRule="auto"/>
        <w:jc w:val="both"/>
        <w:rPr>
          <w:rFonts w:cstheme="minorHAnsi"/>
          <w:sz w:val="24"/>
          <w:szCs w:val="24"/>
        </w:rPr>
      </w:pPr>
      <w:r w:rsidRPr="009B09CB">
        <w:rPr>
          <w:rFonts w:cstheme="minorHAnsi"/>
          <w:sz w:val="24"/>
          <w:szCs w:val="24"/>
        </w:rPr>
        <w:t>At the institutional level, UWTSD's adherence to inclusivity is not merely about compliance with the Equality Act 2010 but a reflection of</w:t>
      </w:r>
      <w:r w:rsidR="00F366A7" w:rsidRPr="009B09CB">
        <w:rPr>
          <w:rFonts w:cstheme="minorHAnsi"/>
          <w:sz w:val="24"/>
          <w:szCs w:val="24"/>
        </w:rPr>
        <w:t xml:space="preserve"> a</w:t>
      </w:r>
      <w:r w:rsidRPr="009B09CB">
        <w:rPr>
          <w:rFonts w:cstheme="minorHAnsi"/>
          <w:sz w:val="24"/>
          <w:szCs w:val="24"/>
        </w:rPr>
        <w:t xml:space="preserve"> broader commitment to the principles of </w:t>
      </w:r>
      <w:r w:rsidR="00F366A7" w:rsidRPr="009B09CB">
        <w:rPr>
          <w:rFonts w:cstheme="minorHAnsi"/>
          <w:sz w:val="24"/>
          <w:szCs w:val="24"/>
        </w:rPr>
        <w:t>U</w:t>
      </w:r>
      <w:r w:rsidRPr="009B09CB">
        <w:rPr>
          <w:rFonts w:cstheme="minorHAnsi"/>
          <w:sz w:val="24"/>
          <w:szCs w:val="24"/>
        </w:rPr>
        <w:t>niversal design in learning (UDL)</w:t>
      </w:r>
      <w:r w:rsidR="00922A59" w:rsidRPr="009B09CB">
        <w:rPr>
          <w:rFonts w:cstheme="minorHAnsi"/>
          <w:sz w:val="24"/>
          <w:szCs w:val="24"/>
        </w:rPr>
        <w:t xml:space="preserve"> (CAST, 2018)</w:t>
      </w:r>
      <w:r w:rsidRPr="009B09CB">
        <w:rPr>
          <w:rFonts w:cstheme="minorHAnsi"/>
          <w:sz w:val="24"/>
          <w:szCs w:val="24"/>
        </w:rPr>
        <w:t xml:space="preserve">. This theoretical framework suggests that educational environments and resources </w:t>
      </w:r>
      <w:r w:rsidR="00B03CD8" w:rsidRPr="009B09CB">
        <w:rPr>
          <w:rFonts w:cstheme="minorHAnsi"/>
          <w:sz w:val="24"/>
          <w:szCs w:val="24"/>
        </w:rPr>
        <w:t>are</w:t>
      </w:r>
      <w:r w:rsidRPr="009B09CB">
        <w:rPr>
          <w:rFonts w:cstheme="minorHAnsi"/>
          <w:sz w:val="24"/>
          <w:szCs w:val="24"/>
        </w:rPr>
        <w:t xml:space="preserve"> designed to accommodate the needs of all learners, not just those with specific requirements (CAST, 2018). The </w:t>
      </w:r>
      <w:r w:rsidR="004875CC" w:rsidRPr="009B09CB">
        <w:rPr>
          <w:rFonts w:cstheme="minorHAnsi"/>
          <w:sz w:val="24"/>
          <w:szCs w:val="24"/>
        </w:rPr>
        <w:t>University</w:t>
      </w:r>
      <w:r w:rsidRPr="009B09CB">
        <w:rPr>
          <w:rFonts w:cstheme="minorHAnsi"/>
          <w:sz w:val="24"/>
          <w:szCs w:val="24"/>
        </w:rPr>
        <w:t>'s policies and practices, including its Strategic Equality Plan, are manifestations of this theory in action, illustrating how an institution can operationali</w:t>
      </w:r>
      <w:r w:rsidR="00A26181" w:rsidRPr="009B09CB">
        <w:rPr>
          <w:rFonts w:cstheme="minorHAnsi"/>
          <w:sz w:val="24"/>
          <w:szCs w:val="24"/>
        </w:rPr>
        <w:t>s</w:t>
      </w:r>
      <w:r w:rsidRPr="009B09CB">
        <w:rPr>
          <w:rFonts w:cstheme="minorHAnsi"/>
          <w:sz w:val="24"/>
          <w:szCs w:val="24"/>
        </w:rPr>
        <w:t>e a commitment to inclusivity through anticipatory planning and responsive pedagogy.</w:t>
      </w:r>
    </w:p>
    <w:p w14:paraId="4550323F" w14:textId="64825B23" w:rsidR="00EE0D35" w:rsidRPr="009B09CB" w:rsidRDefault="00AF7760" w:rsidP="009B09CB">
      <w:pPr>
        <w:spacing w:line="360" w:lineRule="auto"/>
        <w:jc w:val="both"/>
        <w:rPr>
          <w:rFonts w:cstheme="minorHAnsi"/>
          <w:sz w:val="24"/>
          <w:szCs w:val="24"/>
        </w:rPr>
      </w:pPr>
      <w:r w:rsidRPr="009B09CB">
        <w:rPr>
          <w:rFonts w:cstheme="minorHAnsi"/>
          <w:sz w:val="24"/>
          <w:szCs w:val="24"/>
        </w:rPr>
        <w:t>UWTSD's approach to curricular and pedagogical modifications aligns with the UDL</w:t>
      </w:r>
      <w:r w:rsidR="00A26181" w:rsidRPr="009B09CB">
        <w:rPr>
          <w:rFonts w:cstheme="minorHAnsi"/>
          <w:sz w:val="24"/>
          <w:szCs w:val="24"/>
        </w:rPr>
        <w:t xml:space="preserve"> (</w:t>
      </w:r>
      <w:r w:rsidR="00366312" w:rsidRPr="009B09CB">
        <w:rPr>
          <w:rFonts w:cstheme="minorHAnsi"/>
          <w:sz w:val="24"/>
          <w:szCs w:val="24"/>
        </w:rPr>
        <w:t xml:space="preserve">Rose et.al, </w:t>
      </w:r>
      <w:r w:rsidR="00F366A7" w:rsidRPr="009B09CB">
        <w:rPr>
          <w:rFonts w:cstheme="minorHAnsi"/>
          <w:sz w:val="24"/>
          <w:szCs w:val="24"/>
        </w:rPr>
        <w:t>2006</w:t>
      </w:r>
      <w:r w:rsidR="00A26181" w:rsidRPr="009B09CB">
        <w:rPr>
          <w:rFonts w:cstheme="minorHAnsi"/>
          <w:sz w:val="24"/>
          <w:szCs w:val="24"/>
        </w:rPr>
        <w:t xml:space="preserve">) </w:t>
      </w:r>
      <w:r w:rsidRPr="009B09CB">
        <w:rPr>
          <w:rFonts w:cstheme="minorHAnsi"/>
          <w:sz w:val="24"/>
          <w:szCs w:val="24"/>
        </w:rPr>
        <w:t xml:space="preserve">principles of providing multiple means of engagement, representation, action and expression. This alignment ensures that the </w:t>
      </w:r>
      <w:r w:rsidR="004875CC" w:rsidRPr="009B09CB">
        <w:rPr>
          <w:rFonts w:cstheme="minorHAnsi"/>
          <w:sz w:val="24"/>
          <w:szCs w:val="24"/>
        </w:rPr>
        <w:t>University</w:t>
      </w:r>
      <w:r w:rsidRPr="009B09CB">
        <w:rPr>
          <w:rFonts w:cstheme="minorHAnsi"/>
          <w:sz w:val="24"/>
          <w:szCs w:val="24"/>
        </w:rPr>
        <w:t>'s educational offerings are accessible</w:t>
      </w:r>
      <w:r w:rsidR="00E776CB" w:rsidRPr="009B09CB">
        <w:rPr>
          <w:rFonts w:cstheme="minorHAnsi"/>
          <w:sz w:val="24"/>
          <w:szCs w:val="24"/>
        </w:rPr>
        <w:t xml:space="preserve">, </w:t>
      </w:r>
      <w:r w:rsidRPr="009B09CB">
        <w:rPr>
          <w:rFonts w:cstheme="minorHAnsi"/>
          <w:sz w:val="24"/>
          <w:szCs w:val="24"/>
        </w:rPr>
        <w:t>engaging and relevant to a diverse student body, fostering an environment where all students can participate fully and authentically in their learning experiences.</w:t>
      </w:r>
    </w:p>
    <w:p w14:paraId="0F4EE26E" w14:textId="2EC44DA1" w:rsidR="00AB1B8F" w:rsidRPr="009B09CB" w:rsidRDefault="00AB1B8F" w:rsidP="009B09CB">
      <w:pPr>
        <w:spacing w:line="360" w:lineRule="auto"/>
        <w:jc w:val="both"/>
        <w:rPr>
          <w:rFonts w:cstheme="minorHAnsi"/>
          <w:sz w:val="24"/>
          <w:szCs w:val="24"/>
        </w:rPr>
      </w:pPr>
      <w:r w:rsidRPr="009B09CB">
        <w:rPr>
          <w:rFonts w:cstheme="minorHAnsi"/>
          <w:sz w:val="24"/>
          <w:szCs w:val="24"/>
        </w:rPr>
        <w:t xml:space="preserve">The </w:t>
      </w:r>
      <w:r w:rsidR="00B73AEE" w:rsidRPr="009B09CB">
        <w:rPr>
          <w:rFonts w:cstheme="minorHAnsi"/>
          <w:sz w:val="24"/>
          <w:szCs w:val="24"/>
        </w:rPr>
        <w:t>UWTSD</w:t>
      </w:r>
      <w:r w:rsidRPr="009B09CB">
        <w:rPr>
          <w:rFonts w:cstheme="minorHAnsi"/>
          <w:sz w:val="24"/>
          <w:szCs w:val="24"/>
        </w:rPr>
        <w:t xml:space="preserve"> Strategic Equality Plan 2020-2024 (</w:t>
      </w:r>
      <w:r w:rsidR="002655FC" w:rsidRPr="009B09CB">
        <w:rPr>
          <w:rFonts w:cstheme="minorHAnsi"/>
          <w:sz w:val="24"/>
          <w:szCs w:val="24"/>
        </w:rPr>
        <w:t>UWTSD</w:t>
      </w:r>
      <w:r w:rsidR="00573BA7" w:rsidRPr="009B09CB">
        <w:rPr>
          <w:rFonts w:cstheme="minorHAnsi"/>
          <w:sz w:val="24"/>
          <w:szCs w:val="24"/>
        </w:rPr>
        <w:t>, 2020</w:t>
      </w:r>
      <w:r w:rsidRPr="009B09CB">
        <w:rPr>
          <w:rFonts w:cstheme="minorHAnsi"/>
          <w:sz w:val="24"/>
          <w:szCs w:val="24"/>
        </w:rPr>
        <w:t xml:space="preserve">) is a comprehensive document </w:t>
      </w:r>
      <w:r w:rsidR="00A45DFD" w:rsidRPr="009B09CB">
        <w:rPr>
          <w:rFonts w:cstheme="minorHAnsi"/>
          <w:sz w:val="24"/>
          <w:szCs w:val="24"/>
        </w:rPr>
        <w:t xml:space="preserve">outlining </w:t>
      </w:r>
      <w:r w:rsidRPr="009B09CB">
        <w:rPr>
          <w:rFonts w:cstheme="minorHAnsi"/>
          <w:sz w:val="24"/>
          <w:szCs w:val="24"/>
        </w:rPr>
        <w:t xml:space="preserve">the </w:t>
      </w:r>
      <w:r w:rsidR="004875CC" w:rsidRPr="009B09CB">
        <w:rPr>
          <w:rFonts w:cstheme="minorHAnsi"/>
          <w:sz w:val="24"/>
          <w:szCs w:val="24"/>
        </w:rPr>
        <w:t>University</w:t>
      </w:r>
      <w:r w:rsidRPr="009B09CB">
        <w:rPr>
          <w:rFonts w:cstheme="minorHAnsi"/>
          <w:sz w:val="24"/>
          <w:szCs w:val="24"/>
        </w:rPr>
        <w:t>'s commitment to promoting equality and diversity within its community. It sets specific objectives aimed at understanding and addressing the barriers to thriving for various community members, reducing inequalities, promoting safe communities, addressing the gender pay gap, and creating healthy</w:t>
      </w:r>
      <w:r w:rsidR="00667BEA" w:rsidRPr="009B09CB">
        <w:rPr>
          <w:rFonts w:cstheme="minorHAnsi"/>
          <w:sz w:val="24"/>
          <w:szCs w:val="24"/>
        </w:rPr>
        <w:t>,</w:t>
      </w:r>
      <w:r w:rsidRPr="009B09CB">
        <w:rPr>
          <w:rFonts w:cstheme="minorHAnsi"/>
          <w:sz w:val="24"/>
          <w:szCs w:val="24"/>
        </w:rPr>
        <w:t xml:space="preserve"> inclusive learning environments.</w:t>
      </w:r>
    </w:p>
    <w:p w14:paraId="0D7FD61D" w14:textId="77777777" w:rsidR="009B09CB" w:rsidRDefault="009B09CB" w:rsidP="009B09CB">
      <w:pPr>
        <w:spacing w:line="360" w:lineRule="auto"/>
        <w:jc w:val="both"/>
        <w:rPr>
          <w:rFonts w:cstheme="minorHAnsi"/>
          <w:sz w:val="24"/>
          <w:szCs w:val="24"/>
        </w:rPr>
      </w:pPr>
    </w:p>
    <w:p w14:paraId="27F15114" w14:textId="71921D6D" w:rsidR="00AB1B8F" w:rsidRPr="009B09CB" w:rsidRDefault="00B80D2B" w:rsidP="009B09CB">
      <w:pPr>
        <w:spacing w:line="360" w:lineRule="auto"/>
        <w:jc w:val="both"/>
        <w:rPr>
          <w:rFonts w:cstheme="minorHAnsi"/>
          <w:sz w:val="24"/>
          <w:szCs w:val="24"/>
        </w:rPr>
      </w:pPr>
      <w:r w:rsidRPr="009B09CB">
        <w:rPr>
          <w:rFonts w:cstheme="minorHAnsi"/>
          <w:sz w:val="24"/>
          <w:szCs w:val="24"/>
        </w:rPr>
        <w:t>T</w:t>
      </w:r>
      <w:r w:rsidR="00AB1B8F" w:rsidRPr="009B09CB">
        <w:rPr>
          <w:rFonts w:cstheme="minorHAnsi"/>
          <w:sz w:val="24"/>
          <w:szCs w:val="24"/>
        </w:rPr>
        <w:t>hese strategic objectives translate into tangible benefits for the student body. The plan's emphasis on understanding and dismantling barriers to participation ensures that all students, regardless of their backgrounds or personal characteristics, have equal opportunities to succeed. By focusing on reducing inequalities, UWTSD demonstrates its commitment to addressing disparities in educational attainment, access to resources, and support for underrepresented groups.</w:t>
      </w:r>
    </w:p>
    <w:p w14:paraId="46ADAA51" w14:textId="2E65D020" w:rsidR="009B09CB" w:rsidRDefault="00AB1B8F" w:rsidP="009B09CB">
      <w:pPr>
        <w:spacing w:line="360" w:lineRule="auto"/>
        <w:jc w:val="both"/>
        <w:rPr>
          <w:rFonts w:cstheme="minorHAnsi"/>
          <w:sz w:val="24"/>
          <w:szCs w:val="24"/>
        </w:rPr>
      </w:pPr>
      <w:r w:rsidRPr="009B09CB">
        <w:rPr>
          <w:rFonts w:cstheme="minorHAnsi"/>
          <w:sz w:val="24"/>
          <w:szCs w:val="24"/>
        </w:rPr>
        <w:t>Promoting safe communities is crucial for creating a learning environment where students feel secure, supported, and valued. This aspect of the plan directly impacts students' well-being, contributing to a positive and conducive learning atmosphere</w:t>
      </w:r>
      <w:r w:rsidR="00D844D4" w:rsidRPr="009B09CB">
        <w:rPr>
          <w:rFonts w:cstheme="minorHAnsi"/>
          <w:sz w:val="24"/>
          <w:szCs w:val="24"/>
        </w:rPr>
        <w:t xml:space="preserve"> (</w:t>
      </w:r>
      <w:r w:rsidR="008D0F7F" w:rsidRPr="009B09CB">
        <w:rPr>
          <w:rFonts w:cstheme="minorHAnsi"/>
          <w:sz w:val="24"/>
          <w:szCs w:val="24"/>
        </w:rPr>
        <w:t>Syukur, 2018</w:t>
      </w:r>
      <w:r w:rsidR="00D844D4" w:rsidRPr="009B09CB">
        <w:rPr>
          <w:rFonts w:cstheme="minorHAnsi"/>
          <w:sz w:val="24"/>
          <w:szCs w:val="24"/>
        </w:rPr>
        <w:t>)</w:t>
      </w:r>
      <w:r w:rsidRPr="009B09CB">
        <w:rPr>
          <w:rFonts w:cstheme="minorHAnsi"/>
          <w:sz w:val="24"/>
          <w:szCs w:val="24"/>
        </w:rPr>
        <w:t xml:space="preserve">. </w:t>
      </w:r>
    </w:p>
    <w:p w14:paraId="55F44361" w14:textId="1A7CF41D" w:rsidR="00AB1B8F" w:rsidRPr="009B09CB" w:rsidRDefault="00AB1B8F" w:rsidP="009B09CB">
      <w:pPr>
        <w:spacing w:line="360" w:lineRule="auto"/>
        <w:jc w:val="both"/>
        <w:rPr>
          <w:rFonts w:cstheme="minorHAnsi"/>
          <w:sz w:val="24"/>
          <w:szCs w:val="24"/>
        </w:rPr>
      </w:pPr>
      <w:r w:rsidRPr="009B09CB">
        <w:rPr>
          <w:rFonts w:cstheme="minorHAnsi"/>
          <w:sz w:val="24"/>
          <w:szCs w:val="24"/>
        </w:rPr>
        <w:t xml:space="preserve">Finally, the objective of creating healthy and inclusive learning communities aligns with the holistic approach to education that UWTSD </w:t>
      </w:r>
      <w:r w:rsidR="006A22BB" w:rsidRPr="009B09CB">
        <w:rPr>
          <w:rFonts w:cstheme="minorHAnsi"/>
          <w:sz w:val="24"/>
          <w:szCs w:val="24"/>
        </w:rPr>
        <w:t>promotes</w:t>
      </w:r>
      <w:r w:rsidRPr="009B09CB">
        <w:rPr>
          <w:rFonts w:cstheme="minorHAnsi"/>
          <w:sz w:val="24"/>
          <w:szCs w:val="24"/>
        </w:rPr>
        <w:t xml:space="preserve">. It acknowledges the interconnectedness of mental, physical, and emotional well-being in academic success and personal development. By implementing strategies to support students' overall well-being, the </w:t>
      </w:r>
      <w:r w:rsidR="004875CC" w:rsidRPr="009B09CB">
        <w:rPr>
          <w:rFonts w:cstheme="minorHAnsi"/>
          <w:sz w:val="24"/>
          <w:szCs w:val="24"/>
        </w:rPr>
        <w:t>University</w:t>
      </w:r>
      <w:r w:rsidRPr="009B09CB">
        <w:rPr>
          <w:rFonts w:cstheme="minorHAnsi"/>
          <w:sz w:val="24"/>
          <w:szCs w:val="24"/>
        </w:rPr>
        <w:t xml:space="preserve"> fosters an environment where students can excel academically while also growing personally and socially.</w:t>
      </w:r>
    </w:p>
    <w:p w14:paraId="7F54C16B" w14:textId="1BB86CDD" w:rsidR="00AF7760" w:rsidRPr="009B09CB" w:rsidRDefault="00AF7760" w:rsidP="009B09CB">
      <w:pPr>
        <w:spacing w:line="360" w:lineRule="auto"/>
        <w:jc w:val="both"/>
        <w:rPr>
          <w:rFonts w:cstheme="minorHAnsi"/>
          <w:sz w:val="24"/>
          <w:szCs w:val="24"/>
        </w:rPr>
      </w:pPr>
      <w:r w:rsidRPr="009B09CB">
        <w:rPr>
          <w:rFonts w:cstheme="minorHAnsi"/>
          <w:sz w:val="24"/>
          <w:szCs w:val="24"/>
        </w:rPr>
        <w:t xml:space="preserve">On a national level, the Tertiary Education and Research </w:t>
      </w:r>
      <w:r w:rsidR="00346E23" w:rsidRPr="009B09CB">
        <w:rPr>
          <w:rFonts w:cstheme="minorHAnsi"/>
          <w:sz w:val="24"/>
          <w:szCs w:val="24"/>
        </w:rPr>
        <w:t>(</w:t>
      </w:r>
      <w:r w:rsidRPr="009B09CB">
        <w:rPr>
          <w:rFonts w:cstheme="minorHAnsi"/>
          <w:sz w:val="24"/>
          <w:szCs w:val="24"/>
        </w:rPr>
        <w:t>Wales</w:t>
      </w:r>
      <w:r w:rsidR="00346E23" w:rsidRPr="009B09CB">
        <w:rPr>
          <w:rFonts w:cstheme="minorHAnsi"/>
          <w:sz w:val="24"/>
          <w:szCs w:val="24"/>
        </w:rPr>
        <w:t>)</w:t>
      </w:r>
      <w:r w:rsidRPr="009B09CB">
        <w:rPr>
          <w:rFonts w:cstheme="minorHAnsi"/>
          <w:sz w:val="24"/>
          <w:szCs w:val="24"/>
        </w:rPr>
        <w:t xml:space="preserve"> </w:t>
      </w:r>
      <w:r w:rsidR="00713B1D" w:rsidRPr="009B09CB">
        <w:rPr>
          <w:rFonts w:cstheme="minorHAnsi"/>
          <w:sz w:val="24"/>
          <w:szCs w:val="24"/>
        </w:rPr>
        <w:t>Act</w:t>
      </w:r>
      <w:r w:rsidR="00A26181" w:rsidRPr="009B09CB">
        <w:rPr>
          <w:rFonts w:cstheme="minorHAnsi"/>
          <w:sz w:val="24"/>
          <w:szCs w:val="24"/>
        </w:rPr>
        <w:t xml:space="preserve"> </w:t>
      </w:r>
      <w:r w:rsidR="00CE4F96" w:rsidRPr="009B09CB">
        <w:rPr>
          <w:rFonts w:cstheme="minorHAnsi"/>
          <w:sz w:val="24"/>
          <w:szCs w:val="24"/>
        </w:rPr>
        <w:t>2022</w:t>
      </w:r>
      <w:r w:rsidR="00597C26" w:rsidRPr="009B09CB">
        <w:rPr>
          <w:rFonts w:cstheme="minorHAnsi"/>
          <w:sz w:val="24"/>
          <w:szCs w:val="24"/>
        </w:rPr>
        <w:t xml:space="preserve"> (</w:t>
      </w:r>
      <w:r w:rsidR="00DC7F22" w:rsidRPr="009B09CB">
        <w:rPr>
          <w:rFonts w:cstheme="minorHAnsi"/>
          <w:sz w:val="24"/>
          <w:szCs w:val="24"/>
        </w:rPr>
        <w:t xml:space="preserve">Commission for </w:t>
      </w:r>
      <w:r w:rsidR="00C86F27" w:rsidRPr="009B09CB">
        <w:rPr>
          <w:rFonts w:cstheme="minorHAnsi"/>
          <w:sz w:val="24"/>
          <w:szCs w:val="24"/>
        </w:rPr>
        <w:t>Tertiary Education and Research, 2022)</w:t>
      </w:r>
      <w:r w:rsidRPr="009B09CB">
        <w:rPr>
          <w:rFonts w:cstheme="minorHAnsi"/>
          <w:sz w:val="24"/>
          <w:szCs w:val="24"/>
        </w:rPr>
        <w:t xml:space="preserve"> and the Well-being of Future Generations Act </w:t>
      </w:r>
      <w:r w:rsidR="00032CB7" w:rsidRPr="009B09CB">
        <w:rPr>
          <w:rFonts w:cstheme="minorHAnsi"/>
          <w:sz w:val="24"/>
          <w:szCs w:val="24"/>
        </w:rPr>
        <w:t xml:space="preserve">(Wales) </w:t>
      </w:r>
      <w:r w:rsidR="00CE4F96" w:rsidRPr="009B09CB">
        <w:rPr>
          <w:rFonts w:cstheme="minorHAnsi"/>
          <w:sz w:val="24"/>
          <w:szCs w:val="24"/>
        </w:rPr>
        <w:t>2015</w:t>
      </w:r>
      <w:r w:rsidR="00A26181" w:rsidRPr="009B09CB">
        <w:rPr>
          <w:rFonts w:cstheme="minorHAnsi"/>
          <w:sz w:val="24"/>
          <w:szCs w:val="24"/>
        </w:rPr>
        <w:t xml:space="preserve"> </w:t>
      </w:r>
      <w:r w:rsidRPr="009B09CB">
        <w:rPr>
          <w:rFonts w:cstheme="minorHAnsi"/>
          <w:sz w:val="24"/>
          <w:szCs w:val="24"/>
        </w:rPr>
        <w:t>reflect a systemic commitment to educational inclusivity that aligns with the broader socio-cultural theory of education</w:t>
      </w:r>
      <w:r w:rsidR="00771145" w:rsidRPr="009B09CB">
        <w:rPr>
          <w:rFonts w:cstheme="minorHAnsi"/>
          <w:sz w:val="24"/>
          <w:szCs w:val="24"/>
        </w:rPr>
        <w:t>.</w:t>
      </w:r>
      <w:r w:rsidRPr="009B09CB">
        <w:rPr>
          <w:rFonts w:cstheme="minorHAnsi"/>
          <w:sz w:val="24"/>
          <w:szCs w:val="24"/>
        </w:rPr>
        <w:t xml:space="preserve"> This theory emphasi</w:t>
      </w:r>
      <w:r w:rsidR="000F41D5" w:rsidRPr="009B09CB">
        <w:rPr>
          <w:rFonts w:cstheme="minorHAnsi"/>
          <w:sz w:val="24"/>
          <w:szCs w:val="24"/>
        </w:rPr>
        <w:t>s</w:t>
      </w:r>
      <w:r w:rsidRPr="009B09CB">
        <w:rPr>
          <w:rFonts w:cstheme="minorHAnsi"/>
          <w:sz w:val="24"/>
          <w:szCs w:val="24"/>
        </w:rPr>
        <w:t>es that learning is deeply influenced by the context in which it occurs, thus, education systems must be designed to be responsive to the cultural, social, and economic needs of all learners (Vygotsky, 1978). By mandating that educational institutions consider the long-term well-being and sustainability of their practices, these legislative frameworks encourage a holistic approach to education that is attuned to the broader societal context in which learners exist.</w:t>
      </w:r>
    </w:p>
    <w:p w14:paraId="718D143D" w14:textId="4447C4BB" w:rsidR="00AF7760" w:rsidRPr="009B09CB" w:rsidRDefault="00AF7760" w:rsidP="009B09CB">
      <w:pPr>
        <w:spacing w:line="360" w:lineRule="auto"/>
        <w:jc w:val="both"/>
        <w:rPr>
          <w:rFonts w:cstheme="minorHAnsi"/>
          <w:sz w:val="24"/>
          <w:szCs w:val="24"/>
        </w:rPr>
      </w:pPr>
      <w:r w:rsidRPr="009B09CB">
        <w:rPr>
          <w:rFonts w:cstheme="minorHAnsi"/>
          <w:sz w:val="24"/>
          <w:szCs w:val="24"/>
        </w:rPr>
        <w:t xml:space="preserve">Internationally, the United Nations Convention on the Rights of Persons with Disabilities (CRPD) </w:t>
      </w:r>
      <w:r w:rsidR="000F41D5" w:rsidRPr="009B09CB">
        <w:rPr>
          <w:rFonts w:cstheme="minorHAnsi"/>
          <w:sz w:val="24"/>
          <w:szCs w:val="24"/>
        </w:rPr>
        <w:t>(</w:t>
      </w:r>
      <w:r w:rsidR="00AA68BD" w:rsidRPr="009B09CB">
        <w:rPr>
          <w:rFonts w:cstheme="minorHAnsi"/>
          <w:sz w:val="24"/>
          <w:szCs w:val="24"/>
        </w:rPr>
        <w:t>Abreu, 2022</w:t>
      </w:r>
      <w:r w:rsidR="000F41D5" w:rsidRPr="009B09CB">
        <w:rPr>
          <w:rFonts w:cstheme="minorHAnsi"/>
          <w:sz w:val="24"/>
          <w:szCs w:val="24"/>
        </w:rPr>
        <w:t xml:space="preserve">) </w:t>
      </w:r>
      <w:r w:rsidRPr="009B09CB">
        <w:rPr>
          <w:rFonts w:cstheme="minorHAnsi"/>
          <w:sz w:val="24"/>
          <w:szCs w:val="24"/>
        </w:rPr>
        <w:t xml:space="preserve">represents a global consensus on the importance of inclusivity in education, grounding this consensus in a rights-based framework. This aligns with the human rights theory of education, which </w:t>
      </w:r>
      <w:r w:rsidR="003504B9" w:rsidRPr="009B09CB">
        <w:rPr>
          <w:rFonts w:cstheme="minorHAnsi"/>
          <w:sz w:val="24"/>
          <w:szCs w:val="24"/>
        </w:rPr>
        <w:t>suggests</w:t>
      </w:r>
      <w:r w:rsidRPr="009B09CB">
        <w:rPr>
          <w:rFonts w:cstheme="minorHAnsi"/>
          <w:sz w:val="24"/>
          <w:szCs w:val="24"/>
        </w:rPr>
        <w:t xml:space="preserve"> that access to education is a fundamental human right and that educational environments should be constructed to uphold and facilitate the exercise of this right (</w:t>
      </w:r>
      <w:proofErr w:type="spellStart"/>
      <w:r w:rsidRPr="009B09CB">
        <w:rPr>
          <w:rFonts w:cstheme="minorHAnsi"/>
          <w:sz w:val="24"/>
          <w:szCs w:val="24"/>
        </w:rPr>
        <w:t>Tomasevski</w:t>
      </w:r>
      <w:proofErr w:type="spellEnd"/>
      <w:r w:rsidRPr="009B09CB">
        <w:rPr>
          <w:rFonts w:cstheme="minorHAnsi"/>
          <w:sz w:val="24"/>
          <w:szCs w:val="24"/>
        </w:rPr>
        <w:t>, 2004). UWTSD's alignment with the CRPD underscores its commitment to a model of education that is not only inclusive but also deeply rooted in a respect for the inherent dignity and rights of all individuals</w:t>
      </w:r>
      <w:r w:rsidR="000F41D5" w:rsidRPr="009B09CB">
        <w:rPr>
          <w:rFonts w:cstheme="minorHAnsi"/>
          <w:sz w:val="24"/>
          <w:szCs w:val="24"/>
        </w:rPr>
        <w:t xml:space="preserve"> (</w:t>
      </w:r>
      <w:r w:rsidR="0072697C" w:rsidRPr="009B09CB">
        <w:rPr>
          <w:rFonts w:cstheme="minorHAnsi"/>
          <w:sz w:val="24"/>
          <w:szCs w:val="24"/>
        </w:rPr>
        <w:t>United Nations, 2024</w:t>
      </w:r>
      <w:r w:rsidR="000F41D5" w:rsidRPr="009B09CB">
        <w:rPr>
          <w:rFonts w:cstheme="minorHAnsi"/>
          <w:sz w:val="24"/>
          <w:szCs w:val="24"/>
        </w:rPr>
        <w:t>)</w:t>
      </w:r>
      <w:r w:rsidRPr="009B09CB">
        <w:rPr>
          <w:rFonts w:cstheme="minorHAnsi"/>
          <w:sz w:val="24"/>
          <w:szCs w:val="24"/>
        </w:rPr>
        <w:t>.</w:t>
      </w:r>
    </w:p>
    <w:p w14:paraId="4C4E576E" w14:textId="64C6BBE5" w:rsidR="00AF7760" w:rsidRPr="009B09CB" w:rsidRDefault="00AF7760" w:rsidP="009B09CB">
      <w:pPr>
        <w:spacing w:line="360" w:lineRule="auto"/>
        <w:jc w:val="both"/>
        <w:rPr>
          <w:rFonts w:cstheme="minorHAnsi"/>
          <w:sz w:val="24"/>
          <w:szCs w:val="24"/>
        </w:rPr>
      </w:pPr>
      <w:r w:rsidRPr="009B09CB">
        <w:rPr>
          <w:rFonts w:cstheme="minorHAnsi"/>
          <w:sz w:val="24"/>
          <w:szCs w:val="24"/>
        </w:rPr>
        <w:t>In the practical application of these theories and frameworks, educators are required to navigate the specific needs of learners, ranging from infrastructural accommodations for physical disabilities to pedagogical adjustments for different learning styles and cognitive abilities</w:t>
      </w:r>
      <w:r w:rsidR="000F41D5" w:rsidRPr="009B09CB">
        <w:rPr>
          <w:rFonts w:cstheme="minorHAnsi"/>
          <w:sz w:val="24"/>
          <w:szCs w:val="24"/>
        </w:rPr>
        <w:t xml:space="preserve"> </w:t>
      </w:r>
      <w:r w:rsidR="00B528CA" w:rsidRPr="009B09CB">
        <w:rPr>
          <w:rFonts w:cstheme="minorHAnsi"/>
          <w:sz w:val="24"/>
          <w:szCs w:val="24"/>
        </w:rPr>
        <w:t>(</w:t>
      </w:r>
      <w:r w:rsidR="0045101B" w:rsidRPr="009B09CB">
        <w:rPr>
          <w:rFonts w:cstheme="minorHAnsi"/>
          <w:sz w:val="24"/>
          <w:szCs w:val="24"/>
        </w:rPr>
        <w:t>Du Plessis and Ewing, 2017).</w:t>
      </w:r>
      <w:r w:rsidRPr="009B09CB">
        <w:rPr>
          <w:rFonts w:cstheme="minorHAnsi"/>
          <w:sz w:val="24"/>
          <w:szCs w:val="24"/>
        </w:rPr>
        <w:t xml:space="preserve"> This hands-on application of inclusivity theory necessitates a robust understanding of the diversity of learner needs </w:t>
      </w:r>
      <w:r w:rsidR="00877F2F" w:rsidRPr="009B09CB">
        <w:rPr>
          <w:rFonts w:cstheme="minorHAnsi"/>
          <w:sz w:val="24"/>
          <w:szCs w:val="24"/>
        </w:rPr>
        <w:t>alongside</w:t>
      </w:r>
      <w:r w:rsidRPr="009B09CB">
        <w:rPr>
          <w:rFonts w:cstheme="minorHAnsi"/>
          <w:sz w:val="24"/>
          <w:szCs w:val="24"/>
        </w:rPr>
        <w:t xml:space="preserve"> a commitment to continuous learning and adaptation on the part of educators.</w:t>
      </w:r>
    </w:p>
    <w:p w14:paraId="76AD8B79" w14:textId="331415E8" w:rsidR="00AF7760" w:rsidRPr="009B09CB" w:rsidRDefault="00AF7760" w:rsidP="009B09CB">
      <w:pPr>
        <w:spacing w:line="360" w:lineRule="auto"/>
        <w:jc w:val="both"/>
        <w:rPr>
          <w:rFonts w:cstheme="minorHAnsi"/>
          <w:sz w:val="24"/>
          <w:szCs w:val="24"/>
        </w:rPr>
      </w:pPr>
      <w:r w:rsidRPr="009B09CB">
        <w:rPr>
          <w:rFonts w:cstheme="minorHAnsi"/>
          <w:sz w:val="24"/>
          <w:szCs w:val="24"/>
        </w:rPr>
        <w:t xml:space="preserve">The </w:t>
      </w:r>
      <w:r w:rsidR="00275D84" w:rsidRPr="009B09CB">
        <w:rPr>
          <w:rFonts w:cstheme="minorHAnsi"/>
          <w:sz w:val="24"/>
          <w:szCs w:val="24"/>
        </w:rPr>
        <w:t>development</w:t>
      </w:r>
      <w:r w:rsidRPr="009B09CB">
        <w:rPr>
          <w:rFonts w:cstheme="minorHAnsi"/>
          <w:sz w:val="24"/>
          <w:szCs w:val="24"/>
        </w:rPr>
        <w:t xml:space="preserve"> of technology in education, particularly accentuated by the pandemic-induced shift to online learning, has introduced new dimensions to the discourse on inclusivity</w:t>
      </w:r>
      <w:r w:rsidR="000F41D5" w:rsidRPr="009B09CB">
        <w:rPr>
          <w:rFonts w:cstheme="minorHAnsi"/>
          <w:sz w:val="24"/>
          <w:szCs w:val="24"/>
        </w:rPr>
        <w:t xml:space="preserve"> (</w:t>
      </w:r>
      <w:r w:rsidR="0036593B" w:rsidRPr="009B09CB">
        <w:rPr>
          <w:rFonts w:cstheme="minorHAnsi"/>
          <w:sz w:val="24"/>
          <w:szCs w:val="24"/>
        </w:rPr>
        <w:t>Sousa, 2021</w:t>
      </w:r>
      <w:r w:rsidR="000F41D5" w:rsidRPr="009B09CB">
        <w:rPr>
          <w:rFonts w:cstheme="minorHAnsi"/>
          <w:sz w:val="24"/>
          <w:szCs w:val="24"/>
        </w:rPr>
        <w:t>)</w:t>
      </w:r>
      <w:r w:rsidRPr="009B09CB">
        <w:rPr>
          <w:rFonts w:cstheme="minorHAnsi"/>
          <w:sz w:val="24"/>
          <w:szCs w:val="24"/>
        </w:rPr>
        <w:t xml:space="preserve">. The digital divide and the need for digital accessibility have become prominent considerations, reflecting a broader understanding of inclusivity that encompasses physical and cognitive accessibility </w:t>
      </w:r>
      <w:r w:rsidR="00FC2771" w:rsidRPr="009B09CB">
        <w:rPr>
          <w:rFonts w:cstheme="minorHAnsi"/>
          <w:sz w:val="24"/>
          <w:szCs w:val="24"/>
        </w:rPr>
        <w:t>and</w:t>
      </w:r>
      <w:r w:rsidRPr="009B09CB">
        <w:rPr>
          <w:rFonts w:cstheme="minorHAnsi"/>
          <w:sz w:val="24"/>
          <w:szCs w:val="24"/>
        </w:rPr>
        <w:t xml:space="preserve"> also technological accessibility</w:t>
      </w:r>
      <w:r w:rsidR="000F41D5" w:rsidRPr="009B09CB">
        <w:rPr>
          <w:rFonts w:cstheme="minorHAnsi"/>
          <w:sz w:val="24"/>
          <w:szCs w:val="24"/>
        </w:rPr>
        <w:t xml:space="preserve"> </w:t>
      </w:r>
      <w:r w:rsidR="00C82841" w:rsidRPr="009B09CB">
        <w:rPr>
          <w:rFonts w:cstheme="minorHAnsi"/>
          <w:sz w:val="24"/>
          <w:szCs w:val="24"/>
        </w:rPr>
        <w:t>(Moore, 2012).</w:t>
      </w:r>
      <w:r w:rsidRPr="009B09CB">
        <w:rPr>
          <w:rFonts w:cstheme="minorHAnsi"/>
          <w:sz w:val="24"/>
          <w:szCs w:val="24"/>
        </w:rPr>
        <w:t xml:space="preserve"> This shift underscores the dynamic nature of inclusivity, which must evolve in response to changing modes of educational delivery and the emerging challenges they present</w:t>
      </w:r>
      <w:r w:rsidR="000F41D5" w:rsidRPr="009B09CB">
        <w:rPr>
          <w:rFonts w:cstheme="minorHAnsi"/>
          <w:sz w:val="24"/>
          <w:szCs w:val="24"/>
        </w:rPr>
        <w:t xml:space="preserve"> (</w:t>
      </w:r>
      <w:r w:rsidR="00F51EF7" w:rsidRPr="009B09CB">
        <w:rPr>
          <w:rFonts w:cstheme="minorHAnsi"/>
          <w:sz w:val="24"/>
          <w:szCs w:val="24"/>
        </w:rPr>
        <w:t>Braat, 2021</w:t>
      </w:r>
      <w:r w:rsidR="000F41D5" w:rsidRPr="009B09CB">
        <w:rPr>
          <w:rFonts w:cstheme="minorHAnsi"/>
          <w:sz w:val="24"/>
          <w:szCs w:val="24"/>
        </w:rPr>
        <w:t>)</w:t>
      </w:r>
      <w:r w:rsidRPr="009B09CB">
        <w:rPr>
          <w:rFonts w:cstheme="minorHAnsi"/>
          <w:sz w:val="24"/>
          <w:szCs w:val="24"/>
        </w:rPr>
        <w:t>.</w:t>
      </w:r>
    </w:p>
    <w:p w14:paraId="1E9EF414" w14:textId="1631B94B" w:rsidR="00AF7760" w:rsidRPr="009B09CB" w:rsidRDefault="00AF7760" w:rsidP="009B09CB">
      <w:pPr>
        <w:spacing w:line="360" w:lineRule="auto"/>
        <w:jc w:val="both"/>
        <w:rPr>
          <w:rFonts w:cstheme="minorHAnsi"/>
          <w:sz w:val="24"/>
          <w:szCs w:val="24"/>
        </w:rPr>
      </w:pPr>
      <w:r w:rsidRPr="009B09CB">
        <w:rPr>
          <w:rFonts w:cstheme="minorHAnsi"/>
          <w:sz w:val="24"/>
          <w:szCs w:val="24"/>
        </w:rPr>
        <w:t xml:space="preserve">The Professional Standards Framework </w:t>
      </w:r>
      <w:r w:rsidR="00487FAF" w:rsidRPr="009B09CB">
        <w:rPr>
          <w:rFonts w:cstheme="minorHAnsi"/>
          <w:sz w:val="24"/>
          <w:szCs w:val="24"/>
        </w:rPr>
        <w:t xml:space="preserve">(PSF) </w:t>
      </w:r>
      <w:r w:rsidRPr="009B09CB">
        <w:rPr>
          <w:rFonts w:cstheme="minorHAnsi"/>
          <w:sz w:val="24"/>
          <w:szCs w:val="24"/>
        </w:rPr>
        <w:t>(PSF</w:t>
      </w:r>
      <w:r w:rsidR="004F6C33" w:rsidRPr="009B09CB">
        <w:rPr>
          <w:rFonts w:cstheme="minorHAnsi"/>
          <w:sz w:val="24"/>
          <w:szCs w:val="24"/>
        </w:rPr>
        <w:t>,2023</w:t>
      </w:r>
      <w:r w:rsidRPr="009B09CB">
        <w:rPr>
          <w:rFonts w:cstheme="minorHAnsi"/>
          <w:sz w:val="24"/>
          <w:szCs w:val="24"/>
        </w:rPr>
        <w:t>) is another critical aspect that interconnects with the broader objectives of inclusivity in education, particularly within the context of higher education institutions like the UWTSD. The PSF, developed by the Higher Education Academy, offers a comprehensive set of professional standards and guidelines for educators in higher education to ensure high-quality teaching and support for learning. It is a valuable tool for educators to reflect on their practice, enhance their professional development, and ensure that their teaching is inclusive, accessible, and effective for all learners</w:t>
      </w:r>
      <w:r w:rsidR="000F41D5" w:rsidRPr="009B09CB">
        <w:rPr>
          <w:rFonts w:cstheme="minorHAnsi"/>
          <w:sz w:val="24"/>
          <w:szCs w:val="24"/>
        </w:rPr>
        <w:t xml:space="preserve"> </w:t>
      </w:r>
      <w:r w:rsidR="008D0901" w:rsidRPr="009B09CB">
        <w:rPr>
          <w:rFonts w:cstheme="minorHAnsi"/>
          <w:sz w:val="24"/>
          <w:szCs w:val="24"/>
        </w:rPr>
        <w:t>(Shrives, 2012)</w:t>
      </w:r>
      <w:r w:rsidRPr="009B09CB">
        <w:rPr>
          <w:rFonts w:cstheme="minorHAnsi"/>
          <w:sz w:val="24"/>
          <w:szCs w:val="24"/>
        </w:rPr>
        <w:t>.</w:t>
      </w:r>
    </w:p>
    <w:p w14:paraId="1D966015" w14:textId="56E5B1CC" w:rsidR="00AF7760" w:rsidRPr="009B09CB" w:rsidRDefault="00AF7760" w:rsidP="009B09CB">
      <w:pPr>
        <w:spacing w:line="360" w:lineRule="auto"/>
        <w:jc w:val="both"/>
        <w:rPr>
          <w:rFonts w:cstheme="minorHAnsi"/>
          <w:sz w:val="24"/>
          <w:szCs w:val="24"/>
        </w:rPr>
      </w:pPr>
      <w:r w:rsidRPr="009B09CB">
        <w:rPr>
          <w:rFonts w:cstheme="minorHAnsi"/>
          <w:sz w:val="24"/>
          <w:szCs w:val="24"/>
        </w:rPr>
        <w:t>In applying the PSF to their practices, educators at UWTSD can enhance their approach to inclusivity, ensuring that their teaching strategies, course design, and interactions with students are all aligned with the principles of equity and respect for diversity</w:t>
      </w:r>
      <w:r w:rsidR="000F41D5" w:rsidRPr="009B09CB">
        <w:rPr>
          <w:rFonts w:cstheme="minorHAnsi"/>
          <w:sz w:val="24"/>
          <w:szCs w:val="24"/>
        </w:rPr>
        <w:t xml:space="preserve"> </w:t>
      </w:r>
      <w:r w:rsidR="0001139F" w:rsidRPr="009B09CB">
        <w:rPr>
          <w:rFonts w:cstheme="minorHAnsi"/>
          <w:sz w:val="24"/>
          <w:szCs w:val="24"/>
        </w:rPr>
        <w:t>(Walia, 2022)</w:t>
      </w:r>
      <w:r w:rsidRPr="009B09CB">
        <w:rPr>
          <w:rFonts w:cstheme="minorHAnsi"/>
          <w:sz w:val="24"/>
          <w:szCs w:val="24"/>
        </w:rPr>
        <w:t>. By integrating the PSF standards into their professional development, educators can continuously refine their methods to create more inclusive educational experiences, contributing to broader goals of equity and inclusivity in the post-compulsory education sector.</w:t>
      </w:r>
    </w:p>
    <w:p w14:paraId="2CF0C76B" w14:textId="0F76F1C4" w:rsidR="00AF7760" w:rsidRPr="009B09CB" w:rsidRDefault="00AF7760" w:rsidP="009B09CB">
      <w:pPr>
        <w:spacing w:line="360" w:lineRule="auto"/>
        <w:jc w:val="both"/>
        <w:rPr>
          <w:rFonts w:cstheme="minorHAnsi"/>
          <w:sz w:val="24"/>
          <w:szCs w:val="24"/>
        </w:rPr>
      </w:pPr>
      <w:r w:rsidRPr="009B09CB">
        <w:rPr>
          <w:rFonts w:cstheme="minorHAnsi"/>
          <w:sz w:val="24"/>
          <w:szCs w:val="24"/>
        </w:rPr>
        <w:t>In conclusion, the regulatory and legal frameworks guiding inclusivity in education, exemplified by institutions like UWTSD, provide a structural foundation for the practical application of inclusivity theories. These frameworks, when viewed through the lens of educational theory, reveal a complex and dynamic landscape of inclusivity that requires a nuanced understanding of diverse learner needs, a commitment to pedagogical innovation, and an ongoing engagement with the evolving challenges of educational practice. True inclusivity, therefore, is not just a legal mandate but a theoretical and practical commitment to creating educational environments that acknowledge, respect, and respond to the diversity of human experience</w:t>
      </w:r>
      <w:r w:rsidR="000F41D5" w:rsidRPr="009B09CB">
        <w:rPr>
          <w:rFonts w:cstheme="minorHAnsi"/>
          <w:sz w:val="24"/>
          <w:szCs w:val="24"/>
        </w:rPr>
        <w:t xml:space="preserve"> </w:t>
      </w:r>
      <w:r w:rsidR="00716ACF" w:rsidRPr="009B09CB">
        <w:rPr>
          <w:rFonts w:cstheme="minorHAnsi"/>
          <w:sz w:val="24"/>
          <w:szCs w:val="24"/>
        </w:rPr>
        <w:t>(De Beco, 2022)</w:t>
      </w:r>
      <w:r w:rsidRPr="009B09CB">
        <w:rPr>
          <w:rFonts w:cstheme="minorHAnsi"/>
          <w:sz w:val="24"/>
          <w:szCs w:val="24"/>
        </w:rPr>
        <w:t>.</w:t>
      </w:r>
    </w:p>
    <w:p w14:paraId="482FAD02" w14:textId="12EE2834" w:rsidR="009B09CB" w:rsidRDefault="009B09CB">
      <w:pPr>
        <w:rPr>
          <w:rFonts w:cstheme="minorHAnsi"/>
          <w:sz w:val="24"/>
          <w:szCs w:val="24"/>
        </w:rPr>
      </w:pPr>
      <w:r>
        <w:rPr>
          <w:rFonts w:cstheme="minorHAnsi"/>
          <w:sz w:val="24"/>
          <w:szCs w:val="24"/>
        </w:rPr>
        <w:br w:type="page"/>
      </w:r>
    </w:p>
    <w:p w14:paraId="2376BDD1" w14:textId="05022AD0" w:rsidR="00F14F16" w:rsidRPr="009B09CB" w:rsidRDefault="00F14F16" w:rsidP="009B09CB">
      <w:pPr>
        <w:spacing w:line="360" w:lineRule="auto"/>
        <w:jc w:val="both"/>
        <w:rPr>
          <w:rFonts w:cstheme="minorHAnsi"/>
          <w:b/>
          <w:bCs/>
          <w:sz w:val="24"/>
          <w:szCs w:val="24"/>
          <w:u w:val="single"/>
        </w:rPr>
      </w:pPr>
      <w:r w:rsidRPr="009B09CB">
        <w:rPr>
          <w:rFonts w:cstheme="minorHAnsi"/>
          <w:b/>
          <w:bCs/>
          <w:sz w:val="24"/>
          <w:szCs w:val="24"/>
          <w:u w:val="single"/>
        </w:rPr>
        <w:t xml:space="preserve">Part 2 </w:t>
      </w:r>
      <w:r w:rsidR="00353DA1" w:rsidRPr="009B09CB">
        <w:rPr>
          <w:rFonts w:cstheme="minorHAnsi"/>
          <w:b/>
          <w:bCs/>
          <w:sz w:val="24"/>
          <w:szCs w:val="24"/>
          <w:u w:val="single"/>
        </w:rPr>
        <w:t xml:space="preserve">- </w:t>
      </w:r>
      <w:r w:rsidRPr="009B09CB">
        <w:rPr>
          <w:rFonts w:cstheme="minorHAnsi"/>
          <w:b/>
          <w:bCs/>
          <w:sz w:val="24"/>
          <w:szCs w:val="24"/>
          <w:u w:val="single"/>
        </w:rPr>
        <w:t>Support statements</w:t>
      </w:r>
    </w:p>
    <w:p w14:paraId="1D5CC63B" w14:textId="1AE0B695"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For the next three scenarios I will be working in within the </w:t>
      </w:r>
      <w:r w:rsidR="004875CC" w:rsidRPr="009B09CB">
        <w:rPr>
          <w:rFonts w:cstheme="minorHAnsi"/>
          <w:sz w:val="24"/>
          <w:szCs w:val="24"/>
        </w:rPr>
        <w:t>University</w:t>
      </w:r>
      <w:r w:rsidRPr="009B09CB">
        <w:rPr>
          <w:rFonts w:cstheme="minorHAnsi"/>
          <w:sz w:val="24"/>
          <w:szCs w:val="24"/>
        </w:rPr>
        <w:t xml:space="preserve"> of Wales Trinity St David’s. I will be working with BA hotel management students on the hotel and hospitality management degree and adhering to the policies of the </w:t>
      </w:r>
      <w:r w:rsidR="004875CC" w:rsidRPr="009B09CB">
        <w:rPr>
          <w:rFonts w:cstheme="minorHAnsi"/>
          <w:sz w:val="24"/>
          <w:szCs w:val="24"/>
        </w:rPr>
        <w:t>University</w:t>
      </w:r>
      <w:r w:rsidRPr="009B09CB">
        <w:rPr>
          <w:rFonts w:cstheme="minorHAnsi"/>
          <w:sz w:val="24"/>
          <w:szCs w:val="24"/>
        </w:rPr>
        <w:t xml:space="preserve"> and that of the Welsh and UK Government. </w:t>
      </w:r>
    </w:p>
    <w:p w14:paraId="0B2D8DF8" w14:textId="77777777" w:rsidR="00F14F16" w:rsidRDefault="00F14F16" w:rsidP="009B09CB">
      <w:pPr>
        <w:spacing w:line="360" w:lineRule="auto"/>
        <w:jc w:val="both"/>
        <w:rPr>
          <w:rFonts w:cstheme="minorHAnsi"/>
          <w:sz w:val="24"/>
          <w:szCs w:val="24"/>
        </w:rPr>
      </w:pPr>
    </w:p>
    <w:p w14:paraId="525495BB" w14:textId="77777777" w:rsidR="009B09CB" w:rsidRDefault="009B09CB" w:rsidP="009B09CB">
      <w:pPr>
        <w:spacing w:line="360" w:lineRule="auto"/>
        <w:jc w:val="both"/>
        <w:rPr>
          <w:rFonts w:cstheme="minorHAnsi"/>
          <w:sz w:val="24"/>
          <w:szCs w:val="24"/>
        </w:rPr>
      </w:pPr>
    </w:p>
    <w:p w14:paraId="4EA3B9C7" w14:textId="77777777" w:rsidR="009B09CB" w:rsidRPr="009B09CB" w:rsidRDefault="009B09CB" w:rsidP="009B09CB">
      <w:pPr>
        <w:spacing w:line="360" w:lineRule="auto"/>
        <w:jc w:val="both"/>
        <w:rPr>
          <w:rFonts w:cstheme="minorHAnsi"/>
          <w:sz w:val="24"/>
          <w:szCs w:val="24"/>
        </w:rPr>
      </w:pPr>
    </w:p>
    <w:p w14:paraId="685B8447" w14:textId="761F2724" w:rsidR="00353DA1" w:rsidRDefault="00F14F16" w:rsidP="009B09CB">
      <w:pPr>
        <w:spacing w:line="360" w:lineRule="auto"/>
        <w:jc w:val="both"/>
        <w:rPr>
          <w:rFonts w:cstheme="minorHAnsi"/>
          <w:b/>
          <w:bCs/>
          <w:sz w:val="24"/>
          <w:szCs w:val="24"/>
          <w:u w:val="single"/>
        </w:rPr>
      </w:pPr>
      <w:r w:rsidRPr="009B09CB">
        <w:rPr>
          <w:rFonts w:cstheme="minorHAnsi"/>
          <w:b/>
          <w:bCs/>
          <w:sz w:val="24"/>
          <w:szCs w:val="24"/>
          <w:u w:val="single"/>
        </w:rPr>
        <w:t>Support Statement for Efa</w:t>
      </w:r>
    </w:p>
    <w:p w14:paraId="7591B7A1" w14:textId="77777777" w:rsidR="009B09CB" w:rsidRPr="009B09CB" w:rsidRDefault="009B09CB" w:rsidP="009B09CB">
      <w:pPr>
        <w:spacing w:line="360" w:lineRule="auto"/>
        <w:jc w:val="both"/>
        <w:rPr>
          <w:rFonts w:cstheme="minorHAnsi"/>
          <w:b/>
          <w:bCs/>
          <w:sz w:val="24"/>
          <w:szCs w:val="24"/>
          <w:u w:val="single"/>
        </w:rPr>
      </w:pPr>
    </w:p>
    <w:p w14:paraId="7CEDBC17"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Addressing Racial Discrimination:</w:t>
      </w:r>
    </w:p>
    <w:p w14:paraId="4755A947" w14:textId="5D312F64"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For Efa, the experience of feeling ostracized due to her race is deeply concerning. Addressing racial discrimination is not only about creating a safe space for Efa but also about setting a precedent that discrimination of any form is unacceptable within the </w:t>
      </w:r>
      <w:r w:rsidR="004875CC" w:rsidRPr="009B09CB">
        <w:rPr>
          <w:rFonts w:cstheme="minorHAnsi"/>
          <w:sz w:val="24"/>
          <w:szCs w:val="24"/>
        </w:rPr>
        <w:t>University</w:t>
      </w:r>
      <w:r w:rsidRPr="009B09CB">
        <w:rPr>
          <w:rFonts w:cstheme="minorHAnsi"/>
          <w:sz w:val="24"/>
          <w:szCs w:val="24"/>
        </w:rPr>
        <w:t xml:space="preserve"> as stated in the Race </w:t>
      </w:r>
      <w:r w:rsidR="00326541" w:rsidRPr="009B09CB">
        <w:rPr>
          <w:rFonts w:cstheme="minorHAnsi"/>
          <w:sz w:val="24"/>
          <w:szCs w:val="24"/>
        </w:rPr>
        <w:t>E</w:t>
      </w:r>
      <w:r w:rsidRPr="009B09CB">
        <w:rPr>
          <w:rFonts w:cstheme="minorHAnsi"/>
          <w:sz w:val="24"/>
          <w:szCs w:val="24"/>
        </w:rPr>
        <w:t xml:space="preserve">quality </w:t>
      </w:r>
      <w:r w:rsidR="00326541" w:rsidRPr="009B09CB">
        <w:rPr>
          <w:rFonts w:cstheme="minorHAnsi"/>
          <w:sz w:val="24"/>
          <w:szCs w:val="24"/>
        </w:rPr>
        <w:t>P</w:t>
      </w:r>
      <w:r w:rsidRPr="009B09CB">
        <w:rPr>
          <w:rFonts w:cstheme="minorHAnsi"/>
          <w:sz w:val="24"/>
          <w:szCs w:val="24"/>
        </w:rPr>
        <w:t xml:space="preserve">lan (UWTSD,2021). This action is vital for nurturing a sense of belonging and ensuring that all students, regardless of their background, can thrive academically and socially. The </w:t>
      </w:r>
      <w:r w:rsidR="004875CC" w:rsidRPr="009B09CB">
        <w:rPr>
          <w:rFonts w:cstheme="minorHAnsi"/>
          <w:sz w:val="24"/>
          <w:szCs w:val="24"/>
        </w:rPr>
        <w:t>University</w:t>
      </w:r>
      <w:r w:rsidRPr="009B09CB">
        <w:rPr>
          <w:rFonts w:cstheme="minorHAnsi"/>
          <w:sz w:val="24"/>
          <w:szCs w:val="24"/>
        </w:rPr>
        <w:t>’s commitment to this is evident within the plan which encompasses information from the Race Equality Charter (</w:t>
      </w:r>
      <w:proofErr w:type="spellStart"/>
      <w:r w:rsidRPr="009B09CB">
        <w:rPr>
          <w:rFonts w:cstheme="minorHAnsi"/>
          <w:sz w:val="24"/>
          <w:szCs w:val="24"/>
        </w:rPr>
        <w:t>AdvanceHE</w:t>
      </w:r>
      <w:proofErr w:type="spellEnd"/>
      <w:r w:rsidRPr="009B09CB">
        <w:rPr>
          <w:rFonts w:cstheme="minorHAnsi"/>
          <w:sz w:val="24"/>
          <w:szCs w:val="24"/>
        </w:rPr>
        <w:t>, 2024) and Zero Racism Wales (</w:t>
      </w:r>
      <w:proofErr w:type="spellStart"/>
      <w:r w:rsidRPr="009B09CB">
        <w:rPr>
          <w:rFonts w:cstheme="minorHAnsi"/>
          <w:sz w:val="24"/>
          <w:szCs w:val="24"/>
        </w:rPr>
        <w:t>ZeroRacismWales</w:t>
      </w:r>
      <w:proofErr w:type="spellEnd"/>
      <w:r w:rsidRPr="009B09CB">
        <w:rPr>
          <w:rFonts w:cstheme="minorHAnsi"/>
          <w:sz w:val="24"/>
          <w:szCs w:val="24"/>
        </w:rPr>
        <w:t>, 2024).</w:t>
      </w:r>
    </w:p>
    <w:p w14:paraId="3C4BEA6D"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Importance of Sensitivity and Diversity Training:</w:t>
      </w:r>
    </w:p>
    <w:p w14:paraId="476D2513" w14:textId="21DD6CF3" w:rsidR="00F14F16" w:rsidRPr="009B09CB" w:rsidRDefault="00F14F16" w:rsidP="009B09CB">
      <w:pPr>
        <w:spacing w:line="360" w:lineRule="auto"/>
        <w:jc w:val="both"/>
        <w:rPr>
          <w:rFonts w:cstheme="minorHAnsi"/>
          <w:sz w:val="24"/>
          <w:szCs w:val="24"/>
        </w:rPr>
      </w:pPr>
      <w:r w:rsidRPr="009B09CB">
        <w:rPr>
          <w:rFonts w:cstheme="minorHAnsi"/>
          <w:sz w:val="24"/>
          <w:szCs w:val="24"/>
        </w:rPr>
        <w:t>Implementing sensitivity and diversity training for students and staff is essential in creating an environment where everyone is aware of the impacts of their words and actions. Such training helps in building empathy, understanding different perspectives, and fostering a culture of respect and inclusion (</w:t>
      </w:r>
      <w:proofErr w:type="spellStart"/>
      <w:r w:rsidRPr="009B09CB">
        <w:rPr>
          <w:rFonts w:cstheme="minorHAnsi"/>
          <w:sz w:val="24"/>
          <w:szCs w:val="24"/>
        </w:rPr>
        <w:t>Luiselli</w:t>
      </w:r>
      <w:proofErr w:type="spellEnd"/>
      <w:r w:rsidRPr="009B09CB">
        <w:rPr>
          <w:rFonts w:cstheme="minorHAnsi"/>
          <w:sz w:val="24"/>
          <w:szCs w:val="24"/>
        </w:rPr>
        <w:t xml:space="preserve"> et.al, 2021). This is particularly important in Efa's case, where comments and actions perceived as 'jokes' or 'banter' have contributed to her feeling of alienation. By educating the </w:t>
      </w:r>
      <w:r w:rsidR="004875CC" w:rsidRPr="009B09CB">
        <w:rPr>
          <w:rFonts w:cstheme="minorHAnsi"/>
          <w:sz w:val="24"/>
          <w:szCs w:val="24"/>
        </w:rPr>
        <w:t>University</w:t>
      </w:r>
      <w:r w:rsidRPr="009B09CB">
        <w:rPr>
          <w:rFonts w:cstheme="minorHAnsi"/>
          <w:sz w:val="24"/>
          <w:szCs w:val="24"/>
        </w:rPr>
        <w:t xml:space="preserve"> community, we can reduce instances of microaggressions and create a more welcoming atmosphere for all students.</w:t>
      </w:r>
    </w:p>
    <w:p w14:paraId="68185956" w14:textId="77777777" w:rsidR="009B09CB" w:rsidRDefault="009B09CB" w:rsidP="009B09CB">
      <w:pPr>
        <w:spacing w:line="360" w:lineRule="auto"/>
        <w:jc w:val="both"/>
        <w:rPr>
          <w:rFonts w:cstheme="minorHAnsi"/>
          <w:b/>
          <w:bCs/>
          <w:sz w:val="24"/>
          <w:szCs w:val="24"/>
        </w:rPr>
      </w:pPr>
    </w:p>
    <w:p w14:paraId="41341CB3" w14:textId="723EA3A1"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Impact of a Mentorship Program:</w:t>
      </w:r>
    </w:p>
    <w:p w14:paraId="006FC9A7" w14:textId="6ED01A23" w:rsidR="00353DA1" w:rsidRPr="009B09CB" w:rsidRDefault="00F14F16" w:rsidP="009B09CB">
      <w:pPr>
        <w:spacing w:line="360" w:lineRule="auto"/>
        <w:jc w:val="both"/>
        <w:rPr>
          <w:rFonts w:cstheme="minorHAnsi"/>
          <w:sz w:val="24"/>
          <w:szCs w:val="24"/>
        </w:rPr>
      </w:pPr>
      <w:r w:rsidRPr="009B09CB">
        <w:rPr>
          <w:rFonts w:cstheme="minorHAnsi"/>
          <w:sz w:val="24"/>
          <w:szCs w:val="24"/>
        </w:rPr>
        <w:t xml:space="preserve">Establishing a mentorship program can provide Efa with a sense of support and community, something she currently lacks. A mentor can offer guidance, support, and advocacy, helping Efa navigate her </w:t>
      </w:r>
      <w:r w:rsidR="004875CC" w:rsidRPr="009B09CB">
        <w:rPr>
          <w:rFonts w:cstheme="minorHAnsi"/>
          <w:sz w:val="24"/>
          <w:szCs w:val="24"/>
        </w:rPr>
        <w:t>University</w:t>
      </w:r>
      <w:r w:rsidRPr="009B09CB">
        <w:rPr>
          <w:rFonts w:cstheme="minorHAnsi"/>
          <w:sz w:val="24"/>
          <w:szCs w:val="24"/>
        </w:rPr>
        <w:t xml:space="preserve"> life both academically and socially. Initiatives such as the peer assisted learning (PAL) can also empower her to voice her concerns in a safe space, promoting a sense of validation and belonging (UWTSD, 2024</w:t>
      </w:r>
      <w:r w:rsidR="00B07A33" w:rsidRPr="009B09CB">
        <w:rPr>
          <w:rFonts w:cstheme="minorHAnsi"/>
          <w:sz w:val="24"/>
          <w:szCs w:val="24"/>
        </w:rPr>
        <w:t>a</w:t>
      </w:r>
      <w:r w:rsidRPr="009B09CB">
        <w:rPr>
          <w:rFonts w:cstheme="minorHAnsi"/>
          <w:sz w:val="24"/>
          <w:szCs w:val="24"/>
        </w:rPr>
        <w:t>). This programme could not only support Efa, but could also serve as a valuable support system for other students who might feel marginalised or overlooked, creating a source of community amongst the students.</w:t>
      </w:r>
    </w:p>
    <w:p w14:paraId="690F0154"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Significance of a Clear Reporting Mechanism for Discrimination:</w:t>
      </w:r>
    </w:p>
    <w:p w14:paraId="7FB2EB3F" w14:textId="303EFD42" w:rsidR="00F14F16" w:rsidRPr="009B09CB" w:rsidRDefault="00F14F16" w:rsidP="009B09CB">
      <w:pPr>
        <w:spacing w:line="360" w:lineRule="auto"/>
        <w:jc w:val="both"/>
        <w:rPr>
          <w:rFonts w:cstheme="minorHAnsi"/>
          <w:sz w:val="24"/>
          <w:szCs w:val="24"/>
        </w:rPr>
      </w:pPr>
      <w:r w:rsidRPr="009B09CB">
        <w:rPr>
          <w:rFonts w:cstheme="minorHAnsi"/>
          <w:sz w:val="24"/>
          <w:szCs w:val="24"/>
        </w:rPr>
        <w:t>A clear and accessible reporting mechanism is crucial for addressing concerns promptly and effectively. Identifying the reporting system through student services ensures that Efa can report incidents of discrimination without fear of dismissal or retaliation (UWTSD, 2024</w:t>
      </w:r>
      <w:r w:rsidR="00313A1C" w:rsidRPr="009B09CB">
        <w:rPr>
          <w:rFonts w:cstheme="minorHAnsi"/>
          <w:sz w:val="24"/>
          <w:szCs w:val="24"/>
        </w:rPr>
        <w:t>b</w:t>
      </w:r>
      <w:r w:rsidRPr="009B09CB">
        <w:rPr>
          <w:rFonts w:cstheme="minorHAnsi"/>
          <w:sz w:val="24"/>
          <w:szCs w:val="24"/>
        </w:rPr>
        <w:t xml:space="preserve">). This reporting mechanism demonstrates the </w:t>
      </w:r>
      <w:r w:rsidR="004875CC" w:rsidRPr="009B09CB">
        <w:rPr>
          <w:rFonts w:cstheme="minorHAnsi"/>
          <w:sz w:val="24"/>
          <w:szCs w:val="24"/>
        </w:rPr>
        <w:t>University</w:t>
      </w:r>
      <w:r w:rsidRPr="009B09CB">
        <w:rPr>
          <w:rFonts w:cstheme="minorHAnsi"/>
          <w:sz w:val="24"/>
          <w:szCs w:val="24"/>
        </w:rPr>
        <w:t>'s commitment to taking immediate action against discrimination, fostering a safer and more inclusive environment for all students.</w:t>
      </w:r>
    </w:p>
    <w:p w14:paraId="0DF7DA22"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Alignment with the UK PSF:</w:t>
      </w:r>
    </w:p>
    <w:p w14:paraId="787802C5" w14:textId="7578AB97" w:rsidR="00F14F16" w:rsidRPr="009B09CB" w:rsidRDefault="00F14F16" w:rsidP="009B09CB">
      <w:pPr>
        <w:spacing w:line="360" w:lineRule="auto"/>
        <w:jc w:val="both"/>
        <w:rPr>
          <w:rFonts w:cstheme="minorHAnsi"/>
          <w:sz w:val="24"/>
          <w:szCs w:val="24"/>
        </w:rPr>
      </w:pPr>
      <w:r w:rsidRPr="009B09CB">
        <w:rPr>
          <w:rFonts w:cstheme="minorHAnsi"/>
          <w:sz w:val="24"/>
          <w:szCs w:val="24"/>
        </w:rPr>
        <w:t>Efa's support statement aligns with Descriptor 2 (D2) of the UK Professional Standards Framework (PSF), emphasi</w:t>
      </w:r>
      <w:r w:rsidR="00F561D2" w:rsidRPr="009B09CB">
        <w:rPr>
          <w:rFonts w:cstheme="minorHAnsi"/>
          <w:sz w:val="24"/>
          <w:szCs w:val="24"/>
        </w:rPr>
        <w:t>s</w:t>
      </w:r>
      <w:r w:rsidRPr="009B09CB">
        <w:rPr>
          <w:rFonts w:cstheme="minorHAnsi"/>
          <w:sz w:val="24"/>
          <w:szCs w:val="24"/>
        </w:rPr>
        <w:t xml:space="preserve">ing the importance of inclusive practice across all educational activities. The initiatives proposed resonate with the PSF's values of respecting individual learners (V1) and promoting equity of opportunity (V2) (Advanced HE, 2023). By adhering to these standards, the </w:t>
      </w:r>
      <w:r w:rsidR="004875CC" w:rsidRPr="009B09CB">
        <w:rPr>
          <w:rFonts w:cstheme="minorHAnsi"/>
          <w:sz w:val="24"/>
          <w:szCs w:val="24"/>
        </w:rPr>
        <w:t>University</w:t>
      </w:r>
      <w:r w:rsidRPr="009B09CB">
        <w:rPr>
          <w:rFonts w:cstheme="minorHAnsi"/>
          <w:sz w:val="24"/>
          <w:szCs w:val="24"/>
        </w:rPr>
        <w:t xml:space="preserve"> not only supports Efa but also upholds its commitment to excellence in teaching and learning, ensuring that all students are treated with respect and given equal opportunities to succeed.</w:t>
      </w:r>
    </w:p>
    <w:p w14:paraId="2F0F3727" w14:textId="77777777" w:rsidR="00F14F16" w:rsidRPr="009B09CB" w:rsidRDefault="00F14F16" w:rsidP="009B09CB">
      <w:pPr>
        <w:spacing w:line="360" w:lineRule="auto"/>
        <w:jc w:val="both"/>
        <w:rPr>
          <w:rFonts w:cstheme="minorHAnsi"/>
          <w:sz w:val="24"/>
          <w:szCs w:val="24"/>
        </w:rPr>
      </w:pPr>
      <w:r w:rsidRPr="009B09CB">
        <w:rPr>
          <w:rFonts w:cstheme="minorHAnsi"/>
          <w:sz w:val="24"/>
          <w:szCs w:val="24"/>
        </w:rPr>
        <w:t>In summary, the support measures for Efa are not just about addressing her immediate concerns but are also about instilling a culture of respect, empathy, and inclusion within UWTSD. These actions reflect a commitment to upholding the dignity and value of every student, ensuring they have the support and opportunities they need to excel in their academic and personal lives.</w:t>
      </w:r>
    </w:p>
    <w:p w14:paraId="75C3A91C" w14:textId="77777777" w:rsidR="00F14F16" w:rsidRDefault="00F14F16" w:rsidP="009B09CB">
      <w:pPr>
        <w:spacing w:line="360" w:lineRule="auto"/>
        <w:jc w:val="both"/>
        <w:rPr>
          <w:rFonts w:cstheme="minorHAnsi"/>
          <w:sz w:val="24"/>
          <w:szCs w:val="24"/>
        </w:rPr>
      </w:pPr>
    </w:p>
    <w:p w14:paraId="65CE0D4F" w14:textId="77777777" w:rsidR="009B09CB" w:rsidRPr="009B09CB" w:rsidRDefault="009B09CB" w:rsidP="009B09CB">
      <w:pPr>
        <w:spacing w:line="360" w:lineRule="auto"/>
        <w:jc w:val="both"/>
        <w:rPr>
          <w:rFonts w:cstheme="minorHAnsi"/>
          <w:sz w:val="24"/>
          <w:szCs w:val="24"/>
        </w:rPr>
      </w:pPr>
    </w:p>
    <w:p w14:paraId="6E3B7E1F" w14:textId="77777777" w:rsidR="00F14F16" w:rsidRDefault="00F14F16" w:rsidP="009B09CB">
      <w:pPr>
        <w:spacing w:line="360" w:lineRule="auto"/>
        <w:jc w:val="both"/>
        <w:rPr>
          <w:rFonts w:cstheme="minorHAnsi"/>
          <w:b/>
          <w:bCs/>
          <w:sz w:val="24"/>
          <w:szCs w:val="24"/>
          <w:u w:val="single"/>
        </w:rPr>
      </w:pPr>
      <w:r w:rsidRPr="009B09CB">
        <w:rPr>
          <w:rFonts w:cstheme="minorHAnsi"/>
          <w:b/>
          <w:bCs/>
          <w:sz w:val="24"/>
          <w:szCs w:val="24"/>
          <w:u w:val="single"/>
        </w:rPr>
        <w:t>Support Statement for Megan</w:t>
      </w:r>
    </w:p>
    <w:p w14:paraId="633AEF85" w14:textId="77777777" w:rsidR="009B09CB" w:rsidRPr="009B09CB" w:rsidRDefault="009B09CB" w:rsidP="009B09CB">
      <w:pPr>
        <w:spacing w:line="360" w:lineRule="auto"/>
        <w:jc w:val="both"/>
        <w:rPr>
          <w:rFonts w:cstheme="minorHAnsi"/>
          <w:b/>
          <w:bCs/>
          <w:sz w:val="24"/>
          <w:szCs w:val="24"/>
          <w:u w:val="single"/>
        </w:rPr>
      </w:pPr>
    </w:p>
    <w:p w14:paraId="7B625B47"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Provision of Counselling Services:</w:t>
      </w:r>
    </w:p>
    <w:p w14:paraId="0754A1EA" w14:textId="5BBCC801" w:rsidR="00F14F16" w:rsidRPr="009B09CB" w:rsidRDefault="00F14F16" w:rsidP="009B09CB">
      <w:pPr>
        <w:spacing w:line="360" w:lineRule="auto"/>
        <w:jc w:val="both"/>
        <w:rPr>
          <w:rFonts w:cstheme="minorHAnsi"/>
          <w:sz w:val="24"/>
          <w:szCs w:val="24"/>
        </w:rPr>
      </w:pPr>
      <w:r w:rsidRPr="009B09CB">
        <w:rPr>
          <w:rFonts w:cstheme="minorHAnsi"/>
          <w:sz w:val="24"/>
          <w:szCs w:val="24"/>
        </w:rPr>
        <w:t>Recognising Megan's mental health needs is a critical first step in supporting her holistic well-being. Access to counselling services offers her a safe space to discuss her anxieties and concerns, fostering her emotional resilience (UWTSD, 2024</w:t>
      </w:r>
      <w:r w:rsidR="00827465" w:rsidRPr="009B09CB">
        <w:rPr>
          <w:rFonts w:cstheme="minorHAnsi"/>
          <w:sz w:val="24"/>
          <w:szCs w:val="24"/>
        </w:rPr>
        <w:t>e</w:t>
      </w:r>
      <w:r w:rsidRPr="009B09CB">
        <w:rPr>
          <w:rFonts w:cstheme="minorHAnsi"/>
          <w:sz w:val="24"/>
          <w:szCs w:val="24"/>
        </w:rPr>
        <w:t>). Such support is crucial for Megan, who has struggled with anxiety issues since childhood. Counselling can provide her with coping strategies and tools to manage her anxiety, enhancing her ability to engage with her academic studies and social environments more effectively.</w:t>
      </w:r>
    </w:p>
    <w:p w14:paraId="54D44FDE"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Academic Accommodations:</w:t>
      </w:r>
    </w:p>
    <w:p w14:paraId="7008EAE3" w14:textId="2E790CF3" w:rsidR="00F14F16" w:rsidRPr="009B09CB" w:rsidRDefault="00F14F16" w:rsidP="009B09CB">
      <w:pPr>
        <w:spacing w:line="360" w:lineRule="auto"/>
        <w:jc w:val="both"/>
        <w:rPr>
          <w:rFonts w:cstheme="minorHAnsi"/>
          <w:sz w:val="24"/>
          <w:szCs w:val="24"/>
        </w:rPr>
      </w:pPr>
      <w:r w:rsidRPr="009B09CB">
        <w:rPr>
          <w:rFonts w:cstheme="minorHAnsi"/>
          <w:sz w:val="24"/>
          <w:szCs w:val="24"/>
        </w:rPr>
        <w:t>Providing academic accommodations, like extended time for assignments, acknowledges that students with learning challenges or mental health issues may require different approaches to meet academic expectations. This can be completed through an assessment via student services and ultimately a student support statement (UWTSD, 2024</w:t>
      </w:r>
      <w:r w:rsidR="00CD6F9A" w:rsidRPr="009B09CB">
        <w:rPr>
          <w:rFonts w:cstheme="minorHAnsi"/>
          <w:sz w:val="24"/>
          <w:szCs w:val="24"/>
        </w:rPr>
        <w:t>c</w:t>
      </w:r>
      <w:r w:rsidRPr="009B09CB">
        <w:rPr>
          <w:rFonts w:cstheme="minorHAnsi"/>
          <w:sz w:val="24"/>
          <w:szCs w:val="24"/>
        </w:rPr>
        <w:t>).  For Megan, who has concerns about concentration and a potential undiagnosed learning difficulty like dyslexia, such accommodations are essential. They level the playing field, allowing her to demonstrate her knowledge and skills without being disadvantaged by her mental health or learning needs.</w:t>
      </w:r>
    </w:p>
    <w:p w14:paraId="2127EE3E"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Dyslexia Assessment and One-to-One Support:</w:t>
      </w:r>
    </w:p>
    <w:p w14:paraId="5435EFD1" w14:textId="3ADA8C36" w:rsidR="0022310C" w:rsidRPr="009B09CB" w:rsidRDefault="00F14F16" w:rsidP="009B09CB">
      <w:pPr>
        <w:spacing w:line="360" w:lineRule="auto"/>
        <w:jc w:val="both"/>
        <w:rPr>
          <w:rFonts w:cstheme="minorHAnsi"/>
          <w:sz w:val="24"/>
          <w:szCs w:val="24"/>
        </w:rPr>
      </w:pPr>
      <w:r w:rsidRPr="009B09CB">
        <w:rPr>
          <w:rFonts w:cstheme="minorHAnsi"/>
          <w:sz w:val="24"/>
          <w:szCs w:val="24"/>
        </w:rPr>
        <w:t>Referring Megan for a dyslexia assessment and providing one-to-one support if needed are crucial steps in identifying and addressing specific learning challenges. Understanding her learning profile can help tailor her academic support, ensuring that she receives the most effective interventions to enhance her learning experience (UWTSD, 2024</w:t>
      </w:r>
      <w:r w:rsidR="00915AB4" w:rsidRPr="009B09CB">
        <w:rPr>
          <w:rFonts w:cstheme="minorHAnsi"/>
          <w:sz w:val="24"/>
          <w:szCs w:val="24"/>
        </w:rPr>
        <w:t>d</w:t>
      </w:r>
      <w:r w:rsidRPr="009B09CB">
        <w:rPr>
          <w:rFonts w:cstheme="minorHAnsi"/>
          <w:sz w:val="24"/>
          <w:szCs w:val="24"/>
        </w:rPr>
        <w:t>).</w:t>
      </w:r>
    </w:p>
    <w:p w14:paraId="4E1B0FA6" w14:textId="540EBB58"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Small Study Groups and Buddy System:</w:t>
      </w:r>
    </w:p>
    <w:p w14:paraId="3BF15955" w14:textId="4965CE79"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Integrating small study groups and a buddy system can significantly alleviate Megan's social anxieties. These systems foster a supportive learning environment where Megan can feel more comfortable and less isolated. Megan could attend study skills sessions within the </w:t>
      </w:r>
      <w:r w:rsidR="004875CC" w:rsidRPr="009B09CB">
        <w:rPr>
          <w:rFonts w:cstheme="minorHAnsi"/>
          <w:sz w:val="24"/>
          <w:szCs w:val="24"/>
        </w:rPr>
        <w:t>University</w:t>
      </w:r>
      <w:r w:rsidRPr="009B09CB">
        <w:rPr>
          <w:rFonts w:cstheme="minorHAnsi"/>
          <w:sz w:val="24"/>
          <w:szCs w:val="24"/>
        </w:rPr>
        <w:t xml:space="preserve"> to offer a more intimate way of studying (UWTSD, 2024</w:t>
      </w:r>
      <w:r w:rsidR="00DC5E67" w:rsidRPr="009B09CB">
        <w:rPr>
          <w:rFonts w:cstheme="minorHAnsi"/>
          <w:sz w:val="24"/>
          <w:szCs w:val="24"/>
        </w:rPr>
        <w:t>c</w:t>
      </w:r>
      <w:r w:rsidRPr="009B09CB">
        <w:rPr>
          <w:rFonts w:cstheme="minorHAnsi"/>
          <w:sz w:val="24"/>
          <w:szCs w:val="24"/>
        </w:rPr>
        <w:t xml:space="preserve">). Small groups encourage interaction in a less overwhelming setting, while a buddy system provides a sense of companionship and support, easing her transition into </w:t>
      </w:r>
      <w:r w:rsidR="004875CC" w:rsidRPr="009B09CB">
        <w:rPr>
          <w:rFonts w:cstheme="minorHAnsi"/>
          <w:sz w:val="24"/>
          <w:szCs w:val="24"/>
        </w:rPr>
        <w:t>University</w:t>
      </w:r>
      <w:r w:rsidRPr="009B09CB">
        <w:rPr>
          <w:rFonts w:cstheme="minorHAnsi"/>
          <w:sz w:val="24"/>
          <w:szCs w:val="24"/>
        </w:rPr>
        <w:t xml:space="preserve"> life and helping her build confidence in social situations. UWTSD offers peer assisted learning (PAL). PAL is able to create a buddy system with more experienced students creating a supportive network and a sense of belonging which may help Megan at this time (UWTSD, 2024</w:t>
      </w:r>
      <w:r w:rsidR="00DC5E67" w:rsidRPr="009B09CB">
        <w:rPr>
          <w:rFonts w:cstheme="minorHAnsi"/>
          <w:sz w:val="24"/>
          <w:szCs w:val="24"/>
        </w:rPr>
        <w:t>a</w:t>
      </w:r>
      <w:r w:rsidRPr="009B09CB">
        <w:rPr>
          <w:rFonts w:cstheme="minorHAnsi"/>
          <w:sz w:val="24"/>
          <w:szCs w:val="24"/>
        </w:rPr>
        <w:t xml:space="preserve">). </w:t>
      </w:r>
    </w:p>
    <w:p w14:paraId="34FCEF3E"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Regular Check-ins:</w:t>
      </w:r>
    </w:p>
    <w:p w14:paraId="6672DD6F" w14:textId="22A3F67F"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Regular check-ins with a mentor or advisor ensure that Megan's support needs are continuously monitored and addressed. These check-ins provide an opportunity for Megan to discuss her progress, challenges, and any adjustments needed in her support plan. They signify the </w:t>
      </w:r>
      <w:r w:rsidR="004875CC" w:rsidRPr="009B09CB">
        <w:rPr>
          <w:rFonts w:cstheme="minorHAnsi"/>
          <w:sz w:val="24"/>
          <w:szCs w:val="24"/>
        </w:rPr>
        <w:t>University</w:t>
      </w:r>
      <w:r w:rsidRPr="009B09CB">
        <w:rPr>
          <w:rFonts w:cstheme="minorHAnsi"/>
          <w:sz w:val="24"/>
          <w:szCs w:val="24"/>
        </w:rPr>
        <w:t xml:space="preserve">'s ongoing commitment to her well-being and academic success, ensuring that the support provided evolves with her needs. These check-ins will be completed by both the </w:t>
      </w:r>
      <w:r w:rsidR="004875CC" w:rsidRPr="009B09CB">
        <w:rPr>
          <w:rFonts w:cstheme="minorHAnsi"/>
          <w:sz w:val="24"/>
          <w:szCs w:val="24"/>
        </w:rPr>
        <w:t>University</w:t>
      </w:r>
      <w:r w:rsidRPr="009B09CB">
        <w:rPr>
          <w:rFonts w:cstheme="minorHAnsi"/>
          <w:sz w:val="24"/>
          <w:szCs w:val="24"/>
        </w:rPr>
        <w:t xml:space="preserve"> wellbeing team and her lecturer to offer the best level of support at this time (UWTSD, 2024</w:t>
      </w:r>
      <w:r w:rsidR="00821B55" w:rsidRPr="009B09CB">
        <w:rPr>
          <w:rFonts w:cstheme="minorHAnsi"/>
          <w:sz w:val="24"/>
          <w:szCs w:val="24"/>
        </w:rPr>
        <w:t>b</w:t>
      </w:r>
      <w:r w:rsidRPr="009B09CB">
        <w:rPr>
          <w:rFonts w:cstheme="minorHAnsi"/>
          <w:sz w:val="24"/>
          <w:szCs w:val="24"/>
        </w:rPr>
        <w:t xml:space="preserve">).  </w:t>
      </w:r>
    </w:p>
    <w:p w14:paraId="5FA5E934"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Alignment with the UK PSF:</w:t>
      </w:r>
    </w:p>
    <w:p w14:paraId="7AF04FB8" w14:textId="799B7618"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The support measures for Megan align with Descriptor 1 (D1) of the UK Professional Standards Framework (PSF), particularly focusing on using evidence-informed approaches and adapting teaching strategies to meet diverse learning needs (Advanced HE, 2023). This alignment demonstrates the </w:t>
      </w:r>
      <w:r w:rsidR="004875CC" w:rsidRPr="009B09CB">
        <w:rPr>
          <w:rFonts w:cstheme="minorHAnsi"/>
          <w:sz w:val="24"/>
          <w:szCs w:val="24"/>
        </w:rPr>
        <w:t>University</w:t>
      </w:r>
      <w:r w:rsidRPr="009B09CB">
        <w:rPr>
          <w:rFonts w:cstheme="minorHAnsi"/>
          <w:sz w:val="24"/>
          <w:szCs w:val="24"/>
        </w:rPr>
        <w:t>'s commitment to best practices in higher education, ensuring that all students, regardless of their individual challenges, receive the support and opportunities they need to succeed.</w:t>
      </w:r>
    </w:p>
    <w:p w14:paraId="702F5242" w14:textId="7944920B"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In conclusion, the comprehensive support plan for Megan not only addresses her immediate needs but also demonstrates a proactive approach to fostering her academic and personal growth. By providing tailored support, </w:t>
      </w:r>
      <w:r w:rsidR="00017290" w:rsidRPr="009B09CB">
        <w:rPr>
          <w:rFonts w:cstheme="minorHAnsi"/>
          <w:sz w:val="24"/>
          <w:szCs w:val="24"/>
        </w:rPr>
        <w:t>UWTSD</w:t>
      </w:r>
      <w:r w:rsidRPr="009B09CB">
        <w:rPr>
          <w:rFonts w:cstheme="minorHAnsi"/>
          <w:sz w:val="24"/>
          <w:szCs w:val="24"/>
        </w:rPr>
        <w:t xml:space="preserve"> is committing to an inclusive educational environment where every student, regardless of their challenges, can thrive and succeed.</w:t>
      </w:r>
    </w:p>
    <w:p w14:paraId="62739719" w14:textId="77777777" w:rsidR="00F14F16" w:rsidRDefault="00F14F16" w:rsidP="009B09CB">
      <w:pPr>
        <w:spacing w:line="360" w:lineRule="auto"/>
        <w:jc w:val="both"/>
        <w:rPr>
          <w:rFonts w:cstheme="minorHAnsi"/>
          <w:b/>
          <w:bCs/>
          <w:sz w:val="24"/>
          <w:szCs w:val="24"/>
          <w:u w:val="single"/>
        </w:rPr>
      </w:pPr>
    </w:p>
    <w:p w14:paraId="14972ED7" w14:textId="77777777" w:rsidR="009B09CB" w:rsidRDefault="009B09CB" w:rsidP="009B09CB">
      <w:pPr>
        <w:spacing w:line="360" w:lineRule="auto"/>
        <w:jc w:val="both"/>
        <w:rPr>
          <w:rFonts w:cstheme="minorHAnsi"/>
          <w:b/>
          <w:bCs/>
          <w:sz w:val="24"/>
          <w:szCs w:val="24"/>
          <w:u w:val="single"/>
        </w:rPr>
      </w:pPr>
    </w:p>
    <w:p w14:paraId="3DEBAF37" w14:textId="77777777" w:rsidR="009B09CB" w:rsidRDefault="009B09CB" w:rsidP="009B09CB">
      <w:pPr>
        <w:spacing w:line="360" w:lineRule="auto"/>
        <w:jc w:val="both"/>
        <w:rPr>
          <w:rFonts w:cstheme="minorHAnsi"/>
          <w:b/>
          <w:bCs/>
          <w:sz w:val="24"/>
          <w:szCs w:val="24"/>
          <w:u w:val="single"/>
        </w:rPr>
      </w:pPr>
    </w:p>
    <w:p w14:paraId="4439B80B" w14:textId="77777777" w:rsidR="009B09CB" w:rsidRDefault="009B09CB" w:rsidP="009B09CB">
      <w:pPr>
        <w:spacing w:line="360" w:lineRule="auto"/>
        <w:jc w:val="both"/>
        <w:rPr>
          <w:rFonts w:cstheme="minorHAnsi"/>
          <w:b/>
          <w:bCs/>
          <w:sz w:val="24"/>
          <w:szCs w:val="24"/>
          <w:u w:val="single"/>
        </w:rPr>
      </w:pPr>
    </w:p>
    <w:p w14:paraId="0F03E0EE" w14:textId="77777777" w:rsidR="009B09CB" w:rsidRPr="009B09CB" w:rsidRDefault="009B09CB" w:rsidP="009B09CB">
      <w:pPr>
        <w:spacing w:line="360" w:lineRule="auto"/>
        <w:jc w:val="both"/>
        <w:rPr>
          <w:rFonts w:cstheme="minorHAnsi"/>
          <w:b/>
          <w:bCs/>
          <w:sz w:val="24"/>
          <w:szCs w:val="24"/>
          <w:u w:val="single"/>
        </w:rPr>
      </w:pPr>
    </w:p>
    <w:p w14:paraId="0778944B" w14:textId="77777777" w:rsidR="00F14F16" w:rsidRDefault="00F14F16" w:rsidP="009B09CB">
      <w:pPr>
        <w:spacing w:line="360" w:lineRule="auto"/>
        <w:jc w:val="both"/>
        <w:rPr>
          <w:rFonts w:cstheme="minorHAnsi"/>
          <w:b/>
          <w:bCs/>
          <w:sz w:val="24"/>
          <w:szCs w:val="24"/>
          <w:u w:val="single"/>
        </w:rPr>
      </w:pPr>
      <w:r w:rsidRPr="009B09CB">
        <w:rPr>
          <w:rFonts w:cstheme="minorHAnsi"/>
          <w:b/>
          <w:bCs/>
          <w:sz w:val="24"/>
          <w:szCs w:val="24"/>
          <w:u w:val="single"/>
        </w:rPr>
        <w:t>Support Statement for Dafydd</w:t>
      </w:r>
    </w:p>
    <w:p w14:paraId="72DB50C0" w14:textId="77777777" w:rsidR="009B09CB" w:rsidRPr="009B09CB" w:rsidRDefault="009B09CB" w:rsidP="009B09CB">
      <w:pPr>
        <w:spacing w:line="360" w:lineRule="auto"/>
        <w:jc w:val="both"/>
        <w:rPr>
          <w:rFonts w:cstheme="minorHAnsi"/>
          <w:b/>
          <w:bCs/>
          <w:sz w:val="24"/>
          <w:szCs w:val="24"/>
          <w:u w:val="single"/>
        </w:rPr>
      </w:pPr>
    </w:p>
    <w:p w14:paraId="37DDBE8A"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Ensuring Physical Accessibility:</w:t>
      </w:r>
    </w:p>
    <w:p w14:paraId="50E37DF0" w14:textId="1B27C304" w:rsidR="00F14F16" w:rsidRPr="009B09CB" w:rsidRDefault="00F14F16" w:rsidP="009B09CB">
      <w:pPr>
        <w:spacing w:line="360" w:lineRule="auto"/>
        <w:jc w:val="both"/>
        <w:rPr>
          <w:rFonts w:cstheme="minorHAnsi"/>
          <w:sz w:val="24"/>
          <w:szCs w:val="24"/>
        </w:rPr>
      </w:pPr>
      <w:r w:rsidRPr="009B09CB">
        <w:rPr>
          <w:rFonts w:cstheme="minorHAnsi"/>
          <w:sz w:val="24"/>
          <w:szCs w:val="24"/>
        </w:rPr>
        <w:t>Ensuring physical accessibility is fundamental for Dafydd, who uses crutches for mobility. This accommodation helps remove physical barriers, enabling him to navigate the campus independently and safely (UWTSD, 2024</w:t>
      </w:r>
      <w:r w:rsidR="00AB43E1" w:rsidRPr="009B09CB">
        <w:rPr>
          <w:rFonts w:cstheme="minorHAnsi"/>
          <w:sz w:val="24"/>
          <w:szCs w:val="24"/>
        </w:rPr>
        <w:t>d</w:t>
      </w:r>
      <w:r w:rsidRPr="009B09CB">
        <w:rPr>
          <w:rFonts w:cstheme="minorHAnsi"/>
          <w:sz w:val="24"/>
          <w:szCs w:val="24"/>
        </w:rPr>
        <w:t xml:space="preserve">). Providing accessible routes, classrooms, and facilities aligns with the </w:t>
      </w:r>
      <w:r w:rsidR="004875CC" w:rsidRPr="009B09CB">
        <w:rPr>
          <w:rFonts w:cstheme="minorHAnsi"/>
          <w:sz w:val="24"/>
          <w:szCs w:val="24"/>
        </w:rPr>
        <w:t>University</w:t>
      </w:r>
      <w:r w:rsidRPr="009B09CB">
        <w:rPr>
          <w:rFonts w:cstheme="minorHAnsi"/>
          <w:sz w:val="24"/>
          <w:szCs w:val="24"/>
        </w:rPr>
        <w:t xml:space="preserve">'s commitment to inclusivity, ensuring that Dafydd can participate fully in all aspects of </w:t>
      </w:r>
      <w:r w:rsidR="004875CC" w:rsidRPr="009B09CB">
        <w:rPr>
          <w:rFonts w:cstheme="minorHAnsi"/>
          <w:sz w:val="24"/>
          <w:szCs w:val="24"/>
        </w:rPr>
        <w:t>University</w:t>
      </w:r>
      <w:r w:rsidRPr="009B09CB">
        <w:rPr>
          <w:rFonts w:cstheme="minorHAnsi"/>
          <w:sz w:val="24"/>
          <w:szCs w:val="24"/>
        </w:rPr>
        <w:t xml:space="preserve"> life without being hindered by mobility challenges.</w:t>
      </w:r>
    </w:p>
    <w:p w14:paraId="426336CE"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Provision of Technological Solutions:</w:t>
      </w:r>
    </w:p>
    <w:p w14:paraId="733A55C6" w14:textId="14C1D80D"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Voice-to-text software can be a </w:t>
      </w:r>
      <w:r w:rsidR="00257E7F" w:rsidRPr="009B09CB">
        <w:rPr>
          <w:rFonts w:cstheme="minorHAnsi"/>
          <w:sz w:val="24"/>
          <w:szCs w:val="24"/>
        </w:rPr>
        <w:t>great support</w:t>
      </w:r>
      <w:r w:rsidRPr="009B09CB">
        <w:rPr>
          <w:rFonts w:cstheme="minorHAnsi"/>
          <w:sz w:val="24"/>
          <w:szCs w:val="24"/>
        </w:rPr>
        <w:t xml:space="preserve"> for Dafydd, particularly given his difficulties with typing due to his condition. This technology allows him to articulate his thoughts and engage in academic work more efficiently, compensating for his physical limitations and ensuring that his academic performance is not adversely affected. Such technological accommodations are crucial for levelling the playing field, allowing Dafydd to demonstrate his knowledge and competencies effectively. Dafydd will be referred to student services for an assessment of his technological needs (UWTSD, 2024</w:t>
      </w:r>
      <w:r w:rsidR="00257E7F" w:rsidRPr="009B09CB">
        <w:rPr>
          <w:rFonts w:cstheme="minorHAnsi"/>
          <w:sz w:val="24"/>
          <w:szCs w:val="24"/>
        </w:rPr>
        <w:t>d</w:t>
      </w:r>
      <w:r w:rsidRPr="009B09CB">
        <w:rPr>
          <w:rFonts w:cstheme="minorHAnsi"/>
          <w:sz w:val="24"/>
          <w:szCs w:val="24"/>
        </w:rPr>
        <w:t>).</w:t>
      </w:r>
    </w:p>
    <w:p w14:paraId="1FF97E13"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Accessible Course Materials:</w:t>
      </w:r>
    </w:p>
    <w:p w14:paraId="41665D2B" w14:textId="11BC928F"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Making course materials available in accessible formats is essential for supporting Dafydd's partial sightedness. This accommodation </w:t>
      </w:r>
      <w:r w:rsidR="00DC4B42" w:rsidRPr="009B09CB">
        <w:rPr>
          <w:rFonts w:cstheme="minorHAnsi"/>
          <w:sz w:val="24"/>
          <w:szCs w:val="24"/>
        </w:rPr>
        <w:t xml:space="preserve">of needs </w:t>
      </w:r>
      <w:r w:rsidRPr="009B09CB">
        <w:rPr>
          <w:rFonts w:cstheme="minorHAnsi"/>
          <w:sz w:val="24"/>
          <w:szCs w:val="24"/>
        </w:rPr>
        <w:t>ensures that he can access, read, and engage with the learning materials on an equal footing with his peers. Accessible materials promote his academic success and independence, reducing barriers to learning and participation (UWTSD, 2024</w:t>
      </w:r>
      <w:r w:rsidR="00403355" w:rsidRPr="009B09CB">
        <w:rPr>
          <w:rFonts w:cstheme="minorHAnsi"/>
          <w:sz w:val="24"/>
          <w:szCs w:val="24"/>
        </w:rPr>
        <w:t>c)</w:t>
      </w:r>
      <w:r w:rsidRPr="009B09CB">
        <w:rPr>
          <w:rFonts w:cstheme="minorHAnsi"/>
          <w:sz w:val="24"/>
          <w:szCs w:val="24"/>
        </w:rPr>
        <w:t>.</w:t>
      </w:r>
    </w:p>
    <w:p w14:paraId="0F11124A"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Peer Support Network and Regular Consultations:</w:t>
      </w:r>
    </w:p>
    <w:p w14:paraId="1CF7684B" w14:textId="13930697"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A peer support network can provide Dafydd with a sense of community and shared experience, reducing feelings of isolation and enhancing his </w:t>
      </w:r>
      <w:r w:rsidR="004875CC" w:rsidRPr="009B09CB">
        <w:rPr>
          <w:rFonts w:cstheme="minorHAnsi"/>
          <w:sz w:val="24"/>
          <w:szCs w:val="24"/>
        </w:rPr>
        <w:t>University</w:t>
      </w:r>
      <w:r w:rsidRPr="009B09CB">
        <w:rPr>
          <w:rFonts w:cstheme="minorHAnsi"/>
          <w:sz w:val="24"/>
          <w:szCs w:val="24"/>
        </w:rPr>
        <w:t xml:space="preserve"> experience (UWTSD, 2024</w:t>
      </w:r>
      <w:r w:rsidR="00403355" w:rsidRPr="009B09CB">
        <w:rPr>
          <w:rFonts w:cstheme="minorHAnsi"/>
          <w:sz w:val="24"/>
          <w:szCs w:val="24"/>
        </w:rPr>
        <w:t>a</w:t>
      </w:r>
      <w:r w:rsidRPr="009B09CB">
        <w:rPr>
          <w:rFonts w:cstheme="minorHAnsi"/>
          <w:sz w:val="24"/>
          <w:szCs w:val="24"/>
        </w:rPr>
        <w:t>). Regular consultations with a support advisor or a mentor can further empower him, ensuring that his individual needs are continuously addressed and that he has the necessary support to navigate his academic journey.</w:t>
      </w:r>
    </w:p>
    <w:p w14:paraId="5A68BCB1"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One-to-One Support and Access to Digital Technologies:</w:t>
      </w:r>
    </w:p>
    <w:p w14:paraId="7F1BBC05" w14:textId="1CB75754" w:rsidR="00F14F16" w:rsidRPr="009B09CB" w:rsidRDefault="00F14F16" w:rsidP="009B09CB">
      <w:pPr>
        <w:spacing w:line="360" w:lineRule="auto"/>
        <w:jc w:val="both"/>
        <w:rPr>
          <w:rFonts w:cstheme="minorHAnsi"/>
          <w:sz w:val="24"/>
          <w:szCs w:val="24"/>
        </w:rPr>
      </w:pPr>
      <w:r w:rsidRPr="009B09CB">
        <w:rPr>
          <w:rFonts w:cstheme="minorHAnsi"/>
          <w:sz w:val="24"/>
          <w:szCs w:val="24"/>
        </w:rPr>
        <w:t>One-to-one support can offer Dafydd tailored assistance, whether it's academic help, technology training, or personal mentorship. Access to digital technologies not only aids his learning but also supports his independence, a value that Dafydd holds in high regard. These measures ensure that he has the tools and support necessary to thrive academically and maintain his autonomy (UWTSD, 2024</w:t>
      </w:r>
      <w:r w:rsidR="008353EE" w:rsidRPr="009B09CB">
        <w:rPr>
          <w:rFonts w:cstheme="minorHAnsi"/>
          <w:sz w:val="24"/>
          <w:szCs w:val="24"/>
        </w:rPr>
        <w:t>d</w:t>
      </w:r>
      <w:r w:rsidRPr="009B09CB">
        <w:rPr>
          <w:rFonts w:cstheme="minorHAnsi"/>
          <w:sz w:val="24"/>
          <w:szCs w:val="24"/>
        </w:rPr>
        <w:t>).</w:t>
      </w:r>
    </w:p>
    <w:p w14:paraId="66091755" w14:textId="77777777" w:rsidR="00F14F16" w:rsidRPr="009B09CB" w:rsidRDefault="00F14F16" w:rsidP="009B09CB">
      <w:pPr>
        <w:spacing w:line="360" w:lineRule="auto"/>
        <w:jc w:val="both"/>
        <w:rPr>
          <w:rFonts w:cstheme="minorHAnsi"/>
          <w:b/>
          <w:bCs/>
          <w:sz w:val="24"/>
          <w:szCs w:val="24"/>
        </w:rPr>
      </w:pPr>
      <w:r w:rsidRPr="009B09CB">
        <w:rPr>
          <w:rFonts w:cstheme="minorHAnsi"/>
          <w:b/>
          <w:bCs/>
          <w:sz w:val="24"/>
          <w:szCs w:val="24"/>
        </w:rPr>
        <w:t>Alignment with the UK PSF:</w:t>
      </w:r>
    </w:p>
    <w:p w14:paraId="05D0FA1D" w14:textId="1C8942EB" w:rsidR="00F14F16" w:rsidRPr="009B09CB" w:rsidRDefault="00F14F16" w:rsidP="009B09CB">
      <w:pPr>
        <w:spacing w:line="360" w:lineRule="auto"/>
        <w:jc w:val="both"/>
        <w:rPr>
          <w:rFonts w:cstheme="minorHAnsi"/>
          <w:sz w:val="24"/>
          <w:szCs w:val="24"/>
        </w:rPr>
      </w:pPr>
      <w:r w:rsidRPr="009B09CB">
        <w:rPr>
          <w:rFonts w:cstheme="minorHAnsi"/>
          <w:sz w:val="24"/>
          <w:szCs w:val="24"/>
        </w:rPr>
        <w:t xml:space="preserve">The accommodations and support provided for Dafydd are in line with Descriptor 3 (D3) of the UK Professional Standards Framework (PSF), highlighting a commitment to adapting resources and environments to meet his needs (Advanced HE, 2023). This approach underscores the </w:t>
      </w:r>
      <w:r w:rsidR="004875CC" w:rsidRPr="009B09CB">
        <w:rPr>
          <w:rFonts w:cstheme="minorHAnsi"/>
          <w:sz w:val="24"/>
          <w:szCs w:val="24"/>
        </w:rPr>
        <w:t>University</w:t>
      </w:r>
      <w:r w:rsidRPr="009B09CB">
        <w:rPr>
          <w:rFonts w:cstheme="minorHAnsi"/>
          <w:sz w:val="24"/>
          <w:szCs w:val="24"/>
        </w:rPr>
        <w:t>'s dedication to employing effective practices and technologies to support learning for all students, regardless of their physical or sensory challenges.</w:t>
      </w:r>
    </w:p>
    <w:p w14:paraId="29BF6634" w14:textId="77777777" w:rsidR="009C323B" w:rsidRDefault="00F14F16" w:rsidP="009B09CB">
      <w:pPr>
        <w:spacing w:line="360" w:lineRule="auto"/>
        <w:jc w:val="both"/>
        <w:rPr>
          <w:rFonts w:cstheme="minorHAnsi"/>
          <w:sz w:val="24"/>
          <w:szCs w:val="24"/>
        </w:rPr>
      </w:pPr>
      <w:r w:rsidRPr="009B09CB">
        <w:rPr>
          <w:rFonts w:cstheme="minorHAnsi"/>
          <w:sz w:val="24"/>
          <w:szCs w:val="24"/>
        </w:rPr>
        <w:t xml:space="preserve">In summary, the comprehensive support plan for Dafydd is designed to address his physical, sensory, and technological needs, fostering an environment where he can achieve academic success and maintain his independence. By providing these targeted accommodations, </w:t>
      </w:r>
      <w:r w:rsidR="003A401E" w:rsidRPr="009B09CB">
        <w:rPr>
          <w:rFonts w:cstheme="minorHAnsi"/>
          <w:sz w:val="24"/>
          <w:szCs w:val="24"/>
        </w:rPr>
        <w:t>UWTSD</w:t>
      </w:r>
      <w:r w:rsidRPr="009B09CB">
        <w:rPr>
          <w:rFonts w:cstheme="minorHAnsi"/>
          <w:sz w:val="24"/>
          <w:szCs w:val="24"/>
        </w:rPr>
        <w:t xml:space="preserve"> demonstrates a strong commitment to inclusivity and equal opportunities for all students.</w:t>
      </w:r>
    </w:p>
    <w:p w14:paraId="30732EAB" w14:textId="77777777" w:rsidR="009C323B" w:rsidRDefault="009C323B" w:rsidP="009B09CB">
      <w:pPr>
        <w:spacing w:line="360" w:lineRule="auto"/>
        <w:jc w:val="both"/>
        <w:rPr>
          <w:rFonts w:cstheme="minorHAnsi"/>
          <w:sz w:val="24"/>
          <w:szCs w:val="24"/>
        </w:rPr>
      </w:pPr>
    </w:p>
    <w:p w14:paraId="3D17E308" w14:textId="631E6372" w:rsidR="00F14F16" w:rsidRPr="009B09CB" w:rsidRDefault="009C323B" w:rsidP="009C323B">
      <w:pPr>
        <w:spacing w:line="360" w:lineRule="auto"/>
        <w:rPr>
          <w:rFonts w:cstheme="minorHAnsi"/>
          <w:sz w:val="24"/>
          <w:szCs w:val="24"/>
        </w:rPr>
      </w:pPr>
      <w:r>
        <w:rPr>
          <w:rFonts w:cstheme="minorHAnsi"/>
          <w:sz w:val="24"/>
          <w:szCs w:val="24"/>
        </w:rPr>
        <w:t xml:space="preserve">Word count : </w:t>
      </w:r>
      <w:r w:rsidR="008B6B36">
        <w:rPr>
          <w:rFonts w:cstheme="minorHAnsi"/>
          <w:sz w:val="24"/>
          <w:szCs w:val="24"/>
        </w:rPr>
        <w:t>2690</w:t>
      </w:r>
      <w:r w:rsidR="00F14F16" w:rsidRPr="009B09CB">
        <w:rPr>
          <w:rFonts w:cstheme="minorHAnsi"/>
          <w:sz w:val="24"/>
          <w:szCs w:val="24"/>
        </w:rPr>
        <w:br/>
      </w:r>
    </w:p>
    <w:p w14:paraId="04BF64B6" w14:textId="77777777" w:rsidR="002A20F0" w:rsidRPr="009B09CB" w:rsidRDefault="002A20F0">
      <w:pPr>
        <w:rPr>
          <w:rFonts w:cstheme="minorHAnsi"/>
          <w:sz w:val="24"/>
          <w:szCs w:val="24"/>
        </w:rPr>
      </w:pPr>
    </w:p>
    <w:p w14:paraId="08F26654" w14:textId="77777777" w:rsidR="002A20F0" w:rsidRPr="009B09CB" w:rsidRDefault="002A20F0">
      <w:pPr>
        <w:rPr>
          <w:rFonts w:cstheme="minorHAnsi"/>
          <w:sz w:val="24"/>
          <w:szCs w:val="24"/>
        </w:rPr>
      </w:pPr>
    </w:p>
    <w:p w14:paraId="499EFF88" w14:textId="77777777" w:rsidR="002A20F0" w:rsidRPr="009B09CB" w:rsidRDefault="002A20F0">
      <w:pPr>
        <w:rPr>
          <w:rFonts w:cstheme="minorHAnsi"/>
          <w:sz w:val="24"/>
          <w:szCs w:val="24"/>
        </w:rPr>
      </w:pPr>
    </w:p>
    <w:p w14:paraId="6A1F2ED6" w14:textId="77777777" w:rsidR="00353DA1" w:rsidRPr="009B09CB" w:rsidRDefault="00353DA1">
      <w:pPr>
        <w:rPr>
          <w:rFonts w:cstheme="minorHAnsi"/>
          <w:sz w:val="24"/>
          <w:szCs w:val="24"/>
        </w:rPr>
      </w:pPr>
    </w:p>
    <w:p w14:paraId="5356AE4B" w14:textId="77777777" w:rsidR="00353DA1" w:rsidRPr="009B09CB" w:rsidRDefault="00353DA1">
      <w:pPr>
        <w:rPr>
          <w:rFonts w:cstheme="minorHAnsi"/>
          <w:sz w:val="24"/>
          <w:szCs w:val="24"/>
        </w:rPr>
      </w:pPr>
    </w:p>
    <w:p w14:paraId="56CD1F81" w14:textId="77777777" w:rsidR="002A20F0" w:rsidRPr="009B09CB" w:rsidRDefault="002A20F0">
      <w:pPr>
        <w:rPr>
          <w:rFonts w:cstheme="minorHAnsi"/>
          <w:sz w:val="24"/>
          <w:szCs w:val="24"/>
        </w:rPr>
      </w:pPr>
    </w:p>
    <w:p w14:paraId="7A1A83F7" w14:textId="77777777" w:rsidR="009B09CB" w:rsidRPr="009B09CB" w:rsidRDefault="009B09CB">
      <w:pPr>
        <w:rPr>
          <w:rFonts w:cstheme="minorHAnsi"/>
          <w:sz w:val="24"/>
          <w:szCs w:val="24"/>
        </w:rPr>
      </w:pPr>
    </w:p>
    <w:p w14:paraId="774EB905" w14:textId="77777777" w:rsidR="002A20F0" w:rsidRPr="009B09CB" w:rsidRDefault="002A20F0">
      <w:pPr>
        <w:rPr>
          <w:rFonts w:cstheme="minorHAnsi"/>
          <w:b/>
          <w:bCs/>
          <w:sz w:val="24"/>
          <w:szCs w:val="24"/>
          <w:u w:val="single"/>
        </w:rPr>
      </w:pPr>
    </w:p>
    <w:p w14:paraId="45375354" w14:textId="6FE29B42" w:rsidR="001458DE" w:rsidRPr="009B09CB" w:rsidRDefault="008353EE" w:rsidP="001458DE">
      <w:pPr>
        <w:rPr>
          <w:rFonts w:cstheme="minorHAnsi"/>
          <w:b/>
          <w:bCs/>
          <w:sz w:val="24"/>
          <w:szCs w:val="24"/>
          <w:u w:val="single"/>
        </w:rPr>
      </w:pPr>
      <w:r w:rsidRPr="009B09CB">
        <w:rPr>
          <w:rFonts w:cstheme="minorHAnsi"/>
          <w:b/>
          <w:bCs/>
          <w:sz w:val="24"/>
          <w:szCs w:val="24"/>
          <w:u w:val="single"/>
        </w:rPr>
        <w:t>References</w:t>
      </w:r>
    </w:p>
    <w:p w14:paraId="768499C0" w14:textId="77777777" w:rsidR="001458DE" w:rsidRPr="009B09CB" w:rsidRDefault="001458DE" w:rsidP="001458DE">
      <w:pPr>
        <w:spacing w:after="0" w:line="240" w:lineRule="auto"/>
        <w:rPr>
          <w:rFonts w:eastAsia="Times New Roman" w:cstheme="minorHAnsi"/>
          <w:kern w:val="0"/>
          <w:sz w:val="24"/>
          <w:szCs w:val="24"/>
          <w14:ligatures w14:val="none"/>
        </w:rPr>
      </w:pPr>
      <w:r w:rsidRPr="009B09CB">
        <w:rPr>
          <w:rFonts w:eastAsia="Times New Roman" w:cstheme="minorHAnsi"/>
          <w:kern w:val="0"/>
          <w:sz w:val="24"/>
          <w:szCs w:val="24"/>
          <w14:ligatures w14:val="none"/>
        </w:rPr>
        <w:t xml:space="preserve">Abdullah Syukur. (2016). Encouraging Students to Have Positive Attitudes toward Learning English. </w:t>
      </w:r>
      <w:r w:rsidRPr="009B09CB">
        <w:rPr>
          <w:rFonts w:eastAsia="Times New Roman" w:cstheme="minorHAnsi"/>
          <w:i/>
          <w:iCs/>
          <w:kern w:val="0"/>
          <w:sz w:val="24"/>
          <w:szCs w:val="24"/>
          <w14:ligatures w14:val="none"/>
        </w:rPr>
        <w:t>Ethical Lingua</w:t>
      </w:r>
      <w:r w:rsidRPr="009B09CB">
        <w:rPr>
          <w:rFonts w:eastAsia="Times New Roman" w:cstheme="minorHAnsi"/>
          <w:kern w:val="0"/>
          <w:sz w:val="24"/>
          <w:szCs w:val="24"/>
          <w14:ligatures w14:val="none"/>
        </w:rPr>
        <w:t xml:space="preserve">, </w:t>
      </w:r>
      <w:r w:rsidRPr="009B09CB">
        <w:rPr>
          <w:rFonts w:eastAsia="Times New Roman" w:cstheme="minorHAnsi"/>
          <w:i/>
          <w:iCs/>
          <w:kern w:val="0"/>
          <w:sz w:val="24"/>
          <w:szCs w:val="24"/>
          <w14:ligatures w14:val="none"/>
        </w:rPr>
        <w:t>3</w:t>
      </w:r>
      <w:r w:rsidRPr="009B09CB">
        <w:rPr>
          <w:rFonts w:eastAsia="Times New Roman" w:cstheme="minorHAnsi"/>
          <w:kern w:val="0"/>
          <w:sz w:val="24"/>
          <w:szCs w:val="24"/>
          <w14:ligatures w14:val="none"/>
        </w:rPr>
        <w:t xml:space="preserve">(2), 122–130. </w:t>
      </w:r>
      <w:hyperlink r:id="rId12" w:history="1">
        <w:r w:rsidRPr="009B09CB">
          <w:rPr>
            <w:rStyle w:val="Hyperlink"/>
            <w:rFonts w:eastAsia="Times New Roman" w:cstheme="minorHAnsi"/>
            <w:color w:val="auto"/>
            <w:kern w:val="0"/>
            <w:sz w:val="24"/>
            <w:szCs w:val="24"/>
            <w14:ligatures w14:val="none"/>
          </w:rPr>
          <w:t>https://doi.org/10.30605/25409190.v3.02.122-130</w:t>
        </w:r>
      </w:hyperlink>
    </w:p>
    <w:p w14:paraId="1E41AF61" w14:textId="77777777" w:rsidR="001458DE" w:rsidRPr="009B09CB" w:rsidRDefault="001458DE" w:rsidP="001458DE">
      <w:pPr>
        <w:spacing w:after="0" w:line="240" w:lineRule="auto"/>
        <w:rPr>
          <w:rFonts w:eastAsia="Times New Roman" w:cstheme="minorHAnsi"/>
          <w:kern w:val="0"/>
          <w:sz w:val="24"/>
          <w:szCs w:val="24"/>
          <w14:ligatures w14:val="none"/>
        </w:rPr>
      </w:pPr>
    </w:p>
    <w:p w14:paraId="580B4B97" w14:textId="77777777" w:rsidR="001458DE" w:rsidRPr="009B09CB" w:rsidRDefault="001458DE" w:rsidP="001458DE">
      <w:pPr>
        <w:spacing w:line="240" w:lineRule="auto"/>
        <w:rPr>
          <w:rFonts w:cstheme="minorHAnsi"/>
          <w:sz w:val="24"/>
          <w:szCs w:val="24"/>
        </w:rPr>
      </w:pPr>
      <w:r w:rsidRPr="009B09CB">
        <w:rPr>
          <w:rFonts w:cstheme="minorHAnsi"/>
          <w:sz w:val="24"/>
          <w:szCs w:val="24"/>
        </w:rPr>
        <w:t xml:space="preserve">Abreu, L. (2022). The UN Convention on the Rights of Persons with Disabilities: UK implementation. House of Commons Library. [Online]. Available at: https://researchbriefings.files.parliament.uk/documents/CBP-7367/CBP-7367.pdf </w:t>
      </w:r>
      <w:r w:rsidRPr="009B09CB">
        <w:rPr>
          <w:rFonts w:cstheme="minorHAnsi"/>
          <w:sz w:val="24"/>
          <w:szCs w:val="24"/>
        </w:rPr>
        <w:t>(</w:t>
      </w:r>
      <w:r w:rsidRPr="009B09CB">
        <w:rPr>
          <w:rFonts w:cstheme="minorHAnsi"/>
          <w:sz w:val="24"/>
          <w:szCs w:val="24"/>
        </w:rPr>
        <w:t>Accessed 21 March 2024</w:t>
      </w:r>
      <w:r w:rsidRPr="009B09CB">
        <w:rPr>
          <w:rFonts w:cstheme="minorHAnsi"/>
          <w:sz w:val="24"/>
          <w:szCs w:val="24"/>
        </w:rPr>
        <w:t>)</w:t>
      </w:r>
      <w:r w:rsidRPr="009B09CB">
        <w:rPr>
          <w:rFonts w:cstheme="minorHAnsi"/>
          <w:sz w:val="24"/>
          <w:szCs w:val="24"/>
        </w:rPr>
        <w:t>.</w:t>
      </w:r>
    </w:p>
    <w:p w14:paraId="6CE2EF05" w14:textId="77777777" w:rsidR="001458DE" w:rsidRPr="009B09CB" w:rsidRDefault="001458DE" w:rsidP="001458DE">
      <w:pPr>
        <w:spacing w:line="240" w:lineRule="auto"/>
        <w:rPr>
          <w:rFonts w:cstheme="minorHAnsi"/>
          <w:sz w:val="24"/>
          <w:szCs w:val="24"/>
        </w:rPr>
      </w:pPr>
    </w:p>
    <w:p w14:paraId="445FCEF9" w14:textId="1D82214E" w:rsidR="001458DE" w:rsidRPr="009B09CB" w:rsidRDefault="001458DE" w:rsidP="001458DE">
      <w:pPr>
        <w:spacing w:line="240" w:lineRule="auto"/>
        <w:rPr>
          <w:rFonts w:cstheme="minorHAnsi"/>
          <w:sz w:val="24"/>
          <w:szCs w:val="24"/>
        </w:rPr>
      </w:pPr>
      <w:r w:rsidRPr="009B09CB">
        <w:rPr>
          <w:rFonts w:cstheme="minorHAnsi"/>
          <w:sz w:val="24"/>
          <w:szCs w:val="24"/>
        </w:rPr>
        <w:t xml:space="preserve">Advance HE (2020). Race Equality Charter. [Online]. AdvanceHE.ac.uk. Available at: https://www.advance-he.ac.uk/equality-charters/race-equality-charter </w:t>
      </w:r>
      <w:r w:rsidRPr="009B09CB">
        <w:rPr>
          <w:rFonts w:cstheme="minorHAnsi"/>
          <w:sz w:val="24"/>
          <w:szCs w:val="24"/>
        </w:rPr>
        <w:t>(</w:t>
      </w:r>
      <w:r w:rsidRPr="009B09CB">
        <w:rPr>
          <w:rFonts w:cstheme="minorHAnsi"/>
          <w:sz w:val="24"/>
          <w:szCs w:val="24"/>
        </w:rPr>
        <w:t>Accessed 21 March 2024</w:t>
      </w:r>
      <w:r w:rsidRPr="009B09CB">
        <w:rPr>
          <w:rFonts w:cstheme="minorHAnsi"/>
          <w:sz w:val="24"/>
          <w:szCs w:val="24"/>
        </w:rPr>
        <w:t>]</w:t>
      </w:r>
      <w:r w:rsidRPr="009B09CB">
        <w:rPr>
          <w:rFonts w:cstheme="minorHAnsi"/>
          <w:sz w:val="24"/>
          <w:szCs w:val="24"/>
        </w:rPr>
        <w:t>.</w:t>
      </w:r>
    </w:p>
    <w:p w14:paraId="539FF364" w14:textId="77777777" w:rsidR="001458DE" w:rsidRPr="009B09CB" w:rsidRDefault="001458DE" w:rsidP="001458DE">
      <w:pPr>
        <w:spacing w:line="240" w:lineRule="auto"/>
        <w:rPr>
          <w:rFonts w:cstheme="minorHAnsi"/>
          <w:sz w:val="24"/>
          <w:szCs w:val="24"/>
        </w:rPr>
      </w:pPr>
    </w:p>
    <w:p w14:paraId="2A940E9C" w14:textId="3DF34363" w:rsidR="001458DE" w:rsidRPr="009B09CB" w:rsidRDefault="001458DE" w:rsidP="001458DE">
      <w:pPr>
        <w:spacing w:line="240" w:lineRule="auto"/>
        <w:jc w:val="both"/>
        <w:rPr>
          <w:rFonts w:cstheme="minorHAnsi"/>
          <w:sz w:val="24"/>
          <w:szCs w:val="24"/>
        </w:rPr>
      </w:pPr>
      <w:r w:rsidRPr="009B09CB">
        <w:rPr>
          <w:rFonts w:cstheme="minorHAnsi"/>
          <w:sz w:val="24"/>
          <w:szCs w:val="24"/>
        </w:rPr>
        <w:t>Advance</w:t>
      </w:r>
      <w:r w:rsidRPr="009B09CB">
        <w:rPr>
          <w:rFonts w:cstheme="minorHAnsi"/>
          <w:sz w:val="24"/>
          <w:szCs w:val="24"/>
        </w:rPr>
        <w:t xml:space="preserve"> </w:t>
      </w:r>
      <w:r w:rsidRPr="009B09CB">
        <w:rPr>
          <w:rFonts w:cstheme="minorHAnsi"/>
          <w:sz w:val="24"/>
          <w:szCs w:val="24"/>
        </w:rPr>
        <w:t xml:space="preserve">HE (2023). Professional Standards Framework for teaching and supporting learning in higher education. [Online]. Advance-HE. Last Updated: 31/01/2023. Available at: https://s3.eu-west-2.amazonaws.com/assets.creode.advancehe-document-manager/documents/advance-he/PSF </w:t>
      </w:r>
      <w:r w:rsidRPr="009B09CB">
        <w:rPr>
          <w:rFonts w:cstheme="minorHAnsi"/>
          <w:sz w:val="24"/>
          <w:szCs w:val="24"/>
        </w:rPr>
        <w:t>(</w:t>
      </w:r>
      <w:r w:rsidRPr="009B09CB">
        <w:rPr>
          <w:rFonts w:cstheme="minorHAnsi"/>
          <w:sz w:val="24"/>
          <w:szCs w:val="24"/>
        </w:rPr>
        <w:t xml:space="preserve">Accessed </w:t>
      </w:r>
      <w:r w:rsidRPr="009B09CB">
        <w:rPr>
          <w:rFonts w:cstheme="minorHAnsi"/>
          <w:sz w:val="24"/>
          <w:szCs w:val="24"/>
        </w:rPr>
        <w:t>21 March 2024)</w:t>
      </w:r>
      <w:r w:rsidRPr="009B09CB">
        <w:rPr>
          <w:rFonts w:cstheme="minorHAnsi"/>
          <w:sz w:val="24"/>
          <w:szCs w:val="24"/>
        </w:rPr>
        <w:t>.</w:t>
      </w:r>
    </w:p>
    <w:p w14:paraId="2135F4B4" w14:textId="77777777" w:rsidR="001458DE" w:rsidRPr="009B09CB" w:rsidRDefault="001458DE" w:rsidP="001458DE">
      <w:pPr>
        <w:spacing w:line="240" w:lineRule="auto"/>
        <w:jc w:val="both"/>
        <w:rPr>
          <w:rFonts w:cstheme="minorHAnsi"/>
          <w:sz w:val="24"/>
          <w:szCs w:val="24"/>
        </w:rPr>
      </w:pPr>
    </w:p>
    <w:p w14:paraId="0D013C95" w14:textId="18005A45" w:rsidR="001458DE" w:rsidRPr="009B09CB" w:rsidRDefault="001458DE" w:rsidP="001458DE">
      <w:pPr>
        <w:spacing w:line="240" w:lineRule="auto"/>
        <w:rPr>
          <w:rStyle w:val="Hyperlink"/>
          <w:rFonts w:cstheme="minorHAnsi"/>
          <w:color w:val="auto"/>
          <w:sz w:val="24"/>
          <w:szCs w:val="24"/>
          <w:shd w:val="clear" w:color="auto" w:fill="FFFFFF"/>
        </w:rPr>
      </w:pPr>
      <w:r w:rsidRPr="009B09CB">
        <w:rPr>
          <w:rFonts w:cstheme="minorHAnsi"/>
          <w:sz w:val="24"/>
          <w:szCs w:val="24"/>
          <w:shd w:val="clear" w:color="auto" w:fill="FFFFFF"/>
        </w:rPr>
        <w:t>Braat, M. (2021). Evolving Inclusive Learning: From Retrofitting Disability to Designing for Variability. </w:t>
      </w:r>
      <w:r w:rsidRPr="009B09CB">
        <w:rPr>
          <w:rStyle w:val="Emphasis"/>
          <w:rFonts w:cstheme="minorHAnsi"/>
          <w:sz w:val="24"/>
          <w:szCs w:val="24"/>
          <w:bdr w:val="none" w:sz="0" w:space="0" w:color="auto" w:frame="1"/>
          <w:shd w:val="clear" w:color="auto" w:fill="FFFFFF"/>
        </w:rPr>
        <w:t xml:space="preserve">The Organizational Improvement Plan at Western </w:t>
      </w:r>
      <w:r w:rsidR="004875CC" w:rsidRPr="009B09CB">
        <w:rPr>
          <w:rStyle w:val="Emphasis"/>
          <w:rFonts w:cstheme="minorHAnsi"/>
          <w:sz w:val="24"/>
          <w:szCs w:val="24"/>
          <w:bdr w:val="none" w:sz="0" w:space="0" w:color="auto" w:frame="1"/>
          <w:shd w:val="clear" w:color="auto" w:fill="FFFFFF"/>
        </w:rPr>
        <w:t>University</w:t>
      </w:r>
      <w:r w:rsidRPr="009B09CB">
        <w:rPr>
          <w:rStyle w:val="Emphasis"/>
          <w:rFonts w:cstheme="minorHAnsi"/>
          <w:sz w:val="24"/>
          <w:szCs w:val="24"/>
          <w:bdr w:val="none" w:sz="0" w:space="0" w:color="auto" w:frame="1"/>
          <w:shd w:val="clear" w:color="auto" w:fill="FFFFFF"/>
        </w:rPr>
        <w:t>, 185</w:t>
      </w:r>
      <w:r w:rsidRPr="009B09CB">
        <w:rPr>
          <w:rFonts w:cstheme="minorHAnsi"/>
          <w:sz w:val="24"/>
          <w:szCs w:val="24"/>
          <w:shd w:val="clear" w:color="auto" w:fill="FFFFFF"/>
        </w:rPr>
        <w:t xml:space="preserve">. </w:t>
      </w:r>
      <w:r w:rsidR="005A1287" w:rsidRPr="009B09CB">
        <w:rPr>
          <w:rFonts w:cstheme="minorHAnsi"/>
          <w:sz w:val="24"/>
          <w:szCs w:val="24"/>
        </w:rPr>
        <w:t xml:space="preserve">Available at: </w:t>
      </w:r>
      <w:hyperlink r:id="rId13" w:history="1">
        <w:r w:rsidRPr="009B09CB">
          <w:rPr>
            <w:rStyle w:val="Hyperlink"/>
            <w:rFonts w:cstheme="minorHAnsi"/>
            <w:color w:val="auto"/>
            <w:sz w:val="24"/>
            <w:szCs w:val="24"/>
            <w:shd w:val="clear" w:color="auto" w:fill="FFFFFF"/>
          </w:rPr>
          <w:t>https://ir.lib.uwo.ca/oip/185</w:t>
        </w:r>
      </w:hyperlink>
    </w:p>
    <w:p w14:paraId="50750842" w14:textId="77777777" w:rsidR="001458DE" w:rsidRPr="009B09CB" w:rsidRDefault="001458DE" w:rsidP="001458DE">
      <w:pPr>
        <w:spacing w:line="240" w:lineRule="auto"/>
        <w:rPr>
          <w:rFonts w:cstheme="minorHAnsi"/>
          <w:sz w:val="24"/>
          <w:szCs w:val="24"/>
          <w:shd w:val="clear" w:color="auto" w:fill="FFFFFF"/>
        </w:rPr>
      </w:pPr>
    </w:p>
    <w:p w14:paraId="037DE5AB" w14:textId="77777777" w:rsidR="001458DE" w:rsidRPr="009B09CB" w:rsidRDefault="001458DE" w:rsidP="001458DE">
      <w:pPr>
        <w:spacing w:line="240" w:lineRule="auto"/>
        <w:rPr>
          <w:rFonts w:cstheme="minorHAnsi"/>
          <w:sz w:val="24"/>
          <w:szCs w:val="24"/>
        </w:rPr>
      </w:pPr>
      <w:r w:rsidRPr="009B09CB">
        <w:rPr>
          <w:rFonts w:cstheme="minorHAnsi"/>
          <w:sz w:val="24"/>
          <w:szCs w:val="24"/>
        </w:rPr>
        <w:t>CAST (2018) About Universal Design for Learning. Available at: http://www.cast.org/our-work/about-udl.html#.XoYkV2hKiUk (Accessed: 18 March 2024).</w:t>
      </w:r>
    </w:p>
    <w:p w14:paraId="60BA8CE5" w14:textId="77777777" w:rsidR="001458DE" w:rsidRPr="009B09CB" w:rsidRDefault="001458DE" w:rsidP="001458DE">
      <w:pPr>
        <w:spacing w:line="240" w:lineRule="auto"/>
        <w:rPr>
          <w:rFonts w:cstheme="minorHAnsi"/>
          <w:sz w:val="24"/>
          <w:szCs w:val="24"/>
        </w:rPr>
      </w:pPr>
    </w:p>
    <w:p w14:paraId="0FE073D1" w14:textId="66654652" w:rsidR="001458DE" w:rsidRPr="009B09CB" w:rsidRDefault="001458DE" w:rsidP="001458DE">
      <w:pPr>
        <w:spacing w:line="240" w:lineRule="auto"/>
        <w:rPr>
          <w:rFonts w:cstheme="minorHAnsi"/>
          <w:sz w:val="24"/>
          <w:szCs w:val="24"/>
        </w:rPr>
      </w:pPr>
      <w:r w:rsidRPr="009B09CB">
        <w:rPr>
          <w:rFonts w:cstheme="minorHAnsi"/>
          <w:sz w:val="24"/>
          <w:szCs w:val="24"/>
        </w:rPr>
        <w:t xml:space="preserve">Commission for Tertiary Education and Research. (2022). A Summary of the Tertiary Education and Research (Wales) Act. [Online]. </w:t>
      </w:r>
      <w:proofErr w:type="spellStart"/>
      <w:r w:rsidRPr="009B09CB">
        <w:rPr>
          <w:rFonts w:cstheme="minorHAnsi"/>
          <w:sz w:val="24"/>
          <w:szCs w:val="24"/>
        </w:rPr>
        <w:t>Gov.Wales</w:t>
      </w:r>
      <w:proofErr w:type="spellEnd"/>
      <w:r w:rsidRPr="009B09CB">
        <w:rPr>
          <w:rFonts w:cstheme="minorHAnsi"/>
          <w:sz w:val="24"/>
          <w:szCs w:val="24"/>
        </w:rPr>
        <w:t>. Last Updated: September</w:t>
      </w:r>
      <w:r w:rsidRPr="009B09CB">
        <w:rPr>
          <w:rFonts w:cstheme="minorHAnsi"/>
          <w:sz w:val="24"/>
          <w:szCs w:val="24"/>
        </w:rPr>
        <w:t xml:space="preserve"> 2022</w:t>
      </w:r>
      <w:r w:rsidRPr="009B09CB">
        <w:rPr>
          <w:rFonts w:cstheme="minorHAnsi"/>
          <w:sz w:val="24"/>
          <w:szCs w:val="24"/>
        </w:rPr>
        <w:t xml:space="preserve">. Available at: https://www.gov.wales/sites/default/files/publications/2022-09/summary-of-the-tertiary-education-and </w:t>
      </w:r>
      <w:r w:rsidR="005A1287" w:rsidRPr="009B09CB">
        <w:rPr>
          <w:rFonts w:cstheme="minorHAnsi"/>
          <w:sz w:val="24"/>
          <w:szCs w:val="24"/>
        </w:rPr>
        <w:t>(</w:t>
      </w:r>
      <w:r w:rsidRPr="009B09CB">
        <w:rPr>
          <w:rFonts w:cstheme="minorHAnsi"/>
          <w:sz w:val="24"/>
          <w:szCs w:val="24"/>
        </w:rPr>
        <w:t>Accessed 21 March 2024</w:t>
      </w:r>
      <w:r w:rsidR="005A1287" w:rsidRPr="009B09CB">
        <w:rPr>
          <w:rFonts w:cstheme="minorHAnsi"/>
          <w:sz w:val="24"/>
          <w:szCs w:val="24"/>
        </w:rPr>
        <w:t>)</w:t>
      </w:r>
      <w:r w:rsidRPr="009B09CB">
        <w:rPr>
          <w:rFonts w:cstheme="minorHAnsi"/>
          <w:sz w:val="24"/>
          <w:szCs w:val="24"/>
        </w:rPr>
        <w:t>.</w:t>
      </w:r>
    </w:p>
    <w:p w14:paraId="1B74EEEF" w14:textId="77777777" w:rsidR="001458DE" w:rsidRPr="009B09CB" w:rsidRDefault="001458DE" w:rsidP="001458DE">
      <w:pPr>
        <w:spacing w:line="240" w:lineRule="auto"/>
        <w:rPr>
          <w:rFonts w:cstheme="minorHAnsi"/>
          <w:sz w:val="24"/>
          <w:szCs w:val="24"/>
        </w:rPr>
      </w:pPr>
    </w:p>
    <w:p w14:paraId="30C7D039" w14:textId="5AD44F48" w:rsidR="001458DE" w:rsidRPr="009B09CB" w:rsidRDefault="001458DE" w:rsidP="001458DE">
      <w:pPr>
        <w:spacing w:line="240" w:lineRule="auto"/>
        <w:rPr>
          <w:rStyle w:val="Hyperlink"/>
          <w:rFonts w:cstheme="minorHAnsi"/>
          <w:color w:val="auto"/>
          <w:sz w:val="24"/>
          <w:szCs w:val="24"/>
          <w:shd w:val="clear" w:color="auto" w:fill="FFFFFF"/>
        </w:rPr>
      </w:pPr>
      <w:r w:rsidRPr="009B09CB">
        <w:rPr>
          <w:rFonts w:cstheme="minorHAnsi"/>
          <w:sz w:val="24"/>
          <w:szCs w:val="24"/>
          <w:shd w:val="clear" w:color="auto" w:fill="FFFFFF"/>
        </w:rPr>
        <w:t>De Beco, G. (2022), The Right to ‘Inclusive’ Education. Mod Law Rev., 85: 1329-1356.</w:t>
      </w:r>
      <w:r w:rsidR="00CC3245" w:rsidRPr="009B09CB">
        <w:rPr>
          <w:rFonts w:cstheme="minorHAnsi"/>
          <w:sz w:val="24"/>
          <w:szCs w:val="24"/>
          <w:shd w:val="clear" w:color="auto" w:fill="FFFFFF"/>
        </w:rPr>
        <w:t xml:space="preserve"> [Online] </w:t>
      </w:r>
      <w:r w:rsidR="005A1287" w:rsidRPr="009B09CB">
        <w:rPr>
          <w:rFonts w:cstheme="minorHAnsi"/>
          <w:sz w:val="24"/>
          <w:szCs w:val="24"/>
          <w:shd w:val="clear" w:color="auto" w:fill="FFFFFF"/>
        </w:rPr>
        <w:t xml:space="preserve">Available at: </w:t>
      </w:r>
      <w:hyperlink r:id="rId14" w:history="1">
        <w:r w:rsidR="005A1287" w:rsidRPr="009B09CB">
          <w:rPr>
            <w:rStyle w:val="Hyperlink"/>
            <w:rFonts w:cstheme="minorHAnsi"/>
            <w:color w:val="auto"/>
            <w:sz w:val="24"/>
            <w:szCs w:val="24"/>
            <w:shd w:val="clear" w:color="auto" w:fill="FFFFFF"/>
          </w:rPr>
          <w:t>https://doi.org/10.1111/1468-2230.12742</w:t>
        </w:r>
      </w:hyperlink>
      <w:r w:rsidR="005A1287" w:rsidRPr="009B09CB">
        <w:rPr>
          <w:rFonts w:cstheme="minorHAnsi"/>
          <w:sz w:val="24"/>
          <w:szCs w:val="24"/>
          <w:shd w:val="clear" w:color="auto" w:fill="FFFFFF"/>
        </w:rPr>
        <w:t xml:space="preserve"> </w:t>
      </w:r>
      <w:r w:rsidR="005A1287" w:rsidRPr="009B09CB">
        <w:rPr>
          <w:rFonts w:cstheme="minorHAnsi"/>
          <w:sz w:val="24"/>
          <w:szCs w:val="24"/>
        </w:rPr>
        <w:t>(Accessed 21 March 2024).</w:t>
      </w:r>
    </w:p>
    <w:p w14:paraId="26700FA5" w14:textId="77777777" w:rsidR="001458DE" w:rsidRPr="009B09CB" w:rsidRDefault="001458DE" w:rsidP="001458DE">
      <w:pPr>
        <w:spacing w:line="240" w:lineRule="auto"/>
        <w:rPr>
          <w:rStyle w:val="Hyperlink"/>
          <w:rFonts w:cstheme="minorHAnsi"/>
          <w:color w:val="auto"/>
          <w:sz w:val="24"/>
          <w:szCs w:val="24"/>
          <w:shd w:val="clear" w:color="auto" w:fill="FFFFFF"/>
        </w:rPr>
      </w:pPr>
    </w:p>
    <w:p w14:paraId="7C8BF67E" w14:textId="549FE955" w:rsidR="001458DE" w:rsidRPr="009B09CB" w:rsidRDefault="001458DE" w:rsidP="001458DE">
      <w:pPr>
        <w:spacing w:line="240" w:lineRule="auto"/>
        <w:rPr>
          <w:rFonts w:cstheme="minorHAnsi"/>
          <w:sz w:val="24"/>
          <w:szCs w:val="24"/>
          <w:shd w:val="clear" w:color="auto" w:fill="FFFFFF"/>
        </w:rPr>
      </w:pPr>
      <w:r w:rsidRPr="009B09CB">
        <w:rPr>
          <w:rFonts w:cstheme="minorHAnsi"/>
          <w:sz w:val="24"/>
          <w:szCs w:val="24"/>
          <w:shd w:val="clear" w:color="auto" w:fill="FFFFFF"/>
        </w:rPr>
        <w:t>Du Plessis, J and Ewing B. (2017). Reasonable Adjustments in Learning Programs: Teaching Length, Mass and Capacity to Students with Intellectual Disability. </w:t>
      </w:r>
      <w:r w:rsidRPr="009B09CB">
        <w:rPr>
          <w:rFonts w:cstheme="minorHAnsi"/>
          <w:i/>
          <w:iCs/>
          <w:sz w:val="24"/>
          <w:szCs w:val="24"/>
        </w:rPr>
        <w:t>Universal Journal of Educational Research</w:t>
      </w:r>
      <w:r w:rsidRPr="009B09CB">
        <w:rPr>
          <w:rFonts w:cstheme="minorHAnsi"/>
          <w:sz w:val="24"/>
          <w:szCs w:val="24"/>
          <w:shd w:val="clear" w:color="auto" w:fill="FFFFFF"/>
        </w:rPr>
        <w:t xml:space="preserve">. 5(10), pp.1795-1805. [Online]. Available at: </w:t>
      </w:r>
      <w:hyperlink r:id="rId15" w:history="1">
        <w:r w:rsidR="005A1287" w:rsidRPr="009B09CB">
          <w:rPr>
            <w:rStyle w:val="Hyperlink"/>
            <w:rFonts w:cstheme="minorHAnsi"/>
            <w:sz w:val="24"/>
            <w:szCs w:val="24"/>
            <w:shd w:val="clear" w:color="auto" w:fill="FFFFFF"/>
          </w:rPr>
          <w:t>https://files.eric.ed.gov/fulltext/EJ1170159.pdf</w:t>
        </w:r>
      </w:hyperlink>
      <w:r w:rsidR="005A1287" w:rsidRPr="009B09CB">
        <w:rPr>
          <w:rFonts w:cstheme="minorHAnsi"/>
          <w:sz w:val="24"/>
          <w:szCs w:val="24"/>
          <w:shd w:val="clear" w:color="auto" w:fill="FFFFFF"/>
        </w:rPr>
        <w:t xml:space="preserve"> (</w:t>
      </w:r>
      <w:r w:rsidRPr="009B09CB">
        <w:rPr>
          <w:rFonts w:cstheme="minorHAnsi"/>
          <w:sz w:val="24"/>
          <w:szCs w:val="24"/>
          <w:shd w:val="clear" w:color="auto" w:fill="FFFFFF"/>
        </w:rPr>
        <w:t>Accessed 20 March 2024</w:t>
      </w:r>
      <w:r w:rsidR="005A1287" w:rsidRPr="009B09CB">
        <w:rPr>
          <w:rFonts w:cstheme="minorHAnsi"/>
          <w:sz w:val="24"/>
          <w:szCs w:val="24"/>
          <w:shd w:val="clear" w:color="auto" w:fill="FFFFFF"/>
        </w:rPr>
        <w:t>)</w:t>
      </w:r>
      <w:r w:rsidRPr="009B09CB">
        <w:rPr>
          <w:rFonts w:cstheme="minorHAnsi"/>
          <w:sz w:val="24"/>
          <w:szCs w:val="24"/>
          <w:shd w:val="clear" w:color="auto" w:fill="FFFFFF"/>
        </w:rPr>
        <w:t>.</w:t>
      </w:r>
    </w:p>
    <w:p w14:paraId="207C2D2C" w14:textId="3F16E35E" w:rsidR="001458DE" w:rsidRPr="009B09CB" w:rsidRDefault="001458DE" w:rsidP="001458DE">
      <w:pPr>
        <w:spacing w:line="240" w:lineRule="auto"/>
        <w:rPr>
          <w:rFonts w:cstheme="minorHAnsi"/>
          <w:sz w:val="24"/>
          <w:szCs w:val="24"/>
        </w:rPr>
      </w:pPr>
      <w:r w:rsidRPr="009B09CB">
        <w:rPr>
          <w:rFonts w:cstheme="minorHAnsi"/>
          <w:sz w:val="24"/>
          <w:szCs w:val="24"/>
        </w:rPr>
        <w:t xml:space="preserve">Equality Act 2010, c. 15. </w:t>
      </w:r>
      <w:r w:rsidR="00CC3245" w:rsidRPr="009B09CB">
        <w:rPr>
          <w:rFonts w:cstheme="minorHAnsi"/>
          <w:sz w:val="24"/>
          <w:szCs w:val="24"/>
        </w:rPr>
        <w:t xml:space="preserve">[Online] </w:t>
      </w:r>
      <w:r w:rsidRPr="009B09CB">
        <w:rPr>
          <w:rFonts w:cstheme="minorHAnsi"/>
          <w:sz w:val="24"/>
          <w:szCs w:val="24"/>
        </w:rPr>
        <w:t>Available at: http://www.legislation.gov.uk/ukpga/2010/15/contents (Accessed: 18 March 2024).</w:t>
      </w:r>
    </w:p>
    <w:p w14:paraId="2059B5E4" w14:textId="77777777" w:rsidR="001458DE" w:rsidRPr="009B09CB" w:rsidRDefault="001458DE" w:rsidP="001458DE">
      <w:pPr>
        <w:spacing w:line="240" w:lineRule="auto"/>
        <w:rPr>
          <w:rFonts w:cstheme="minorHAnsi"/>
          <w:sz w:val="24"/>
          <w:szCs w:val="24"/>
        </w:rPr>
      </w:pPr>
    </w:p>
    <w:p w14:paraId="56DDABF4" w14:textId="2DAF2E65" w:rsidR="001458DE" w:rsidRPr="009B09CB" w:rsidRDefault="001458DE" w:rsidP="001458DE">
      <w:pPr>
        <w:spacing w:line="240" w:lineRule="auto"/>
        <w:rPr>
          <w:rFonts w:cstheme="minorHAnsi"/>
          <w:sz w:val="24"/>
          <w:szCs w:val="24"/>
        </w:rPr>
      </w:pPr>
      <w:r w:rsidRPr="009B09CB">
        <w:rPr>
          <w:rFonts w:cstheme="minorHAnsi"/>
          <w:sz w:val="24"/>
          <w:szCs w:val="24"/>
        </w:rPr>
        <w:t>Future Generations Wales. (2017). Well-being of Future Generations (Wales) Act 2015. [Online]. https://www.futuregenerations.wales/wp-content/uploads/2017/01/WFGAct-English.pdf. Last Updated: January</w:t>
      </w:r>
      <w:r w:rsidRPr="009B09CB">
        <w:rPr>
          <w:rFonts w:cstheme="minorHAnsi"/>
          <w:sz w:val="24"/>
          <w:szCs w:val="24"/>
        </w:rPr>
        <w:t xml:space="preserve"> 2017</w:t>
      </w:r>
      <w:r w:rsidRPr="009B09CB">
        <w:rPr>
          <w:rFonts w:cstheme="minorHAnsi"/>
          <w:sz w:val="24"/>
          <w:szCs w:val="24"/>
        </w:rPr>
        <w:t xml:space="preserve">. Available at: https://www.futuregenerations.wales/wp-content/uploads/2017/01/WFGAct-English.pdf </w:t>
      </w:r>
      <w:r w:rsidR="00CC3245" w:rsidRPr="009B09CB">
        <w:rPr>
          <w:rFonts w:cstheme="minorHAnsi"/>
          <w:sz w:val="24"/>
          <w:szCs w:val="24"/>
        </w:rPr>
        <w:t>(</w:t>
      </w:r>
      <w:r w:rsidRPr="009B09CB">
        <w:rPr>
          <w:rFonts w:cstheme="minorHAnsi"/>
          <w:sz w:val="24"/>
          <w:szCs w:val="24"/>
        </w:rPr>
        <w:t>Accessed 21 March 2024</w:t>
      </w:r>
      <w:r w:rsidR="00CC3245" w:rsidRPr="009B09CB">
        <w:rPr>
          <w:rFonts w:cstheme="minorHAnsi"/>
          <w:sz w:val="24"/>
          <w:szCs w:val="24"/>
        </w:rPr>
        <w:t>)</w:t>
      </w:r>
      <w:r w:rsidRPr="009B09CB">
        <w:rPr>
          <w:rFonts w:cstheme="minorHAnsi"/>
          <w:sz w:val="24"/>
          <w:szCs w:val="24"/>
        </w:rPr>
        <w:t>.</w:t>
      </w:r>
    </w:p>
    <w:p w14:paraId="1CD57CFE" w14:textId="77777777" w:rsidR="001458DE" w:rsidRPr="009B09CB" w:rsidRDefault="001458DE" w:rsidP="001458DE">
      <w:pPr>
        <w:spacing w:line="240" w:lineRule="auto"/>
        <w:rPr>
          <w:rFonts w:cstheme="minorHAnsi"/>
          <w:sz w:val="24"/>
          <w:szCs w:val="24"/>
        </w:rPr>
      </w:pPr>
    </w:p>
    <w:p w14:paraId="111A879C" w14:textId="6CBBE734" w:rsidR="001458DE" w:rsidRPr="009B09CB" w:rsidRDefault="001458DE" w:rsidP="001458DE">
      <w:pPr>
        <w:spacing w:line="240" w:lineRule="auto"/>
        <w:rPr>
          <w:rStyle w:val="Hyperlink"/>
          <w:rFonts w:cstheme="minorHAnsi"/>
          <w:color w:val="auto"/>
          <w:sz w:val="24"/>
          <w:szCs w:val="24"/>
          <w:u w:val="none"/>
          <w:shd w:val="clear" w:color="auto" w:fill="FFFFFF"/>
        </w:rPr>
      </w:pPr>
      <w:proofErr w:type="spellStart"/>
      <w:r w:rsidRPr="009B09CB">
        <w:rPr>
          <w:rStyle w:val="Hyperlink"/>
          <w:rFonts w:cstheme="minorHAnsi"/>
          <w:color w:val="auto"/>
          <w:sz w:val="24"/>
          <w:szCs w:val="24"/>
          <w:u w:val="none"/>
          <w:shd w:val="clear" w:color="auto" w:fill="FFFFFF"/>
        </w:rPr>
        <w:t>Luiselli</w:t>
      </w:r>
      <w:proofErr w:type="spellEnd"/>
      <w:r w:rsidRPr="009B09CB">
        <w:rPr>
          <w:rStyle w:val="Hyperlink"/>
          <w:rFonts w:cstheme="minorHAnsi"/>
          <w:color w:val="auto"/>
          <w:sz w:val="24"/>
          <w:szCs w:val="24"/>
          <w:u w:val="none"/>
          <w:shd w:val="clear" w:color="auto" w:fill="FFFFFF"/>
        </w:rPr>
        <w:t xml:space="preserve">, J.K., Gardner, R.M., Bird, F.L., &amp; Maguire, H. (Eds.). (2021). Organizational </w:t>
      </w:r>
      <w:proofErr w:type="spellStart"/>
      <w:r w:rsidRPr="009B09CB">
        <w:rPr>
          <w:rStyle w:val="Hyperlink"/>
          <w:rFonts w:cstheme="minorHAnsi"/>
          <w:color w:val="auto"/>
          <w:sz w:val="24"/>
          <w:szCs w:val="24"/>
          <w:u w:val="none"/>
          <w:shd w:val="clear" w:color="auto" w:fill="FFFFFF"/>
        </w:rPr>
        <w:t>Behavior</w:t>
      </w:r>
      <w:proofErr w:type="spellEnd"/>
      <w:r w:rsidRPr="009B09CB">
        <w:rPr>
          <w:rStyle w:val="Hyperlink"/>
          <w:rFonts w:cstheme="minorHAnsi"/>
          <w:color w:val="auto"/>
          <w:sz w:val="24"/>
          <w:szCs w:val="24"/>
          <w:u w:val="none"/>
          <w:shd w:val="clear" w:color="auto" w:fill="FFFFFF"/>
        </w:rPr>
        <w:t xml:space="preserve"> Management Approaches for Intellectual and Developmental Disabilities (1st ed.). Routledge. </w:t>
      </w:r>
      <w:r w:rsidR="00CC3245" w:rsidRPr="009B09CB">
        <w:rPr>
          <w:rStyle w:val="Hyperlink"/>
          <w:rFonts w:cstheme="minorHAnsi"/>
          <w:color w:val="auto"/>
          <w:sz w:val="24"/>
          <w:szCs w:val="24"/>
          <w:u w:val="none"/>
          <w:shd w:val="clear" w:color="auto" w:fill="FFFFFF"/>
        </w:rPr>
        <w:t xml:space="preserve">[Online] Available at: </w:t>
      </w:r>
      <w:hyperlink r:id="rId16" w:history="1">
        <w:r w:rsidR="00CC3245" w:rsidRPr="009B09CB">
          <w:rPr>
            <w:rStyle w:val="Hyperlink"/>
            <w:rFonts w:cstheme="minorHAnsi"/>
            <w:sz w:val="24"/>
            <w:szCs w:val="24"/>
            <w:shd w:val="clear" w:color="auto" w:fill="FFFFFF"/>
          </w:rPr>
          <w:t>https://doi.org/10.4324/9780429324840</w:t>
        </w:r>
      </w:hyperlink>
    </w:p>
    <w:p w14:paraId="4B99B4B2" w14:textId="77777777" w:rsidR="001458DE" w:rsidRPr="009B09CB" w:rsidRDefault="001458DE" w:rsidP="001458DE">
      <w:pPr>
        <w:spacing w:line="240" w:lineRule="auto"/>
        <w:rPr>
          <w:rStyle w:val="Hyperlink"/>
          <w:rFonts w:cstheme="minorHAnsi"/>
          <w:color w:val="auto"/>
          <w:sz w:val="24"/>
          <w:szCs w:val="24"/>
          <w:shd w:val="clear" w:color="auto" w:fill="FFFFFF"/>
        </w:rPr>
      </w:pPr>
    </w:p>
    <w:p w14:paraId="41D12897" w14:textId="4CA5EAE1" w:rsidR="001458DE" w:rsidRPr="009B09CB" w:rsidRDefault="001458DE" w:rsidP="001458DE">
      <w:pPr>
        <w:spacing w:after="0" w:line="240" w:lineRule="auto"/>
        <w:rPr>
          <w:rFonts w:eastAsia="Times New Roman" w:cstheme="minorHAnsi"/>
          <w:kern w:val="0"/>
          <w:sz w:val="24"/>
          <w:szCs w:val="24"/>
          <w14:ligatures w14:val="none"/>
        </w:rPr>
      </w:pPr>
      <w:r w:rsidRPr="009B09CB">
        <w:rPr>
          <w:rFonts w:eastAsia="Times New Roman" w:cstheme="minorHAnsi"/>
          <w:kern w:val="0"/>
          <w:sz w:val="24"/>
          <w:szCs w:val="24"/>
          <w14:ligatures w14:val="none"/>
        </w:rPr>
        <w:t xml:space="preserve">Moore, D. (2012). </w:t>
      </w:r>
      <w:r w:rsidRPr="009B09CB">
        <w:rPr>
          <w:rFonts w:eastAsia="Times New Roman" w:cstheme="minorHAnsi"/>
          <w:i/>
          <w:iCs/>
          <w:kern w:val="0"/>
          <w:sz w:val="24"/>
          <w:szCs w:val="24"/>
          <w14:ligatures w14:val="none"/>
        </w:rPr>
        <w:t>Disabled students in education: Technology, transition, and inclusivity</w:t>
      </w:r>
      <w:r w:rsidRPr="009B09CB">
        <w:rPr>
          <w:rFonts w:eastAsia="Times New Roman" w:cstheme="minorHAnsi"/>
          <w:kern w:val="0"/>
          <w:sz w:val="24"/>
          <w:szCs w:val="24"/>
          <w14:ligatures w14:val="none"/>
        </w:rPr>
        <w:t xml:space="preserve"> (1st ed.). Information Science Reference.</w:t>
      </w:r>
      <w:r w:rsidR="00CC3245" w:rsidRPr="009B09CB">
        <w:rPr>
          <w:rFonts w:eastAsia="Times New Roman" w:cstheme="minorHAnsi"/>
          <w:kern w:val="0"/>
          <w:sz w:val="24"/>
          <w:szCs w:val="24"/>
          <w14:ligatures w14:val="none"/>
        </w:rPr>
        <w:t xml:space="preserve"> </w:t>
      </w:r>
      <w:r w:rsidR="00CC3245" w:rsidRPr="009B09CB">
        <w:rPr>
          <w:rStyle w:val="Hyperlink"/>
          <w:rFonts w:cstheme="minorHAnsi"/>
          <w:color w:val="auto"/>
          <w:sz w:val="24"/>
          <w:szCs w:val="24"/>
          <w:u w:val="none"/>
          <w:shd w:val="clear" w:color="auto" w:fill="FFFFFF"/>
        </w:rPr>
        <w:t xml:space="preserve">[Online] Available at: </w:t>
      </w:r>
      <w:r w:rsidRPr="009B09CB">
        <w:rPr>
          <w:rFonts w:eastAsia="Times New Roman" w:cstheme="minorHAnsi"/>
          <w:kern w:val="0"/>
          <w:sz w:val="24"/>
          <w:szCs w:val="24"/>
          <w14:ligatures w14:val="none"/>
        </w:rPr>
        <w:t xml:space="preserve"> https://doi.org/10.4018/978-1-61350-183-2</w:t>
      </w:r>
    </w:p>
    <w:p w14:paraId="779BEC69" w14:textId="77777777" w:rsidR="001458DE" w:rsidRPr="009B09CB" w:rsidRDefault="001458DE" w:rsidP="001458DE">
      <w:pPr>
        <w:spacing w:after="0" w:line="240" w:lineRule="auto"/>
        <w:rPr>
          <w:rFonts w:eastAsia="Times New Roman" w:cstheme="minorHAnsi"/>
          <w:kern w:val="0"/>
          <w:sz w:val="24"/>
          <w:szCs w:val="24"/>
          <w14:ligatures w14:val="none"/>
        </w:rPr>
      </w:pPr>
    </w:p>
    <w:p w14:paraId="11DE3848" w14:textId="21F45030" w:rsidR="00366312" w:rsidRPr="009B09CB" w:rsidRDefault="00366312" w:rsidP="001458DE">
      <w:pPr>
        <w:spacing w:after="0" w:line="240" w:lineRule="auto"/>
        <w:rPr>
          <w:rFonts w:eastAsia="Times New Roman" w:cstheme="minorHAnsi"/>
          <w:kern w:val="0"/>
          <w:sz w:val="24"/>
          <w:szCs w:val="24"/>
          <w14:ligatures w14:val="none"/>
        </w:rPr>
      </w:pPr>
      <w:r w:rsidRPr="009B09CB">
        <w:rPr>
          <w:rFonts w:eastAsia="Times New Roman" w:cstheme="minorHAnsi"/>
          <w:kern w:val="0"/>
          <w:sz w:val="24"/>
          <w:szCs w:val="24"/>
          <w14:ligatures w14:val="none"/>
        </w:rPr>
        <w:t>Rose, D.H., Harbour, W.S., Johnston, C.S., Daley, S.G. and Abarbanell, L., 2006. Universal design for learning in postsecondary education: Reflections on principles and their application. Journal of postsecondary education and disability, 19(2), pp.135-151.</w:t>
      </w:r>
    </w:p>
    <w:p w14:paraId="10AF1F27" w14:textId="77777777" w:rsidR="00366312" w:rsidRPr="009B09CB" w:rsidRDefault="00366312" w:rsidP="001458DE">
      <w:pPr>
        <w:spacing w:after="0" w:line="240" w:lineRule="auto"/>
        <w:rPr>
          <w:rFonts w:eastAsia="Times New Roman" w:cstheme="minorHAnsi"/>
          <w:kern w:val="0"/>
          <w:sz w:val="24"/>
          <w:szCs w:val="24"/>
          <w14:ligatures w14:val="none"/>
        </w:rPr>
      </w:pPr>
    </w:p>
    <w:p w14:paraId="100EF62F" w14:textId="225E6444" w:rsidR="001458DE" w:rsidRPr="009B09CB" w:rsidRDefault="001458DE" w:rsidP="001458DE">
      <w:pPr>
        <w:spacing w:line="240" w:lineRule="auto"/>
        <w:rPr>
          <w:rStyle w:val="Hyperlink"/>
          <w:rFonts w:cstheme="minorHAnsi"/>
          <w:color w:val="auto"/>
          <w:sz w:val="24"/>
          <w:szCs w:val="24"/>
          <w:shd w:val="clear" w:color="auto" w:fill="FFFFFF"/>
        </w:rPr>
      </w:pPr>
      <w:r w:rsidRPr="009B09CB">
        <w:rPr>
          <w:rFonts w:cstheme="minorHAnsi"/>
          <w:sz w:val="24"/>
          <w:szCs w:val="24"/>
          <w:shd w:val="clear" w:color="auto" w:fill="FFFFFF"/>
        </w:rPr>
        <w:t>Shrives, L., 2012. From Postgraduate Certificates to embedding UK PSF at all levels. </w:t>
      </w:r>
      <w:r w:rsidRPr="009B09CB">
        <w:rPr>
          <w:rFonts w:cstheme="minorHAnsi"/>
          <w:i/>
          <w:iCs/>
          <w:sz w:val="24"/>
          <w:szCs w:val="24"/>
          <w:shd w:val="clear" w:color="auto" w:fill="FFFFFF"/>
        </w:rPr>
        <w:t>Educational Developments</w:t>
      </w:r>
      <w:r w:rsidRPr="009B09CB">
        <w:rPr>
          <w:rFonts w:cstheme="minorHAnsi"/>
          <w:sz w:val="24"/>
          <w:szCs w:val="24"/>
          <w:shd w:val="clear" w:color="auto" w:fill="FFFFFF"/>
        </w:rPr>
        <w:t>, </w:t>
      </w:r>
      <w:r w:rsidRPr="009B09CB">
        <w:rPr>
          <w:rFonts w:cstheme="minorHAnsi"/>
          <w:i/>
          <w:iCs/>
          <w:sz w:val="24"/>
          <w:szCs w:val="24"/>
          <w:shd w:val="clear" w:color="auto" w:fill="FFFFFF"/>
        </w:rPr>
        <w:t>13</w:t>
      </w:r>
      <w:r w:rsidRPr="009B09CB">
        <w:rPr>
          <w:rFonts w:cstheme="minorHAnsi"/>
          <w:sz w:val="24"/>
          <w:szCs w:val="24"/>
          <w:shd w:val="clear" w:color="auto" w:fill="FFFFFF"/>
        </w:rPr>
        <w:t>(3), pp.1-6.</w:t>
      </w:r>
      <w:r w:rsidR="00CC3245" w:rsidRPr="009B09CB">
        <w:rPr>
          <w:rFonts w:cstheme="minorHAnsi"/>
          <w:sz w:val="24"/>
          <w:szCs w:val="24"/>
          <w:shd w:val="clear" w:color="auto" w:fill="FFFFFF"/>
        </w:rPr>
        <w:t xml:space="preserve"> [Online]</w:t>
      </w:r>
      <w:r w:rsidRPr="009B09CB">
        <w:rPr>
          <w:rFonts w:cstheme="minorHAnsi"/>
          <w:sz w:val="24"/>
          <w:szCs w:val="24"/>
          <w:shd w:val="clear" w:color="auto" w:fill="FFFFFF"/>
        </w:rPr>
        <w:t xml:space="preserve"> Available at:</w:t>
      </w:r>
      <w:r w:rsidRPr="009B09CB">
        <w:rPr>
          <w:rFonts w:cstheme="minorHAnsi"/>
          <w:sz w:val="24"/>
          <w:szCs w:val="24"/>
        </w:rPr>
        <w:t xml:space="preserve"> </w:t>
      </w:r>
      <w:hyperlink r:id="rId17" w:history="1">
        <w:r w:rsidRPr="009B09CB">
          <w:rPr>
            <w:rStyle w:val="Hyperlink"/>
            <w:rFonts w:cstheme="minorHAnsi"/>
            <w:color w:val="auto"/>
            <w:sz w:val="24"/>
            <w:szCs w:val="24"/>
            <w:shd w:val="clear" w:color="auto" w:fill="FFFFFF"/>
          </w:rPr>
          <w:t>https://www.seda.ac.uk/wpcontent/uploads/2020/09/Educational-Developments-13.3.pdf</w:t>
        </w:r>
      </w:hyperlink>
    </w:p>
    <w:p w14:paraId="132EA0D3" w14:textId="77777777" w:rsidR="001458DE" w:rsidRPr="009B09CB" w:rsidRDefault="001458DE" w:rsidP="001458DE">
      <w:pPr>
        <w:spacing w:line="240" w:lineRule="auto"/>
        <w:rPr>
          <w:rFonts w:cstheme="minorHAnsi"/>
          <w:sz w:val="24"/>
          <w:szCs w:val="24"/>
          <w:shd w:val="clear" w:color="auto" w:fill="FFFFFF"/>
        </w:rPr>
      </w:pPr>
    </w:p>
    <w:p w14:paraId="29072DEF" w14:textId="5BE83AE6" w:rsidR="001458DE" w:rsidRPr="009B09CB" w:rsidRDefault="001458DE" w:rsidP="001458DE">
      <w:pPr>
        <w:spacing w:after="0" w:line="240" w:lineRule="auto"/>
        <w:rPr>
          <w:rFonts w:eastAsia="Times New Roman" w:cstheme="minorHAnsi"/>
          <w:kern w:val="0"/>
          <w:sz w:val="24"/>
          <w:szCs w:val="24"/>
          <w14:ligatures w14:val="none"/>
        </w:rPr>
      </w:pPr>
      <w:r w:rsidRPr="009B09CB">
        <w:rPr>
          <w:rFonts w:eastAsia="Times New Roman" w:cstheme="minorHAnsi"/>
          <w:kern w:val="0"/>
          <w:sz w:val="24"/>
          <w:szCs w:val="24"/>
          <w14:ligatures w14:val="none"/>
        </w:rPr>
        <w:t xml:space="preserve">Sousa, A. (2021). Dialogue in Online Learning Spaces: How Transitioning to Online Learning during a Pandemic Impacts Critical Classroom Dialogue and Inclusivity. </w:t>
      </w:r>
      <w:r w:rsidRPr="009B09CB">
        <w:rPr>
          <w:rFonts w:eastAsia="Times New Roman" w:cstheme="minorHAnsi"/>
          <w:i/>
          <w:iCs/>
          <w:kern w:val="0"/>
          <w:sz w:val="24"/>
          <w:szCs w:val="24"/>
          <w14:ligatures w14:val="none"/>
        </w:rPr>
        <w:t>Journal of Teaching and Learning with Technology</w:t>
      </w:r>
      <w:r w:rsidRPr="009B09CB">
        <w:rPr>
          <w:rFonts w:eastAsia="Times New Roman" w:cstheme="minorHAnsi"/>
          <w:kern w:val="0"/>
          <w:sz w:val="24"/>
          <w:szCs w:val="24"/>
          <w14:ligatures w14:val="none"/>
        </w:rPr>
        <w:t xml:space="preserve">, </w:t>
      </w:r>
      <w:r w:rsidRPr="009B09CB">
        <w:rPr>
          <w:rFonts w:eastAsia="Times New Roman" w:cstheme="minorHAnsi"/>
          <w:i/>
          <w:iCs/>
          <w:kern w:val="0"/>
          <w:sz w:val="24"/>
          <w:szCs w:val="24"/>
          <w14:ligatures w14:val="none"/>
        </w:rPr>
        <w:t>10</w:t>
      </w:r>
      <w:r w:rsidRPr="009B09CB">
        <w:rPr>
          <w:rFonts w:eastAsia="Times New Roman" w:cstheme="minorHAnsi"/>
          <w:kern w:val="0"/>
          <w:sz w:val="24"/>
          <w:szCs w:val="24"/>
          <w14:ligatures w14:val="none"/>
        </w:rPr>
        <w:t xml:space="preserve">(1). </w:t>
      </w:r>
      <w:r w:rsidR="00CC3245" w:rsidRPr="009B09CB">
        <w:rPr>
          <w:rStyle w:val="Hyperlink"/>
          <w:rFonts w:cstheme="minorHAnsi"/>
          <w:color w:val="auto"/>
          <w:sz w:val="24"/>
          <w:szCs w:val="24"/>
          <w:u w:val="none"/>
          <w:shd w:val="clear" w:color="auto" w:fill="FFFFFF"/>
        </w:rPr>
        <w:t xml:space="preserve">[Online] Available at: </w:t>
      </w:r>
      <w:r w:rsidRPr="009B09CB">
        <w:rPr>
          <w:rFonts w:eastAsia="Times New Roman" w:cstheme="minorHAnsi"/>
          <w:kern w:val="0"/>
          <w:sz w:val="24"/>
          <w:szCs w:val="24"/>
          <w14:ligatures w14:val="none"/>
        </w:rPr>
        <w:t>https://doi.org/10.14434/jotlt.v10i1.31383</w:t>
      </w:r>
    </w:p>
    <w:p w14:paraId="69F94ED2" w14:textId="77777777" w:rsidR="001458DE" w:rsidRPr="009B09CB" w:rsidRDefault="001458DE" w:rsidP="001458DE">
      <w:pPr>
        <w:spacing w:line="240" w:lineRule="auto"/>
        <w:rPr>
          <w:rFonts w:cstheme="minorHAnsi"/>
          <w:sz w:val="24"/>
          <w:szCs w:val="24"/>
        </w:rPr>
      </w:pPr>
    </w:p>
    <w:p w14:paraId="4A810737" w14:textId="77777777" w:rsidR="001458DE" w:rsidRPr="009B09CB" w:rsidRDefault="001458DE" w:rsidP="001458DE">
      <w:pPr>
        <w:spacing w:line="240" w:lineRule="auto"/>
        <w:rPr>
          <w:rFonts w:cstheme="minorHAnsi"/>
          <w:sz w:val="24"/>
          <w:szCs w:val="24"/>
        </w:rPr>
      </w:pPr>
      <w:proofErr w:type="spellStart"/>
      <w:r w:rsidRPr="009B09CB">
        <w:rPr>
          <w:rFonts w:cstheme="minorHAnsi"/>
          <w:sz w:val="24"/>
          <w:szCs w:val="24"/>
        </w:rPr>
        <w:t>Tomasevski</w:t>
      </w:r>
      <w:proofErr w:type="spellEnd"/>
      <w:r w:rsidRPr="009B09CB">
        <w:rPr>
          <w:rFonts w:cstheme="minorHAnsi"/>
          <w:sz w:val="24"/>
          <w:szCs w:val="24"/>
        </w:rPr>
        <w:t>, K. (2004) Manual on Rights-based Education: Global Human Rights Requirements Made Simple. Bangkok: UNESCO.</w:t>
      </w:r>
    </w:p>
    <w:p w14:paraId="092C4C4B" w14:textId="77777777" w:rsidR="001458DE" w:rsidRPr="009B09CB" w:rsidRDefault="001458DE" w:rsidP="001458DE">
      <w:pPr>
        <w:spacing w:line="240" w:lineRule="auto"/>
        <w:rPr>
          <w:rFonts w:cstheme="minorHAnsi"/>
          <w:sz w:val="24"/>
          <w:szCs w:val="24"/>
        </w:rPr>
      </w:pPr>
    </w:p>
    <w:p w14:paraId="52FEA165" w14:textId="77777777" w:rsidR="001458DE" w:rsidRPr="009B09CB" w:rsidRDefault="001458DE" w:rsidP="001458DE">
      <w:pPr>
        <w:spacing w:line="240" w:lineRule="auto"/>
        <w:rPr>
          <w:rFonts w:cstheme="minorHAnsi"/>
          <w:sz w:val="24"/>
          <w:szCs w:val="24"/>
        </w:rPr>
      </w:pPr>
      <w:r w:rsidRPr="009B09CB">
        <w:rPr>
          <w:rFonts w:cstheme="minorHAnsi"/>
          <w:sz w:val="24"/>
          <w:szCs w:val="24"/>
        </w:rPr>
        <w:t>United Nations (2006) Convention on the Rights of Persons with Disabilities. Available at: https://www.un.org/development/desa/disabilities/convention-on-the-rights-of-persons-with-disabilities.html (Accessed: 18 March 2024).</w:t>
      </w:r>
    </w:p>
    <w:p w14:paraId="1E63CF9A" w14:textId="77777777" w:rsidR="001458DE" w:rsidRPr="009B09CB" w:rsidRDefault="001458DE" w:rsidP="001458DE">
      <w:pPr>
        <w:spacing w:line="240" w:lineRule="auto"/>
        <w:rPr>
          <w:rFonts w:cstheme="minorHAnsi"/>
          <w:sz w:val="24"/>
          <w:szCs w:val="24"/>
        </w:rPr>
      </w:pPr>
    </w:p>
    <w:p w14:paraId="0D82866C" w14:textId="0F5C3E14" w:rsidR="001458DE" w:rsidRPr="009B09CB" w:rsidRDefault="001458DE" w:rsidP="001458DE">
      <w:pPr>
        <w:spacing w:line="240" w:lineRule="auto"/>
        <w:rPr>
          <w:rFonts w:cstheme="minorHAnsi"/>
          <w:sz w:val="24"/>
          <w:szCs w:val="24"/>
          <w:shd w:val="clear" w:color="auto" w:fill="FFFFFF"/>
        </w:rPr>
      </w:pPr>
      <w:r w:rsidRPr="009B09CB">
        <w:rPr>
          <w:rFonts w:cstheme="minorHAnsi"/>
          <w:sz w:val="24"/>
          <w:szCs w:val="24"/>
          <w:shd w:val="clear" w:color="auto" w:fill="FFFFFF"/>
        </w:rPr>
        <w:t>United Nations. (2024). </w:t>
      </w:r>
      <w:r w:rsidRPr="009B09CB">
        <w:rPr>
          <w:rFonts w:cstheme="minorHAnsi"/>
          <w:i/>
          <w:iCs/>
          <w:sz w:val="24"/>
          <w:szCs w:val="24"/>
        </w:rPr>
        <w:t>Universal Declaration of Human Rights</w:t>
      </w:r>
      <w:r w:rsidRPr="009B09CB">
        <w:rPr>
          <w:rFonts w:cstheme="minorHAnsi"/>
          <w:sz w:val="24"/>
          <w:szCs w:val="24"/>
          <w:shd w:val="clear" w:color="auto" w:fill="FFFFFF"/>
        </w:rPr>
        <w:t xml:space="preserve">. [Online]. UN.org. Available at: https://www.un.org/en/about-us/universal-declaration-of-human-rights </w:t>
      </w:r>
      <w:r w:rsidR="00CC3245" w:rsidRPr="009B09CB">
        <w:rPr>
          <w:rFonts w:cstheme="minorHAnsi"/>
          <w:sz w:val="24"/>
          <w:szCs w:val="24"/>
          <w:shd w:val="clear" w:color="auto" w:fill="FFFFFF"/>
        </w:rPr>
        <w:t>(</w:t>
      </w:r>
      <w:r w:rsidRPr="009B09CB">
        <w:rPr>
          <w:rFonts w:cstheme="minorHAnsi"/>
          <w:sz w:val="24"/>
          <w:szCs w:val="24"/>
          <w:shd w:val="clear" w:color="auto" w:fill="FFFFFF"/>
        </w:rPr>
        <w:t>Accessed 20 March 2024</w:t>
      </w:r>
      <w:r w:rsidR="007239B7" w:rsidRPr="009B09CB">
        <w:rPr>
          <w:rFonts w:cstheme="minorHAnsi"/>
          <w:sz w:val="24"/>
          <w:szCs w:val="24"/>
          <w:shd w:val="clear" w:color="auto" w:fill="FFFFFF"/>
        </w:rPr>
        <w:t>)</w:t>
      </w:r>
      <w:r w:rsidRPr="009B09CB">
        <w:rPr>
          <w:rFonts w:cstheme="minorHAnsi"/>
          <w:sz w:val="24"/>
          <w:szCs w:val="24"/>
          <w:shd w:val="clear" w:color="auto" w:fill="FFFFFF"/>
        </w:rPr>
        <w:t>.</w:t>
      </w:r>
    </w:p>
    <w:p w14:paraId="4796E7B6" w14:textId="77777777" w:rsidR="001458DE" w:rsidRPr="009B09CB" w:rsidRDefault="001458DE" w:rsidP="001458DE">
      <w:pPr>
        <w:spacing w:line="240" w:lineRule="auto"/>
        <w:rPr>
          <w:rFonts w:cstheme="minorHAnsi"/>
          <w:sz w:val="24"/>
          <w:szCs w:val="24"/>
          <w:shd w:val="clear" w:color="auto" w:fill="FFFFFF"/>
        </w:rPr>
      </w:pPr>
    </w:p>
    <w:p w14:paraId="636B91D5" w14:textId="07B4AA01" w:rsidR="001458DE" w:rsidRPr="009B09CB" w:rsidRDefault="004875CC" w:rsidP="001458DE">
      <w:pPr>
        <w:spacing w:line="240" w:lineRule="auto"/>
        <w:rPr>
          <w:rStyle w:val="Hyperlink"/>
          <w:rFonts w:cstheme="minorHAnsi"/>
          <w:color w:val="auto"/>
          <w:sz w:val="24"/>
          <w:szCs w:val="24"/>
          <w:u w:val="none"/>
          <w:shd w:val="clear" w:color="auto" w:fill="FFFFFF"/>
        </w:rPr>
      </w:pPr>
      <w:r w:rsidRPr="009B09CB">
        <w:rPr>
          <w:rStyle w:val="Hyperlink"/>
          <w:rFonts w:cstheme="minorHAnsi"/>
          <w:color w:val="auto"/>
          <w:sz w:val="24"/>
          <w:szCs w:val="24"/>
          <w:u w:val="none"/>
          <w:shd w:val="clear" w:color="auto" w:fill="FFFFFF"/>
        </w:rPr>
        <w:t>University</w:t>
      </w:r>
      <w:r w:rsidR="001458DE" w:rsidRPr="009B09CB">
        <w:rPr>
          <w:rStyle w:val="Hyperlink"/>
          <w:rFonts w:cstheme="minorHAnsi"/>
          <w:color w:val="auto"/>
          <w:sz w:val="24"/>
          <w:szCs w:val="24"/>
          <w:u w:val="none"/>
          <w:shd w:val="clear" w:color="auto" w:fill="FFFFFF"/>
        </w:rPr>
        <w:t xml:space="preserve"> of Wales Trinity Saint David. (2021). Race Equality Plan </w:t>
      </w:r>
      <w:r w:rsidRPr="009B09CB">
        <w:rPr>
          <w:rStyle w:val="Hyperlink"/>
          <w:rFonts w:cstheme="minorHAnsi"/>
          <w:color w:val="auto"/>
          <w:sz w:val="24"/>
          <w:szCs w:val="24"/>
          <w:u w:val="none"/>
          <w:shd w:val="clear" w:color="auto" w:fill="FFFFFF"/>
        </w:rPr>
        <w:t>University</w:t>
      </w:r>
      <w:r w:rsidR="001458DE" w:rsidRPr="009B09CB">
        <w:rPr>
          <w:rStyle w:val="Hyperlink"/>
          <w:rFonts w:cstheme="minorHAnsi"/>
          <w:color w:val="auto"/>
          <w:sz w:val="24"/>
          <w:szCs w:val="24"/>
          <w:u w:val="none"/>
          <w:shd w:val="clear" w:color="auto" w:fill="FFFFFF"/>
        </w:rPr>
        <w:t xml:space="preserve"> of Wales Trinity Saint David 2021-2024. [Online]. UWTSD.ac.uk. Last Updated: November</w:t>
      </w:r>
      <w:r w:rsidR="001458DE" w:rsidRPr="009B09CB">
        <w:rPr>
          <w:rStyle w:val="Hyperlink"/>
          <w:rFonts w:cstheme="minorHAnsi"/>
          <w:color w:val="auto"/>
          <w:sz w:val="24"/>
          <w:szCs w:val="24"/>
          <w:u w:val="none"/>
          <w:shd w:val="clear" w:color="auto" w:fill="FFFFFF"/>
        </w:rPr>
        <w:t xml:space="preserve"> 2024</w:t>
      </w:r>
      <w:r w:rsidR="001458DE" w:rsidRPr="009B09CB">
        <w:rPr>
          <w:rStyle w:val="Hyperlink"/>
          <w:rFonts w:cstheme="minorHAnsi"/>
          <w:color w:val="auto"/>
          <w:sz w:val="24"/>
          <w:szCs w:val="24"/>
          <w:u w:val="none"/>
          <w:shd w:val="clear" w:color="auto" w:fill="FFFFFF"/>
        </w:rPr>
        <w:t>. Available at: https://www.uwtsd.ac.uk/sites/default/files/2024-02/race-equality-plan-1-nov-2021-1.pdf [Accessed 21 March 2024]</w:t>
      </w:r>
    </w:p>
    <w:p w14:paraId="6506236E" w14:textId="77777777" w:rsidR="001458DE" w:rsidRPr="009B09CB" w:rsidRDefault="001458DE" w:rsidP="001458DE">
      <w:pPr>
        <w:spacing w:line="240" w:lineRule="auto"/>
        <w:rPr>
          <w:rStyle w:val="Hyperlink"/>
          <w:rFonts w:cstheme="minorHAnsi"/>
          <w:color w:val="auto"/>
          <w:sz w:val="24"/>
          <w:szCs w:val="24"/>
          <w:u w:val="none"/>
          <w:shd w:val="clear" w:color="auto" w:fill="FFFFFF"/>
        </w:rPr>
      </w:pPr>
    </w:p>
    <w:p w14:paraId="30C685DA" w14:textId="1DB3BE66" w:rsidR="001458DE" w:rsidRPr="009B09CB" w:rsidRDefault="004875CC" w:rsidP="001458DE">
      <w:pPr>
        <w:spacing w:line="240" w:lineRule="auto"/>
        <w:rPr>
          <w:rFonts w:cstheme="minorHAnsi"/>
          <w:sz w:val="24"/>
          <w:szCs w:val="24"/>
        </w:rPr>
      </w:pPr>
      <w:r w:rsidRPr="009B09CB">
        <w:rPr>
          <w:rFonts w:cstheme="minorHAnsi"/>
          <w:sz w:val="24"/>
          <w:szCs w:val="24"/>
        </w:rPr>
        <w:t>University</w:t>
      </w:r>
      <w:r w:rsidR="001458DE" w:rsidRPr="009B09CB">
        <w:rPr>
          <w:rFonts w:cstheme="minorHAnsi"/>
          <w:sz w:val="24"/>
          <w:szCs w:val="24"/>
        </w:rPr>
        <w:t xml:space="preserve"> of Wales Trinity Saint David. (2024). 'IT Strategy.' </w:t>
      </w:r>
      <w:r w:rsidR="007239B7" w:rsidRPr="009B09CB">
        <w:rPr>
          <w:rFonts w:cstheme="minorHAnsi"/>
          <w:sz w:val="24"/>
          <w:szCs w:val="24"/>
        </w:rPr>
        <w:t xml:space="preserve">[Online] </w:t>
      </w:r>
      <w:r w:rsidR="001458DE" w:rsidRPr="009B09CB">
        <w:rPr>
          <w:rFonts w:cstheme="minorHAnsi"/>
          <w:sz w:val="24"/>
          <w:szCs w:val="24"/>
        </w:rPr>
        <w:t>Available at: itstrategy.uwtsd.ac.uk (Accessed: 18 March 2024).</w:t>
      </w:r>
    </w:p>
    <w:p w14:paraId="4BB17CBE" w14:textId="77777777" w:rsidR="001458DE" w:rsidRPr="009B09CB" w:rsidRDefault="001458DE" w:rsidP="001458DE">
      <w:pPr>
        <w:spacing w:line="240" w:lineRule="auto"/>
        <w:rPr>
          <w:rFonts w:cstheme="minorHAnsi"/>
          <w:sz w:val="24"/>
          <w:szCs w:val="24"/>
        </w:rPr>
      </w:pPr>
    </w:p>
    <w:p w14:paraId="4B09BE22" w14:textId="63872829" w:rsidR="001458DE" w:rsidRPr="009B09CB" w:rsidRDefault="004875CC" w:rsidP="001458DE">
      <w:pPr>
        <w:spacing w:line="240" w:lineRule="auto"/>
        <w:rPr>
          <w:rFonts w:cstheme="minorHAnsi"/>
          <w:sz w:val="24"/>
          <w:szCs w:val="24"/>
        </w:rPr>
      </w:pPr>
      <w:r w:rsidRPr="009B09CB">
        <w:rPr>
          <w:rFonts w:cstheme="minorHAnsi"/>
          <w:sz w:val="24"/>
          <w:szCs w:val="24"/>
        </w:rPr>
        <w:t>University</w:t>
      </w:r>
      <w:r w:rsidR="001458DE" w:rsidRPr="009B09CB">
        <w:rPr>
          <w:rFonts w:cstheme="minorHAnsi"/>
          <w:sz w:val="24"/>
          <w:szCs w:val="24"/>
        </w:rPr>
        <w:t xml:space="preserve"> of Wales Trinity Saint David. (2024). Mission and Vision. </w:t>
      </w:r>
      <w:r w:rsidR="007239B7" w:rsidRPr="009B09CB">
        <w:rPr>
          <w:rFonts w:cstheme="minorHAnsi"/>
          <w:sz w:val="24"/>
          <w:szCs w:val="24"/>
        </w:rPr>
        <w:t xml:space="preserve">[Online] </w:t>
      </w:r>
      <w:r w:rsidR="001458DE" w:rsidRPr="009B09CB">
        <w:rPr>
          <w:rFonts w:cstheme="minorHAnsi"/>
          <w:sz w:val="24"/>
          <w:szCs w:val="24"/>
        </w:rPr>
        <w:t>Available at: www.uwtsd.ac.uk (Accessed: 18 March 2024).</w:t>
      </w:r>
    </w:p>
    <w:p w14:paraId="17BBA505" w14:textId="77777777" w:rsidR="001458DE" w:rsidRPr="009B09CB" w:rsidRDefault="001458DE" w:rsidP="001458DE">
      <w:pPr>
        <w:spacing w:line="240" w:lineRule="auto"/>
        <w:rPr>
          <w:rFonts w:cstheme="minorHAnsi"/>
          <w:sz w:val="24"/>
          <w:szCs w:val="24"/>
        </w:rPr>
      </w:pPr>
    </w:p>
    <w:p w14:paraId="4FCFF232" w14:textId="0D9F6FF7" w:rsidR="001458DE" w:rsidRPr="009B09CB" w:rsidRDefault="004875CC" w:rsidP="001458DE">
      <w:pPr>
        <w:spacing w:line="240" w:lineRule="auto"/>
        <w:rPr>
          <w:rFonts w:cstheme="minorHAnsi"/>
          <w:sz w:val="24"/>
          <w:szCs w:val="24"/>
        </w:rPr>
      </w:pPr>
      <w:r w:rsidRPr="009B09CB">
        <w:rPr>
          <w:rFonts w:cstheme="minorHAnsi"/>
          <w:sz w:val="24"/>
          <w:szCs w:val="24"/>
        </w:rPr>
        <w:t>University</w:t>
      </w:r>
      <w:r w:rsidR="001458DE" w:rsidRPr="009B09CB">
        <w:rPr>
          <w:rFonts w:cstheme="minorHAnsi"/>
          <w:sz w:val="24"/>
          <w:szCs w:val="24"/>
        </w:rPr>
        <w:t xml:space="preserve"> of Wales Trinity Saint David. (2024). 'Strategies and Policies.' </w:t>
      </w:r>
      <w:r w:rsidR="007239B7" w:rsidRPr="009B09CB">
        <w:rPr>
          <w:rFonts w:cstheme="minorHAnsi"/>
          <w:sz w:val="24"/>
          <w:szCs w:val="24"/>
        </w:rPr>
        <w:t xml:space="preserve">[Online] </w:t>
      </w:r>
      <w:r w:rsidR="001458DE" w:rsidRPr="009B09CB">
        <w:rPr>
          <w:rFonts w:cstheme="minorHAnsi"/>
          <w:sz w:val="24"/>
          <w:szCs w:val="24"/>
        </w:rPr>
        <w:t>Available at: www.uwtsd.ac.uk (Accessed: 18 March 2024).</w:t>
      </w:r>
    </w:p>
    <w:p w14:paraId="33B9A85A" w14:textId="77777777" w:rsidR="001458DE" w:rsidRPr="009B09CB" w:rsidRDefault="001458DE" w:rsidP="001458DE">
      <w:pPr>
        <w:spacing w:line="240" w:lineRule="auto"/>
        <w:rPr>
          <w:rFonts w:cstheme="minorHAnsi"/>
          <w:sz w:val="24"/>
          <w:szCs w:val="24"/>
        </w:rPr>
      </w:pPr>
    </w:p>
    <w:p w14:paraId="778B4BD1" w14:textId="77777777" w:rsidR="001458DE" w:rsidRPr="009B09CB" w:rsidRDefault="001458DE" w:rsidP="001458DE">
      <w:pPr>
        <w:spacing w:line="240" w:lineRule="auto"/>
        <w:rPr>
          <w:rFonts w:cstheme="minorHAnsi"/>
          <w:sz w:val="24"/>
          <w:szCs w:val="24"/>
          <w:shd w:val="clear" w:color="auto" w:fill="FFFFFF"/>
        </w:rPr>
      </w:pPr>
      <w:r w:rsidRPr="009B09CB">
        <w:rPr>
          <w:rFonts w:cstheme="minorHAnsi"/>
          <w:sz w:val="24"/>
          <w:szCs w:val="24"/>
          <w:shd w:val="clear" w:color="auto" w:fill="FFFFFF"/>
        </w:rPr>
        <w:t>UWTSD (</w:t>
      </w:r>
      <w:r w:rsidRPr="009B09CB">
        <w:rPr>
          <w:rFonts w:cstheme="minorHAnsi"/>
          <w:sz w:val="24"/>
          <w:szCs w:val="24"/>
          <w:shd w:val="clear" w:color="auto" w:fill="FFFFFF"/>
        </w:rPr>
        <w:t>2024</w:t>
      </w:r>
      <w:r w:rsidRPr="009B09CB">
        <w:rPr>
          <w:rFonts w:cstheme="minorHAnsi"/>
          <w:sz w:val="24"/>
          <w:szCs w:val="24"/>
          <w:shd w:val="clear" w:color="auto" w:fill="FFFFFF"/>
        </w:rPr>
        <w:t>a).</w:t>
      </w:r>
      <w:r w:rsidRPr="009B09CB">
        <w:rPr>
          <w:rFonts w:cstheme="minorHAnsi"/>
          <w:sz w:val="24"/>
          <w:szCs w:val="24"/>
          <w:shd w:val="clear" w:color="auto" w:fill="FFFFFF"/>
        </w:rPr>
        <w:t> </w:t>
      </w:r>
      <w:r w:rsidRPr="009B09CB">
        <w:rPr>
          <w:rFonts w:cstheme="minorHAnsi"/>
          <w:i/>
          <w:iCs/>
          <w:sz w:val="24"/>
          <w:szCs w:val="24"/>
        </w:rPr>
        <w:t>Peer Assisted Learning</w:t>
      </w:r>
      <w:r w:rsidRPr="009B09CB">
        <w:rPr>
          <w:rFonts w:cstheme="minorHAnsi"/>
          <w:sz w:val="24"/>
          <w:szCs w:val="24"/>
          <w:shd w:val="clear" w:color="auto" w:fill="FFFFFF"/>
        </w:rPr>
        <w:t>. [Online]. UWTSD.ac.uk. Available at: https://www.uwtsd.ac.uk/sites/default/files/2024-03/pal-at-uwtsd.pdf [Accessed 21 March 2024].</w:t>
      </w:r>
    </w:p>
    <w:p w14:paraId="5F63A08C" w14:textId="77777777" w:rsidR="001458DE" w:rsidRPr="009B09CB" w:rsidRDefault="001458DE" w:rsidP="001458DE">
      <w:pPr>
        <w:spacing w:line="240" w:lineRule="auto"/>
        <w:rPr>
          <w:rStyle w:val="Hyperlink"/>
          <w:rFonts w:cstheme="minorHAnsi"/>
          <w:color w:val="auto"/>
          <w:sz w:val="24"/>
          <w:szCs w:val="24"/>
          <w:shd w:val="clear" w:color="auto" w:fill="FFFFFF"/>
        </w:rPr>
      </w:pPr>
    </w:p>
    <w:p w14:paraId="35E88118" w14:textId="77777777" w:rsidR="001458DE" w:rsidRPr="009B09CB" w:rsidRDefault="001458DE" w:rsidP="001458DE">
      <w:pPr>
        <w:spacing w:line="240" w:lineRule="auto"/>
        <w:rPr>
          <w:rFonts w:cstheme="minorHAnsi"/>
          <w:sz w:val="24"/>
          <w:szCs w:val="24"/>
          <w:shd w:val="clear" w:color="auto" w:fill="FFFFFF"/>
        </w:rPr>
      </w:pPr>
      <w:r w:rsidRPr="009B09CB">
        <w:rPr>
          <w:rFonts w:cstheme="minorHAnsi"/>
          <w:sz w:val="24"/>
          <w:szCs w:val="24"/>
          <w:shd w:val="clear" w:color="auto" w:fill="FFFFFF"/>
        </w:rPr>
        <w:t>UWTSD. (202</w:t>
      </w:r>
      <w:r w:rsidRPr="009B09CB">
        <w:rPr>
          <w:rFonts w:cstheme="minorHAnsi"/>
          <w:sz w:val="24"/>
          <w:szCs w:val="24"/>
          <w:shd w:val="clear" w:color="auto" w:fill="FFFFFF"/>
        </w:rPr>
        <w:t>3</w:t>
      </w:r>
      <w:r w:rsidRPr="009B09CB">
        <w:rPr>
          <w:rFonts w:cstheme="minorHAnsi"/>
          <w:sz w:val="24"/>
          <w:szCs w:val="24"/>
          <w:shd w:val="clear" w:color="auto" w:fill="FFFFFF"/>
        </w:rPr>
        <w:t>). </w:t>
      </w:r>
      <w:r w:rsidRPr="009B09CB">
        <w:rPr>
          <w:rFonts w:cstheme="minorHAnsi"/>
          <w:i/>
          <w:iCs/>
          <w:sz w:val="24"/>
          <w:szCs w:val="24"/>
        </w:rPr>
        <w:t>Academic Quality Handbook</w:t>
      </w:r>
      <w:r w:rsidRPr="009B09CB">
        <w:rPr>
          <w:rFonts w:cstheme="minorHAnsi"/>
          <w:sz w:val="24"/>
          <w:szCs w:val="24"/>
          <w:shd w:val="clear" w:color="auto" w:fill="FFFFFF"/>
        </w:rPr>
        <w:t>. [Online]. UWTSD.ac.uk. Available at:</w:t>
      </w:r>
      <w:r w:rsidRPr="009B09CB">
        <w:rPr>
          <w:rFonts w:cstheme="minorHAnsi"/>
          <w:sz w:val="24"/>
          <w:szCs w:val="24"/>
          <w:shd w:val="clear" w:color="auto" w:fill="FFFFFF"/>
        </w:rPr>
        <w:t xml:space="preserve"> </w:t>
      </w:r>
      <w:r w:rsidRPr="009B09CB">
        <w:rPr>
          <w:rFonts w:cstheme="minorHAnsi"/>
          <w:sz w:val="24"/>
          <w:szCs w:val="24"/>
          <w:shd w:val="clear" w:color="auto" w:fill="FFFFFF"/>
        </w:rPr>
        <w:t>https://www.uwtsd.ac.uk/about/governance-and-management/academic-quality-handbook [Accessed 21 March 2024].</w:t>
      </w:r>
    </w:p>
    <w:p w14:paraId="5116A81C" w14:textId="77777777" w:rsidR="001458DE" w:rsidRPr="009B09CB" w:rsidRDefault="001458DE" w:rsidP="001458DE">
      <w:pPr>
        <w:spacing w:line="240" w:lineRule="auto"/>
        <w:rPr>
          <w:rFonts w:cstheme="minorHAnsi"/>
          <w:sz w:val="24"/>
          <w:szCs w:val="24"/>
          <w:shd w:val="clear" w:color="auto" w:fill="FFFFFF"/>
        </w:rPr>
      </w:pPr>
    </w:p>
    <w:p w14:paraId="33AD4C69" w14:textId="77777777" w:rsidR="001458DE" w:rsidRPr="009B09CB" w:rsidRDefault="001458DE" w:rsidP="001458DE">
      <w:pPr>
        <w:spacing w:line="240" w:lineRule="auto"/>
        <w:rPr>
          <w:rFonts w:cstheme="minorHAnsi"/>
          <w:sz w:val="24"/>
          <w:szCs w:val="24"/>
          <w:shd w:val="clear" w:color="auto" w:fill="FFFFFF"/>
        </w:rPr>
      </w:pPr>
      <w:r w:rsidRPr="009B09CB">
        <w:rPr>
          <w:rFonts w:cstheme="minorHAnsi"/>
          <w:sz w:val="24"/>
          <w:szCs w:val="24"/>
          <w:shd w:val="clear" w:color="auto" w:fill="FFFFFF"/>
        </w:rPr>
        <w:t>UWTSD. (2024b). </w:t>
      </w:r>
      <w:r w:rsidRPr="009B09CB">
        <w:rPr>
          <w:rFonts w:cstheme="minorHAnsi"/>
          <w:i/>
          <w:iCs/>
          <w:sz w:val="24"/>
          <w:szCs w:val="24"/>
        </w:rPr>
        <w:t>Student Support &amp; Wellbeing</w:t>
      </w:r>
      <w:r w:rsidRPr="009B09CB">
        <w:rPr>
          <w:rFonts w:cstheme="minorHAnsi"/>
          <w:sz w:val="24"/>
          <w:szCs w:val="24"/>
          <w:shd w:val="clear" w:color="auto" w:fill="FFFFFF"/>
        </w:rPr>
        <w:t>. [Online]. UWTSD.ac.uk. Available at: https://www.uwtsd.ac.uk/experience-facilities/student-support-wellbeing [Accessed 21 March 2024].</w:t>
      </w:r>
    </w:p>
    <w:p w14:paraId="345FCE32" w14:textId="77777777" w:rsidR="001458DE" w:rsidRPr="009B09CB" w:rsidRDefault="001458DE" w:rsidP="001458DE">
      <w:pPr>
        <w:spacing w:line="240" w:lineRule="auto"/>
        <w:rPr>
          <w:rFonts w:cstheme="minorHAnsi"/>
          <w:sz w:val="24"/>
          <w:szCs w:val="24"/>
          <w:shd w:val="clear" w:color="auto" w:fill="FFFFFF"/>
        </w:rPr>
      </w:pPr>
    </w:p>
    <w:p w14:paraId="1A59380E" w14:textId="77777777" w:rsidR="001458DE" w:rsidRPr="009B09CB" w:rsidRDefault="001458DE" w:rsidP="001458DE">
      <w:pPr>
        <w:spacing w:after="0" w:line="240" w:lineRule="auto"/>
        <w:rPr>
          <w:rFonts w:eastAsia="Times New Roman" w:cstheme="minorHAnsi"/>
          <w:kern w:val="0"/>
          <w:sz w:val="24"/>
          <w:szCs w:val="24"/>
          <w:shd w:val="clear" w:color="auto" w:fill="FFFFFF"/>
          <w14:ligatures w14:val="none"/>
        </w:rPr>
      </w:pPr>
      <w:r w:rsidRPr="0014233B">
        <w:rPr>
          <w:rFonts w:eastAsia="Times New Roman" w:cstheme="minorHAnsi"/>
          <w:kern w:val="0"/>
          <w:sz w:val="24"/>
          <w:szCs w:val="24"/>
          <w:shd w:val="clear" w:color="auto" w:fill="FFFFFF"/>
          <w14:ligatures w14:val="none"/>
        </w:rPr>
        <w:t>UWTSD. (2024c). </w:t>
      </w:r>
      <w:r w:rsidRPr="0014233B">
        <w:rPr>
          <w:rFonts w:eastAsia="Times New Roman" w:cstheme="minorHAnsi"/>
          <w:i/>
          <w:iCs/>
          <w:kern w:val="0"/>
          <w:sz w:val="24"/>
          <w:szCs w:val="24"/>
          <w14:ligatures w14:val="none"/>
        </w:rPr>
        <w:t>Learning Support</w:t>
      </w:r>
      <w:r w:rsidRPr="0014233B">
        <w:rPr>
          <w:rFonts w:eastAsia="Times New Roman" w:cstheme="minorHAnsi"/>
          <w:kern w:val="0"/>
          <w:sz w:val="24"/>
          <w:szCs w:val="24"/>
          <w:shd w:val="clear" w:color="auto" w:fill="FFFFFF"/>
          <w14:ligatures w14:val="none"/>
        </w:rPr>
        <w:t>. [Online]. UWTSD.ac.uk. Available at: https://www.uwtsd.ac.uk/experience-facilities/student-support-wellbeing/learning-support [Accessed 21 March 2024].</w:t>
      </w:r>
    </w:p>
    <w:p w14:paraId="7FEFCF24" w14:textId="77777777" w:rsidR="001458DE" w:rsidRPr="009B09CB" w:rsidRDefault="001458DE" w:rsidP="001458DE">
      <w:pPr>
        <w:spacing w:after="0" w:line="240" w:lineRule="auto"/>
        <w:rPr>
          <w:rFonts w:eastAsia="Times New Roman" w:cstheme="minorHAnsi"/>
          <w:kern w:val="0"/>
          <w:sz w:val="24"/>
          <w:szCs w:val="24"/>
          <w:shd w:val="clear" w:color="auto" w:fill="FFFFFF"/>
          <w14:ligatures w14:val="none"/>
        </w:rPr>
      </w:pPr>
    </w:p>
    <w:p w14:paraId="6BC837BE" w14:textId="27CF7F02" w:rsidR="001458DE" w:rsidRPr="00773F84" w:rsidRDefault="001458DE" w:rsidP="001458DE">
      <w:pPr>
        <w:spacing w:after="0" w:line="240" w:lineRule="auto"/>
        <w:rPr>
          <w:rFonts w:eastAsia="Times New Roman" w:cstheme="minorHAnsi"/>
          <w:kern w:val="0"/>
          <w:sz w:val="24"/>
          <w:szCs w:val="24"/>
          <w:shd w:val="clear" w:color="auto" w:fill="FFFFFF"/>
          <w14:ligatures w14:val="none"/>
        </w:rPr>
      </w:pPr>
      <w:r w:rsidRPr="00773F84">
        <w:rPr>
          <w:rFonts w:eastAsia="Times New Roman" w:cstheme="minorHAnsi"/>
          <w:kern w:val="0"/>
          <w:sz w:val="24"/>
          <w:szCs w:val="24"/>
          <w:shd w:val="clear" w:color="auto" w:fill="FFFFFF"/>
          <w14:ligatures w14:val="none"/>
        </w:rPr>
        <w:t>UWTSD. (2024</w:t>
      </w:r>
      <w:r w:rsidRPr="009B09CB">
        <w:rPr>
          <w:rFonts w:eastAsia="Times New Roman" w:cstheme="minorHAnsi"/>
          <w:kern w:val="0"/>
          <w:sz w:val="24"/>
          <w:szCs w:val="24"/>
          <w:shd w:val="clear" w:color="auto" w:fill="FFFFFF"/>
          <w14:ligatures w14:val="none"/>
        </w:rPr>
        <w:t>d</w:t>
      </w:r>
      <w:r w:rsidRPr="00773F84">
        <w:rPr>
          <w:rFonts w:eastAsia="Times New Roman" w:cstheme="minorHAnsi"/>
          <w:kern w:val="0"/>
          <w:sz w:val="24"/>
          <w:szCs w:val="24"/>
          <w:shd w:val="clear" w:color="auto" w:fill="FFFFFF"/>
          <w14:ligatures w14:val="none"/>
        </w:rPr>
        <w:t>). </w:t>
      </w:r>
      <w:r w:rsidRPr="00773F84">
        <w:rPr>
          <w:rFonts w:eastAsia="Times New Roman" w:cstheme="minorHAnsi"/>
          <w:i/>
          <w:iCs/>
          <w:kern w:val="0"/>
          <w:sz w:val="24"/>
          <w:szCs w:val="24"/>
          <w14:ligatures w14:val="none"/>
        </w:rPr>
        <w:t>Disability Support</w:t>
      </w:r>
      <w:r w:rsidRPr="00773F84">
        <w:rPr>
          <w:rFonts w:eastAsia="Times New Roman" w:cstheme="minorHAnsi"/>
          <w:kern w:val="0"/>
          <w:sz w:val="24"/>
          <w:szCs w:val="24"/>
          <w:shd w:val="clear" w:color="auto" w:fill="FFFFFF"/>
          <w14:ligatures w14:val="none"/>
        </w:rPr>
        <w:t>. [Online]. UWTSD.ac.uk. Available at: https://www.uwtsd.ac.uk/experience-facilities/student-support-wellbeing/disability-support [Accessed 21 March 2024].</w:t>
      </w:r>
      <w:r w:rsidRPr="00773F84">
        <w:rPr>
          <w:rFonts w:eastAsia="Times New Roman" w:cstheme="minorHAnsi"/>
          <w:kern w:val="0"/>
          <w:sz w:val="24"/>
          <w:szCs w:val="24"/>
          <w14:ligatures w14:val="none"/>
        </w:rPr>
        <w:br/>
      </w:r>
    </w:p>
    <w:p w14:paraId="7B0F58E0" w14:textId="77777777" w:rsidR="001458DE" w:rsidRPr="009B09CB" w:rsidRDefault="001458DE" w:rsidP="001458DE">
      <w:pPr>
        <w:spacing w:line="240" w:lineRule="auto"/>
        <w:rPr>
          <w:rFonts w:cstheme="minorHAnsi"/>
          <w:sz w:val="24"/>
          <w:szCs w:val="24"/>
          <w:shd w:val="clear" w:color="auto" w:fill="FFFFFF"/>
        </w:rPr>
      </w:pPr>
      <w:r w:rsidRPr="009B09CB">
        <w:rPr>
          <w:rFonts w:cstheme="minorHAnsi"/>
          <w:sz w:val="24"/>
          <w:szCs w:val="24"/>
          <w:shd w:val="clear" w:color="auto" w:fill="FFFFFF"/>
        </w:rPr>
        <w:t>UWTSD. (2024e). </w:t>
      </w:r>
      <w:r w:rsidRPr="009B09CB">
        <w:rPr>
          <w:rFonts w:cstheme="minorHAnsi"/>
          <w:i/>
          <w:iCs/>
          <w:sz w:val="24"/>
          <w:szCs w:val="24"/>
        </w:rPr>
        <w:t>Wellbeing Support</w:t>
      </w:r>
      <w:r w:rsidRPr="009B09CB">
        <w:rPr>
          <w:rFonts w:cstheme="minorHAnsi"/>
          <w:sz w:val="24"/>
          <w:szCs w:val="24"/>
          <w:shd w:val="clear" w:color="auto" w:fill="FFFFFF"/>
        </w:rPr>
        <w:t>. [Online]. UWTSD.ac.uk. Available at: https://www.uwtsd.ac.uk/experience-facilities/student-support-wellbeing/wellbeing-support#:~:text=FR [Accessed 21 March 2024].</w:t>
      </w:r>
    </w:p>
    <w:p w14:paraId="120DC176" w14:textId="77777777" w:rsidR="001458DE" w:rsidRPr="009B09CB" w:rsidRDefault="001458DE" w:rsidP="001458DE">
      <w:pPr>
        <w:spacing w:line="240" w:lineRule="auto"/>
        <w:rPr>
          <w:rFonts w:cstheme="minorHAnsi"/>
          <w:sz w:val="24"/>
          <w:szCs w:val="24"/>
          <w:shd w:val="clear" w:color="auto" w:fill="FFFFFF"/>
        </w:rPr>
      </w:pPr>
    </w:p>
    <w:p w14:paraId="16D17619" w14:textId="16441B5C" w:rsidR="001458DE" w:rsidRPr="009B09CB" w:rsidRDefault="001458DE" w:rsidP="001458DE">
      <w:pPr>
        <w:spacing w:line="240" w:lineRule="auto"/>
        <w:rPr>
          <w:rFonts w:cstheme="minorHAnsi"/>
          <w:sz w:val="24"/>
          <w:szCs w:val="24"/>
        </w:rPr>
      </w:pPr>
      <w:r w:rsidRPr="009B09CB">
        <w:rPr>
          <w:rFonts w:cstheme="minorHAnsi"/>
          <w:sz w:val="24"/>
          <w:szCs w:val="24"/>
        </w:rPr>
        <w:t xml:space="preserve">Vygotsky, L. (1978) Mind in Society: The Development of Higher Psychological Processes. Cambridge, MA: Harvard </w:t>
      </w:r>
      <w:r w:rsidR="004875CC" w:rsidRPr="009B09CB">
        <w:rPr>
          <w:rFonts w:cstheme="minorHAnsi"/>
          <w:sz w:val="24"/>
          <w:szCs w:val="24"/>
        </w:rPr>
        <w:t>University</w:t>
      </w:r>
      <w:r w:rsidRPr="009B09CB">
        <w:rPr>
          <w:rFonts w:cstheme="minorHAnsi"/>
          <w:sz w:val="24"/>
          <w:szCs w:val="24"/>
        </w:rPr>
        <w:t xml:space="preserve"> Press.</w:t>
      </w:r>
    </w:p>
    <w:p w14:paraId="7CAC6622" w14:textId="0EC037B3" w:rsidR="001458DE" w:rsidRPr="009B09CB" w:rsidRDefault="001458DE" w:rsidP="001458DE">
      <w:pPr>
        <w:spacing w:line="240" w:lineRule="auto"/>
        <w:rPr>
          <w:rStyle w:val="Hyperlink"/>
          <w:rFonts w:cstheme="minorHAnsi"/>
          <w:color w:val="auto"/>
          <w:sz w:val="24"/>
          <w:szCs w:val="24"/>
          <w:shd w:val="clear" w:color="auto" w:fill="FFFFFF"/>
        </w:rPr>
      </w:pPr>
      <w:r w:rsidRPr="009B09CB">
        <w:rPr>
          <w:rFonts w:cstheme="minorHAnsi"/>
          <w:sz w:val="24"/>
          <w:szCs w:val="24"/>
          <w:shd w:val="clear" w:color="auto" w:fill="FFFFFF"/>
        </w:rPr>
        <w:t>Walia, N., 2022. Promoting ethics and morality in education for equality, diversity and inclusivity. </w:t>
      </w:r>
      <w:r w:rsidRPr="009B09CB">
        <w:rPr>
          <w:rFonts w:cstheme="minorHAnsi"/>
          <w:i/>
          <w:iCs/>
          <w:sz w:val="24"/>
          <w:szCs w:val="24"/>
          <w:shd w:val="clear" w:color="auto" w:fill="FFFFFF"/>
        </w:rPr>
        <w:t>Journal of Multidisciplinary Cases (JMC) ISSN</w:t>
      </w:r>
      <w:r w:rsidRPr="009B09CB">
        <w:rPr>
          <w:rFonts w:cstheme="minorHAnsi"/>
          <w:sz w:val="24"/>
          <w:szCs w:val="24"/>
          <w:shd w:val="clear" w:color="auto" w:fill="FFFFFF"/>
        </w:rPr>
        <w:t>, pp.2799-0990.</w:t>
      </w:r>
      <w:r w:rsidR="007239B7" w:rsidRPr="009B09CB">
        <w:rPr>
          <w:rFonts w:cstheme="minorHAnsi"/>
          <w:sz w:val="24"/>
          <w:szCs w:val="24"/>
          <w:shd w:val="clear" w:color="auto" w:fill="FFFFFF"/>
        </w:rPr>
        <w:t xml:space="preserve"> [Online]</w:t>
      </w:r>
      <w:r w:rsidRPr="009B09CB">
        <w:rPr>
          <w:rFonts w:cstheme="minorHAnsi"/>
          <w:sz w:val="24"/>
          <w:szCs w:val="24"/>
          <w:shd w:val="clear" w:color="auto" w:fill="FFFFFF"/>
        </w:rPr>
        <w:t xml:space="preserve"> Available at: </w:t>
      </w:r>
      <w:hyperlink r:id="rId18" w:history="1">
        <w:r w:rsidRPr="009B09CB">
          <w:rPr>
            <w:rStyle w:val="Hyperlink"/>
            <w:rFonts w:cstheme="minorHAnsi"/>
            <w:color w:val="auto"/>
            <w:sz w:val="24"/>
            <w:szCs w:val="24"/>
            <w:shd w:val="clear" w:color="auto" w:fill="FFFFFF"/>
          </w:rPr>
          <w:t>https://d1wqtxts1xzle7.cloudfront.net/85222298/JMC-Vol02-Issue01-01.pdf_filename_UTF-8JMC-Vol02-Issue01-01-libre.pdf?1651320364=&amp;response-content-disposition=inline%3B+filename%3DPromoting_Ethics_And_Morality_In_Educati.pdf&amp;Expires=1710933176&amp;Signature=DPgzyKO5l-Mx~ClZRkb9QJXkgQIMPQC0H1EZMz0XJzzxiyYEcNODZ47mPqdwRLxZmxJr3rHnX9vb1y9i8~-Cw8mz3XP1L53ILcAn4TedBAvpTCfXex~OGxmoO7IirP4yaLnaxZ7jRyRgiUi4NiTSaeocLVvWHptHwgZedXyVebyH19smj8afSSuXDH8yCLrDeLVrEKpHWbFu0HHHB9Xrf2~CGrJ2Wssk10w0aDG6XJ4riZxW0DC398Gph5vlxSBjAzrLPFBFAq7OWUEq6MrwXX1CQqDD7FKaac7BxG6806M1hnieZtGwjCTZIafG2tYoPOtiALo9NdyZ~4-KcMPG2Q__&amp;Key-Pair-Id=APKAJLOHF5GGSLRBV4ZA</w:t>
        </w:r>
      </w:hyperlink>
    </w:p>
    <w:p w14:paraId="4AAE6801" w14:textId="77777777" w:rsidR="001458DE" w:rsidRPr="009B09CB" w:rsidRDefault="001458DE" w:rsidP="001458DE">
      <w:pPr>
        <w:spacing w:line="240" w:lineRule="auto"/>
        <w:rPr>
          <w:rStyle w:val="Hyperlink"/>
          <w:rFonts w:cstheme="minorHAnsi"/>
          <w:color w:val="auto"/>
          <w:sz w:val="24"/>
          <w:szCs w:val="24"/>
          <w:shd w:val="clear" w:color="auto" w:fill="FFFFFF"/>
        </w:rPr>
      </w:pPr>
    </w:p>
    <w:p w14:paraId="7CD72A5F" w14:textId="77777777" w:rsidR="001458DE" w:rsidRPr="009B09CB" w:rsidRDefault="001458DE" w:rsidP="001458DE">
      <w:pPr>
        <w:spacing w:line="240" w:lineRule="auto"/>
        <w:rPr>
          <w:rFonts w:cstheme="minorHAnsi"/>
          <w:sz w:val="24"/>
          <w:szCs w:val="24"/>
        </w:rPr>
      </w:pPr>
      <w:r w:rsidRPr="009B09CB">
        <w:rPr>
          <w:rFonts w:cstheme="minorHAnsi"/>
          <w:sz w:val="24"/>
          <w:szCs w:val="24"/>
        </w:rPr>
        <w:t>Well-being of Future Generations (Wales) Act 2015, c. 2. Available at: http://www.legislation.gov.uk/anaw/2015/2/contents/enacted (Accessed: 18 March 2024).</w:t>
      </w:r>
    </w:p>
    <w:p w14:paraId="5943530C" w14:textId="77777777" w:rsidR="001458DE" w:rsidRPr="009B09CB" w:rsidRDefault="001458DE" w:rsidP="001458DE">
      <w:pPr>
        <w:spacing w:line="240" w:lineRule="auto"/>
        <w:rPr>
          <w:rFonts w:cstheme="minorHAnsi"/>
          <w:sz w:val="24"/>
          <w:szCs w:val="24"/>
        </w:rPr>
      </w:pPr>
    </w:p>
    <w:p w14:paraId="658180CF" w14:textId="094ED100" w:rsidR="001458DE" w:rsidRPr="009B09CB" w:rsidRDefault="001458DE" w:rsidP="001458DE">
      <w:pPr>
        <w:spacing w:line="240" w:lineRule="auto"/>
        <w:rPr>
          <w:rFonts w:cstheme="minorHAnsi"/>
          <w:sz w:val="24"/>
          <w:szCs w:val="24"/>
          <w:shd w:val="clear" w:color="auto" w:fill="FFFFFF"/>
        </w:rPr>
      </w:pPr>
      <w:proofErr w:type="spellStart"/>
      <w:r w:rsidRPr="009B09CB">
        <w:rPr>
          <w:rFonts w:cstheme="minorHAnsi"/>
          <w:sz w:val="24"/>
          <w:szCs w:val="24"/>
          <w:shd w:val="clear" w:color="auto" w:fill="FFFFFF"/>
        </w:rPr>
        <w:t>ZeroRacismWales</w:t>
      </w:r>
      <w:proofErr w:type="spellEnd"/>
      <w:r w:rsidRPr="009B09CB">
        <w:rPr>
          <w:rFonts w:cstheme="minorHAnsi"/>
          <w:sz w:val="24"/>
          <w:szCs w:val="24"/>
          <w:shd w:val="clear" w:color="auto" w:fill="FFFFFF"/>
        </w:rPr>
        <w:t>. (2024). </w:t>
      </w:r>
      <w:r w:rsidRPr="009B09CB">
        <w:rPr>
          <w:rFonts w:cstheme="minorHAnsi"/>
          <w:i/>
          <w:iCs/>
          <w:sz w:val="24"/>
          <w:szCs w:val="24"/>
        </w:rPr>
        <w:t>NOW IS THE TIME TO TAKE A STAND</w:t>
      </w:r>
      <w:r w:rsidRPr="009B09CB">
        <w:rPr>
          <w:rFonts w:cstheme="minorHAnsi"/>
          <w:sz w:val="24"/>
          <w:szCs w:val="24"/>
          <w:shd w:val="clear" w:color="auto" w:fill="FFFFFF"/>
        </w:rPr>
        <w:t xml:space="preserve">. [Online]. https://zeroracismwales.co.uk/. Available at: https://zeroracismwales.co.uk/ </w:t>
      </w:r>
      <w:r w:rsidR="007239B7" w:rsidRPr="009B09CB">
        <w:rPr>
          <w:rFonts w:cstheme="minorHAnsi"/>
          <w:sz w:val="24"/>
          <w:szCs w:val="24"/>
          <w:shd w:val="clear" w:color="auto" w:fill="FFFFFF"/>
        </w:rPr>
        <w:t>(</w:t>
      </w:r>
      <w:r w:rsidRPr="009B09CB">
        <w:rPr>
          <w:rFonts w:cstheme="minorHAnsi"/>
          <w:sz w:val="24"/>
          <w:szCs w:val="24"/>
          <w:shd w:val="clear" w:color="auto" w:fill="FFFFFF"/>
        </w:rPr>
        <w:t>Accessed 21 March 2024</w:t>
      </w:r>
      <w:r w:rsidR="007239B7" w:rsidRPr="009B09CB">
        <w:rPr>
          <w:rFonts w:cstheme="minorHAnsi"/>
          <w:sz w:val="24"/>
          <w:szCs w:val="24"/>
          <w:shd w:val="clear" w:color="auto" w:fill="FFFFFF"/>
        </w:rPr>
        <w:t>]</w:t>
      </w:r>
      <w:r w:rsidRPr="009B09CB">
        <w:rPr>
          <w:rFonts w:cstheme="minorHAnsi"/>
          <w:sz w:val="24"/>
          <w:szCs w:val="24"/>
          <w:shd w:val="clear" w:color="auto" w:fill="FFFFFF"/>
        </w:rPr>
        <w:t>.</w:t>
      </w:r>
    </w:p>
    <w:p w14:paraId="0D743F31" w14:textId="77777777" w:rsidR="00790042" w:rsidRPr="009B09CB" w:rsidRDefault="00790042" w:rsidP="001458DE">
      <w:pPr>
        <w:spacing w:line="240" w:lineRule="auto"/>
        <w:rPr>
          <w:rFonts w:cstheme="minorHAnsi"/>
          <w:sz w:val="24"/>
          <w:szCs w:val="24"/>
        </w:rPr>
      </w:pPr>
    </w:p>
    <w:p w14:paraId="4767144C" w14:textId="77777777" w:rsidR="008353EE" w:rsidRPr="009B09CB" w:rsidRDefault="008353EE" w:rsidP="001458DE">
      <w:pPr>
        <w:spacing w:line="240" w:lineRule="auto"/>
        <w:rPr>
          <w:rFonts w:cstheme="minorHAnsi"/>
          <w:b/>
          <w:bCs/>
          <w:sz w:val="24"/>
          <w:szCs w:val="24"/>
          <w:u w:val="single"/>
        </w:rPr>
      </w:pPr>
    </w:p>
    <w:sectPr w:rsidR="008353EE" w:rsidRPr="009B09CB" w:rsidSect="00F14F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36D23" w14:textId="77777777" w:rsidR="00806B50" w:rsidRPr="005A1287" w:rsidRDefault="00806B50" w:rsidP="003D3400">
      <w:pPr>
        <w:spacing w:after="0" w:line="240" w:lineRule="auto"/>
      </w:pPr>
      <w:r w:rsidRPr="005A1287">
        <w:separator/>
      </w:r>
    </w:p>
  </w:endnote>
  <w:endnote w:type="continuationSeparator" w:id="0">
    <w:p w14:paraId="070D6941" w14:textId="77777777" w:rsidR="00806B50" w:rsidRPr="005A1287" w:rsidRDefault="00806B50" w:rsidP="003D3400">
      <w:pPr>
        <w:spacing w:after="0" w:line="240" w:lineRule="auto"/>
      </w:pPr>
      <w:r w:rsidRPr="005A128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D9B22" w14:textId="77777777" w:rsidR="00806B50" w:rsidRPr="005A1287" w:rsidRDefault="00806B50" w:rsidP="003D3400">
      <w:pPr>
        <w:spacing w:after="0" w:line="240" w:lineRule="auto"/>
      </w:pPr>
      <w:r w:rsidRPr="005A1287">
        <w:separator/>
      </w:r>
    </w:p>
  </w:footnote>
  <w:footnote w:type="continuationSeparator" w:id="0">
    <w:p w14:paraId="51FA2D03" w14:textId="77777777" w:rsidR="00806B50" w:rsidRPr="005A1287" w:rsidRDefault="00806B50" w:rsidP="003D3400">
      <w:pPr>
        <w:spacing w:after="0" w:line="240" w:lineRule="auto"/>
      </w:pPr>
      <w:r w:rsidRPr="005A128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760"/>
    <w:rsid w:val="0001139F"/>
    <w:rsid w:val="00017290"/>
    <w:rsid w:val="0003149C"/>
    <w:rsid w:val="00032CB7"/>
    <w:rsid w:val="00057E24"/>
    <w:rsid w:val="00072D88"/>
    <w:rsid w:val="000B71A1"/>
    <w:rsid w:val="000F41D5"/>
    <w:rsid w:val="00126036"/>
    <w:rsid w:val="0014233B"/>
    <w:rsid w:val="001458DE"/>
    <w:rsid w:val="00150F79"/>
    <w:rsid w:val="00182FA9"/>
    <w:rsid w:val="001B2F6D"/>
    <w:rsid w:val="001C145F"/>
    <w:rsid w:val="001F6498"/>
    <w:rsid w:val="00222490"/>
    <w:rsid w:val="0022310C"/>
    <w:rsid w:val="00257E7F"/>
    <w:rsid w:val="002655FC"/>
    <w:rsid w:val="00275D84"/>
    <w:rsid w:val="00280D29"/>
    <w:rsid w:val="00292148"/>
    <w:rsid w:val="002A20F0"/>
    <w:rsid w:val="002B42F8"/>
    <w:rsid w:val="002C3CB9"/>
    <w:rsid w:val="002E2595"/>
    <w:rsid w:val="00310B89"/>
    <w:rsid w:val="00313A1C"/>
    <w:rsid w:val="0032352A"/>
    <w:rsid w:val="00326541"/>
    <w:rsid w:val="00333D0C"/>
    <w:rsid w:val="00346E23"/>
    <w:rsid w:val="003504B9"/>
    <w:rsid w:val="00353DA1"/>
    <w:rsid w:val="0036593B"/>
    <w:rsid w:val="00366312"/>
    <w:rsid w:val="00392640"/>
    <w:rsid w:val="003A401E"/>
    <w:rsid w:val="003D3400"/>
    <w:rsid w:val="003F5859"/>
    <w:rsid w:val="003F799E"/>
    <w:rsid w:val="00403251"/>
    <w:rsid w:val="00403355"/>
    <w:rsid w:val="00413C83"/>
    <w:rsid w:val="00423167"/>
    <w:rsid w:val="0045101B"/>
    <w:rsid w:val="004546C8"/>
    <w:rsid w:val="004875CC"/>
    <w:rsid w:val="00487FAF"/>
    <w:rsid w:val="004909DE"/>
    <w:rsid w:val="004B5CDD"/>
    <w:rsid w:val="004F0F87"/>
    <w:rsid w:val="004F5438"/>
    <w:rsid w:val="004F6C33"/>
    <w:rsid w:val="00557ED0"/>
    <w:rsid w:val="005733CB"/>
    <w:rsid w:val="00573BA7"/>
    <w:rsid w:val="00597C26"/>
    <w:rsid w:val="005A1287"/>
    <w:rsid w:val="006408D6"/>
    <w:rsid w:val="00667BEA"/>
    <w:rsid w:val="006711E3"/>
    <w:rsid w:val="006830DE"/>
    <w:rsid w:val="00683E08"/>
    <w:rsid w:val="006A22BB"/>
    <w:rsid w:val="006B7616"/>
    <w:rsid w:val="006F19C6"/>
    <w:rsid w:val="00713B1D"/>
    <w:rsid w:val="00716ACF"/>
    <w:rsid w:val="007239B7"/>
    <w:rsid w:val="0072697C"/>
    <w:rsid w:val="00771145"/>
    <w:rsid w:val="00773F84"/>
    <w:rsid w:val="00790042"/>
    <w:rsid w:val="007B4DA8"/>
    <w:rsid w:val="007B6FC7"/>
    <w:rsid w:val="00806B50"/>
    <w:rsid w:val="00821B55"/>
    <w:rsid w:val="00827465"/>
    <w:rsid w:val="008353EE"/>
    <w:rsid w:val="00877F2F"/>
    <w:rsid w:val="008A4566"/>
    <w:rsid w:val="008B6B36"/>
    <w:rsid w:val="008D0901"/>
    <w:rsid w:val="008D0F7F"/>
    <w:rsid w:val="00915AB4"/>
    <w:rsid w:val="00922A59"/>
    <w:rsid w:val="009926E4"/>
    <w:rsid w:val="009B09CB"/>
    <w:rsid w:val="009C323B"/>
    <w:rsid w:val="00A00AFF"/>
    <w:rsid w:val="00A26181"/>
    <w:rsid w:val="00A3196E"/>
    <w:rsid w:val="00A442C2"/>
    <w:rsid w:val="00A45DFD"/>
    <w:rsid w:val="00A51550"/>
    <w:rsid w:val="00A518FD"/>
    <w:rsid w:val="00AA346D"/>
    <w:rsid w:val="00AA68BD"/>
    <w:rsid w:val="00AB1B8F"/>
    <w:rsid w:val="00AB43E1"/>
    <w:rsid w:val="00AF7760"/>
    <w:rsid w:val="00B03CD8"/>
    <w:rsid w:val="00B04B1D"/>
    <w:rsid w:val="00B07A33"/>
    <w:rsid w:val="00B31DD7"/>
    <w:rsid w:val="00B518F0"/>
    <w:rsid w:val="00B528CA"/>
    <w:rsid w:val="00B73AEE"/>
    <w:rsid w:val="00B80D2B"/>
    <w:rsid w:val="00B80EE0"/>
    <w:rsid w:val="00B81DBB"/>
    <w:rsid w:val="00C232A6"/>
    <w:rsid w:val="00C82841"/>
    <w:rsid w:val="00C86F27"/>
    <w:rsid w:val="00C9448B"/>
    <w:rsid w:val="00CB0232"/>
    <w:rsid w:val="00CC3245"/>
    <w:rsid w:val="00CD6F9A"/>
    <w:rsid w:val="00CE4F96"/>
    <w:rsid w:val="00D0548E"/>
    <w:rsid w:val="00D844D4"/>
    <w:rsid w:val="00D92C51"/>
    <w:rsid w:val="00DB592D"/>
    <w:rsid w:val="00DC4B42"/>
    <w:rsid w:val="00DC5E67"/>
    <w:rsid w:val="00DC6329"/>
    <w:rsid w:val="00DC7F22"/>
    <w:rsid w:val="00E10848"/>
    <w:rsid w:val="00E3665F"/>
    <w:rsid w:val="00E776CB"/>
    <w:rsid w:val="00EE0D35"/>
    <w:rsid w:val="00F14F16"/>
    <w:rsid w:val="00F366A7"/>
    <w:rsid w:val="00F5145A"/>
    <w:rsid w:val="00F51EF7"/>
    <w:rsid w:val="00F561D2"/>
    <w:rsid w:val="00F77383"/>
    <w:rsid w:val="00F91BDF"/>
    <w:rsid w:val="00F93813"/>
    <w:rsid w:val="00FC27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2CF978"/>
  <w15:chartTrackingRefBased/>
  <w15:docId w15:val="{AE47F1B4-84C8-4D77-B9CC-2ECF2DB9F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400"/>
  </w:style>
  <w:style w:type="paragraph" w:styleId="Footer">
    <w:name w:val="footer"/>
    <w:basedOn w:val="Normal"/>
    <w:link w:val="FooterChar"/>
    <w:uiPriority w:val="99"/>
    <w:unhideWhenUsed/>
    <w:rsid w:val="003D3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400"/>
  </w:style>
  <w:style w:type="character" w:styleId="Hyperlink">
    <w:name w:val="Hyperlink"/>
    <w:basedOn w:val="DefaultParagraphFont"/>
    <w:uiPriority w:val="99"/>
    <w:unhideWhenUsed/>
    <w:rsid w:val="004F0F87"/>
    <w:rPr>
      <w:color w:val="0563C1" w:themeColor="hyperlink"/>
      <w:u w:val="single"/>
    </w:rPr>
  </w:style>
  <w:style w:type="character" w:styleId="UnresolvedMention">
    <w:name w:val="Unresolved Mention"/>
    <w:basedOn w:val="DefaultParagraphFont"/>
    <w:uiPriority w:val="99"/>
    <w:semiHidden/>
    <w:unhideWhenUsed/>
    <w:rsid w:val="004F0F87"/>
    <w:rPr>
      <w:color w:val="605E5C"/>
      <w:shd w:val="clear" w:color="auto" w:fill="E1DFDD"/>
    </w:rPr>
  </w:style>
  <w:style w:type="character" w:styleId="Emphasis">
    <w:name w:val="Emphasis"/>
    <w:basedOn w:val="DefaultParagraphFont"/>
    <w:uiPriority w:val="20"/>
    <w:qFormat/>
    <w:rsid w:val="00F51EF7"/>
    <w:rPr>
      <w:i/>
      <w:iCs/>
    </w:rPr>
  </w:style>
  <w:style w:type="paragraph" w:styleId="NoSpacing">
    <w:name w:val="No Spacing"/>
    <w:link w:val="NoSpacingChar"/>
    <w:uiPriority w:val="1"/>
    <w:qFormat/>
    <w:rsid w:val="00F14F16"/>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F14F16"/>
    <w:rPr>
      <w:kern w:val="0"/>
      <w:lang w:val="en-US" w:eastAsia="en-US"/>
      <w14:ligatures w14:val="none"/>
    </w:rPr>
  </w:style>
  <w:style w:type="character" w:styleId="FollowedHyperlink">
    <w:name w:val="FollowedHyperlink"/>
    <w:basedOn w:val="DefaultParagraphFont"/>
    <w:uiPriority w:val="99"/>
    <w:semiHidden/>
    <w:unhideWhenUsed/>
    <w:rsid w:val="007B6F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86983">
      <w:bodyDiv w:val="1"/>
      <w:marLeft w:val="0"/>
      <w:marRight w:val="0"/>
      <w:marTop w:val="0"/>
      <w:marBottom w:val="0"/>
      <w:divBdr>
        <w:top w:val="none" w:sz="0" w:space="0" w:color="auto"/>
        <w:left w:val="none" w:sz="0" w:space="0" w:color="auto"/>
        <w:bottom w:val="none" w:sz="0" w:space="0" w:color="auto"/>
        <w:right w:val="none" w:sz="0" w:space="0" w:color="auto"/>
      </w:divBdr>
      <w:divsChild>
        <w:div w:id="695891493">
          <w:marLeft w:val="0"/>
          <w:marRight w:val="0"/>
          <w:marTop w:val="0"/>
          <w:marBottom w:val="0"/>
          <w:divBdr>
            <w:top w:val="none" w:sz="0" w:space="0" w:color="auto"/>
            <w:left w:val="none" w:sz="0" w:space="0" w:color="auto"/>
            <w:bottom w:val="none" w:sz="0" w:space="0" w:color="auto"/>
            <w:right w:val="none" w:sz="0" w:space="0" w:color="auto"/>
          </w:divBdr>
        </w:div>
      </w:divsChild>
    </w:div>
    <w:div w:id="97456937">
      <w:bodyDiv w:val="1"/>
      <w:marLeft w:val="0"/>
      <w:marRight w:val="0"/>
      <w:marTop w:val="0"/>
      <w:marBottom w:val="0"/>
      <w:divBdr>
        <w:top w:val="none" w:sz="0" w:space="0" w:color="auto"/>
        <w:left w:val="none" w:sz="0" w:space="0" w:color="auto"/>
        <w:bottom w:val="none" w:sz="0" w:space="0" w:color="auto"/>
        <w:right w:val="none" w:sz="0" w:space="0" w:color="auto"/>
      </w:divBdr>
    </w:div>
    <w:div w:id="681862217">
      <w:bodyDiv w:val="1"/>
      <w:marLeft w:val="0"/>
      <w:marRight w:val="0"/>
      <w:marTop w:val="0"/>
      <w:marBottom w:val="0"/>
      <w:divBdr>
        <w:top w:val="none" w:sz="0" w:space="0" w:color="auto"/>
        <w:left w:val="none" w:sz="0" w:space="0" w:color="auto"/>
        <w:bottom w:val="none" w:sz="0" w:space="0" w:color="auto"/>
        <w:right w:val="none" w:sz="0" w:space="0" w:color="auto"/>
      </w:divBdr>
    </w:div>
    <w:div w:id="698553566">
      <w:bodyDiv w:val="1"/>
      <w:marLeft w:val="0"/>
      <w:marRight w:val="0"/>
      <w:marTop w:val="0"/>
      <w:marBottom w:val="0"/>
      <w:divBdr>
        <w:top w:val="none" w:sz="0" w:space="0" w:color="auto"/>
        <w:left w:val="none" w:sz="0" w:space="0" w:color="auto"/>
        <w:bottom w:val="none" w:sz="0" w:space="0" w:color="auto"/>
        <w:right w:val="none" w:sz="0" w:space="0" w:color="auto"/>
      </w:divBdr>
      <w:divsChild>
        <w:div w:id="1863280233">
          <w:marLeft w:val="0"/>
          <w:marRight w:val="0"/>
          <w:marTop w:val="0"/>
          <w:marBottom w:val="0"/>
          <w:divBdr>
            <w:top w:val="single" w:sz="2" w:space="0" w:color="E3E3E3"/>
            <w:left w:val="single" w:sz="2" w:space="0" w:color="E3E3E3"/>
            <w:bottom w:val="single" w:sz="2" w:space="0" w:color="E3E3E3"/>
            <w:right w:val="single" w:sz="2" w:space="0" w:color="E3E3E3"/>
          </w:divBdr>
          <w:divsChild>
            <w:div w:id="1502695519">
              <w:marLeft w:val="0"/>
              <w:marRight w:val="0"/>
              <w:marTop w:val="0"/>
              <w:marBottom w:val="0"/>
              <w:divBdr>
                <w:top w:val="single" w:sz="2" w:space="0" w:color="E3E3E3"/>
                <w:left w:val="single" w:sz="2" w:space="0" w:color="E3E3E3"/>
                <w:bottom w:val="single" w:sz="2" w:space="0" w:color="E3E3E3"/>
                <w:right w:val="single" w:sz="2" w:space="0" w:color="E3E3E3"/>
              </w:divBdr>
              <w:divsChild>
                <w:div w:id="480584979">
                  <w:marLeft w:val="0"/>
                  <w:marRight w:val="0"/>
                  <w:marTop w:val="0"/>
                  <w:marBottom w:val="0"/>
                  <w:divBdr>
                    <w:top w:val="single" w:sz="2" w:space="0" w:color="E3E3E3"/>
                    <w:left w:val="single" w:sz="2" w:space="0" w:color="E3E3E3"/>
                    <w:bottom w:val="single" w:sz="2" w:space="0" w:color="E3E3E3"/>
                    <w:right w:val="single" w:sz="2" w:space="0" w:color="E3E3E3"/>
                  </w:divBdr>
                  <w:divsChild>
                    <w:div w:id="62989685">
                      <w:marLeft w:val="0"/>
                      <w:marRight w:val="0"/>
                      <w:marTop w:val="0"/>
                      <w:marBottom w:val="0"/>
                      <w:divBdr>
                        <w:top w:val="single" w:sz="2" w:space="0" w:color="E3E3E3"/>
                        <w:left w:val="single" w:sz="2" w:space="0" w:color="E3E3E3"/>
                        <w:bottom w:val="single" w:sz="2" w:space="0" w:color="E3E3E3"/>
                        <w:right w:val="single" w:sz="2" w:space="0" w:color="E3E3E3"/>
                      </w:divBdr>
                      <w:divsChild>
                        <w:div w:id="2082362374">
                          <w:marLeft w:val="0"/>
                          <w:marRight w:val="0"/>
                          <w:marTop w:val="0"/>
                          <w:marBottom w:val="0"/>
                          <w:divBdr>
                            <w:top w:val="single" w:sz="2" w:space="0" w:color="E3E3E3"/>
                            <w:left w:val="single" w:sz="2" w:space="0" w:color="E3E3E3"/>
                            <w:bottom w:val="single" w:sz="2" w:space="0" w:color="E3E3E3"/>
                            <w:right w:val="single" w:sz="2" w:space="0" w:color="E3E3E3"/>
                          </w:divBdr>
                          <w:divsChild>
                            <w:div w:id="935408043">
                              <w:marLeft w:val="0"/>
                              <w:marRight w:val="0"/>
                              <w:marTop w:val="100"/>
                              <w:marBottom w:val="100"/>
                              <w:divBdr>
                                <w:top w:val="single" w:sz="2" w:space="0" w:color="E3E3E3"/>
                                <w:left w:val="single" w:sz="2" w:space="0" w:color="E3E3E3"/>
                                <w:bottom w:val="single" w:sz="2" w:space="0" w:color="E3E3E3"/>
                                <w:right w:val="single" w:sz="2" w:space="0" w:color="E3E3E3"/>
                              </w:divBdr>
                              <w:divsChild>
                                <w:div w:id="1946574866">
                                  <w:marLeft w:val="0"/>
                                  <w:marRight w:val="0"/>
                                  <w:marTop w:val="0"/>
                                  <w:marBottom w:val="0"/>
                                  <w:divBdr>
                                    <w:top w:val="single" w:sz="2" w:space="0" w:color="E3E3E3"/>
                                    <w:left w:val="single" w:sz="2" w:space="0" w:color="E3E3E3"/>
                                    <w:bottom w:val="single" w:sz="2" w:space="0" w:color="E3E3E3"/>
                                    <w:right w:val="single" w:sz="2" w:space="0" w:color="E3E3E3"/>
                                  </w:divBdr>
                                  <w:divsChild>
                                    <w:div w:id="1295021868">
                                      <w:marLeft w:val="0"/>
                                      <w:marRight w:val="0"/>
                                      <w:marTop w:val="0"/>
                                      <w:marBottom w:val="0"/>
                                      <w:divBdr>
                                        <w:top w:val="single" w:sz="2" w:space="0" w:color="E3E3E3"/>
                                        <w:left w:val="single" w:sz="2" w:space="0" w:color="E3E3E3"/>
                                        <w:bottom w:val="single" w:sz="2" w:space="0" w:color="E3E3E3"/>
                                        <w:right w:val="single" w:sz="2" w:space="0" w:color="E3E3E3"/>
                                      </w:divBdr>
                                      <w:divsChild>
                                        <w:div w:id="297616481">
                                          <w:marLeft w:val="0"/>
                                          <w:marRight w:val="0"/>
                                          <w:marTop w:val="0"/>
                                          <w:marBottom w:val="0"/>
                                          <w:divBdr>
                                            <w:top w:val="single" w:sz="2" w:space="0" w:color="E3E3E3"/>
                                            <w:left w:val="single" w:sz="2" w:space="0" w:color="E3E3E3"/>
                                            <w:bottom w:val="single" w:sz="2" w:space="0" w:color="E3E3E3"/>
                                            <w:right w:val="single" w:sz="2" w:space="0" w:color="E3E3E3"/>
                                          </w:divBdr>
                                          <w:divsChild>
                                            <w:div w:id="381565149">
                                              <w:marLeft w:val="0"/>
                                              <w:marRight w:val="0"/>
                                              <w:marTop w:val="0"/>
                                              <w:marBottom w:val="0"/>
                                              <w:divBdr>
                                                <w:top w:val="single" w:sz="2" w:space="0" w:color="E3E3E3"/>
                                                <w:left w:val="single" w:sz="2" w:space="0" w:color="E3E3E3"/>
                                                <w:bottom w:val="single" w:sz="2" w:space="0" w:color="E3E3E3"/>
                                                <w:right w:val="single" w:sz="2" w:space="0" w:color="E3E3E3"/>
                                              </w:divBdr>
                                              <w:divsChild>
                                                <w:div w:id="942807429">
                                                  <w:marLeft w:val="0"/>
                                                  <w:marRight w:val="0"/>
                                                  <w:marTop w:val="0"/>
                                                  <w:marBottom w:val="0"/>
                                                  <w:divBdr>
                                                    <w:top w:val="single" w:sz="2" w:space="0" w:color="E3E3E3"/>
                                                    <w:left w:val="single" w:sz="2" w:space="0" w:color="E3E3E3"/>
                                                    <w:bottom w:val="single" w:sz="2" w:space="0" w:color="E3E3E3"/>
                                                    <w:right w:val="single" w:sz="2" w:space="0" w:color="E3E3E3"/>
                                                  </w:divBdr>
                                                  <w:divsChild>
                                                    <w:div w:id="1772512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7499854">
          <w:marLeft w:val="0"/>
          <w:marRight w:val="0"/>
          <w:marTop w:val="0"/>
          <w:marBottom w:val="0"/>
          <w:divBdr>
            <w:top w:val="none" w:sz="0" w:space="0" w:color="auto"/>
            <w:left w:val="none" w:sz="0" w:space="0" w:color="auto"/>
            <w:bottom w:val="none" w:sz="0" w:space="0" w:color="auto"/>
            <w:right w:val="none" w:sz="0" w:space="0" w:color="auto"/>
          </w:divBdr>
        </w:div>
      </w:divsChild>
    </w:div>
    <w:div w:id="726999090">
      <w:bodyDiv w:val="1"/>
      <w:marLeft w:val="0"/>
      <w:marRight w:val="0"/>
      <w:marTop w:val="0"/>
      <w:marBottom w:val="0"/>
      <w:divBdr>
        <w:top w:val="none" w:sz="0" w:space="0" w:color="auto"/>
        <w:left w:val="none" w:sz="0" w:space="0" w:color="auto"/>
        <w:bottom w:val="none" w:sz="0" w:space="0" w:color="auto"/>
        <w:right w:val="none" w:sz="0" w:space="0" w:color="auto"/>
      </w:divBdr>
      <w:divsChild>
        <w:div w:id="1507135660">
          <w:marLeft w:val="0"/>
          <w:marRight w:val="0"/>
          <w:marTop w:val="0"/>
          <w:marBottom w:val="0"/>
          <w:divBdr>
            <w:top w:val="none" w:sz="0" w:space="0" w:color="auto"/>
            <w:left w:val="none" w:sz="0" w:space="0" w:color="auto"/>
            <w:bottom w:val="none" w:sz="0" w:space="0" w:color="auto"/>
            <w:right w:val="none" w:sz="0" w:space="0" w:color="auto"/>
          </w:divBdr>
        </w:div>
      </w:divsChild>
    </w:div>
    <w:div w:id="1098716272">
      <w:bodyDiv w:val="1"/>
      <w:marLeft w:val="0"/>
      <w:marRight w:val="0"/>
      <w:marTop w:val="0"/>
      <w:marBottom w:val="0"/>
      <w:divBdr>
        <w:top w:val="none" w:sz="0" w:space="0" w:color="auto"/>
        <w:left w:val="none" w:sz="0" w:space="0" w:color="auto"/>
        <w:bottom w:val="none" w:sz="0" w:space="0" w:color="auto"/>
        <w:right w:val="none" w:sz="0" w:space="0" w:color="auto"/>
      </w:divBdr>
    </w:div>
    <w:div w:id="1202599049">
      <w:bodyDiv w:val="1"/>
      <w:marLeft w:val="0"/>
      <w:marRight w:val="0"/>
      <w:marTop w:val="0"/>
      <w:marBottom w:val="0"/>
      <w:divBdr>
        <w:top w:val="none" w:sz="0" w:space="0" w:color="auto"/>
        <w:left w:val="none" w:sz="0" w:space="0" w:color="auto"/>
        <w:bottom w:val="none" w:sz="0" w:space="0" w:color="auto"/>
        <w:right w:val="none" w:sz="0" w:space="0" w:color="auto"/>
      </w:divBdr>
    </w:div>
    <w:div w:id="1237860242">
      <w:bodyDiv w:val="1"/>
      <w:marLeft w:val="0"/>
      <w:marRight w:val="0"/>
      <w:marTop w:val="0"/>
      <w:marBottom w:val="0"/>
      <w:divBdr>
        <w:top w:val="none" w:sz="0" w:space="0" w:color="auto"/>
        <w:left w:val="none" w:sz="0" w:space="0" w:color="auto"/>
        <w:bottom w:val="none" w:sz="0" w:space="0" w:color="auto"/>
        <w:right w:val="none" w:sz="0" w:space="0" w:color="auto"/>
      </w:divBdr>
      <w:divsChild>
        <w:div w:id="1353651837">
          <w:marLeft w:val="0"/>
          <w:marRight w:val="0"/>
          <w:marTop w:val="0"/>
          <w:marBottom w:val="0"/>
          <w:divBdr>
            <w:top w:val="none" w:sz="0" w:space="0" w:color="auto"/>
            <w:left w:val="none" w:sz="0" w:space="0" w:color="auto"/>
            <w:bottom w:val="none" w:sz="0" w:space="0" w:color="auto"/>
            <w:right w:val="none" w:sz="0" w:space="0" w:color="auto"/>
          </w:divBdr>
        </w:div>
      </w:divsChild>
    </w:div>
    <w:div w:id="1322810863">
      <w:bodyDiv w:val="1"/>
      <w:marLeft w:val="0"/>
      <w:marRight w:val="0"/>
      <w:marTop w:val="0"/>
      <w:marBottom w:val="0"/>
      <w:divBdr>
        <w:top w:val="none" w:sz="0" w:space="0" w:color="auto"/>
        <w:left w:val="none" w:sz="0" w:space="0" w:color="auto"/>
        <w:bottom w:val="none" w:sz="0" w:space="0" w:color="auto"/>
        <w:right w:val="none" w:sz="0" w:space="0" w:color="auto"/>
      </w:divBdr>
    </w:div>
    <w:div w:id="1325933862">
      <w:bodyDiv w:val="1"/>
      <w:marLeft w:val="0"/>
      <w:marRight w:val="0"/>
      <w:marTop w:val="0"/>
      <w:marBottom w:val="0"/>
      <w:divBdr>
        <w:top w:val="none" w:sz="0" w:space="0" w:color="auto"/>
        <w:left w:val="none" w:sz="0" w:space="0" w:color="auto"/>
        <w:bottom w:val="none" w:sz="0" w:space="0" w:color="auto"/>
        <w:right w:val="none" w:sz="0" w:space="0" w:color="auto"/>
      </w:divBdr>
      <w:divsChild>
        <w:div w:id="1466893881">
          <w:marLeft w:val="0"/>
          <w:marRight w:val="0"/>
          <w:marTop w:val="0"/>
          <w:marBottom w:val="0"/>
          <w:divBdr>
            <w:top w:val="none" w:sz="0" w:space="0" w:color="auto"/>
            <w:left w:val="none" w:sz="0" w:space="0" w:color="auto"/>
            <w:bottom w:val="none" w:sz="0" w:space="0" w:color="auto"/>
            <w:right w:val="none" w:sz="0" w:space="0" w:color="auto"/>
          </w:divBdr>
        </w:div>
      </w:divsChild>
    </w:div>
    <w:div w:id="1749032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r.lib.uwo.ca/oip/185" TargetMode="External"/><Relationship Id="rId18" Type="http://schemas.openxmlformats.org/officeDocument/2006/relationships/hyperlink" Target="https://d1wqtxts1xzle7.cloudfront.net/85222298/JMC-Vol02-Issue01-01.pdf_filename_UTF-8JMC-Vol02-Issue01-01-libre.pdf?1651320364=&amp;response-content-disposition=inline%3B+filename%3DPromoting_Ethics_And_Morality_In_Educati.pdf&amp;Expires=1710933176&amp;Signature=DPgzyKO5l-Mx~ClZRkb9QJXkgQIMPQC0H1EZMz0XJzzxiyYEcNODZ47mPqdwRLxZmxJr3rHnX9vb1y9i8~-Cw8mz3XP1L53ILcAn4TedBAvpTCfXex~OGxmoO7IirP4yaLnaxZ7jRyRgiUi4NiTSaeocLVvWHptHwgZedXyVebyH19smj8afSSuXDH8yCLrDeLVrEKpHWbFu0HHHB9Xrf2~CGrJ2Wssk10w0aDG6XJ4riZxW0DC398Gph5vlxSBjAzrLPFBFAq7OWUEq6MrwXX1CQqDD7FKaac7BxG6806M1hnieZtGwjCTZIafG2tYoPOtiALo9NdyZ~4-KcMPG2Q__&amp;Key-Pair-Id=APKAJLOHF5GGSLRBV4ZA"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30605/25409190.v3.02.122-130" TargetMode="External"/><Relationship Id="rId17" Type="http://schemas.openxmlformats.org/officeDocument/2006/relationships/hyperlink" Target="https://www.seda.ac.uk/wpcontent/uploads/2020/09/Educational-Developments-13.3.pdf" TargetMode="External"/><Relationship Id="rId2" Type="http://schemas.openxmlformats.org/officeDocument/2006/relationships/customXml" Target="../customXml/item2.xml"/><Relationship Id="rId16" Type="http://schemas.openxmlformats.org/officeDocument/2006/relationships/hyperlink" Target="https://doi.org/10.4324/9780429324840"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files.eric.ed.gov/fulltext/EJ1170159.pdf"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111/1468-2230.1274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D08B43B195471FAD3BD845CAC7DAC4"/>
        <w:category>
          <w:name w:val="General"/>
          <w:gallery w:val="placeholder"/>
        </w:category>
        <w:types>
          <w:type w:val="bbPlcHdr"/>
        </w:types>
        <w:behaviors>
          <w:behavior w:val="content"/>
        </w:behaviors>
        <w:guid w:val="{AFC8543D-BD94-4830-9E9B-118047A772A6}"/>
      </w:docPartPr>
      <w:docPartBody>
        <w:p w:rsidR="00126833" w:rsidRDefault="00126833" w:rsidP="00126833">
          <w:pPr>
            <w:pStyle w:val="58D08B43B195471FAD3BD845CAC7DAC4"/>
          </w:pPr>
          <w:r>
            <w:rPr>
              <w:rFonts w:asciiTheme="majorHAnsi" w:eastAsiaTheme="majorEastAsia" w:hAnsiTheme="majorHAnsi" w:cstheme="majorBidi"/>
              <w:caps/>
              <w:color w:val="4472C4" w:themeColor="accent1"/>
              <w:sz w:val="80"/>
              <w:szCs w:val="80"/>
            </w:rPr>
            <w:t>[Document title]</w:t>
          </w:r>
        </w:p>
      </w:docPartBody>
    </w:docPart>
    <w:docPart>
      <w:docPartPr>
        <w:name w:val="65270055EC904F26B1B7854BDAC14D0F"/>
        <w:category>
          <w:name w:val="General"/>
          <w:gallery w:val="placeholder"/>
        </w:category>
        <w:types>
          <w:type w:val="bbPlcHdr"/>
        </w:types>
        <w:behaviors>
          <w:behavior w:val="content"/>
        </w:behaviors>
        <w:guid w:val="{F905E2A6-F558-422F-84C3-3EC2C1350B44}"/>
      </w:docPartPr>
      <w:docPartBody>
        <w:p w:rsidR="00126833" w:rsidRDefault="00126833" w:rsidP="00126833">
          <w:pPr>
            <w:pStyle w:val="65270055EC904F26B1B7854BDAC14D0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833"/>
    <w:rsid w:val="001268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D08B43B195471FAD3BD845CAC7DAC4">
    <w:name w:val="58D08B43B195471FAD3BD845CAC7DAC4"/>
    <w:rsid w:val="00126833"/>
  </w:style>
  <w:style w:type="paragraph" w:customStyle="1" w:styleId="65270055EC904F26B1B7854BDAC14D0F">
    <w:name w:val="65270055EC904F26B1B7854BDAC14D0F"/>
    <w:rsid w:val="001268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2024-03-21T00:00:00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603d10c-933a-44a6-9846-de6dc21fd53f"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E535A37251D8C44950BB80686AF31F1" ma:contentTypeVersion="15" ma:contentTypeDescription="Create a new document." ma:contentTypeScope="" ma:versionID="b403fa8b27bb590206a4baaf37e82b0a">
  <xsd:schema xmlns:xsd="http://www.w3.org/2001/XMLSchema" xmlns:xs="http://www.w3.org/2001/XMLSchema" xmlns:p="http://schemas.microsoft.com/office/2006/metadata/properties" xmlns:ns3="2603d10c-933a-44a6-9846-de6dc21fd53f" xmlns:ns4="37433fe3-abc5-4262-9332-fc541e4c6c74" targetNamespace="http://schemas.microsoft.com/office/2006/metadata/properties" ma:root="true" ma:fieldsID="6cd131f0fbadde38e6713c9bd47687ec" ns3:_="" ns4:_="">
    <xsd:import namespace="2603d10c-933a-44a6-9846-de6dc21fd53f"/>
    <xsd:import namespace="37433fe3-abc5-4262-9332-fc541e4c6c7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CR" minOccurs="0"/>
                <xsd:element ref="ns3:MediaServiceDateTaken"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03d10c-933a-44a6-9846-de6dc21fd5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433fe3-abc5-4262-9332-fc541e4c6c7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58027F-DBFD-4A59-8A21-46567B6EB7C9}">
  <ds:schemaRefs>
    <ds:schemaRef ds:uri="http://schemas.microsoft.com/sharepoint/v3/contenttype/forms"/>
  </ds:schemaRefs>
</ds:datastoreItem>
</file>

<file path=customXml/itemProps3.xml><?xml version="1.0" encoding="utf-8"?>
<ds:datastoreItem xmlns:ds="http://schemas.openxmlformats.org/officeDocument/2006/customXml" ds:itemID="{B8DE2DD9-6778-4B26-A04E-AC34587AA330}">
  <ds:schemaRefs>
    <ds:schemaRef ds:uri="http://purl.org/dc/elements/1.1/"/>
    <ds:schemaRef ds:uri="http://www.w3.org/XML/1998/namespace"/>
    <ds:schemaRef ds:uri="http://schemas.microsoft.com/office/2006/documentManagement/types"/>
    <ds:schemaRef ds:uri="http://schemas.openxmlformats.org/package/2006/metadata/core-properties"/>
    <ds:schemaRef ds:uri="http://purl.org/dc/terms/"/>
    <ds:schemaRef ds:uri="http://schemas.microsoft.com/office/infopath/2007/PartnerControls"/>
    <ds:schemaRef ds:uri="37433fe3-abc5-4262-9332-fc541e4c6c74"/>
    <ds:schemaRef ds:uri="2603d10c-933a-44a6-9846-de6dc21fd53f"/>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4F156571-BB61-41D2-9DF4-110217C3F0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03d10c-933a-44a6-9846-de6dc21fd53f"/>
    <ds:schemaRef ds:uri="37433fe3-abc5-4262-9332-fc541e4c6c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4128</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Support Report</dc:title>
  <dc:subject>Daniel Payne - 1803525</dc:subject>
  <dc:creator>Daniel Payne</dc:creator>
  <cp:keywords/>
  <dc:description/>
  <cp:lastModifiedBy>Daniel Payne</cp:lastModifiedBy>
  <cp:revision>2</cp:revision>
  <dcterms:created xsi:type="dcterms:W3CDTF">2024-03-21T18:11:00Z</dcterms:created>
  <dcterms:modified xsi:type="dcterms:W3CDTF">2024-03-21T18:11:00Z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0x010100BE535A37251D8C44950BB80686AF31F1</vt:lpwstr>
  </property>
</Properties>
</file>