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54620B23">
      <w:bookmarkStart w:name="_GoBack" w:id="0"/>
      <w:bookmarkEnd w:id="0"/>
      <w:r w:rsidR="7840776E">
        <w:rPr/>
        <w:t>Parenting practices seem to be more relevant in cyberbullying than traditional bullying. Effective parenting practices such as positive parenting deserve attention as a potentially modifiable factor to protect against cyberbullying involvement. Ineffective parenting practices such as inconsistent discipline are relevant in cyberaggression, whereas poor monitoring is associated with both cyberbullying and traditional bullying. Clinical and research implications are discussed.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E2F34C"/>
    <w:rsid w:val="5768C748"/>
    <w:rsid w:val="76E2F34C"/>
    <w:rsid w:val="78407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2F34C"/>
  <w15:chartTrackingRefBased/>
  <w15:docId w15:val="{A1857248-3096-40D2-973A-01FDBE3D4B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2</revision>
  <dcterms:created xsi:type="dcterms:W3CDTF">2022-10-14T10:49:14.6101095Z</dcterms:created>
  <dcterms:modified xsi:type="dcterms:W3CDTF">2022-10-14T10:51:03.5739133Z</dcterms:modified>
</coreProperties>
</file>